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内墙涂料项目计划设计方案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38" w:history="1">
        <w:r>
          <w:rPr>
            <w:rFonts w:ascii="仿宋" w:eastAsia="仿宋" w:hAnsi="仿宋" w:cs="仿宋" w:hint="eastAsia"/>
            <w:lang w:eastAsia="zh-CN"/>
          </w:rPr>
          <w:t>概论</w:t>
        </w:r>
        <w:r>
          <w:tab/>
        </w:r>
        <w:r>
          <w:fldChar w:fldCharType="begin"/>
        </w:r>
        <w:r>
          <w:instrText xml:space="preserve"> PAGEREF _Toc2238 \h </w:instrText>
        </w:r>
        <w:r>
          <w:fldChar w:fldCharType="separate"/>
        </w:r>
        <w:r>
          <w:t>3</w:t>
        </w:r>
        <w:r>
          <w:fldChar w:fldCharType="end"/>
        </w:r>
      </w:hyperlink>
    </w:p>
    <w:p>
      <w:pPr>
        <w:pStyle w:val="TOC1"/>
        <w:tabs>
          <w:tab w:val="right" w:leader="dot" w:pos="8306"/>
        </w:tabs>
      </w:pPr>
      <w:hyperlink w:anchor="_Toc13476" w:history="1">
        <w:r>
          <w:rPr>
            <w:rFonts w:ascii="仿宋" w:eastAsia="仿宋" w:hAnsi="仿宋" w:cs="仿宋" w:hint="eastAsia"/>
            <w:lang w:eastAsia="zh-CN"/>
          </w:rPr>
          <w:t>一、内墙涂料项目建设背景及必要性分析</w:t>
        </w:r>
        <w:r>
          <w:tab/>
        </w:r>
        <w:r>
          <w:fldChar w:fldCharType="begin"/>
        </w:r>
        <w:r>
          <w:instrText xml:space="preserve"> PAGEREF _Toc13476 \h </w:instrText>
        </w:r>
        <w:r>
          <w:fldChar w:fldCharType="separate"/>
        </w:r>
        <w:r>
          <w:t>3</w:t>
        </w:r>
        <w:r>
          <w:fldChar w:fldCharType="end"/>
        </w:r>
      </w:hyperlink>
    </w:p>
    <w:p>
      <w:pPr>
        <w:pStyle w:val="TOC2"/>
        <w:tabs>
          <w:tab w:val="right" w:leader="dot" w:pos="8306"/>
        </w:tabs>
      </w:pPr>
      <w:hyperlink w:anchor="_Toc8477" w:history="1">
        <w:r>
          <w:rPr>
            <w:rFonts w:ascii="仿宋" w:eastAsia="仿宋" w:hAnsi="仿宋" w:cs="仿宋" w:hint="eastAsia"/>
            <w:lang w:eastAsia="zh-CN"/>
          </w:rPr>
          <w:t>(一)、内墙涂料项目背景分析</w:t>
        </w:r>
        <w:r>
          <w:tab/>
        </w:r>
        <w:r>
          <w:fldChar w:fldCharType="begin"/>
        </w:r>
        <w:r>
          <w:instrText xml:space="preserve"> PAGEREF _Toc8477 \h </w:instrText>
        </w:r>
        <w:r>
          <w:fldChar w:fldCharType="separate"/>
        </w:r>
        <w:r>
          <w:t>3</w:t>
        </w:r>
        <w:r>
          <w:fldChar w:fldCharType="end"/>
        </w:r>
      </w:hyperlink>
    </w:p>
    <w:p>
      <w:pPr>
        <w:pStyle w:val="TOC2"/>
        <w:tabs>
          <w:tab w:val="right" w:leader="dot" w:pos="8306"/>
        </w:tabs>
      </w:pPr>
      <w:hyperlink w:anchor="_Toc17124" w:history="1">
        <w:r>
          <w:rPr>
            <w:rFonts w:ascii="仿宋" w:eastAsia="仿宋" w:hAnsi="仿宋" w:cs="仿宋" w:hint="eastAsia"/>
            <w:lang w:eastAsia="zh-CN"/>
          </w:rPr>
          <w:t>(二)、内墙涂料项目建设必要性分析</w:t>
        </w:r>
        <w:r>
          <w:tab/>
        </w:r>
        <w:r>
          <w:fldChar w:fldCharType="begin"/>
        </w:r>
        <w:r>
          <w:instrText xml:space="preserve"> PAGEREF _Toc17124 \h </w:instrText>
        </w:r>
        <w:r>
          <w:fldChar w:fldCharType="separate"/>
        </w:r>
        <w:r>
          <w:t>5</w:t>
        </w:r>
        <w:r>
          <w:fldChar w:fldCharType="end"/>
        </w:r>
      </w:hyperlink>
    </w:p>
    <w:p>
      <w:pPr>
        <w:pStyle w:val="TOC1"/>
        <w:tabs>
          <w:tab w:val="right" w:leader="dot" w:pos="8306"/>
        </w:tabs>
      </w:pPr>
      <w:hyperlink w:anchor="_Toc16618" w:history="1">
        <w:r>
          <w:rPr>
            <w:rFonts w:ascii="仿宋" w:eastAsia="仿宋" w:hAnsi="仿宋" w:cs="仿宋" w:hint="eastAsia"/>
            <w:lang w:eastAsia="zh-CN"/>
          </w:rPr>
          <w:t>二、内墙涂料项目概论</w:t>
        </w:r>
        <w:r>
          <w:tab/>
        </w:r>
        <w:r>
          <w:fldChar w:fldCharType="begin"/>
        </w:r>
        <w:r>
          <w:instrText xml:space="preserve"> PAGEREF _Toc16618 \h </w:instrText>
        </w:r>
        <w:r>
          <w:fldChar w:fldCharType="separate"/>
        </w:r>
        <w:r>
          <w:t>6</w:t>
        </w:r>
        <w:r>
          <w:fldChar w:fldCharType="end"/>
        </w:r>
      </w:hyperlink>
    </w:p>
    <w:p>
      <w:pPr>
        <w:pStyle w:val="TOC2"/>
        <w:tabs>
          <w:tab w:val="right" w:leader="dot" w:pos="8306"/>
        </w:tabs>
      </w:pPr>
      <w:hyperlink w:anchor="_Toc4597" w:history="1">
        <w:r>
          <w:rPr>
            <w:rFonts w:ascii="仿宋" w:eastAsia="仿宋" w:hAnsi="仿宋" w:cs="仿宋" w:hint="eastAsia"/>
            <w:lang w:eastAsia="zh-CN"/>
          </w:rPr>
          <w:t>(一)、内墙涂料项目概况</w:t>
        </w:r>
        <w:r>
          <w:tab/>
        </w:r>
        <w:r>
          <w:fldChar w:fldCharType="begin"/>
        </w:r>
        <w:r>
          <w:instrText xml:space="preserve"> PAGEREF _Toc4597 \h </w:instrText>
        </w:r>
        <w:r>
          <w:fldChar w:fldCharType="separate"/>
        </w:r>
        <w:r>
          <w:t>6</w:t>
        </w:r>
        <w:r>
          <w:fldChar w:fldCharType="end"/>
        </w:r>
      </w:hyperlink>
    </w:p>
    <w:p>
      <w:pPr>
        <w:pStyle w:val="TOC2"/>
        <w:tabs>
          <w:tab w:val="right" w:leader="dot" w:pos="8306"/>
        </w:tabs>
      </w:pPr>
      <w:hyperlink w:anchor="_Toc7660" w:history="1">
        <w:r>
          <w:rPr>
            <w:rFonts w:ascii="仿宋" w:eastAsia="仿宋" w:hAnsi="仿宋" w:cs="仿宋" w:hint="eastAsia"/>
            <w:lang w:eastAsia="zh-CN"/>
          </w:rPr>
          <w:t>(二)、内墙涂料项目目标</w:t>
        </w:r>
        <w:r>
          <w:tab/>
        </w:r>
        <w:r>
          <w:fldChar w:fldCharType="begin"/>
        </w:r>
        <w:r>
          <w:instrText xml:space="preserve"> PAGEREF _Toc7660 \h </w:instrText>
        </w:r>
        <w:r>
          <w:fldChar w:fldCharType="separate"/>
        </w:r>
        <w:r>
          <w:t>8</w:t>
        </w:r>
        <w:r>
          <w:fldChar w:fldCharType="end"/>
        </w:r>
      </w:hyperlink>
    </w:p>
    <w:p>
      <w:pPr>
        <w:pStyle w:val="TOC2"/>
        <w:tabs>
          <w:tab w:val="right" w:leader="dot" w:pos="8306"/>
        </w:tabs>
      </w:pPr>
      <w:hyperlink w:anchor="_Toc7025" w:history="1">
        <w:r>
          <w:rPr>
            <w:rFonts w:ascii="仿宋" w:eastAsia="仿宋" w:hAnsi="仿宋" w:cs="仿宋" w:hint="eastAsia"/>
            <w:lang w:eastAsia="zh-CN"/>
          </w:rPr>
          <w:t>(三)、内墙涂料项目提出的理由</w:t>
        </w:r>
        <w:r>
          <w:tab/>
        </w:r>
        <w:r>
          <w:fldChar w:fldCharType="begin"/>
        </w:r>
        <w:r>
          <w:instrText xml:space="preserve"> PAGEREF _Toc7025 \h </w:instrText>
        </w:r>
        <w:r>
          <w:fldChar w:fldCharType="separate"/>
        </w:r>
        <w:r>
          <w:t>9</w:t>
        </w:r>
        <w:r>
          <w:fldChar w:fldCharType="end"/>
        </w:r>
      </w:hyperlink>
    </w:p>
    <w:p>
      <w:pPr>
        <w:pStyle w:val="TOC2"/>
        <w:tabs>
          <w:tab w:val="right" w:leader="dot" w:pos="8306"/>
        </w:tabs>
      </w:pPr>
      <w:hyperlink w:anchor="_Toc8857" w:history="1">
        <w:r>
          <w:rPr>
            <w:rFonts w:ascii="仿宋" w:eastAsia="仿宋" w:hAnsi="仿宋" w:cs="仿宋" w:hint="eastAsia"/>
            <w:lang w:eastAsia="zh-CN"/>
          </w:rPr>
          <w:t>(四)、内墙涂料项目意义</w:t>
        </w:r>
        <w:r>
          <w:tab/>
        </w:r>
        <w:r>
          <w:fldChar w:fldCharType="begin"/>
        </w:r>
        <w:r>
          <w:instrText xml:space="preserve"> PAGEREF _Toc8857 \h </w:instrText>
        </w:r>
        <w:r>
          <w:fldChar w:fldCharType="separate"/>
        </w:r>
        <w:r>
          <w:t>11</w:t>
        </w:r>
        <w:r>
          <w:fldChar w:fldCharType="end"/>
        </w:r>
      </w:hyperlink>
    </w:p>
    <w:p>
      <w:pPr>
        <w:pStyle w:val="TOC2"/>
        <w:tabs>
          <w:tab w:val="right" w:leader="dot" w:pos="8306"/>
        </w:tabs>
      </w:pPr>
      <w:hyperlink w:anchor="_Toc8747" w:history="1">
        <w:r>
          <w:rPr>
            <w:rFonts w:ascii="仿宋" w:eastAsia="仿宋" w:hAnsi="仿宋" w:cs="仿宋" w:hint="eastAsia"/>
            <w:lang w:eastAsia="zh-CN"/>
          </w:rPr>
          <w:t>(五)、内墙涂料项目背景</w:t>
        </w:r>
        <w:r>
          <w:tab/>
        </w:r>
        <w:r>
          <w:fldChar w:fldCharType="begin"/>
        </w:r>
        <w:r>
          <w:instrText xml:space="preserve"> PAGEREF _Toc8747 \h </w:instrText>
        </w:r>
        <w:r>
          <w:fldChar w:fldCharType="separate"/>
        </w:r>
        <w:r>
          <w:t>11</w:t>
        </w:r>
        <w:r>
          <w:fldChar w:fldCharType="end"/>
        </w:r>
      </w:hyperlink>
    </w:p>
    <w:p>
      <w:pPr>
        <w:pStyle w:val="TOC1"/>
        <w:tabs>
          <w:tab w:val="right" w:leader="dot" w:pos="8306"/>
        </w:tabs>
      </w:pPr>
      <w:hyperlink w:anchor="_Toc26567" w:history="1">
        <w:r>
          <w:rPr>
            <w:rFonts w:ascii="仿宋" w:eastAsia="仿宋" w:hAnsi="仿宋" w:cs="仿宋" w:hint="eastAsia"/>
            <w:lang w:eastAsia="zh-CN"/>
          </w:rPr>
          <w:t>三、内墙涂料项目危机管理</w:t>
        </w:r>
        <w:r>
          <w:tab/>
        </w:r>
        <w:r>
          <w:fldChar w:fldCharType="begin"/>
        </w:r>
        <w:r>
          <w:instrText xml:space="preserve"> PAGEREF _Toc26567 \h </w:instrText>
        </w:r>
        <w:r>
          <w:fldChar w:fldCharType="separate"/>
        </w:r>
        <w:r>
          <w:t>12</w:t>
        </w:r>
        <w:r>
          <w:fldChar w:fldCharType="end"/>
        </w:r>
      </w:hyperlink>
    </w:p>
    <w:p>
      <w:pPr>
        <w:pStyle w:val="TOC2"/>
        <w:tabs>
          <w:tab w:val="right" w:leader="dot" w:pos="8306"/>
        </w:tabs>
      </w:pPr>
      <w:hyperlink w:anchor="_Toc32684" w:history="1">
        <w:r>
          <w:rPr>
            <w:rFonts w:ascii="仿宋" w:eastAsia="仿宋" w:hAnsi="仿宋" w:cs="仿宋" w:hint="eastAsia"/>
            <w:lang w:eastAsia="zh-CN"/>
          </w:rPr>
          <w:t>(一)、危机预警与识别</w:t>
        </w:r>
        <w:r>
          <w:tab/>
        </w:r>
        <w:r>
          <w:fldChar w:fldCharType="begin"/>
        </w:r>
        <w:r>
          <w:instrText xml:space="preserve"> PAGEREF _Toc32684 \h </w:instrText>
        </w:r>
        <w:r>
          <w:fldChar w:fldCharType="separate"/>
        </w:r>
        <w:r>
          <w:t>12</w:t>
        </w:r>
        <w:r>
          <w:fldChar w:fldCharType="end"/>
        </w:r>
      </w:hyperlink>
    </w:p>
    <w:p>
      <w:pPr>
        <w:pStyle w:val="TOC2"/>
        <w:tabs>
          <w:tab w:val="right" w:leader="dot" w:pos="8306"/>
        </w:tabs>
      </w:pPr>
      <w:hyperlink w:anchor="_Toc7356" w:history="1">
        <w:r>
          <w:rPr>
            <w:rFonts w:ascii="仿宋" w:eastAsia="仿宋" w:hAnsi="仿宋" w:cs="仿宋" w:hint="eastAsia"/>
            <w:lang w:eastAsia="zh-CN"/>
          </w:rPr>
          <w:t>(二)、危机应对与恢复</w:t>
        </w:r>
        <w:r>
          <w:tab/>
        </w:r>
        <w:r>
          <w:fldChar w:fldCharType="begin"/>
        </w:r>
        <w:r>
          <w:instrText xml:space="preserve"> PAGEREF _Toc7356 \h </w:instrText>
        </w:r>
        <w:r>
          <w:fldChar w:fldCharType="separate"/>
        </w:r>
        <w:r>
          <w:t>13</w:t>
        </w:r>
        <w:r>
          <w:fldChar w:fldCharType="end"/>
        </w:r>
      </w:hyperlink>
    </w:p>
    <w:p>
      <w:pPr>
        <w:pStyle w:val="TOC1"/>
        <w:tabs>
          <w:tab w:val="right" w:leader="dot" w:pos="8306"/>
        </w:tabs>
      </w:pPr>
      <w:hyperlink w:anchor="_Toc31360" w:history="1">
        <w:r>
          <w:rPr>
            <w:rFonts w:ascii="仿宋" w:eastAsia="仿宋" w:hAnsi="仿宋" w:cs="仿宋" w:hint="eastAsia"/>
            <w:lang w:eastAsia="zh-CN"/>
          </w:rPr>
          <w:t>四、内墙涂料项目绩效评估</w:t>
        </w:r>
        <w:r>
          <w:tab/>
        </w:r>
        <w:r>
          <w:fldChar w:fldCharType="begin"/>
        </w:r>
        <w:r>
          <w:instrText xml:space="preserve"> PAGEREF _Toc31360 \h </w:instrText>
        </w:r>
        <w:r>
          <w:fldChar w:fldCharType="separate"/>
        </w:r>
        <w:r>
          <w:t>15</w:t>
        </w:r>
        <w:r>
          <w:fldChar w:fldCharType="end"/>
        </w:r>
      </w:hyperlink>
    </w:p>
    <w:p>
      <w:pPr>
        <w:pStyle w:val="TOC2"/>
        <w:tabs>
          <w:tab w:val="right" w:leader="dot" w:pos="8306"/>
        </w:tabs>
      </w:pPr>
      <w:hyperlink w:anchor="_Toc22731" w:history="1">
        <w:r>
          <w:rPr>
            <w:rFonts w:ascii="仿宋" w:eastAsia="仿宋" w:hAnsi="仿宋" w:cs="仿宋" w:hint="eastAsia"/>
            <w:lang w:eastAsia="zh-CN"/>
          </w:rPr>
          <w:t>(一)、绩效评估指标</w:t>
        </w:r>
        <w:r>
          <w:tab/>
        </w:r>
        <w:r>
          <w:fldChar w:fldCharType="begin"/>
        </w:r>
        <w:r>
          <w:instrText xml:space="preserve"> PAGEREF _Toc22731 \h </w:instrText>
        </w:r>
        <w:r>
          <w:fldChar w:fldCharType="separate"/>
        </w:r>
        <w:r>
          <w:t>15</w:t>
        </w:r>
        <w:r>
          <w:fldChar w:fldCharType="end"/>
        </w:r>
      </w:hyperlink>
    </w:p>
    <w:p>
      <w:pPr>
        <w:pStyle w:val="TOC2"/>
        <w:tabs>
          <w:tab w:val="right" w:leader="dot" w:pos="8306"/>
        </w:tabs>
      </w:pPr>
      <w:hyperlink w:anchor="_Toc21461" w:history="1">
        <w:r>
          <w:rPr>
            <w:rFonts w:ascii="仿宋" w:eastAsia="仿宋" w:hAnsi="仿宋" w:cs="仿宋" w:hint="eastAsia"/>
            <w:lang w:eastAsia="zh-CN"/>
          </w:rPr>
          <w:t>(二)、绩效评估方法</w:t>
        </w:r>
        <w:r>
          <w:tab/>
        </w:r>
        <w:r>
          <w:fldChar w:fldCharType="begin"/>
        </w:r>
        <w:r>
          <w:instrText xml:space="preserve"> PAGEREF _Toc21461 \h </w:instrText>
        </w:r>
        <w:r>
          <w:fldChar w:fldCharType="separate"/>
        </w:r>
        <w:r>
          <w:t>16</w:t>
        </w:r>
        <w:r>
          <w:fldChar w:fldCharType="end"/>
        </w:r>
      </w:hyperlink>
    </w:p>
    <w:p>
      <w:pPr>
        <w:pStyle w:val="TOC2"/>
        <w:tabs>
          <w:tab w:val="right" w:leader="dot" w:pos="8306"/>
        </w:tabs>
      </w:pPr>
      <w:hyperlink w:anchor="_Toc27370" w:history="1">
        <w:r>
          <w:rPr>
            <w:rFonts w:ascii="仿宋" w:eastAsia="仿宋" w:hAnsi="仿宋" w:cs="仿宋" w:hint="eastAsia"/>
            <w:lang w:eastAsia="zh-CN"/>
          </w:rPr>
          <w:t>(三)、绩效评估周期</w:t>
        </w:r>
        <w:r>
          <w:tab/>
        </w:r>
        <w:r>
          <w:fldChar w:fldCharType="begin"/>
        </w:r>
        <w:r>
          <w:instrText xml:space="preserve"> PAGEREF _Toc27370 \h </w:instrText>
        </w:r>
        <w:r>
          <w:fldChar w:fldCharType="separate"/>
        </w:r>
        <w:r>
          <w:t>17</w:t>
        </w:r>
        <w:r>
          <w:fldChar w:fldCharType="end"/>
        </w:r>
      </w:hyperlink>
    </w:p>
    <w:p>
      <w:pPr>
        <w:pStyle w:val="TOC1"/>
        <w:tabs>
          <w:tab w:val="right" w:leader="dot" w:pos="8306"/>
        </w:tabs>
      </w:pPr>
      <w:hyperlink w:anchor="_Toc28483" w:history="1">
        <w:r>
          <w:rPr>
            <w:rFonts w:ascii="仿宋" w:eastAsia="仿宋" w:hAnsi="仿宋" w:cs="仿宋" w:hint="eastAsia"/>
            <w:lang w:eastAsia="zh-CN"/>
          </w:rPr>
          <w:t>五、内墙涂料项目建设单位说明</w:t>
        </w:r>
        <w:r>
          <w:tab/>
        </w:r>
        <w:r>
          <w:fldChar w:fldCharType="begin"/>
        </w:r>
        <w:r>
          <w:instrText xml:space="preserve"> PAGEREF _Toc28483 \h </w:instrText>
        </w:r>
        <w:r>
          <w:fldChar w:fldCharType="separate"/>
        </w:r>
        <w:r>
          <w:t>18</w:t>
        </w:r>
        <w:r>
          <w:fldChar w:fldCharType="end"/>
        </w:r>
      </w:hyperlink>
    </w:p>
    <w:p>
      <w:pPr>
        <w:pStyle w:val="TOC2"/>
        <w:tabs>
          <w:tab w:val="right" w:leader="dot" w:pos="8306"/>
        </w:tabs>
      </w:pPr>
      <w:hyperlink w:anchor="_Toc7905" w:history="1">
        <w:r>
          <w:rPr>
            <w:rFonts w:ascii="仿宋" w:eastAsia="仿宋" w:hAnsi="仿宋" w:cs="仿宋" w:hint="eastAsia"/>
            <w:lang w:eastAsia="zh-CN"/>
          </w:rPr>
          <w:t>(一)、内墙涂料项目承办单位基本情况</w:t>
        </w:r>
        <w:r>
          <w:tab/>
        </w:r>
        <w:r>
          <w:fldChar w:fldCharType="begin"/>
        </w:r>
        <w:r>
          <w:instrText xml:space="preserve"> PAGEREF _Toc7905 \h </w:instrText>
        </w:r>
        <w:r>
          <w:fldChar w:fldCharType="separate"/>
        </w:r>
        <w:r>
          <w:t>18</w:t>
        </w:r>
        <w:r>
          <w:fldChar w:fldCharType="end"/>
        </w:r>
      </w:hyperlink>
    </w:p>
    <w:p>
      <w:pPr>
        <w:pStyle w:val="TOC2"/>
        <w:tabs>
          <w:tab w:val="right" w:leader="dot" w:pos="8306"/>
        </w:tabs>
      </w:pPr>
      <w:hyperlink w:anchor="_Toc19898" w:history="1">
        <w:r>
          <w:rPr>
            <w:rFonts w:ascii="仿宋" w:eastAsia="仿宋" w:hAnsi="仿宋" w:cs="仿宋" w:hint="eastAsia"/>
            <w:lang w:eastAsia="zh-CN"/>
          </w:rPr>
          <w:t>(二)、公司经济效益分析</w:t>
        </w:r>
        <w:r>
          <w:tab/>
        </w:r>
        <w:r>
          <w:fldChar w:fldCharType="begin"/>
        </w:r>
        <w:r>
          <w:instrText xml:space="preserve"> PAGEREF _Toc19898 \h </w:instrText>
        </w:r>
        <w:r>
          <w:fldChar w:fldCharType="separate"/>
        </w:r>
        <w:r>
          <w:t>18</w:t>
        </w:r>
        <w:r>
          <w:fldChar w:fldCharType="end"/>
        </w:r>
      </w:hyperlink>
    </w:p>
    <w:p>
      <w:pPr>
        <w:pStyle w:val="TOC1"/>
        <w:tabs>
          <w:tab w:val="right" w:leader="dot" w:pos="8306"/>
        </w:tabs>
      </w:pPr>
      <w:hyperlink w:anchor="_Toc27906" w:history="1">
        <w:r>
          <w:rPr>
            <w:rFonts w:ascii="仿宋" w:eastAsia="仿宋" w:hAnsi="仿宋" w:cs="仿宋" w:hint="eastAsia"/>
            <w:lang w:eastAsia="zh-CN"/>
          </w:rPr>
          <w:t>六、内墙涂料项目文档管理</w:t>
        </w:r>
        <w:r>
          <w:tab/>
        </w:r>
        <w:r>
          <w:fldChar w:fldCharType="begin"/>
        </w:r>
        <w:r>
          <w:instrText xml:space="preserve"> PAGEREF _Toc27906 \h </w:instrText>
        </w:r>
        <w:r>
          <w:fldChar w:fldCharType="separate"/>
        </w:r>
        <w:r>
          <w:t>19</w:t>
        </w:r>
        <w:r>
          <w:fldChar w:fldCharType="end"/>
        </w:r>
      </w:hyperlink>
    </w:p>
    <w:p>
      <w:pPr>
        <w:pStyle w:val="TOC2"/>
        <w:tabs>
          <w:tab w:val="right" w:leader="dot" w:pos="8306"/>
        </w:tabs>
      </w:pPr>
      <w:hyperlink w:anchor="_Toc7394" w:history="1">
        <w:r>
          <w:rPr>
            <w:rFonts w:ascii="仿宋" w:eastAsia="仿宋" w:hAnsi="仿宋" w:cs="仿宋" w:hint="eastAsia"/>
            <w:lang w:eastAsia="zh-CN"/>
          </w:rPr>
          <w:t>(一)、文档编制与审查</w:t>
        </w:r>
        <w:r>
          <w:tab/>
        </w:r>
        <w:r>
          <w:fldChar w:fldCharType="begin"/>
        </w:r>
        <w:r>
          <w:instrText xml:space="preserve"> PAGEREF _Toc7394 \h </w:instrText>
        </w:r>
        <w:r>
          <w:fldChar w:fldCharType="separate"/>
        </w:r>
        <w:r>
          <w:t>19</w:t>
        </w:r>
        <w:r>
          <w:fldChar w:fldCharType="end"/>
        </w:r>
      </w:hyperlink>
    </w:p>
    <w:p>
      <w:pPr>
        <w:pStyle w:val="TOC2"/>
        <w:tabs>
          <w:tab w:val="right" w:leader="dot" w:pos="8306"/>
        </w:tabs>
      </w:pPr>
      <w:hyperlink w:anchor="_Toc28808" w:history="1">
        <w:r>
          <w:rPr>
            <w:rFonts w:ascii="仿宋" w:eastAsia="仿宋" w:hAnsi="仿宋" w:cs="仿宋" w:hint="eastAsia"/>
            <w:lang w:eastAsia="zh-CN"/>
          </w:rPr>
          <w:t>(二)、文档发布与分发</w:t>
        </w:r>
        <w:r>
          <w:tab/>
        </w:r>
        <w:r>
          <w:fldChar w:fldCharType="begin"/>
        </w:r>
        <w:r>
          <w:instrText xml:space="preserve"> PAGEREF _Toc28808 \h </w:instrText>
        </w:r>
        <w:r>
          <w:fldChar w:fldCharType="separate"/>
        </w:r>
        <w:r>
          <w:t>21</w:t>
        </w:r>
        <w:r>
          <w:fldChar w:fldCharType="end"/>
        </w:r>
      </w:hyperlink>
    </w:p>
    <w:p>
      <w:pPr>
        <w:pStyle w:val="TOC2"/>
        <w:tabs>
          <w:tab w:val="right" w:leader="dot" w:pos="8306"/>
        </w:tabs>
      </w:pPr>
      <w:hyperlink w:anchor="_Toc26226" w:history="1">
        <w:r>
          <w:rPr>
            <w:rFonts w:ascii="仿宋" w:eastAsia="仿宋" w:hAnsi="仿宋" w:cs="仿宋" w:hint="eastAsia"/>
            <w:lang w:eastAsia="zh-CN"/>
          </w:rPr>
          <w:t>(三)、文档存档与归档</w:t>
        </w:r>
        <w:r>
          <w:tab/>
        </w:r>
        <w:r>
          <w:fldChar w:fldCharType="begin"/>
        </w:r>
        <w:r>
          <w:instrText xml:space="preserve"> PAGEREF _Toc26226 \h </w:instrText>
        </w:r>
        <w:r>
          <w:fldChar w:fldCharType="separate"/>
        </w:r>
        <w:r>
          <w:t>21</w:t>
        </w:r>
        <w:r>
          <w:fldChar w:fldCharType="end"/>
        </w:r>
      </w:hyperlink>
    </w:p>
    <w:p>
      <w:pPr>
        <w:pStyle w:val="TOC1"/>
        <w:tabs>
          <w:tab w:val="right" w:leader="dot" w:pos="8306"/>
        </w:tabs>
      </w:pPr>
      <w:hyperlink w:anchor="_Toc8722" w:history="1">
        <w:r>
          <w:rPr>
            <w:rFonts w:ascii="仿宋" w:eastAsia="仿宋" w:hAnsi="仿宋" w:cs="仿宋" w:hint="eastAsia"/>
            <w:lang w:eastAsia="zh-CN"/>
          </w:rPr>
          <w:t>七、内墙涂料项目风险管理</w:t>
        </w:r>
        <w:r>
          <w:tab/>
        </w:r>
        <w:r>
          <w:fldChar w:fldCharType="begin"/>
        </w:r>
        <w:r>
          <w:instrText xml:space="preserve"> PAGEREF _Toc8722 \h </w:instrText>
        </w:r>
        <w:r>
          <w:fldChar w:fldCharType="separate"/>
        </w:r>
        <w:r>
          <w:t>23</w:t>
        </w:r>
        <w:r>
          <w:fldChar w:fldCharType="end"/>
        </w:r>
      </w:hyperlink>
    </w:p>
    <w:p>
      <w:pPr>
        <w:pStyle w:val="TOC2"/>
        <w:tabs>
          <w:tab w:val="right" w:leader="dot" w:pos="8306"/>
        </w:tabs>
      </w:pPr>
      <w:hyperlink w:anchor="_Toc1865" w:history="1">
        <w:r>
          <w:rPr>
            <w:rFonts w:ascii="仿宋" w:eastAsia="仿宋" w:hAnsi="仿宋" w:cs="仿宋" w:hint="eastAsia"/>
            <w:lang w:eastAsia="zh-CN"/>
          </w:rPr>
          <w:t>(一)、风险识别与评估</w:t>
        </w:r>
        <w:r>
          <w:tab/>
        </w:r>
        <w:r>
          <w:fldChar w:fldCharType="begin"/>
        </w:r>
        <w:r>
          <w:instrText xml:space="preserve"> PAGEREF _Toc1865 \h </w:instrText>
        </w:r>
        <w:r>
          <w:fldChar w:fldCharType="separate"/>
        </w:r>
        <w:r>
          <w:t>23</w:t>
        </w:r>
        <w:r>
          <w:fldChar w:fldCharType="end"/>
        </w:r>
      </w:hyperlink>
    </w:p>
    <w:p>
      <w:pPr>
        <w:pStyle w:val="TOC2"/>
        <w:tabs>
          <w:tab w:val="right" w:leader="dot" w:pos="8306"/>
        </w:tabs>
      </w:pPr>
      <w:hyperlink w:anchor="_Toc32469" w:history="1">
        <w:r>
          <w:rPr>
            <w:rFonts w:ascii="仿宋" w:eastAsia="仿宋" w:hAnsi="仿宋" w:cs="仿宋" w:hint="eastAsia"/>
            <w:lang w:eastAsia="zh-CN"/>
          </w:rPr>
          <w:t>(二)、风险应对策略</w:t>
        </w:r>
        <w:r>
          <w:tab/>
        </w:r>
        <w:r>
          <w:fldChar w:fldCharType="begin"/>
        </w:r>
        <w:r>
          <w:instrText xml:space="preserve"> PAGEREF _Toc32469 \h </w:instrText>
        </w:r>
        <w:r>
          <w:fldChar w:fldCharType="separate"/>
        </w:r>
        <w:r>
          <w:t>24</w:t>
        </w:r>
        <w:r>
          <w:fldChar w:fldCharType="end"/>
        </w:r>
      </w:hyperlink>
    </w:p>
    <w:p>
      <w:pPr>
        <w:pStyle w:val="TOC2"/>
        <w:tabs>
          <w:tab w:val="right" w:leader="dot" w:pos="8306"/>
        </w:tabs>
      </w:pPr>
      <w:hyperlink w:anchor="_Toc5198" w:history="1">
        <w:r>
          <w:rPr>
            <w:rFonts w:ascii="仿宋" w:eastAsia="仿宋" w:hAnsi="仿宋" w:cs="仿宋" w:hint="eastAsia"/>
            <w:lang w:eastAsia="zh-CN"/>
          </w:rPr>
          <w:t>(三)、风险监控与控制</w:t>
        </w:r>
        <w:r>
          <w:tab/>
        </w:r>
        <w:r>
          <w:fldChar w:fldCharType="begin"/>
        </w:r>
        <w:r>
          <w:instrText xml:space="preserve"> PAGEREF _Toc5198 \h </w:instrText>
        </w:r>
        <w:r>
          <w:fldChar w:fldCharType="separate"/>
        </w:r>
        <w:r>
          <w:t>26</w:t>
        </w:r>
        <w:r>
          <w:fldChar w:fldCharType="end"/>
        </w:r>
      </w:hyperlink>
    </w:p>
    <w:p>
      <w:pPr>
        <w:pStyle w:val="TOC1"/>
        <w:tabs>
          <w:tab w:val="right" w:leader="dot" w:pos="8306"/>
        </w:tabs>
      </w:pPr>
      <w:hyperlink w:anchor="_Toc19063" w:history="1">
        <w:r>
          <w:rPr>
            <w:rFonts w:ascii="仿宋" w:eastAsia="仿宋" w:hAnsi="仿宋" w:cs="仿宋" w:hint="eastAsia"/>
            <w:lang w:eastAsia="zh-CN"/>
          </w:rPr>
          <w:t>八、生产安全保护</w:t>
        </w:r>
        <w:r>
          <w:tab/>
        </w:r>
        <w:r>
          <w:fldChar w:fldCharType="begin"/>
        </w:r>
        <w:r>
          <w:instrText xml:space="preserve"> PAGEREF _Toc19063 \h </w:instrText>
        </w:r>
        <w:r>
          <w:fldChar w:fldCharType="separate"/>
        </w:r>
        <w:r>
          <w:t>27</w:t>
        </w:r>
        <w:r>
          <w:fldChar w:fldCharType="end"/>
        </w:r>
      </w:hyperlink>
    </w:p>
    <w:p>
      <w:pPr>
        <w:pStyle w:val="TOC2"/>
        <w:tabs>
          <w:tab w:val="right" w:leader="dot" w:pos="8306"/>
        </w:tabs>
      </w:pPr>
      <w:hyperlink w:anchor="_Toc17258" w:history="1">
        <w:r>
          <w:rPr>
            <w:rFonts w:ascii="仿宋" w:eastAsia="仿宋" w:hAnsi="仿宋" w:cs="仿宋" w:hint="eastAsia"/>
            <w:lang w:eastAsia="zh-CN"/>
          </w:rPr>
          <w:t>(一)、消防安全</w:t>
        </w:r>
        <w:r>
          <w:tab/>
        </w:r>
        <w:r>
          <w:fldChar w:fldCharType="begin"/>
        </w:r>
        <w:r>
          <w:instrText xml:space="preserve"> PAGEREF _Toc17258 \h </w:instrText>
        </w:r>
        <w:r>
          <w:fldChar w:fldCharType="separate"/>
        </w:r>
        <w:r>
          <w:t>27</w:t>
        </w:r>
        <w:r>
          <w:fldChar w:fldCharType="end"/>
        </w:r>
      </w:hyperlink>
    </w:p>
    <w:p>
      <w:pPr>
        <w:pStyle w:val="TOC2"/>
        <w:tabs>
          <w:tab w:val="right" w:leader="dot" w:pos="8306"/>
        </w:tabs>
      </w:pPr>
      <w:hyperlink w:anchor="_Toc18615" w:history="1">
        <w:r>
          <w:rPr>
            <w:rFonts w:ascii="仿宋" w:eastAsia="仿宋" w:hAnsi="仿宋" w:cs="仿宋" w:hint="eastAsia"/>
            <w:lang w:eastAsia="zh-CN"/>
          </w:rPr>
          <w:t>(二)、防火防爆总图布置措施</w:t>
        </w:r>
        <w:r>
          <w:tab/>
        </w:r>
        <w:r>
          <w:fldChar w:fldCharType="begin"/>
        </w:r>
        <w:r>
          <w:instrText xml:space="preserve"> PAGEREF _Toc18615 \h </w:instrText>
        </w:r>
        <w:r>
          <w:fldChar w:fldCharType="separate"/>
        </w:r>
        <w:r>
          <w:t>28</w:t>
        </w:r>
        <w:r>
          <w:fldChar w:fldCharType="end"/>
        </w:r>
      </w:hyperlink>
    </w:p>
    <w:p>
      <w:pPr>
        <w:pStyle w:val="TOC2"/>
        <w:tabs>
          <w:tab w:val="right" w:leader="dot" w:pos="8306"/>
        </w:tabs>
      </w:pPr>
      <w:hyperlink w:anchor="_Toc24845" w:history="1">
        <w:r>
          <w:rPr>
            <w:rFonts w:ascii="仿宋" w:eastAsia="仿宋" w:hAnsi="仿宋" w:cs="仿宋" w:hint="eastAsia"/>
            <w:lang w:eastAsia="zh-CN"/>
          </w:rPr>
          <w:t>(三)、自然灾害防范措施</w:t>
        </w:r>
        <w:r>
          <w:tab/>
        </w:r>
        <w:r>
          <w:fldChar w:fldCharType="begin"/>
        </w:r>
        <w:r>
          <w:instrText xml:space="preserve"> PAGEREF _Toc24845 \h </w:instrText>
        </w:r>
        <w:r>
          <w:fldChar w:fldCharType="separate"/>
        </w:r>
        <w:r>
          <w:t>29</w:t>
        </w:r>
        <w:r>
          <w:fldChar w:fldCharType="end"/>
        </w:r>
      </w:hyperlink>
    </w:p>
    <w:p>
      <w:pPr>
        <w:pStyle w:val="TOC2"/>
        <w:tabs>
          <w:tab w:val="right" w:leader="dot" w:pos="8306"/>
        </w:tabs>
      </w:pPr>
      <w:hyperlink w:anchor="_Toc30022" w:history="1">
        <w:r>
          <w:rPr>
            <w:rFonts w:ascii="仿宋" w:eastAsia="仿宋" w:hAnsi="仿宋" w:cs="仿宋" w:hint="eastAsia"/>
            <w:lang w:eastAsia="zh-CN"/>
          </w:rPr>
          <w:t>(四)、安全色及安全标志使用要求</w:t>
        </w:r>
        <w:r>
          <w:tab/>
        </w:r>
        <w:r>
          <w:fldChar w:fldCharType="begin"/>
        </w:r>
        <w:r>
          <w:instrText xml:space="preserve"> PAGEREF _Toc30022 \h </w:instrText>
        </w:r>
        <w:r>
          <w:fldChar w:fldCharType="separate"/>
        </w:r>
        <w:r>
          <w:t>30</w:t>
        </w:r>
        <w:r>
          <w:fldChar w:fldCharType="end"/>
        </w:r>
      </w:hyperlink>
    </w:p>
    <w:p>
      <w:pPr>
        <w:pStyle w:val="TOC2"/>
        <w:tabs>
          <w:tab w:val="right" w:leader="dot" w:pos="8306"/>
        </w:tabs>
      </w:pPr>
      <w:hyperlink w:anchor="_Toc24349" w:history="1">
        <w:r>
          <w:rPr>
            <w:rFonts w:ascii="仿宋" w:eastAsia="仿宋" w:hAnsi="仿宋" w:cs="仿宋" w:hint="eastAsia"/>
            <w:lang w:eastAsia="zh-CN"/>
          </w:rPr>
          <w:t>(五)、防尘防毒措施</w:t>
        </w:r>
        <w:r>
          <w:tab/>
        </w:r>
        <w:r>
          <w:fldChar w:fldCharType="begin"/>
        </w:r>
        <w:r>
          <w:instrText xml:space="preserve"> PAGEREF _Toc24349 \h </w:instrText>
        </w:r>
        <w:r>
          <w:fldChar w:fldCharType="separate"/>
        </w:r>
        <w:r>
          <w:t>31</w:t>
        </w:r>
        <w:r>
          <w:fldChar w:fldCharType="end"/>
        </w:r>
      </w:hyperlink>
    </w:p>
    <w:p>
      <w:pPr>
        <w:pStyle w:val="TOC2"/>
        <w:tabs>
          <w:tab w:val="right" w:leader="dot" w:pos="8306"/>
        </w:tabs>
      </w:pPr>
      <w:hyperlink w:anchor="_Toc13184" w:history="1">
        <w:r>
          <w:rPr>
            <w:rFonts w:ascii="仿宋" w:eastAsia="仿宋" w:hAnsi="仿宋" w:cs="仿宋" w:hint="eastAsia"/>
            <w:lang w:eastAsia="zh-CN"/>
          </w:rPr>
          <w:t>(六)、防静电、触电防护及防雷措施</w:t>
        </w:r>
        <w:r>
          <w:tab/>
        </w:r>
        <w:r>
          <w:fldChar w:fldCharType="begin"/>
        </w:r>
        <w:r>
          <w:instrText xml:space="preserve"> PAGEREF _Toc13184 \h </w:instrText>
        </w:r>
        <w:r>
          <w:fldChar w:fldCharType="separate"/>
        </w:r>
        <w:r>
          <w:t>32</w:t>
        </w:r>
        <w:r>
          <w:fldChar w:fldCharType="end"/>
        </w:r>
      </w:hyperlink>
    </w:p>
    <w:p>
      <w:pPr>
        <w:pStyle w:val="TOC2"/>
        <w:tabs>
          <w:tab w:val="right" w:leader="dot" w:pos="8306"/>
        </w:tabs>
      </w:pPr>
      <w:hyperlink w:anchor="_Toc12367" w:history="1">
        <w:r>
          <w:rPr>
            <w:rFonts w:ascii="仿宋" w:eastAsia="仿宋" w:hAnsi="仿宋" w:cs="仿宋" w:hint="eastAsia"/>
            <w:lang w:eastAsia="zh-CN"/>
          </w:rPr>
          <w:t>(七)、机械设备安全保障措施</w:t>
        </w:r>
        <w:r>
          <w:tab/>
        </w:r>
        <w:r>
          <w:fldChar w:fldCharType="begin"/>
        </w:r>
        <w:r>
          <w:instrText xml:space="preserve"> PAGEREF _Toc12367 \h </w:instrText>
        </w:r>
        <w:r>
          <w:fldChar w:fldCharType="separate"/>
        </w:r>
        <w:r>
          <w:t>33</w:t>
        </w:r>
        <w:r>
          <w:fldChar w:fldCharType="end"/>
        </w:r>
      </w:hyperlink>
    </w:p>
    <w:p>
      <w:pPr>
        <w:pStyle w:val="TOC1"/>
        <w:tabs>
          <w:tab w:val="right" w:leader="dot" w:pos="8306"/>
        </w:tabs>
      </w:pPr>
      <w:hyperlink w:anchor="_Toc31979" w:history="1">
        <w:r>
          <w:rPr>
            <w:rFonts w:ascii="仿宋" w:eastAsia="仿宋" w:hAnsi="仿宋" w:cs="仿宋" w:hint="eastAsia"/>
            <w:lang w:eastAsia="zh-CN"/>
          </w:rPr>
          <w:t>九、内墙涂料项目投资规划</w:t>
        </w:r>
        <w:r>
          <w:tab/>
        </w:r>
        <w:r>
          <w:fldChar w:fldCharType="begin"/>
        </w:r>
        <w:r>
          <w:instrText xml:space="preserve"> PAGEREF _Toc31979 \h </w:instrText>
        </w:r>
        <w:r>
          <w:fldChar w:fldCharType="separate"/>
        </w:r>
        <w:r>
          <w:t>34</w:t>
        </w:r>
        <w:r>
          <w:fldChar w:fldCharType="end"/>
        </w:r>
      </w:hyperlink>
    </w:p>
    <w:p>
      <w:pPr>
        <w:pStyle w:val="TOC2"/>
        <w:tabs>
          <w:tab w:val="right" w:leader="dot" w:pos="8306"/>
        </w:tabs>
      </w:pPr>
      <w:hyperlink w:anchor="_Toc31531" w:history="1">
        <w:r>
          <w:rPr>
            <w:rFonts w:ascii="仿宋" w:eastAsia="仿宋" w:hAnsi="仿宋" w:cs="仿宋" w:hint="eastAsia"/>
            <w:lang w:eastAsia="zh-CN"/>
          </w:rPr>
          <w:t>(一)、内墙涂料项目总投资估算</w:t>
        </w:r>
        <w:r>
          <w:tab/>
        </w:r>
        <w:r>
          <w:fldChar w:fldCharType="begin"/>
        </w:r>
        <w:r>
          <w:instrText xml:space="preserve"> PAGEREF _Toc31531 \h </w:instrText>
        </w:r>
        <w:r>
          <w:fldChar w:fldCharType="separate"/>
        </w:r>
        <w:r>
          <w:t>34</w:t>
        </w:r>
        <w:r>
          <w:fldChar w:fldCharType="end"/>
        </w:r>
      </w:hyperlink>
    </w:p>
    <w:p>
      <w:pPr>
        <w:pStyle w:val="TOC2"/>
        <w:tabs>
          <w:tab w:val="right" w:leader="dot" w:pos="8306"/>
        </w:tabs>
      </w:pPr>
      <w:hyperlink w:anchor="_Toc3233" w:history="1">
        <w:r>
          <w:rPr>
            <w:rFonts w:ascii="仿宋" w:eastAsia="仿宋" w:hAnsi="仿宋" w:cs="仿宋" w:hint="eastAsia"/>
            <w:lang w:eastAsia="zh-CN"/>
          </w:rPr>
          <w:t>(二)、资金筹措</w:t>
        </w:r>
        <w:r>
          <w:tab/>
        </w:r>
        <w:r>
          <w:fldChar w:fldCharType="begin"/>
        </w:r>
        <w:r>
          <w:instrText xml:space="preserve"> PAGEREF _Toc3233 \h </w:instrText>
        </w:r>
        <w:r>
          <w:fldChar w:fldCharType="separate"/>
        </w:r>
        <w:r>
          <w:t>36</w:t>
        </w:r>
        <w:r>
          <w:fldChar w:fldCharType="end"/>
        </w:r>
      </w:hyperlink>
    </w:p>
    <w:p>
      <w:pPr>
        <w:pStyle w:val="TOC1"/>
        <w:tabs>
          <w:tab w:val="right" w:leader="dot" w:pos="8306"/>
        </w:tabs>
      </w:pPr>
      <w:hyperlink w:anchor="_Toc19021" w:history="1">
        <w:r>
          <w:rPr>
            <w:rFonts w:ascii="仿宋" w:eastAsia="仿宋" w:hAnsi="仿宋" w:cs="仿宋" w:hint="eastAsia"/>
            <w:lang w:eastAsia="zh-CN"/>
          </w:rPr>
          <w:t>十、内墙涂料项目社会影响</w:t>
        </w:r>
        <w:r>
          <w:tab/>
        </w:r>
        <w:r>
          <w:fldChar w:fldCharType="begin"/>
        </w:r>
        <w:r>
          <w:instrText xml:space="preserve"> PAGEREF _Toc19021 \h </w:instrText>
        </w:r>
        <w:r>
          <w:fldChar w:fldCharType="separate"/>
        </w:r>
        <w:r>
          <w:t>36</w:t>
        </w:r>
        <w:r>
          <w:fldChar w:fldCharType="end"/>
        </w:r>
      </w:hyperlink>
    </w:p>
    <w:p>
      <w:pPr>
        <w:pStyle w:val="TOC2"/>
        <w:tabs>
          <w:tab w:val="right" w:leader="dot" w:pos="8306"/>
        </w:tabs>
      </w:pPr>
      <w:hyperlink w:anchor="_Toc14096" w:history="1">
        <w:r>
          <w:rPr>
            <w:rFonts w:ascii="仿宋" w:eastAsia="仿宋" w:hAnsi="仿宋" w:cs="仿宋" w:hint="eastAsia"/>
            <w:lang w:eastAsia="zh-CN"/>
          </w:rPr>
          <w:t>(一)、社会责任与义务</w:t>
        </w:r>
        <w:r>
          <w:tab/>
        </w:r>
        <w:r>
          <w:fldChar w:fldCharType="begin"/>
        </w:r>
        <w:r>
          <w:instrText xml:space="preserve"> PAGEREF _Toc14096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65" w:history="1">
        <w:r>
          <w:rPr>
            <w:rFonts w:ascii="仿宋" w:eastAsia="仿宋" w:hAnsi="仿宋" w:cs="仿宋" w:hint="eastAsia"/>
            <w:lang w:eastAsia="zh-CN"/>
          </w:rPr>
          <w:t>(二)、社会参与与沟通</w:t>
        </w:r>
        <w:r>
          <w:tab/>
        </w:r>
        <w:r>
          <w:fldChar w:fldCharType="begin"/>
        </w:r>
        <w:r>
          <w:instrText xml:space="preserve"> PAGEREF _Toc19365 \h </w:instrText>
        </w:r>
        <w:r>
          <w:fldChar w:fldCharType="separate"/>
        </w:r>
        <w:r>
          <w:t>37</w:t>
        </w:r>
        <w:r>
          <w:fldChar w:fldCharType="end"/>
        </w:r>
      </w:hyperlink>
    </w:p>
    <w:p>
      <w:pPr>
        <w:pStyle w:val="TOC1"/>
        <w:tabs>
          <w:tab w:val="right" w:leader="dot" w:pos="8306"/>
        </w:tabs>
      </w:pPr>
      <w:hyperlink w:anchor="_Toc22709" w:history="1">
        <w:r>
          <w:rPr>
            <w:rFonts w:ascii="仿宋" w:eastAsia="仿宋" w:hAnsi="仿宋" w:cs="仿宋" w:hint="eastAsia"/>
            <w:lang w:eastAsia="zh-CN"/>
          </w:rPr>
          <w:t>十一、内墙涂料项目计划安排</w:t>
        </w:r>
        <w:r>
          <w:tab/>
        </w:r>
        <w:r>
          <w:fldChar w:fldCharType="begin"/>
        </w:r>
        <w:r>
          <w:instrText xml:space="preserve"> PAGEREF _Toc22709 \h </w:instrText>
        </w:r>
        <w:r>
          <w:fldChar w:fldCharType="separate"/>
        </w:r>
        <w:r>
          <w:t>38</w:t>
        </w:r>
        <w:r>
          <w:fldChar w:fldCharType="end"/>
        </w:r>
      </w:hyperlink>
    </w:p>
    <w:p>
      <w:pPr>
        <w:pStyle w:val="TOC2"/>
        <w:tabs>
          <w:tab w:val="right" w:leader="dot" w:pos="8306"/>
        </w:tabs>
      </w:pPr>
      <w:hyperlink w:anchor="_Toc32454" w:history="1">
        <w:r>
          <w:rPr>
            <w:rFonts w:ascii="仿宋" w:eastAsia="仿宋" w:hAnsi="仿宋" w:cs="仿宋" w:hint="eastAsia"/>
            <w:lang w:eastAsia="zh-CN"/>
          </w:rPr>
          <w:t>(一)、建设周期</w:t>
        </w:r>
        <w:r>
          <w:tab/>
        </w:r>
        <w:r>
          <w:fldChar w:fldCharType="begin"/>
        </w:r>
        <w:r>
          <w:instrText xml:space="preserve"> PAGEREF _Toc32454 \h </w:instrText>
        </w:r>
        <w:r>
          <w:fldChar w:fldCharType="separate"/>
        </w:r>
        <w:r>
          <w:t>38</w:t>
        </w:r>
        <w:r>
          <w:fldChar w:fldCharType="end"/>
        </w:r>
      </w:hyperlink>
    </w:p>
    <w:p>
      <w:pPr>
        <w:pStyle w:val="TOC2"/>
        <w:tabs>
          <w:tab w:val="right" w:leader="dot" w:pos="8306"/>
        </w:tabs>
      </w:pPr>
      <w:hyperlink w:anchor="_Toc23489" w:history="1">
        <w:r>
          <w:rPr>
            <w:rFonts w:ascii="仿宋" w:eastAsia="仿宋" w:hAnsi="仿宋" w:cs="仿宋" w:hint="eastAsia"/>
            <w:lang w:eastAsia="zh-CN"/>
          </w:rPr>
          <w:t>(二)、建设进度</w:t>
        </w:r>
        <w:r>
          <w:tab/>
        </w:r>
        <w:r>
          <w:fldChar w:fldCharType="begin"/>
        </w:r>
        <w:r>
          <w:instrText xml:space="preserve"> PAGEREF _Toc23489 \h </w:instrText>
        </w:r>
        <w:r>
          <w:fldChar w:fldCharType="separate"/>
        </w:r>
        <w:r>
          <w:t>39</w:t>
        </w:r>
        <w:r>
          <w:fldChar w:fldCharType="end"/>
        </w:r>
      </w:hyperlink>
    </w:p>
    <w:p>
      <w:pPr>
        <w:pStyle w:val="TOC2"/>
        <w:tabs>
          <w:tab w:val="right" w:leader="dot" w:pos="8306"/>
        </w:tabs>
      </w:pPr>
      <w:hyperlink w:anchor="_Toc29307" w:history="1">
        <w:r>
          <w:rPr>
            <w:rFonts w:ascii="仿宋" w:eastAsia="仿宋" w:hAnsi="仿宋" w:cs="仿宋" w:hint="eastAsia"/>
            <w:lang w:eastAsia="zh-CN"/>
          </w:rPr>
          <w:t>(三)、进度安排注意事项</w:t>
        </w:r>
        <w:r>
          <w:tab/>
        </w:r>
        <w:r>
          <w:fldChar w:fldCharType="begin"/>
        </w:r>
        <w:r>
          <w:instrText xml:space="preserve"> PAGEREF _Toc29307 \h </w:instrText>
        </w:r>
        <w:r>
          <w:fldChar w:fldCharType="separate"/>
        </w:r>
        <w:r>
          <w:t>40</w:t>
        </w:r>
        <w:r>
          <w:fldChar w:fldCharType="end"/>
        </w:r>
      </w:hyperlink>
    </w:p>
    <w:p>
      <w:pPr>
        <w:pStyle w:val="TOC2"/>
        <w:tabs>
          <w:tab w:val="right" w:leader="dot" w:pos="8306"/>
        </w:tabs>
      </w:pPr>
      <w:hyperlink w:anchor="_Toc5058" w:history="1">
        <w:r>
          <w:rPr>
            <w:rFonts w:ascii="仿宋" w:eastAsia="仿宋" w:hAnsi="仿宋" w:cs="仿宋" w:hint="eastAsia"/>
            <w:lang w:eastAsia="zh-CN"/>
          </w:rPr>
          <w:t>(四)、人力资源配置</w:t>
        </w:r>
        <w:r>
          <w:tab/>
        </w:r>
        <w:r>
          <w:fldChar w:fldCharType="begin"/>
        </w:r>
        <w:r>
          <w:instrText xml:space="preserve"> PAGEREF _Toc5058 \h </w:instrText>
        </w:r>
        <w:r>
          <w:fldChar w:fldCharType="separate"/>
        </w:r>
        <w:r>
          <w:t>41</w:t>
        </w:r>
        <w:r>
          <w:fldChar w:fldCharType="end"/>
        </w:r>
      </w:hyperlink>
    </w:p>
    <w:p>
      <w:pPr>
        <w:pStyle w:val="TOC1"/>
        <w:tabs>
          <w:tab w:val="right" w:leader="dot" w:pos="8306"/>
        </w:tabs>
      </w:pPr>
      <w:hyperlink w:anchor="_Toc29757" w:history="1">
        <w:r>
          <w:rPr>
            <w:rFonts w:ascii="仿宋" w:eastAsia="仿宋" w:hAnsi="仿宋" w:cs="仿宋" w:hint="eastAsia"/>
            <w:lang w:eastAsia="zh-CN"/>
          </w:rPr>
          <w:t>十二、内墙涂料项目创新与研发</w:t>
        </w:r>
        <w:r>
          <w:tab/>
        </w:r>
        <w:r>
          <w:fldChar w:fldCharType="begin"/>
        </w:r>
        <w:r>
          <w:instrText xml:space="preserve"> PAGEREF _Toc29757 \h </w:instrText>
        </w:r>
        <w:r>
          <w:fldChar w:fldCharType="separate"/>
        </w:r>
        <w:r>
          <w:t>42</w:t>
        </w:r>
        <w:r>
          <w:fldChar w:fldCharType="end"/>
        </w:r>
      </w:hyperlink>
    </w:p>
    <w:p>
      <w:pPr>
        <w:pStyle w:val="TOC2"/>
        <w:tabs>
          <w:tab w:val="right" w:leader="dot" w:pos="8306"/>
        </w:tabs>
      </w:pPr>
      <w:hyperlink w:anchor="_Toc26573" w:history="1">
        <w:r>
          <w:rPr>
            <w:rFonts w:ascii="仿宋" w:eastAsia="仿宋" w:hAnsi="仿宋" w:cs="仿宋" w:hint="eastAsia"/>
            <w:lang w:eastAsia="zh-CN"/>
          </w:rPr>
          <w:t>(一)、创新策略与方向</w:t>
        </w:r>
        <w:r>
          <w:tab/>
        </w:r>
        <w:r>
          <w:fldChar w:fldCharType="begin"/>
        </w:r>
        <w:r>
          <w:instrText xml:space="preserve"> PAGEREF _Toc26573 \h </w:instrText>
        </w:r>
        <w:r>
          <w:fldChar w:fldCharType="separate"/>
        </w:r>
        <w:r>
          <w:t>42</w:t>
        </w:r>
        <w:r>
          <w:fldChar w:fldCharType="end"/>
        </w:r>
      </w:hyperlink>
    </w:p>
    <w:p>
      <w:pPr>
        <w:pStyle w:val="TOC2"/>
        <w:tabs>
          <w:tab w:val="right" w:leader="dot" w:pos="8306"/>
        </w:tabs>
      </w:pPr>
      <w:hyperlink w:anchor="_Toc26697" w:history="1">
        <w:r>
          <w:rPr>
            <w:rFonts w:ascii="仿宋" w:eastAsia="仿宋" w:hAnsi="仿宋" w:cs="仿宋" w:hint="eastAsia"/>
            <w:lang w:eastAsia="zh-CN"/>
          </w:rPr>
          <w:t>(二)、研发规划与投入</w:t>
        </w:r>
        <w:r>
          <w:tab/>
        </w:r>
        <w:r>
          <w:fldChar w:fldCharType="begin"/>
        </w:r>
        <w:r>
          <w:instrText xml:space="preserve"> PAGEREF _Toc26697 \h </w:instrText>
        </w:r>
        <w:r>
          <w:fldChar w:fldCharType="separate"/>
        </w:r>
        <w:r>
          <w:t>44</w:t>
        </w:r>
        <w:r>
          <w:fldChar w:fldCharType="end"/>
        </w:r>
      </w:hyperlink>
    </w:p>
    <w:p>
      <w:pPr>
        <w:pStyle w:val="TOC1"/>
        <w:tabs>
          <w:tab w:val="right" w:leader="dot" w:pos="8306"/>
        </w:tabs>
      </w:pPr>
      <w:hyperlink w:anchor="_Toc18107" w:history="1">
        <w:r>
          <w:rPr>
            <w:rFonts w:ascii="仿宋" w:eastAsia="仿宋" w:hAnsi="仿宋" w:cs="仿宋" w:hint="eastAsia"/>
            <w:lang w:eastAsia="zh-CN"/>
          </w:rPr>
          <w:t>十三、内墙涂料项目工程方案分析</w:t>
        </w:r>
        <w:r>
          <w:tab/>
        </w:r>
        <w:r>
          <w:fldChar w:fldCharType="begin"/>
        </w:r>
        <w:r>
          <w:instrText xml:space="preserve"> PAGEREF _Toc18107 \h </w:instrText>
        </w:r>
        <w:r>
          <w:fldChar w:fldCharType="separate"/>
        </w:r>
        <w:r>
          <w:t>45</w:t>
        </w:r>
        <w:r>
          <w:fldChar w:fldCharType="end"/>
        </w:r>
      </w:hyperlink>
    </w:p>
    <w:p>
      <w:pPr>
        <w:pStyle w:val="TOC2"/>
        <w:tabs>
          <w:tab w:val="right" w:leader="dot" w:pos="8306"/>
        </w:tabs>
      </w:pPr>
      <w:hyperlink w:anchor="_Toc30561" w:history="1">
        <w:r>
          <w:rPr>
            <w:rFonts w:ascii="仿宋" w:eastAsia="仿宋" w:hAnsi="仿宋" w:cs="仿宋" w:hint="eastAsia"/>
            <w:lang w:eastAsia="zh-CN"/>
          </w:rPr>
          <w:t>(一)、建筑工程设计原则</w:t>
        </w:r>
        <w:r>
          <w:tab/>
        </w:r>
        <w:r>
          <w:fldChar w:fldCharType="begin"/>
        </w:r>
        <w:r>
          <w:instrText xml:space="preserve"> PAGEREF _Toc30561 \h </w:instrText>
        </w:r>
        <w:r>
          <w:fldChar w:fldCharType="separate"/>
        </w:r>
        <w:r>
          <w:t>45</w:t>
        </w:r>
        <w:r>
          <w:fldChar w:fldCharType="end"/>
        </w:r>
      </w:hyperlink>
    </w:p>
    <w:p>
      <w:pPr>
        <w:pStyle w:val="TOC2"/>
        <w:tabs>
          <w:tab w:val="right" w:leader="dot" w:pos="8306"/>
        </w:tabs>
      </w:pPr>
      <w:hyperlink w:anchor="_Toc32367" w:history="1">
        <w:r>
          <w:rPr>
            <w:rFonts w:ascii="仿宋" w:eastAsia="仿宋" w:hAnsi="仿宋" w:cs="仿宋" w:hint="eastAsia"/>
            <w:lang w:eastAsia="zh-CN"/>
          </w:rPr>
          <w:t>(二)、土建工程建设指标</w:t>
        </w:r>
        <w:r>
          <w:tab/>
        </w:r>
        <w:r>
          <w:fldChar w:fldCharType="begin"/>
        </w:r>
        <w:r>
          <w:instrText xml:space="preserve"> PAGEREF _Toc32367 \h </w:instrText>
        </w:r>
        <w:r>
          <w:fldChar w:fldCharType="separate"/>
        </w:r>
        <w:r>
          <w:t>49</w:t>
        </w:r>
        <w:r>
          <w:fldChar w:fldCharType="end"/>
        </w:r>
      </w:hyperlink>
    </w:p>
    <w:p>
      <w:pPr>
        <w:pStyle w:val="TOC1"/>
        <w:tabs>
          <w:tab w:val="right" w:leader="dot" w:pos="8306"/>
        </w:tabs>
      </w:pPr>
      <w:hyperlink w:anchor="_Toc26484" w:history="1">
        <w:r>
          <w:rPr>
            <w:rFonts w:ascii="仿宋" w:eastAsia="仿宋" w:hAnsi="仿宋" w:cs="仿宋" w:hint="eastAsia"/>
            <w:lang w:eastAsia="zh-CN"/>
          </w:rPr>
          <w:t>十四、利益相关者分析与沟通计划</w:t>
        </w:r>
        <w:r>
          <w:tab/>
        </w:r>
        <w:r>
          <w:fldChar w:fldCharType="begin"/>
        </w:r>
        <w:r>
          <w:instrText xml:space="preserve"> PAGEREF _Toc26484 \h </w:instrText>
        </w:r>
        <w:r>
          <w:fldChar w:fldCharType="separate"/>
        </w:r>
        <w:r>
          <w:t>50</w:t>
        </w:r>
        <w:r>
          <w:fldChar w:fldCharType="end"/>
        </w:r>
      </w:hyperlink>
    </w:p>
    <w:p>
      <w:pPr>
        <w:pStyle w:val="TOC2"/>
        <w:tabs>
          <w:tab w:val="right" w:leader="dot" w:pos="8306"/>
        </w:tabs>
      </w:pPr>
      <w:hyperlink w:anchor="_Toc5705" w:history="1">
        <w:r>
          <w:rPr>
            <w:rFonts w:ascii="仿宋" w:eastAsia="仿宋" w:hAnsi="仿宋" w:cs="仿宋" w:hint="eastAsia"/>
            <w:lang w:eastAsia="zh-CN"/>
          </w:rPr>
          <w:t>(一)、利益相关者分析</w:t>
        </w:r>
        <w:r>
          <w:tab/>
        </w:r>
        <w:r>
          <w:fldChar w:fldCharType="begin"/>
        </w:r>
        <w:r>
          <w:instrText xml:space="preserve"> PAGEREF _Toc5705 \h </w:instrText>
        </w:r>
        <w:r>
          <w:fldChar w:fldCharType="separate"/>
        </w:r>
        <w:r>
          <w:t>50</w:t>
        </w:r>
        <w:r>
          <w:fldChar w:fldCharType="end"/>
        </w:r>
      </w:hyperlink>
    </w:p>
    <w:p>
      <w:pPr>
        <w:pStyle w:val="TOC2"/>
        <w:tabs>
          <w:tab w:val="right" w:leader="dot" w:pos="8306"/>
        </w:tabs>
      </w:pPr>
      <w:hyperlink w:anchor="_Toc24269" w:history="1">
        <w:r>
          <w:rPr>
            <w:rFonts w:ascii="仿宋" w:eastAsia="仿宋" w:hAnsi="仿宋" w:cs="仿宋" w:hint="eastAsia"/>
            <w:lang w:eastAsia="zh-CN"/>
          </w:rPr>
          <w:t>(二)、沟通计划</w:t>
        </w:r>
        <w:r>
          <w:tab/>
        </w:r>
        <w:r>
          <w:fldChar w:fldCharType="begin"/>
        </w:r>
        <w:r>
          <w:instrText xml:space="preserve"> PAGEREF _Toc24269 \h </w:instrText>
        </w:r>
        <w:r>
          <w:fldChar w:fldCharType="separate"/>
        </w:r>
        <w:r>
          <w:t>51</w:t>
        </w:r>
        <w:r>
          <w:fldChar w:fldCharType="end"/>
        </w:r>
      </w:hyperlink>
    </w:p>
    <w:p>
      <w:pPr>
        <w:pStyle w:val="TOC1"/>
        <w:tabs>
          <w:tab w:val="right" w:leader="dot" w:pos="8306"/>
        </w:tabs>
      </w:pPr>
      <w:hyperlink w:anchor="_Toc3629" w:history="1">
        <w:r>
          <w:rPr>
            <w:rFonts w:ascii="仿宋" w:eastAsia="仿宋" w:hAnsi="仿宋" w:cs="仿宋" w:hint="eastAsia"/>
            <w:lang w:eastAsia="zh-CN"/>
          </w:rPr>
          <w:t>十五、内墙涂料项目治理与监督</w:t>
        </w:r>
        <w:r>
          <w:tab/>
        </w:r>
        <w:r>
          <w:fldChar w:fldCharType="begin"/>
        </w:r>
        <w:r>
          <w:instrText xml:space="preserve"> PAGEREF _Toc3629 \h </w:instrText>
        </w:r>
        <w:r>
          <w:fldChar w:fldCharType="separate"/>
        </w:r>
        <w:r>
          <w:t>53</w:t>
        </w:r>
        <w:r>
          <w:fldChar w:fldCharType="end"/>
        </w:r>
      </w:hyperlink>
    </w:p>
    <w:p>
      <w:pPr>
        <w:pStyle w:val="TOC2"/>
        <w:tabs>
          <w:tab w:val="right" w:leader="dot" w:pos="8306"/>
        </w:tabs>
      </w:pPr>
      <w:hyperlink w:anchor="_Toc3446" w:history="1">
        <w:r>
          <w:rPr>
            <w:rFonts w:ascii="仿宋" w:eastAsia="仿宋" w:hAnsi="仿宋" w:cs="仿宋" w:hint="eastAsia"/>
            <w:lang w:eastAsia="zh-CN"/>
          </w:rPr>
          <w:t>(一)、内墙涂料项目治理结构</w:t>
        </w:r>
        <w:r>
          <w:tab/>
        </w:r>
        <w:r>
          <w:fldChar w:fldCharType="begin"/>
        </w:r>
        <w:r>
          <w:instrText xml:space="preserve"> PAGEREF _Toc3446 \h </w:instrText>
        </w:r>
        <w:r>
          <w:fldChar w:fldCharType="separate"/>
        </w:r>
        <w:r>
          <w:t>53</w:t>
        </w:r>
        <w:r>
          <w:fldChar w:fldCharType="end"/>
        </w:r>
      </w:hyperlink>
    </w:p>
    <w:p>
      <w:pPr>
        <w:pStyle w:val="TOC2"/>
        <w:tabs>
          <w:tab w:val="right" w:leader="dot" w:pos="8306"/>
        </w:tabs>
      </w:pPr>
      <w:hyperlink w:anchor="_Toc11978" w:history="1">
        <w:r>
          <w:rPr>
            <w:rFonts w:ascii="仿宋" w:eastAsia="仿宋" w:hAnsi="仿宋" w:cs="仿宋" w:hint="eastAsia"/>
            <w:lang w:eastAsia="zh-CN"/>
          </w:rPr>
          <w:t>(二)、监督与审计</w:t>
        </w:r>
        <w:r>
          <w:tab/>
        </w:r>
        <w:r>
          <w:fldChar w:fldCharType="begin"/>
        </w:r>
        <w:r>
          <w:instrText xml:space="preserve"> PAGEREF _Toc11978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476"/>
      <w:r>
        <w:rPr>
          <w:rFonts w:ascii="仿宋" w:eastAsia="仿宋" w:hAnsi="仿宋" w:cs="仿宋" w:hint="eastAsia"/>
          <w:sz w:val="28"/>
          <w:lang w:eastAsia="zh-CN"/>
        </w:rPr>
        <w:t>一、内墙涂料项目建设背景及必要性分析</w:t>
      </w:r>
      <w:bookmarkEnd w:id="2"/>
    </w:p>
    <w:p>
      <w:pPr>
        <w:pStyle w:val="Heading2"/>
        <w:rPr>
          <w:rFonts w:ascii="仿宋" w:eastAsia="仿宋" w:hAnsi="仿宋" w:cs="仿宋" w:hint="eastAsia"/>
          <w:lang w:eastAsia="zh-CN"/>
        </w:rPr>
      </w:pPr>
      <w:bookmarkStart w:id="3" w:name="_Toc8477"/>
      <w:r>
        <w:rPr>
          <w:rFonts w:ascii="仿宋" w:eastAsia="仿宋" w:hAnsi="仿宋" w:cs="仿宋" w:hint="eastAsia"/>
          <w:lang w:eastAsia="zh-CN"/>
        </w:rPr>
        <w:t>(一)、内墙涂料项目背景分析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内墙涂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内墙涂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内墙涂料项目在这个潮流中的定位。同时，我们将关注行业内涌现的新兴机遇，以便内墙涂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内墙涂料项目提供了强大的发展动力。我们将聚焦于行业内最新的技术发展趋势，包括但不限于人工智能、大数据分析、物联网等领域。通过深度的技术研究，我们将确保内墙涂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内墙涂料项目发展的源泉。我们将投入更多的精力对市场需求进行深入剖析，超越表面的需求，深入挖掘潜在的市场痛点和机遇。通过对市场需求的细致了解，内墙涂料项目将更有针对性地设计解决方案，满足市场的多样化需求，从而更好地促进内墙涂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内墙涂料项目战略至关重要。我们将对竞争态势进行更为深入的分析，包括但不限于市场份额、产品特点、客户满意度等多个维度。通过深度的竞争分析，内墙涂料项目将能够更准确地把握市场脉搏，制定具有竞争力的内墙涂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内墙涂料项目的发展具有直接的影响。我们将进行更为全面的法规和政策分析，了解行业发展中的潜在法律风险和合规挑战。通过充分了解和遵守相关法规，内墙涂料项目将确保在法律框架内合法合规运营，为内墙涂料项目的稳健发展提供有力支持。</w:t>
      </w:r>
    </w:p>
    <w:p>
      <w:pPr>
        <w:pStyle w:val="Heading2"/>
        <w:ind w:firstLine="560" w:firstLineChars="200"/>
        <w:rPr>
          <w:rFonts w:ascii="仿宋" w:eastAsia="仿宋" w:hAnsi="仿宋" w:cs="仿宋" w:hint="eastAsia"/>
          <w:sz w:val="28"/>
          <w:lang w:eastAsia="zh-CN"/>
        </w:rPr>
      </w:pPr>
      <w:bookmarkStart w:id="4" w:name="_Toc17124"/>
      <w:r>
        <w:rPr>
          <w:rFonts w:ascii="仿宋" w:eastAsia="仿宋" w:hAnsi="仿宋" w:cs="仿宋" w:hint="eastAsia"/>
          <w:sz w:val="28"/>
          <w:lang w:eastAsia="zh-CN"/>
        </w:rPr>
        <w:t>(二)、内墙涂料项目建设必要性分析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内墙涂料项目建设的迫切性源于对行业发展趋势的深刻洞察。我们正处于一个行业变革的时代，科技创新、数字化转型成为企业发展的关键动力。内墙涂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内墙涂料项目建设不仅仅是为了跟上潮流，更是为了通过技术创新推动企业的持续发展。通过引入先进的技术和解决方案，内墙涂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内墙涂料项目的建设成为必然选择，通过提高产品质量、拓展服务领域，从而在竞争中获得更多的机会。内墙涂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内墙涂料项目建设的必要性体现在对客户需求更精准的满足。通过内墙涂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内墙涂料项目建设的背后是对企业持续创新的追求。只有通过不断创新，企业才能在竞争中立于不败之地。内墙涂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6618"/>
      <w:r>
        <w:rPr>
          <w:rFonts w:ascii="仿宋" w:eastAsia="仿宋" w:hAnsi="仿宋" w:cs="仿宋" w:hint="eastAsia"/>
          <w:sz w:val="28"/>
          <w:lang w:eastAsia="zh-CN"/>
        </w:rPr>
        <w:t>二、内墙涂料项目概论</w:t>
      </w:r>
      <w:bookmarkEnd w:id="5"/>
    </w:p>
    <w:p>
      <w:pPr>
        <w:pStyle w:val="Heading2"/>
        <w:rPr>
          <w:rFonts w:ascii="仿宋" w:eastAsia="仿宋" w:hAnsi="仿宋" w:cs="仿宋" w:hint="eastAsia"/>
          <w:lang w:eastAsia="zh-CN"/>
        </w:rPr>
      </w:pPr>
      <w:bookmarkStart w:id="6" w:name="_Toc4597"/>
      <w:r>
        <w:rPr>
          <w:rFonts w:ascii="仿宋" w:eastAsia="仿宋" w:hAnsi="仿宋" w:cs="仿宋" w:hint="eastAsia"/>
          <w:lang w:eastAsia="zh-CN"/>
        </w:rPr>
        <w:t>(一)、内墙涂料项目概况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内墙涂料项目的起源追溯至对市场的深入洞察。市场的不断演变与变革为内墙涂料项目提供了难得的机遇。当前市场存在的需求缺口和变革的大环境共同构成了内墙涂料项目的背景。这个内墙涂料项目旨在充分利用市场机遇，填补行业中尚未满足的需求，为客户提供全新的解决方案。市场的变革和需求的增长使得这个内墙涂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内墙涂料项目名称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内墙涂料项目正式命名为内墙涂料。这个名称不仅仅是一个标识，更代表了内墙涂料项目的核心理念和愿景。它蕴含着内墙涂料项目所要解决问题的关键字，具有强烈的表达和辨识度，为内墙涂料项目树立了鲜明的品牌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1.3 内墙涂料项目目标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内墙涂料项目的核心目标是提供一种全新、高效的解决方案，满足客户日益增长的需求。内墙涂料项目追求的不仅仅是满足市场需求，更是在市场中获得卓越的竞争优势。通过不断提升产品或服务的质量和创新水平，内墙涂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内墙涂料项目范围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墙涂料项目全面涵盖了产品研发、制造、市场推广和售后服务，确保从产品设计到最终用户体验的全方位关注。这一全面的内墙涂料项目范围是为了确保内墙涂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内墙涂料项目时间表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内墙涂料项目计划在未来18个月内完成，包括研发、测试、市场试点和正式推出等不同阶段。这个时间表的合理设计是为了确保内墙涂料项目各个阶段的顺利推进，以便按时交付高质量的成果。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内墙涂料项目预算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内墙涂料项目总预算估算为XX百万美元，主要分配在研发、市场推广、人员培训和运营等方面。这一充足的预算为内墙涂料项目提供了充足的资源，确保内墙涂料项目在各个方面都能取得优异的表现。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内墙涂料项目风险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内墙涂料项目可能面临的风险包括市场接受度低、技术难题、竞争激烈等。内墙涂料项目团队已经制定了相应的风险应对计划，通过前瞻性的风险管理，确保内墙涂料项目在面对不确定性时能够迅速做出应对。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内墙涂料项目团队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内墙涂料项目汇聚了一支经验丰富、多领域专业素养的核心团队，确保内墙涂料项目在各个方面都能拥有高水平的执行力。团队的协同作战是内墙涂料项目成功的关键因素之一。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内墙涂料项目背景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内墙涂料项目的背景根植于市场对更高效、创新产品的渴望，同时也受到科技发展对行业格局的深刻改变的影响。这为内墙涂料项目提供了广阔的发展空间和市场需求。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内墙涂料项目现状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截至目前，内墙涂料项目已完成市场调研和技术验证，取得了初步的成功。这为内墙涂料项目在未来的发展奠定了坚实的基础，为更远大的目标打下了坚实的基石。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7660"/>
      <w:r>
        <w:rPr>
          <w:rFonts w:ascii="仿宋" w:eastAsia="仿宋" w:hAnsi="仿宋" w:cs="仿宋" w:hint="eastAsia"/>
          <w:sz w:val="28"/>
          <w:lang w:eastAsia="zh-CN"/>
        </w:rPr>
        <w:t>(二)、内墙涂料项目目标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keyword》内墙涂料项目首要业务目标是在市场中占据有利地位，实现产品/服务的成功推广和销售。通过不断提升产品质量、创新性，内墙涂料项目追求成为行业中的领导者，赢得更多客户的青睐。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在科技迅速发展的时代，内墙涂料项目着眼于技术创新。通过持续的研发和技术升级，内墙涂料项目旨在推出更具创新性的产品或服务，以满足市场对新鲜、先进解决方案的需求。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为了建立可持续的客户关系，内墙涂料项目设定了客户满意度目标。通过提供卓越的产品质量和优质的客户服务，内墙涂料项目追求赢得客户的信任和忠诚度，确保他们的满意度达到行业领先水平。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内墙涂料项目注重社会责任和可持续发展。通过实施环保、社会责任内墙涂料项目，内墙涂料项目致力于在经济发展的同时保护环境，促进社会公平，实现可持续经营。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内墙涂料项目的团队是实现目标的核心驱动力。因此，内墙涂料项目设定了团队发展目标，包括提升团队成员的专业技能、培养领导力，以及搭建协同高效的团队工作氛围。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7025"/>
      <w:r>
        <w:rPr>
          <w:rFonts w:ascii="仿宋" w:eastAsia="仿宋" w:hAnsi="仿宋" w:cs="仿宋" w:hint="eastAsia"/>
          <w:sz w:val="28"/>
          <w:lang w:eastAsia="zh-CN"/>
        </w:rPr>
        <w:t>(三)、内墙涂料项目提出的理由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内墙涂料项目提出的理由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内墙涂料项目的提出源于对市场机遇的深刻洞察。当前市场中存在的需求缺口和行业发展趋势表明，有巨大的商业机会等待被开发。通过准确捕捉市场机遇，内墙涂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内墙涂料项目的理念基于对技术创新的信仰。通过持续的研发和技术投入，内墙涂料项目有望推出更具创新性的产品或服务。在科技飞速发展的当下，内墙涂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内墙涂料项目的提出是为了增强企业的行业竞争力。通过提升产品或服务的质量和独特性，内墙涂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内墙涂料项目响应了消费者需求的变化。随着社会和科技的不断发展，消费者对产品和服务的需求也在发生变化。通过深入了解并及时回应消费者的新需求，内墙涂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内墙涂料项目的提出是企业战略发展规划的一部分。在面对日益激烈的市场竞争和不断变化的商业环境中，内墙涂料项目作为企业战略的一环，旨在为企业开辟新的增长领域，巩固企业在行业中的地位。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内墙涂料项目的提出不仅仅是基于商业考量，还注重社会责任。通过推出环保、社会责任等方面的内墙涂料项目，内墙涂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内墙涂料项目的提出反映了对利益相关者期望的关注。包括客户、员工、投资者等利益相关者在企业发展中都有着各自的期望，内墙涂料项目力求在满足这些期望的同时，取得更大的共赢。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8857"/>
      <w:r>
        <w:rPr>
          <w:rFonts w:ascii="仿宋" w:eastAsia="仿宋" w:hAnsi="仿宋" w:cs="仿宋" w:hint="eastAsia"/>
          <w:sz w:val="28"/>
          <w:lang w:eastAsia="zh-CN"/>
        </w:rPr>
        <w:t>(四)、内墙涂料项目意义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在实施内墙涂料项目的过程中，我们不仅仅是在追逐商业成功，更是为企业和社会的多个层面创造了深远的意义。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内墙涂料项目的首要意义在于提升企业的市场竞争力。通过持续的创新和对产品质量的高标准要求，内墙涂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内墙涂料项目的推进将促使行业技术水平的提升。通过引入先进技术和创新性解决方案，内墙涂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内墙涂料项目不仅创造了大量就业机会，提高了就业水平，还注重社会责任和环保。通过参与社会公益事业和推动环保内墙涂料项目，内墙涂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综合而言，内墙涂料项目意义重大，不仅推动了企业的发展，也为行业和社会的进步贡献了积极力量。这是一个全面而深刻的影响，将在未来产生可持续的正面效应。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8747"/>
      <w:r>
        <w:rPr>
          <w:rFonts w:ascii="仿宋" w:eastAsia="仿宋" w:hAnsi="仿宋" w:cs="仿宋" w:hint="eastAsia"/>
          <w:sz w:val="28"/>
          <w:lang w:eastAsia="zh-CN"/>
        </w:rPr>
        <w:t>(五)、内墙涂料项目背景</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在当今迅猛发展的商业环境中，内墙涂料项目的动因根植于对多方面因素的审慎考量。这个内墙涂料项目的提出并非孤立的决策，而是对企业所处背景深入思考的产物。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市场的不断演变是内墙涂料项目背后的首要原因。科技的迅速发展和全球市场的快速变化使得企业必须灵活应对。内墙涂料项目应运而生，旨在通过创新性的解决方案迎合市场的多变需求，赢得竞争中的先机。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竞争的激烈程度也是内墙涂料项目背景中不可忽视的一环。企业需要在激烈竞争中脱颖而出，为此，内墙涂料项目致力于打破常规，提供独特的价值主张，以吸引客户并确保市场份额的增长。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技术的迅速发展为企业带来了机遇与挑战。作为内墙涂料项目启动的背景之一，对新兴技术的应用将有助于提升企业的技术水平，使其在不断演进的商业环境中保持竞争优势。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此外，社会对企业责任的期望也在逐渐升高。内墙涂料项目充分融入了社会责任的理念，通过可持续经营和社会公益内墙涂料项目，企图为社会贡献一份力量，在商业成功的同时关注社会价值。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6567"/>
      <w:r>
        <w:rPr>
          <w:rFonts w:ascii="仿宋" w:eastAsia="仿宋" w:hAnsi="仿宋" w:cs="仿宋" w:hint="eastAsia"/>
          <w:sz w:val="28"/>
          <w:lang w:eastAsia="zh-CN"/>
        </w:rPr>
        <w:t>三、内墙涂料项目危机管理</w:t>
      </w:r>
      <w:bookmarkEnd w:id="11"/>
    </w:p>
    <w:p>
      <w:pPr>
        <w:pStyle w:val="Heading2"/>
        <w:rPr>
          <w:rFonts w:ascii="仿宋" w:eastAsia="仿宋" w:hAnsi="仿宋" w:cs="仿宋" w:hint="eastAsia"/>
          <w:lang w:eastAsia="zh-CN"/>
        </w:rPr>
      </w:pPr>
      <w:bookmarkStart w:id="12" w:name="_Toc32684"/>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内墙涂料项目危机管理中，危机预警与识别是确保内墙涂料项目稳健运行的核心步骤。通过建立全面的监测机制，内墙涂料项目团队旨在及时发现和理解潜在的风险和危机因素，以便采取及时的预防和应对措施，确保内墙涂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首先，通过深入的风险评估，内墙涂料项目团队全面分析了整个内墙涂料项目和各个阶段可能存在的威胁。这包括准确评估每个潜在风险的发生概率和可能影响的程度，为后续危机预警提供了有力支持。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内墙涂料项目团队着重于明确定义内墙涂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内墙涂料项目进展的持续监控，团队能够及时发现潜在问题并作出迅速反应。内墙涂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在这一阶段，团队的专业素养和反应速度将发挥至关重要的作用，以确保潜在危机能够在初期得到有效的处理，最大程度地减轻负面影响。通过危机预警与识别，内墙涂料项目得以更有序、可控地推进。</w:t>
      </w:r>
    </w:p>
    <w:p>
      <w:pPr>
        <w:pStyle w:val="Heading2"/>
        <w:ind w:firstLine="560" w:firstLineChars="200"/>
        <w:rPr>
          <w:rFonts w:ascii="仿宋" w:eastAsia="仿宋" w:hAnsi="仿宋" w:cs="仿宋" w:hint="eastAsia"/>
          <w:sz w:val="28"/>
          <w:lang w:eastAsia="zh-CN"/>
        </w:rPr>
      </w:pPr>
      <w:bookmarkStart w:id="13" w:name="_Toc7356"/>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在危机发生时，内墙涂料项目团队立即行动，成立了应急小组。该小组的任务是迅速制定并实施紧急应对措施，以最小化潜在损失。以下是采取的主要措施：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暂停内墙涂料项目进度：为遏制危机蔓延，内墙涂料项目暂时停止进行，以便全面评估当前状况。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资源重新分配：重新评估内墙涂料项目资源的分配，确保最大限度地减小损失。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实时沟通：与关键利益相关者建立实时沟通机制，向他们传递内墙涂料项目危机的实际状况，保障内墙涂料项目核心利益。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在紧急应对的同时，内墙涂料项目团队强调了团队协作和有效沟通的重要性。以下是团队协作的关键举措：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信息共享机制：建立了信息共享平台，确保团队成员能够及时获取内墙涂料项目危机的实时信息。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领导者沟通：内墙涂料项目领导者通过定期会议和即时沟通工具，指导团队应对危机，保持团队稳定运行。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随着危机得到初步控制，内墙涂料项目团队转向制定恢复计划，以确保内墙涂料项目能够从中迅速恢复。主要恢复计划包括：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修复受损的进度计划：重新评估内墙涂料项目进度，制定修复计划，确保内墙涂料项目尽快回归正常进程。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重新调整资源分配：优化资源分配，确保内墙涂料项目在有限资源下高效运转。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风险管理机制加强：对内墙涂料项目风险进行全面评估，制定更强化的风险管理策略，以预防未来可能的危机。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31360"/>
      <w:r>
        <w:rPr>
          <w:rFonts w:ascii="仿宋" w:eastAsia="仿宋" w:hAnsi="仿宋" w:cs="仿宋" w:hint="eastAsia"/>
          <w:sz w:val="28"/>
          <w:lang w:eastAsia="zh-CN"/>
        </w:rPr>
        <w:t>四、内墙涂料项目绩效评估</w:t>
      </w:r>
      <w:bookmarkEnd w:id="14"/>
    </w:p>
    <w:p>
      <w:pPr>
        <w:pStyle w:val="Heading2"/>
        <w:rPr>
          <w:rFonts w:ascii="仿宋" w:eastAsia="仿宋" w:hAnsi="仿宋" w:cs="仿宋" w:hint="eastAsia"/>
          <w:lang w:eastAsia="zh-CN"/>
        </w:rPr>
      </w:pPr>
      <w:bookmarkStart w:id="15" w:name="_Toc22731"/>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内墙涂料项目中，我们设计了一套全面的绩效评估指标，以确保内墙涂料项目的可控和成功交付。这些指标跨足内墙涂料项目目标、成本、进度和质量等多个维度，为我们提供了全面洞察内墙涂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内墙涂料项目目标达成率是我们关注的首要指标。我们设定了明确的目标，并通过定期监测和评估，迅速发现并应对潜在的目标偏差。这为内墙涂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成本绩效是另一个核心关注点。通过实际成本与预算成本的对比分析，我们深入了解成本差异的原因，及时调整资源分配，保持内墙涂料项目在经济效益方面的合理水平。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内墙涂料项目进度作为关键的绩效指标之一，得到了精心的关注。我们制定了详细的内墙涂料项目进度计划，并设立了进度符合度指标，确保实际进度与计划进度保持一致。这使我们能够快速发现和解决潜在的进度问题，保持内墙涂料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内墙涂料项目绩效的不可或缺的一环。我们引入了一系列的质量标准和客户满意度指标，以确保内墙涂料项目交付的成果在质量上达到或超越预期水平。通过持续监测这些指标，我们努力提升内墙涂料项目整体质量水平，为内墙涂料项目的成功交付提供有力保障。通过这些科学且全面的绩效评估，我们能够更好地引导内墙涂料项目的持续改进，确保内墙涂料项目目标的顺利达成。</w:t>
      </w:r>
    </w:p>
    <w:p>
      <w:pPr>
        <w:pStyle w:val="Heading2"/>
        <w:ind w:firstLine="560" w:firstLineChars="200"/>
        <w:rPr>
          <w:rFonts w:ascii="仿宋" w:eastAsia="仿宋" w:hAnsi="仿宋" w:cs="仿宋" w:hint="eastAsia"/>
          <w:sz w:val="28"/>
          <w:lang w:eastAsia="zh-CN"/>
        </w:rPr>
      </w:pPr>
      <w:bookmarkStart w:id="16" w:name="_Toc21461"/>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绩效评估是内墙涂料项目中的关键环节，为确保内墙涂料项目达到预期目标，我们采用了多层次、多维度的绩效评估方法。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内墙涂料项目的战略目标对齐，确保每个决策和行动都与内墙涂料项目整体目标保持一致。团队会定期召开战略对齐会议，审视当前工作与内墙涂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内墙涂料项目进度、质量、成本和风险等方面。这些指标通过数据收集和分析，为内墙涂料项目管理团队提供了客观的评估依据。例如，我们通过内墙涂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绩效评估不仅仅停留在内墙涂料项目内部，还考虑了内墙涂料项目对外部环境的影响。我们定期进行干系人满意度调查，以了解各利益相关方对内墙涂料项目的期望和满意度，并及时做出调整。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https://d.book118.com/518052012006006047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内墙涂料项目计划设计方案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内墙涂料项目计划设计方案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内墙涂料项目计划设计方案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内墙涂料项目计划设计方案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内墙涂料项目计划设计方案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内墙涂料项目计划设计方案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内墙涂料项目计划设计方案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内墙涂料项目计划设计方案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内墙涂料项目计划设计方案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内墙涂料项目计划设计方案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内墙涂料项目计划设计方案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内墙涂料项目计划设计方案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内墙涂料项目计划设计方案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内墙涂料项目计划设计方案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内墙涂料项目计划设计方案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内墙涂料项目计划设计方案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内墙涂料项目计划设计方案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A436E4"/>
    <w:rsid w:val="22A436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8052012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2024-03-05T16:10:00Z</dcterms:created>
  <dcterms:modified xsi:type="dcterms:W3CDTF">2024-03-05T16:11:12Z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F31DDE35BD0D4DE2AF6FF0652545E9F6_11</vt:lpwstr>
  </property>
  <property fmtid="{D5CDD505-2E9C-101B-9397-08002B2CF9AE}" pid="3" name="KSOProductBuildVer">
    <vt:lpwstr>2052-12.1.0.16388</vt:lpwstr>
  </property>
</Properties>
</file>