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58501CB6"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146A58C6"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0934DFA"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7E2335BA" w14:textId="77777777">
                          <w:pPr>
                            <w:pStyle w:val="NoSpacing"/>
                            <w:jc w:val="right"/>
                            <w:rPr>
                              <w:color w:val="595959" w:themeColor="text1" w:themeTint="A6"/>
                              <w:sz w:val="32"/>
                              <w:szCs w:val="32"/>
                            </w:rPr>
                          </w:pPr>
                          <w:sdt>
                            <w:sdtPr>
                              <w:rPr>
                                <w:color w:val="595959" w:themeColor="text1" w:themeTint="A6"/>
                                <w:sz w:val="32"/>
                                <w:szCs w:val="32"/>
                              </w:rPr>
                              <w:alias w:val="摘要"/>
                              <w:id w:val="9933914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192079341"/>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19D820A7"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13695DF8"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63152361"/>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DBBBD59"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EDC518F"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531CC8A"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280B210"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E3BC0E3"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563C3B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5F57479F"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263954D"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1636C16"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E365BE9"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670E445"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3F1F0C1"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73ADCCBD"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D946A70"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1C44D96"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2E159EC"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A4371E6"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875631D"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A683238"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A5B4A4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B3DB858"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9D60268"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68193326"/>
        <w:docPartObj>
          <w:docPartGallery w:val="Table of Contents"/>
          <w:docPartUnique/>
        </w:docPartObj>
      </w:sdtPr>
      <w:sdtEndPr>
        <w:rPr>
          <w:b/>
          <w:bCs/>
        </w:rPr>
      </w:sdtEndPr>
      <w:sdtContent>
        <w:p w:rsidR="00483551" w:rsidRPr="00913CD1" w:rsidP="00457322" w14:paraId="7226FBC3"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C955994"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89A78C7"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0918475C"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3763877"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960EEDE"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6B898FC"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2D1C95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5253D76"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0B39634"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4964DE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536E731"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6500198"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659DFE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0F0CB1D"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0ACD19B"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0F1F862"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DD28F9C"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01DC1C82"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43E499E"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49B1A8E"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D567036"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381676417"/>
        <w:docPartObj>
          <w:docPartGallery w:val="Table of Contents"/>
          <w:docPartUnique/>
        </w:docPartObj>
      </w:sdtPr>
      <w:sdtEndPr>
        <w:rPr>
          <w:b/>
          <w:bCs/>
        </w:rPr>
      </w:sdtEndPr>
      <w:sdtContent>
        <w:p w:rsidR="00483551" w:rsidRPr="00913CD1" w:rsidP="00457322" w14:paraId="181B8B0E"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73B25DD7"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CC7056E"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A281E69"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02366A2"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39250914"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CDA0EE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47A3DBC"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09F2745"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04B250F8"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7D8F7D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69A899FE"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4288988"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2230DB3C"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47574272"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99CEB59"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3FDB0A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66F4300"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56A1749"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20C45E2"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BE1940B"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7F93288"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400200876"/>
        <w:docPartObj>
          <w:docPartGallery w:val="Table of Contents"/>
          <w:docPartUnique/>
        </w:docPartObj>
      </w:sdtPr>
      <w:sdtEndPr>
        <w:rPr>
          <w:b/>
          <w:bCs/>
        </w:rPr>
      </w:sdtEndPr>
      <w:sdtContent>
        <w:p w:rsidR="00483551" w:rsidRPr="00913CD1" w:rsidP="00457322" w14:paraId="7E144F4A"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C32B973"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1015C72"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C44825D"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4B4A1ADA"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4F4FAB4"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542BF9A"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1CBD6CA9"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29FE50A9"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C691EE4"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7D2CCD9"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3D096744"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CCB6BA7"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2EDB83E"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44C1DC71"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5C32C48C"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2AB2579"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AC95B0A"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9B65E6F"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823AF7" w14:paraId="24518CF6" w14:textId="61B0D670">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NITI</w:t>
      </w:r>
      <w:r>
        <w:rPr>
          <w:rFonts w:ascii="仿宋" w:eastAsia="仿宋" w:hAnsi="仿宋"/>
          <w:sz w:val="28"/>
        </w:rPr>
        <w:t>基记忆合金材料项目可行性分析报告编制的目的是为了对项目进行全面、系统的评估，以确定该项目在技术、经济、市场、社会等方面的可行性和潜在效益。通过编制这份报告，可以为国家、企业和投资者提供决策依据，确保项目能够高效、稳定地实施，并最终实现预期的经济效益和社会效益。</w:t>
      </w:r>
      <w:r>
        <w:rPr>
          <w:rFonts w:ascii="仿宋" w:eastAsia="仿宋" w:hAnsi="仿宋"/>
          <w:sz w:val="28"/>
        </w:rPr>
        <w:br/>
      </w:r>
      <w:r>
        <w:rPr>
          <w:rFonts w:ascii="仿宋" w:eastAsia="仿宋" w:hAnsi="仿宋"/>
          <w:sz w:val="28"/>
        </w:rPr>
        <w:t>具体来说，可行性分析报告编制具有以下重要意义：</w:t>
      </w:r>
      <w:r>
        <w:rPr>
          <w:rFonts w:ascii="仿宋" w:eastAsia="仿宋" w:hAnsi="仿宋"/>
          <w:sz w:val="28"/>
        </w:rPr>
        <w:br/>
        <w:t xml:space="preserve">    1.</w:t>
      </w:r>
      <w:r>
        <w:rPr>
          <w:rFonts w:ascii="仿宋" w:eastAsia="仿宋" w:hAnsi="仿宋"/>
          <w:sz w:val="28"/>
        </w:rPr>
        <w:t>战略规划：帮助确定项目是否符合国家或地区的长期发展目标和战略规划，确保项目与宏观政策保持一致。</w:t>
      </w:r>
      <w:r>
        <w:rPr>
          <w:rFonts w:ascii="仿宋" w:eastAsia="仿宋" w:hAnsi="仿宋"/>
          <w:sz w:val="28"/>
        </w:rPr>
        <w:br/>
        <w:t xml:space="preserve">    2.</w:t>
      </w:r>
      <w:r>
        <w:rPr>
          <w:rFonts w:ascii="仿宋" w:eastAsia="仿宋" w:hAnsi="仿宋"/>
          <w:sz w:val="28"/>
        </w:rPr>
        <w:t>资源优化：分析项目对当地资源和环境的影响，确保项目在合理利用资源的同时，采取有效的环境保护措施。</w:t>
      </w:r>
      <w:r>
        <w:rPr>
          <w:rFonts w:ascii="仿宋" w:eastAsia="仿宋" w:hAnsi="仿宋"/>
          <w:sz w:val="28"/>
        </w:rPr>
        <w:br/>
        <w:t xml:space="preserve">    3.</w:t>
      </w:r>
      <w:r>
        <w:rPr>
          <w:rFonts w:ascii="仿宋" w:eastAsia="仿宋" w:hAnsi="仿宋"/>
          <w:sz w:val="28"/>
        </w:rPr>
        <w:t>市场评估：对目标市场进行深入调研，评估产品或服务的市场潜力和竞争力，为项目的市场定位和营销策略提供支持。</w:t>
      </w:r>
      <w:r>
        <w:rPr>
          <w:rFonts w:ascii="仿宋" w:eastAsia="仿宋" w:hAnsi="仿宋"/>
          <w:sz w:val="28"/>
        </w:rPr>
        <w:br/>
        <w:t xml:space="preserve">    4.</w:t>
      </w:r>
      <w:r>
        <w:rPr>
          <w:rFonts w:ascii="仿宋" w:eastAsia="仿宋" w:hAnsi="仿宋"/>
          <w:sz w:val="28"/>
        </w:rPr>
        <w:t>技术评估：对项目所采用的技术进行评估，确保其先进性、可靠性和适用性，为项目的技术路线和研发计划提供指导。</w:t>
      </w:r>
      <w:r>
        <w:rPr>
          <w:rFonts w:ascii="仿宋" w:eastAsia="仿宋" w:hAnsi="仿宋"/>
          <w:sz w:val="28"/>
        </w:rPr>
        <w:br/>
        <w:t xml:space="preserve">    5.</w:t>
      </w:r>
      <w:r>
        <w:rPr>
          <w:rFonts w:ascii="仿宋" w:eastAsia="仿宋" w:hAnsi="仿宋"/>
          <w:sz w:val="28"/>
        </w:rPr>
        <w:t>经济分析：通过对项目的财务和经济指标进行详细分析，评估项目的盈利能力和经济可行性，为投资决策提供数据支持。</w:t>
      </w:r>
      <w:r>
        <w:rPr>
          <w:rFonts w:ascii="仿宋" w:eastAsia="仿宋" w:hAnsi="仿宋"/>
          <w:sz w:val="28"/>
        </w:rPr>
        <w:br/>
        <w:t xml:space="preserve">    6.</w:t>
      </w:r>
    </w:p>
    <w:p w:rsidR="00823AF7" w14:textId="61B0D670">
      <w:pPr>
        <w:ind w:firstLine="561"/>
      </w:pPr>
      <w:r>
        <w:rPr>
          <w:rFonts w:ascii="仿宋" w:eastAsia="仿宋" w:hAnsi="仿宋"/>
          <w:sz w:val="28"/>
        </w:rPr>
        <w:t>风险管理：识别和评估项目可能面临的各种风险，并提出相应的风险管理策略，降低项目的不确定性。</w:t>
      </w:r>
      <w:r>
        <w:rPr>
          <w:rFonts w:ascii="仿宋" w:eastAsia="仿宋" w:hAnsi="仿宋"/>
          <w:sz w:val="28"/>
        </w:rPr>
        <w:br/>
        <w:t xml:space="preserve">    7.</w:t>
      </w:r>
      <w:r>
        <w:rPr>
          <w:rFonts w:ascii="仿宋" w:eastAsia="仿宋" w:hAnsi="仿宋"/>
          <w:sz w:val="28"/>
        </w:rPr>
        <w:t>政策合规：确保项目符合相关法律法规和政策要求，避免潜在的法律风险和合规问题。</w:t>
      </w:r>
      <w:r>
        <w:rPr>
          <w:rFonts w:ascii="仿宋" w:eastAsia="仿宋" w:hAnsi="仿宋"/>
          <w:sz w:val="28"/>
        </w:rPr>
        <w:br/>
        <w:t xml:space="preserve">    8.</w:t>
      </w:r>
      <w:r>
        <w:rPr>
          <w:rFonts w:ascii="仿宋" w:eastAsia="仿宋" w:hAnsi="仿宋"/>
          <w:sz w:val="28"/>
        </w:rPr>
        <w:t>社会影响：评估项目对当地社会和文化的影响，确保项目能够得到当地社区的支持，并促进社会和谐发展。</w:t>
      </w:r>
      <w:r>
        <w:rPr>
          <w:rFonts w:ascii="仿宋" w:eastAsia="仿宋" w:hAnsi="仿宋"/>
          <w:sz w:val="28"/>
        </w:rPr>
        <w:br/>
      </w:r>
      <w:r>
        <w:rPr>
          <w:rFonts w:ascii="仿宋" w:eastAsia="仿宋" w:hAnsi="仿宋"/>
          <w:sz w:val="28"/>
        </w:rPr>
        <w:t>综上所述，</w:t>
      </w:r>
      <w:r>
        <w:rPr>
          <w:rFonts w:ascii="仿宋" w:eastAsia="仿宋" w:hAnsi="仿宋"/>
          <w:sz w:val="28"/>
        </w:rPr>
        <w:t>NITI</w:t>
      </w:r>
      <w:r>
        <w:rPr>
          <w:rFonts w:ascii="仿宋" w:eastAsia="仿宋" w:hAnsi="仿宋"/>
          <w:sz w:val="28"/>
        </w:rPr>
        <w:t>基记忆合金材料项目可行性分析报告的编制不仅是为了评估项目的可行性，更是为了确保项目能够顺利实施，并为相关利益方带来预期的收益和回报。</w:t>
      </w:r>
    </w:p>
    <w:p w:rsidR="009D1637" w:rsidRPr="00913CD1" w:rsidP="00457322" w14:paraId="67997B87"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624D2CC"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DB78D09"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15AA8390"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985F7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36F92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5A5947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2E1D280E"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2F9668A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3839475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8721CA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1CC158C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4076BF2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2690093F"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7EBF73B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1C6949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0A4004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55052E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2D1D78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0746DD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4A077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5B1ABC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BBB60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E5F38B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60EC3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6F7B7A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6F1A3C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NITI基记忆合金材料</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NITI基记忆合金材料</w:t>
      </w:r>
      <w:r w:rsidRPr="00913CD1">
        <w:rPr>
          <w:rFonts w:ascii="仿宋" w:eastAsia="仿宋" w:hAnsi="仿宋" w:cs="宋体"/>
          <w:kern w:val="0"/>
          <w:sz w:val="28"/>
          <w:szCs w:val="28"/>
          <w14:ligatures w14:val="none"/>
        </w:rPr>
        <w:t>项目建设。</w:t>
      </w:r>
    </w:p>
    <w:p w:rsidR="009D1637" w:rsidRPr="00913CD1" w:rsidP="00457322" w14:paraId="5C7FD4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NITI基记忆合金材料</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NITI基记忆合金材料</w:t>
      </w:r>
      <w:r w:rsidRPr="00913CD1">
        <w:rPr>
          <w:rFonts w:ascii="仿宋" w:eastAsia="仿宋" w:hAnsi="仿宋" w:cs="宋体"/>
          <w:kern w:val="0"/>
          <w:sz w:val="28"/>
          <w:szCs w:val="28"/>
          <w14:ligatures w14:val="none"/>
        </w:rPr>
        <w:t>项目。</w:t>
      </w:r>
    </w:p>
    <w:p w:rsidR="009D1637" w:rsidRPr="00913CD1" w:rsidP="00457322" w14:paraId="2EF53D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1148ED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35CC15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7172EB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0D215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69B3B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C4887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https://d.book118.com/518054022052006033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47B8D8D8" w14:textId="77777777">
    <w:pPr>
      <w:pStyle w:val="Footer"/>
      <w:jc w:val="center"/>
    </w:pPr>
  </w:p>
  <w:p w:rsidR="008D6901" w14:paraId="1963AF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5B004D3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paraId="35A031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906422"/>
      <w:docPartObj>
        <w:docPartGallery w:val="Page Numbers (Bottom of Page)"/>
        <w:docPartUnique/>
      </w:docPartObj>
    </w:sdtPr>
    <w:sdtContent>
      <w:sdt>
        <w:sdtPr>
          <w:id w:val="11726491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7529381"/>
      <w:docPartObj>
        <w:docPartGallery w:val="Page Numbers (Bottom of Page)"/>
        <w:docPartUnique/>
      </w:docPartObj>
    </w:sdtPr>
    <w:sdtContent>
      <w:sdt>
        <w:sdtPr>
          <w:id w:val="20600361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9214382"/>
      <w:docPartObj>
        <w:docPartGallery w:val="Page Numbers (Bottom of Page)"/>
        <w:docPartUnique/>
      </w:docPartObj>
    </w:sdtPr>
    <w:sdtContent>
      <w:sdt>
        <w:sdtPr>
          <w:id w:val="12078535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9056921"/>
      <w:docPartObj>
        <w:docPartGallery w:val="Page Numbers (Bottom of Page)"/>
        <w:docPartUnique/>
      </w:docPartObj>
    </w:sdtPr>
    <w:sdtContent>
      <w:sdt>
        <w:sdtPr>
          <w:id w:val="14080122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6C9353C8" w14:textId="77777777">
    <w:pPr>
      <w:pStyle w:val="Header"/>
      <w:pBdr>
        <w:bottom w:val="single" w:sz="4" w:space="1" w:color="auto"/>
      </w:pBdr>
      <w:jc w:val="right"/>
    </w:pPr>
    <w:r>
      <w:t>2024年NITI基记忆合金材料项目可行性分析报告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2024年NITI基记忆合金材料项目可行性分析报告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2024年NITI基记忆合金材料项目可行性分析报告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2024年NITI基记忆合金材料项目可行性分析报告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2024年NITI基记忆合金材料项目可行性分析报告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0201FEC8" w14:textId="77777777">
    <w:pPr>
      <w:pStyle w:val="Header"/>
      <w:pBdr>
        <w:bottom w:val="single" w:sz="4" w:space="1" w:color="auto"/>
      </w:pBdr>
      <w:jc w:val="right"/>
      <w:rPr>
        <w:sz w:val="24"/>
        <w:szCs w:val="24"/>
      </w:rPr>
    </w:pPr>
    <w:r>
      <w:t>2024年NITI基记忆合金材料项目可行性分析报告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2024年NITI基记忆合金材料项目可行性分析报告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2024年NITI基记忆合金材料项目可行性分析报告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2024年NITI基记忆合金材料项目可行性分析报告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2024年NITI基记忆合金材料项目可行性分析报告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72200"/>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23AF7"/>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B62DD1"/>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51805402205200603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11</Pages>
  <Words>7420</Words>
  <Characters>42294</Characters>
  <Application>Microsoft Office Word</Application>
  <DocSecurity>0</DocSecurity>
  <Lines>352</Lines>
  <Paragraphs>99</Paragraphs>
  <ScaleCrop>false</ScaleCrop>
  <Company/>
  <LinksUpToDate>false</LinksUpToDate>
  <CharactersWithSpaces>49615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2024-02-02T01:03:00Z</dcterms:modified>
</cp:coreProperties>
</file>