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1B6E" w:rsidRPr="00C7233B" w:rsidP="00A01B6E">
      <w:pPr>
        <w:tabs>
          <w:tab w:val="left" w:pos="426"/>
          <w:tab w:val="left" w:pos="3090"/>
          <w:tab w:val="center" w:pos="4622"/>
        </w:tabs>
        <w:spacing w:line="300" w:lineRule="auto"/>
        <w:ind w:left="424" w:right="565" w:firstLine="880" w:leftChars="202" w:rightChars="269" w:firstLineChars="200"/>
        <w:jc w:val="center"/>
        <w:rPr>
          <w:rFonts w:ascii="华文中宋" w:eastAsia="华文中宋" w:hAnsi="华文中宋"/>
          <w:b/>
          <w:sz w:val="44"/>
          <w:szCs w:val="44"/>
        </w:rPr>
      </w:pPr>
      <w:bookmarkStart w:id="0" w:name="_GoBack"/>
      <w:bookmarkEnd w:id="0"/>
      <w:r w:rsidRPr="00C7233B">
        <w:rPr>
          <w:rFonts w:ascii="华文中宋" w:eastAsia="华文中宋" w:hAnsi="华文中宋" w:hint="eastAsia"/>
          <w:b/>
          <w:sz w:val="44"/>
          <w:szCs w:val="44"/>
        </w:rPr>
        <w:t>摘  要</w:t>
      </w:r>
    </w:p>
    <w:p w:rsidR="00A01B6E" w:rsidRPr="00C7233B" w:rsidP="00A01B6E">
      <w:pPr>
        <w:spacing w:line="300" w:lineRule="auto"/>
        <w:ind w:firstLine="420"/>
        <w:rPr>
          <w:rFonts w:asciiTheme="minorEastAsia" w:hAnsiTheme="minorEastAsia"/>
          <w:b/>
          <w:sz w:val="24"/>
          <w:szCs w:val="24"/>
        </w:rPr>
      </w:pPr>
      <w:r>
        <w:rPr>
          <w:rFonts w:asciiTheme="minorEastAsia" w:hAnsiTheme="minorEastAsia" w:hint="eastAsia"/>
          <w:b/>
          <w:sz w:val="24"/>
          <w:szCs w:val="24"/>
        </w:rPr>
        <w:t>本文从长期和短期两个角度出发，以</w:t>
      </w:r>
      <w:r w:rsidRPr="00C7233B">
        <w:rPr>
          <w:rFonts w:asciiTheme="minorEastAsia" w:hAnsiTheme="minorEastAsia" w:hint="eastAsia"/>
          <w:b/>
          <w:sz w:val="24"/>
          <w:szCs w:val="24"/>
        </w:rPr>
        <w:t>十年期国债期货和十年期国债现货的</w:t>
      </w:r>
      <w:r>
        <w:rPr>
          <w:rFonts w:asciiTheme="minorEastAsia" w:hAnsiTheme="minorEastAsia" w:hint="eastAsia"/>
          <w:b/>
          <w:sz w:val="24"/>
          <w:szCs w:val="24"/>
        </w:rPr>
        <w:t>日交易数据为实证研究对象，探寻国债期货的</w:t>
      </w:r>
      <w:r w:rsidRPr="00C7233B">
        <w:rPr>
          <w:rFonts w:asciiTheme="minorEastAsia" w:hAnsiTheme="minorEastAsia" w:hint="eastAsia"/>
          <w:b/>
          <w:sz w:val="24"/>
          <w:szCs w:val="24"/>
        </w:rPr>
        <w:t>价格发现</w:t>
      </w:r>
      <w:r>
        <w:rPr>
          <w:rFonts w:asciiTheme="minorEastAsia" w:hAnsiTheme="minorEastAsia" w:hint="eastAsia"/>
          <w:b/>
          <w:sz w:val="24"/>
          <w:szCs w:val="24"/>
        </w:rPr>
        <w:t>功能</w:t>
      </w:r>
      <w:r w:rsidRPr="00C7233B">
        <w:rPr>
          <w:rFonts w:asciiTheme="minorEastAsia" w:hAnsiTheme="minorEastAsia" w:hint="eastAsia"/>
          <w:b/>
          <w:sz w:val="24"/>
          <w:szCs w:val="24"/>
        </w:rPr>
        <w:t>和套期保值功能。</w:t>
      </w:r>
      <w:r>
        <w:rPr>
          <w:rFonts w:asciiTheme="minorEastAsia" w:hAnsiTheme="minorEastAsia" w:hint="eastAsia"/>
          <w:b/>
          <w:sz w:val="24"/>
          <w:szCs w:val="24"/>
        </w:rPr>
        <w:t>研究结果表明，尽管</w:t>
      </w:r>
      <w:r w:rsidRPr="00C7233B">
        <w:rPr>
          <w:rFonts w:asciiTheme="minorEastAsia" w:hAnsiTheme="minorEastAsia" w:hint="eastAsia"/>
          <w:b/>
          <w:sz w:val="24"/>
          <w:szCs w:val="24"/>
        </w:rPr>
        <w:t>在短期</w:t>
      </w:r>
      <w:r>
        <w:rPr>
          <w:rFonts w:asciiTheme="minorEastAsia" w:hAnsiTheme="minorEastAsia" w:hint="eastAsia"/>
          <w:b/>
          <w:sz w:val="24"/>
          <w:szCs w:val="24"/>
        </w:rPr>
        <w:t>内，</w:t>
      </w:r>
      <w:r w:rsidRPr="00C7233B">
        <w:rPr>
          <w:rFonts w:asciiTheme="minorEastAsia" w:hAnsiTheme="minorEastAsia" w:hint="eastAsia"/>
          <w:b/>
          <w:sz w:val="24"/>
          <w:szCs w:val="24"/>
        </w:rPr>
        <w:t>国债现货和国债期货之间具有较为明显的差异性，但在长期中，</w:t>
      </w:r>
      <w:r>
        <w:rPr>
          <w:rFonts w:asciiTheme="minorEastAsia" w:hAnsiTheme="minorEastAsia" w:hint="eastAsia"/>
          <w:b/>
          <w:sz w:val="24"/>
          <w:szCs w:val="24"/>
        </w:rPr>
        <w:t>引导机制由</w:t>
      </w:r>
      <w:r w:rsidRPr="00C7233B">
        <w:rPr>
          <w:rFonts w:asciiTheme="minorEastAsia" w:hAnsiTheme="minorEastAsia" w:hint="eastAsia"/>
          <w:b/>
          <w:sz w:val="24"/>
          <w:szCs w:val="24"/>
        </w:rPr>
        <w:t>国债期货价格</w:t>
      </w:r>
      <w:r>
        <w:rPr>
          <w:rFonts w:asciiTheme="minorEastAsia" w:hAnsiTheme="minorEastAsia" w:hint="eastAsia"/>
          <w:b/>
          <w:sz w:val="24"/>
          <w:szCs w:val="24"/>
        </w:rPr>
        <w:t>作用</w:t>
      </w:r>
      <w:r w:rsidRPr="00C7233B">
        <w:rPr>
          <w:rFonts w:asciiTheme="minorEastAsia" w:hAnsiTheme="minorEastAsia" w:hint="eastAsia"/>
          <w:b/>
          <w:sz w:val="24"/>
          <w:szCs w:val="24"/>
        </w:rPr>
        <w:t>于国债现货价格</w:t>
      </w:r>
      <w:r>
        <w:rPr>
          <w:rFonts w:asciiTheme="minorEastAsia" w:hAnsiTheme="minorEastAsia" w:hint="eastAsia"/>
          <w:b/>
          <w:sz w:val="24"/>
          <w:szCs w:val="24"/>
        </w:rPr>
        <w:t>，充分说明了国债期货具有价格发现的功能</w:t>
      </w:r>
      <w:r w:rsidRPr="00C7233B">
        <w:rPr>
          <w:rFonts w:asciiTheme="minorEastAsia" w:hAnsiTheme="minorEastAsia" w:hint="eastAsia"/>
          <w:b/>
          <w:sz w:val="24"/>
          <w:szCs w:val="24"/>
        </w:rPr>
        <w:t>。进一步采用三种套期保值模型对国债期货进行套期保值绩效考核，确认了国债期货的套期保值功能，并以此研究结果对中国金融市场上国债期货近年来的表现进行了总结，并对更好的发挥国债期货的价格发现和套期保值功能提出建设建议。</w:t>
      </w:r>
    </w:p>
    <w:p w:rsidR="00A01B6E" w:rsidRPr="00C7233B" w:rsidP="00A01B6E">
      <w:pPr>
        <w:spacing w:line="300" w:lineRule="auto"/>
        <w:ind w:firstLine="420"/>
        <w:rPr>
          <w:rFonts w:asciiTheme="minorEastAsia" w:hAnsiTheme="minorEastAsia"/>
          <w:sz w:val="24"/>
          <w:szCs w:val="24"/>
        </w:rPr>
      </w:pPr>
    </w:p>
    <w:p w:rsidR="00A01B6E" w:rsidRPr="00C7233B" w:rsidP="00A01B6E">
      <w:pPr>
        <w:spacing w:line="300" w:lineRule="auto"/>
        <w:ind w:firstLine="420"/>
        <w:rPr>
          <w:rFonts w:ascii="楷体" w:eastAsia="楷体" w:hAnsi="楷体"/>
          <w:b/>
          <w:sz w:val="24"/>
          <w:szCs w:val="24"/>
        </w:rPr>
      </w:pPr>
      <w:r w:rsidRPr="00C7233B">
        <w:rPr>
          <w:rFonts w:asciiTheme="minorEastAsia" w:hAnsiTheme="minorEastAsia" w:hint="eastAsia"/>
          <w:sz w:val="24"/>
          <w:szCs w:val="24"/>
        </w:rPr>
        <w:t xml:space="preserve">关键词 </w:t>
      </w:r>
      <w:r w:rsidRPr="00C7233B">
        <w:rPr>
          <w:rFonts w:asciiTheme="minorEastAsia" w:hAnsiTheme="minorEastAsia" w:hint="eastAsia"/>
          <w:b/>
          <w:sz w:val="24"/>
          <w:szCs w:val="24"/>
        </w:rPr>
        <w:t xml:space="preserve">中国十年期国债期货 价格发现 套期保值 </w:t>
      </w:r>
    </w:p>
    <w:p w:rsidR="00A01B6E" w:rsidP="00A01B6E">
      <w:pPr>
        <w:widowControl/>
        <w:jc w:val="left"/>
        <w:rPr>
          <w:rFonts w:ascii="等线" w:eastAsia="等线" w:hAnsi="等线"/>
          <w:b/>
        </w:rPr>
        <w:sectPr w:rsidSect="00AD4737">
          <w:footerReference w:type="first" r:id="rId4"/>
          <w:pgSz w:w="11906" w:h="16838"/>
          <w:pgMar w:top="1701" w:right="1701" w:bottom="1701" w:left="1701" w:header="851" w:footer="992" w:gutter="0"/>
          <w:pgNumType w:start="1"/>
          <w:cols w:space="425"/>
          <w:titlePg/>
          <w:docGrid w:type="lines" w:linePitch="312"/>
        </w:sectPr>
      </w:pPr>
      <w:r w:rsidRPr="00C7233B">
        <w:rPr>
          <w:rFonts w:ascii="等线" w:eastAsia="等线" w:hAnsi="等线"/>
          <w:b/>
        </w:rPr>
        <w:br w:type="page"/>
      </w:r>
    </w:p>
    <w:p w:rsidR="00A01B6E" w:rsidRPr="008543D0" w:rsidP="00A01B6E">
      <w:pPr>
        <w:spacing w:line="300" w:lineRule="auto"/>
        <w:ind w:left="420" w:right="420" w:leftChars="200" w:rightChars="200"/>
        <w:jc w:val="center"/>
        <w:rPr>
          <w:rFonts w:ascii="Times New Roman" w:eastAsia="楷体" w:hAnsi="Times New Roman" w:cs="Times New Roman"/>
          <w:b/>
          <w:sz w:val="44"/>
          <w:szCs w:val="44"/>
        </w:rPr>
      </w:pPr>
      <w:r w:rsidRPr="008543D0">
        <w:rPr>
          <w:rFonts w:ascii="Times New Roman" w:eastAsia="楷体" w:hAnsi="Times New Roman" w:cs="Times New Roman"/>
          <w:b/>
          <w:sz w:val="44"/>
          <w:szCs w:val="44"/>
        </w:rPr>
        <w:t>Abstract</w:t>
      </w:r>
    </w:p>
    <w:p w:rsidR="00A01B6E" w:rsidP="00A01B6E">
      <w:pPr>
        <w:spacing w:line="300" w:lineRule="auto"/>
        <w:ind w:left="420" w:right="420" w:firstLine="480" w:leftChars="200" w:rightChars="200" w:firstLineChars="200"/>
        <w:rPr>
          <w:rFonts w:ascii="Times New Roman" w:eastAsia="楷体" w:hAnsi="Times New Roman" w:cs="Times New Roman"/>
          <w:b/>
          <w:sz w:val="24"/>
          <w:szCs w:val="24"/>
        </w:rPr>
      </w:pPr>
      <w:r w:rsidRPr="007F02B2">
        <w:rPr>
          <w:rFonts w:ascii="Times New Roman" w:eastAsia="楷体" w:hAnsi="Times New Roman" w:cs="Times New Roman"/>
          <w:b/>
          <w:sz w:val="24"/>
          <w:szCs w:val="24"/>
        </w:rPr>
        <w:t xml:space="preserve">In this paper, we explore the price discovery and hedging functions of China’s long-term treasury bonds futures based on the daily data of ten-year treasury bonds both in the long term and in the short term. It shows that in the short term, there is a big difference in the price of long-term treasury bonds and that of long-term </w:t>
      </w:r>
      <w:r>
        <w:rPr>
          <w:rFonts w:ascii="Times New Roman" w:eastAsia="楷体" w:hAnsi="Times New Roman" w:cs="Times New Roman"/>
          <w:b/>
          <w:sz w:val="24"/>
          <w:szCs w:val="24"/>
        </w:rPr>
        <w:t xml:space="preserve">treasury bonds futures. </w:t>
      </w:r>
      <w:r>
        <w:rPr>
          <w:rFonts w:ascii="Times New Roman" w:eastAsia="楷体" w:hAnsi="Times New Roman" w:cs="Times New Roman" w:hint="eastAsia"/>
          <w:b/>
          <w:sz w:val="24"/>
          <w:szCs w:val="24"/>
        </w:rPr>
        <w:t>In the long term, b</w:t>
      </w:r>
      <w:r>
        <w:rPr>
          <w:rFonts w:ascii="Times New Roman" w:eastAsia="楷体" w:hAnsi="Times New Roman" w:cs="Times New Roman"/>
          <w:b/>
          <w:sz w:val="24"/>
          <w:szCs w:val="24"/>
        </w:rPr>
        <w:t xml:space="preserve">ond futures prices </w:t>
      </w:r>
      <w:r>
        <w:rPr>
          <w:rFonts w:ascii="Times New Roman" w:eastAsia="楷体" w:hAnsi="Times New Roman" w:cs="Times New Roman" w:hint="eastAsia"/>
          <w:b/>
          <w:sz w:val="24"/>
          <w:szCs w:val="24"/>
        </w:rPr>
        <w:t>can make a</w:t>
      </w:r>
      <w:r w:rsidRPr="007F02B2">
        <w:rPr>
          <w:rFonts w:ascii="Times New Roman" w:eastAsia="楷体" w:hAnsi="Times New Roman" w:cs="Times New Roman"/>
          <w:b/>
          <w:sz w:val="24"/>
          <w:szCs w:val="24"/>
        </w:rPr>
        <w:t xml:space="preserve"> guiding mechanism on </w:t>
      </w:r>
      <w:r>
        <w:rPr>
          <w:rFonts w:ascii="Times New Roman" w:eastAsia="楷体" w:hAnsi="Times New Roman" w:cs="Times New Roman" w:hint="eastAsia"/>
          <w:b/>
          <w:sz w:val="24"/>
          <w:szCs w:val="24"/>
        </w:rPr>
        <w:t xml:space="preserve">the prices of </w:t>
      </w:r>
      <w:r w:rsidRPr="007F02B2">
        <w:rPr>
          <w:rFonts w:ascii="Times New Roman" w:eastAsia="楷体" w:hAnsi="Times New Roman" w:cs="Times New Roman"/>
          <w:b/>
          <w:sz w:val="24"/>
          <w:szCs w:val="24"/>
        </w:rPr>
        <w:t>treasury spot in the long term</w:t>
      </w:r>
      <w:r>
        <w:rPr>
          <w:rFonts w:ascii="Times New Roman" w:eastAsia="楷体" w:hAnsi="Times New Roman" w:cs="Times New Roman" w:hint="eastAsia"/>
          <w:b/>
          <w:sz w:val="24"/>
          <w:szCs w:val="24"/>
        </w:rPr>
        <w:t>. As a result of this, t</w:t>
      </w:r>
      <w:r w:rsidRPr="007F02B2">
        <w:rPr>
          <w:rFonts w:ascii="Times New Roman" w:eastAsia="楷体" w:hAnsi="Times New Roman" w:cs="Times New Roman"/>
          <w:b/>
          <w:sz w:val="24"/>
          <w:szCs w:val="24"/>
        </w:rPr>
        <w:t>reasury bonds</w:t>
      </w:r>
      <w:r>
        <w:rPr>
          <w:rFonts w:ascii="Times New Roman" w:eastAsia="楷体" w:hAnsi="Times New Roman" w:cs="Times New Roman"/>
          <w:b/>
          <w:sz w:val="24"/>
          <w:szCs w:val="24"/>
        </w:rPr>
        <w:t>’</w:t>
      </w:r>
      <w:r>
        <w:rPr>
          <w:rFonts w:ascii="Times New Roman" w:eastAsia="楷体" w:hAnsi="Times New Roman" w:cs="Times New Roman" w:hint="eastAsia"/>
          <w:b/>
          <w:sz w:val="24"/>
          <w:szCs w:val="24"/>
        </w:rPr>
        <w:t xml:space="preserve"> price discovery function is proved</w:t>
      </w:r>
      <w:r w:rsidRPr="007F02B2">
        <w:rPr>
          <w:rFonts w:ascii="Times New Roman" w:eastAsia="楷体" w:hAnsi="Times New Roman" w:cs="Times New Roman"/>
          <w:b/>
          <w:sz w:val="24"/>
          <w:szCs w:val="24"/>
        </w:rPr>
        <w:t xml:space="preserve">. </w:t>
      </w:r>
      <w:r>
        <w:rPr>
          <w:rFonts w:ascii="Times New Roman" w:eastAsia="楷体" w:hAnsi="Times New Roman" w:cs="Times New Roman" w:hint="eastAsia"/>
          <w:b/>
          <w:sz w:val="24"/>
          <w:szCs w:val="24"/>
        </w:rPr>
        <w:t>T</w:t>
      </w:r>
      <w:r w:rsidRPr="007F02B2">
        <w:rPr>
          <w:rFonts w:ascii="Times New Roman" w:eastAsia="楷体" w:hAnsi="Times New Roman" w:cs="Times New Roman"/>
          <w:b/>
          <w:sz w:val="24"/>
          <w:szCs w:val="24"/>
        </w:rPr>
        <w:t xml:space="preserve">hree hedging models </w:t>
      </w:r>
      <w:r>
        <w:rPr>
          <w:rFonts w:ascii="Times New Roman" w:eastAsia="楷体" w:hAnsi="Times New Roman" w:cs="Times New Roman" w:hint="eastAsia"/>
          <w:b/>
          <w:sz w:val="24"/>
          <w:szCs w:val="24"/>
        </w:rPr>
        <w:t xml:space="preserve">used </w:t>
      </w:r>
      <w:r w:rsidRPr="007F02B2">
        <w:rPr>
          <w:rFonts w:ascii="Times New Roman" w:eastAsia="楷体" w:hAnsi="Times New Roman" w:cs="Times New Roman"/>
          <w:b/>
          <w:sz w:val="24"/>
          <w:szCs w:val="24"/>
        </w:rPr>
        <w:t>to a</w:t>
      </w:r>
      <w:r>
        <w:rPr>
          <w:rFonts w:ascii="Times New Roman" w:eastAsia="楷体" w:hAnsi="Times New Roman" w:cs="Times New Roman"/>
          <w:b/>
          <w:sz w:val="24"/>
          <w:szCs w:val="24"/>
        </w:rPr>
        <w:t>ssess the effect of hedging</w:t>
      </w:r>
      <w:r>
        <w:rPr>
          <w:rFonts w:ascii="Times New Roman" w:eastAsia="楷体" w:hAnsi="Times New Roman" w:cs="Times New Roman" w:hint="eastAsia"/>
          <w:b/>
          <w:sz w:val="24"/>
          <w:szCs w:val="24"/>
        </w:rPr>
        <w:t xml:space="preserve">, </w:t>
      </w:r>
      <w:r w:rsidRPr="007F02B2">
        <w:rPr>
          <w:rFonts w:ascii="Times New Roman" w:eastAsia="楷体" w:hAnsi="Times New Roman" w:cs="Times New Roman"/>
          <w:b/>
          <w:sz w:val="24"/>
          <w:szCs w:val="24"/>
        </w:rPr>
        <w:t>the result shows that treasury bonds futures have the function of hedging but there is a need to improve the effect of its hedging function in China’s finance market.</w:t>
      </w:r>
    </w:p>
    <w:p w:rsidR="00A01B6E" w:rsidRPr="007F02B2" w:rsidP="00A01B6E">
      <w:pPr>
        <w:spacing w:line="300" w:lineRule="auto"/>
        <w:ind w:left="420" w:right="420" w:firstLine="480" w:leftChars="200" w:rightChars="200" w:firstLineChars="200"/>
        <w:rPr>
          <w:rFonts w:ascii="Times New Roman" w:eastAsia="楷体" w:hAnsi="Times New Roman" w:cs="Times New Roman"/>
          <w:b/>
          <w:sz w:val="24"/>
          <w:szCs w:val="24"/>
        </w:rPr>
      </w:pPr>
    </w:p>
    <w:p w:rsidR="00A01B6E" w:rsidP="00A01B6E">
      <w:pPr>
        <w:spacing w:line="300" w:lineRule="auto"/>
        <w:ind w:left="420" w:right="420" w:firstLine="480" w:leftChars="200" w:rightChars="200" w:firstLineChars="200"/>
        <w:rPr>
          <w:rFonts w:ascii="Times New Roman" w:eastAsia="楷体" w:hAnsi="Times New Roman" w:cs="Times New Roman"/>
          <w:b/>
          <w:sz w:val="24"/>
          <w:szCs w:val="24"/>
        </w:rPr>
      </w:pPr>
      <w:r w:rsidRPr="007F02B2">
        <w:rPr>
          <w:rFonts w:ascii="Times New Roman" w:eastAsia="楷体" w:hAnsi="Times New Roman" w:cs="Times New Roman"/>
          <w:sz w:val="24"/>
          <w:szCs w:val="24"/>
        </w:rPr>
        <w:t xml:space="preserve">Key words: </w:t>
      </w:r>
      <w:r w:rsidRPr="007F02B2">
        <w:rPr>
          <w:rFonts w:ascii="Times New Roman" w:eastAsia="楷体" w:hAnsi="Times New Roman" w:cs="Times New Roman"/>
          <w:b/>
          <w:sz w:val="24"/>
          <w:szCs w:val="24"/>
        </w:rPr>
        <w:t>China’s ten-year treasury bonds; Price discovery; Hedging</w:t>
      </w:r>
      <w:r>
        <w:rPr>
          <w:rFonts w:ascii="Times New Roman" w:eastAsia="楷体" w:hAnsi="Times New Roman" w:cs="Times New Roman"/>
          <w:b/>
          <w:sz w:val="24"/>
          <w:szCs w:val="24"/>
        </w:rPr>
        <w:br/>
      </w:r>
      <w:r>
        <w:rPr>
          <w:rFonts w:ascii="Times New Roman" w:eastAsia="楷体" w:hAnsi="Times New Roman" w:cs="Times New Roman"/>
          <w:b/>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https://d.book118.com/518055037134006034</w:t>
        </w:r>
      </w:hyperlink>
    </w:p>
    <w:p w:rsidR="00A01B6E" w:rsidP="00A01B6E">
      <w:pPr>
        <w:spacing w:line="300" w:lineRule="auto"/>
        <w:ind w:left="420" w:right="420" w:firstLine="480" w:leftChars="200" w:rightChars="200" w:firstLineChars="200"/>
        <w:rPr>
          <w:rFonts w:ascii="Times New Roman" w:eastAsia="楷体" w:hAnsi="Times New Roman" w:cs="Times New Roman"/>
          <w:b/>
          <w:sz w:val="24"/>
          <w:szCs w:val="24"/>
        </w:rPr>
      </w:pPr>
    </w:p>
    <w:sectPr>
      <w:footerReference w:type="first" r:id="rId6"/>
      <w:pgSz w:w="11906" w:h="16838"/>
      <w:pgMar w:top="1440" w:right="1800" w:bottom="1440" w:left="1800" w:header="851" w:footer="992" w:gutter="0"/>
      <w:pgNumType w:start="2"/>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43413968"/>
      <w:docPartObj>
        <w:docPartGallery w:val="Page Numbers (Bottom of Page)"/>
        <w:docPartUnique/>
      </w:docPartObj>
    </w:sdtPr>
    <w:sdtContent>
      <w:p w:rsidR="00A01B6E">
        <w:pPr>
          <w:pStyle w:val="Footer"/>
          <w:jc w:val="center"/>
        </w:pPr>
        <w:r>
          <w:fldChar w:fldCharType="begin"/>
        </w:r>
        <w:r>
          <w:instrText>PAGE   \* MERGEFORMAT</w:instrText>
        </w:r>
        <w:r>
          <w:fldChar w:fldCharType="separate"/>
        </w:r>
        <w:r w:rsidRPr="00A01B6E">
          <w:rPr>
            <w:noProof/>
            <w:lang w:val="zh-CN"/>
          </w:rPr>
          <w:t>1</w:t>
        </w:r>
        <w:r>
          <w:fldChar w:fldCharType="end"/>
        </w:r>
      </w:p>
    </w:sdtContent>
  </w:sdt>
  <w:p w:rsidR="00A01B6E" w:rsidP="00AD473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32986657"/>
      <w:docPartObj>
        <w:docPartGallery w:val="Page Numbers (Bottom of Page)"/>
        <w:docPartUnique/>
      </w:docPartObj>
    </w:sdtPr>
    <w:sdtContent>
      <w:p w:rsidR="00A01B6E">
        <w:pPr>
          <w:pStyle w:val="Footer"/>
          <w:jc w:val="center"/>
        </w:pPr>
        <w:r>
          <w:fldChar w:fldCharType="begin"/>
        </w:r>
        <w:r>
          <w:instrText>PAGE   \* MERGEFORMAT</w:instrText>
        </w:r>
        <w:r>
          <w:fldChar w:fldCharType="separate"/>
        </w:r>
        <w:r w:rsidRPr="00A01B6E">
          <w:rPr>
            <w:noProof/>
            <w:lang w:val="zh-CN"/>
          </w:rPr>
          <w:t>1</w:t>
        </w:r>
        <w:r>
          <w:fldChar w:fldCharType="end"/>
        </w:r>
      </w:p>
    </w:sdtContent>
  </w:sdt>
  <w:p w:rsidR="00A01B6E" w:rsidP="00AD4737">
    <w:pPr>
      <w:pStyle w:val="Footer"/>
      <w:jc w:val="cen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CCB087A"/>
    <w:multiLevelType w:val="multilevel"/>
    <w:tmpl w:val="DA96450A"/>
    <w:lvl w:ilvl="0">
      <w:start w:val="1"/>
      <w:numFmt w:val="none"/>
      <w:lvlJc w:val="left"/>
      <w:pPr>
        <w:ind w:left="425" w:hanging="137"/>
      </w:pPr>
      <w:rPr>
        <w:rFonts w:hint="eastAsia"/>
      </w:rPr>
    </w:lvl>
    <w:lvl w:ilvl="1">
      <w:start w:val="1"/>
      <w:numFmt w:val="none"/>
      <w:lvlJc w:val="left"/>
      <w:pPr>
        <w:ind w:left="0" w:firstLine="0"/>
      </w:pPr>
      <w:rPr>
        <w:rFonts w:hint="eastAsia"/>
      </w:rPr>
    </w:lvl>
    <w:lvl w:ilvl="2">
      <w:start w:val="1"/>
      <w:numFmt w:val="none"/>
      <w:lvlRestart w:val="0"/>
      <w:pStyle w:val="3"/>
      <w:lvlText w:val="%1"/>
      <w:lvlJc w:val="left"/>
      <w:pPr>
        <w:ind w:left="0"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21527A3F"/>
    <w:multiLevelType w:val="hybridMultilevel"/>
    <w:tmpl w:val="2D684E52"/>
    <w:lvl w:ilvl="0">
      <w:start w:val="1"/>
      <w:numFmt w:val="bullet"/>
      <w:lvlText w:val="•"/>
      <w:lvlJc w:val="left"/>
      <w:pPr>
        <w:tabs>
          <w:tab w:val="num" w:pos="720"/>
        </w:tabs>
        <w:ind w:left="720" w:hanging="360"/>
      </w:pPr>
      <w:rPr>
        <w:rFonts w:ascii="宋体" w:hAnsi="宋体" w:hint="default"/>
      </w:rPr>
    </w:lvl>
    <w:lvl w:ilvl="1" w:tentative="1">
      <w:start w:val="1"/>
      <w:numFmt w:val="bullet"/>
      <w:lvlText w:val="•"/>
      <w:lvlJc w:val="left"/>
      <w:pPr>
        <w:tabs>
          <w:tab w:val="num" w:pos="1440"/>
        </w:tabs>
        <w:ind w:left="1440" w:hanging="360"/>
      </w:pPr>
      <w:rPr>
        <w:rFonts w:ascii="宋体" w:hAnsi="宋体" w:hint="default"/>
      </w:rPr>
    </w:lvl>
    <w:lvl w:ilvl="2" w:tentative="1">
      <w:start w:val="1"/>
      <w:numFmt w:val="bullet"/>
      <w:lvlText w:val="•"/>
      <w:lvlJc w:val="left"/>
      <w:pPr>
        <w:tabs>
          <w:tab w:val="num" w:pos="2160"/>
        </w:tabs>
        <w:ind w:left="2160" w:hanging="360"/>
      </w:pPr>
      <w:rPr>
        <w:rFonts w:ascii="宋体" w:hAnsi="宋体" w:hint="default"/>
      </w:rPr>
    </w:lvl>
    <w:lvl w:ilvl="3" w:tentative="1">
      <w:start w:val="1"/>
      <w:numFmt w:val="bullet"/>
      <w:lvlText w:val="•"/>
      <w:lvlJc w:val="left"/>
      <w:pPr>
        <w:tabs>
          <w:tab w:val="num" w:pos="2880"/>
        </w:tabs>
        <w:ind w:left="2880" w:hanging="360"/>
      </w:pPr>
      <w:rPr>
        <w:rFonts w:ascii="宋体" w:hAnsi="宋体" w:hint="default"/>
      </w:rPr>
    </w:lvl>
    <w:lvl w:ilvl="4" w:tentative="1">
      <w:start w:val="1"/>
      <w:numFmt w:val="bullet"/>
      <w:lvlText w:val="•"/>
      <w:lvlJc w:val="left"/>
      <w:pPr>
        <w:tabs>
          <w:tab w:val="num" w:pos="3600"/>
        </w:tabs>
        <w:ind w:left="3600" w:hanging="360"/>
      </w:pPr>
      <w:rPr>
        <w:rFonts w:ascii="宋体" w:hAnsi="宋体" w:hint="default"/>
      </w:rPr>
    </w:lvl>
    <w:lvl w:ilvl="5" w:tentative="1">
      <w:start w:val="1"/>
      <w:numFmt w:val="bullet"/>
      <w:lvlText w:val="•"/>
      <w:lvlJc w:val="left"/>
      <w:pPr>
        <w:tabs>
          <w:tab w:val="num" w:pos="4320"/>
        </w:tabs>
        <w:ind w:left="4320" w:hanging="360"/>
      </w:pPr>
      <w:rPr>
        <w:rFonts w:ascii="宋体" w:hAnsi="宋体" w:hint="default"/>
      </w:rPr>
    </w:lvl>
    <w:lvl w:ilvl="6" w:tentative="1">
      <w:start w:val="1"/>
      <w:numFmt w:val="bullet"/>
      <w:lvlText w:val="•"/>
      <w:lvlJc w:val="left"/>
      <w:pPr>
        <w:tabs>
          <w:tab w:val="num" w:pos="5040"/>
        </w:tabs>
        <w:ind w:left="5040" w:hanging="360"/>
      </w:pPr>
      <w:rPr>
        <w:rFonts w:ascii="宋体" w:hAnsi="宋体" w:hint="default"/>
      </w:rPr>
    </w:lvl>
    <w:lvl w:ilvl="7" w:tentative="1">
      <w:start w:val="1"/>
      <w:numFmt w:val="bullet"/>
      <w:lvlText w:val="•"/>
      <w:lvlJc w:val="left"/>
      <w:pPr>
        <w:tabs>
          <w:tab w:val="num" w:pos="5760"/>
        </w:tabs>
        <w:ind w:left="5760" w:hanging="360"/>
      </w:pPr>
      <w:rPr>
        <w:rFonts w:ascii="宋体" w:hAnsi="宋体" w:hint="default"/>
      </w:rPr>
    </w:lvl>
    <w:lvl w:ilvl="8" w:tentative="1">
      <w:start w:val="1"/>
      <w:numFmt w:val="bullet"/>
      <w:lvlText w:val="•"/>
      <w:lvlJc w:val="left"/>
      <w:pPr>
        <w:tabs>
          <w:tab w:val="num" w:pos="6480"/>
        </w:tabs>
        <w:ind w:left="6480" w:hanging="360"/>
      </w:pPr>
      <w:rPr>
        <w:rFonts w:ascii="宋体" w:hAnsi="宋体" w:hint="default"/>
      </w:rPr>
    </w:lvl>
  </w:abstractNum>
  <w:abstractNum w:abstractNumId="2">
    <w:nsid w:val="37364015"/>
    <w:multiLevelType w:val="hybridMultilevel"/>
    <w:tmpl w:val="2C7C0494"/>
    <w:lvl w:ilvl="0">
      <w:start w:val="1"/>
      <w:numFmt w:val="bullet"/>
      <w:lvlText w:val="•"/>
      <w:lvlJc w:val="left"/>
      <w:pPr>
        <w:tabs>
          <w:tab w:val="num" w:pos="720"/>
        </w:tabs>
        <w:ind w:left="720" w:hanging="360"/>
      </w:pPr>
      <w:rPr>
        <w:rFonts w:ascii="宋体" w:hAnsi="宋体" w:hint="default"/>
      </w:rPr>
    </w:lvl>
    <w:lvl w:ilvl="1" w:tentative="1">
      <w:start w:val="1"/>
      <w:numFmt w:val="bullet"/>
      <w:lvlText w:val="•"/>
      <w:lvlJc w:val="left"/>
      <w:pPr>
        <w:tabs>
          <w:tab w:val="num" w:pos="1440"/>
        </w:tabs>
        <w:ind w:left="1440" w:hanging="360"/>
      </w:pPr>
      <w:rPr>
        <w:rFonts w:ascii="宋体" w:hAnsi="宋体" w:hint="default"/>
      </w:rPr>
    </w:lvl>
    <w:lvl w:ilvl="2" w:tentative="1">
      <w:start w:val="1"/>
      <w:numFmt w:val="bullet"/>
      <w:lvlText w:val="•"/>
      <w:lvlJc w:val="left"/>
      <w:pPr>
        <w:tabs>
          <w:tab w:val="num" w:pos="2160"/>
        </w:tabs>
        <w:ind w:left="2160" w:hanging="360"/>
      </w:pPr>
      <w:rPr>
        <w:rFonts w:ascii="宋体" w:hAnsi="宋体" w:hint="default"/>
      </w:rPr>
    </w:lvl>
    <w:lvl w:ilvl="3" w:tentative="1">
      <w:start w:val="1"/>
      <w:numFmt w:val="bullet"/>
      <w:lvlText w:val="•"/>
      <w:lvlJc w:val="left"/>
      <w:pPr>
        <w:tabs>
          <w:tab w:val="num" w:pos="2880"/>
        </w:tabs>
        <w:ind w:left="2880" w:hanging="360"/>
      </w:pPr>
      <w:rPr>
        <w:rFonts w:ascii="宋体" w:hAnsi="宋体" w:hint="default"/>
      </w:rPr>
    </w:lvl>
    <w:lvl w:ilvl="4" w:tentative="1">
      <w:start w:val="1"/>
      <w:numFmt w:val="bullet"/>
      <w:lvlText w:val="•"/>
      <w:lvlJc w:val="left"/>
      <w:pPr>
        <w:tabs>
          <w:tab w:val="num" w:pos="3600"/>
        </w:tabs>
        <w:ind w:left="3600" w:hanging="360"/>
      </w:pPr>
      <w:rPr>
        <w:rFonts w:ascii="宋体" w:hAnsi="宋体" w:hint="default"/>
      </w:rPr>
    </w:lvl>
    <w:lvl w:ilvl="5" w:tentative="1">
      <w:start w:val="1"/>
      <w:numFmt w:val="bullet"/>
      <w:lvlText w:val="•"/>
      <w:lvlJc w:val="left"/>
      <w:pPr>
        <w:tabs>
          <w:tab w:val="num" w:pos="4320"/>
        </w:tabs>
        <w:ind w:left="4320" w:hanging="360"/>
      </w:pPr>
      <w:rPr>
        <w:rFonts w:ascii="宋体" w:hAnsi="宋体" w:hint="default"/>
      </w:rPr>
    </w:lvl>
    <w:lvl w:ilvl="6" w:tentative="1">
      <w:start w:val="1"/>
      <w:numFmt w:val="bullet"/>
      <w:lvlText w:val="•"/>
      <w:lvlJc w:val="left"/>
      <w:pPr>
        <w:tabs>
          <w:tab w:val="num" w:pos="5040"/>
        </w:tabs>
        <w:ind w:left="5040" w:hanging="360"/>
      </w:pPr>
      <w:rPr>
        <w:rFonts w:ascii="宋体" w:hAnsi="宋体" w:hint="default"/>
      </w:rPr>
    </w:lvl>
    <w:lvl w:ilvl="7" w:tentative="1">
      <w:start w:val="1"/>
      <w:numFmt w:val="bullet"/>
      <w:lvlText w:val="•"/>
      <w:lvlJc w:val="left"/>
      <w:pPr>
        <w:tabs>
          <w:tab w:val="num" w:pos="5760"/>
        </w:tabs>
        <w:ind w:left="5760" w:hanging="360"/>
      </w:pPr>
      <w:rPr>
        <w:rFonts w:ascii="宋体" w:hAnsi="宋体" w:hint="default"/>
      </w:rPr>
    </w:lvl>
    <w:lvl w:ilvl="8" w:tentative="1">
      <w:start w:val="1"/>
      <w:numFmt w:val="bullet"/>
      <w:lvlText w:val="•"/>
      <w:lvlJc w:val="left"/>
      <w:pPr>
        <w:tabs>
          <w:tab w:val="num" w:pos="6480"/>
        </w:tabs>
        <w:ind w:left="6480" w:hanging="360"/>
      </w:pPr>
      <w:rPr>
        <w:rFonts w:ascii="宋体" w:hAnsi="宋体" w:hint="default"/>
      </w:rPr>
    </w:lvl>
  </w:abstractNum>
  <w:abstractNum w:abstractNumId="3">
    <w:nsid w:val="3ABC75FE"/>
    <w:multiLevelType w:val="multilevel"/>
    <w:tmpl w:val="27E001BA"/>
    <w:lvl w:ilvl="0">
      <w:start w:val="1"/>
      <w:numFmt w:val="none"/>
      <w:lvlJc w:val="left"/>
      <w:pPr>
        <w:ind w:left="425" w:hanging="137"/>
      </w:pPr>
      <w:rPr>
        <w:rFonts w:hint="eastAsia"/>
      </w:rPr>
    </w:lvl>
    <w:lvl w:ilvl="1">
      <w:start w:val="1"/>
      <w:numFmt w:val="none"/>
      <w:pStyle w:val="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4B3C7831"/>
    <w:multiLevelType w:val="hybridMultilevel"/>
    <w:tmpl w:val="A32C39F4"/>
    <w:lvl w:ilvl="0">
      <w:start w:val="1"/>
      <w:numFmt w:val="bullet"/>
      <w:lvlText w:val="•"/>
      <w:lvlJc w:val="left"/>
      <w:pPr>
        <w:tabs>
          <w:tab w:val="num" w:pos="720"/>
        </w:tabs>
        <w:ind w:left="720" w:hanging="360"/>
      </w:pPr>
      <w:rPr>
        <w:rFonts w:ascii="宋体" w:hAnsi="宋体" w:hint="default"/>
      </w:rPr>
    </w:lvl>
    <w:lvl w:ilvl="1" w:tentative="1">
      <w:start w:val="1"/>
      <w:numFmt w:val="bullet"/>
      <w:lvlText w:val="•"/>
      <w:lvlJc w:val="left"/>
      <w:pPr>
        <w:tabs>
          <w:tab w:val="num" w:pos="1440"/>
        </w:tabs>
        <w:ind w:left="1440" w:hanging="360"/>
      </w:pPr>
      <w:rPr>
        <w:rFonts w:ascii="宋体" w:hAnsi="宋体" w:hint="default"/>
      </w:rPr>
    </w:lvl>
    <w:lvl w:ilvl="2" w:tentative="1">
      <w:start w:val="1"/>
      <w:numFmt w:val="bullet"/>
      <w:lvlText w:val="•"/>
      <w:lvlJc w:val="left"/>
      <w:pPr>
        <w:tabs>
          <w:tab w:val="num" w:pos="2160"/>
        </w:tabs>
        <w:ind w:left="2160" w:hanging="360"/>
      </w:pPr>
      <w:rPr>
        <w:rFonts w:ascii="宋体" w:hAnsi="宋体" w:hint="default"/>
      </w:rPr>
    </w:lvl>
    <w:lvl w:ilvl="3" w:tentative="1">
      <w:start w:val="1"/>
      <w:numFmt w:val="bullet"/>
      <w:lvlText w:val="•"/>
      <w:lvlJc w:val="left"/>
      <w:pPr>
        <w:tabs>
          <w:tab w:val="num" w:pos="2880"/>
        </w:tabs>
        <w:ind w:left="2880" w:hanging="360"/>
      </w:pPr>
      <w:rPr>
        <w:rFonts w:ascii="宋体" w:hAnsi="宋体" w:hint="default"/>
      </w:rPr>
    </w:lvl>
    <w:lvl w:ilvl="4" w:tentative="1">
      <w:start w:val="1"/>
      <w:numFmt w:val="bullet"/>
      <w:lvlText w:val="•"/>
      <w:lvlJc w:val="left"/>
      <w:pPr>
        <w:tabs>
          <w:tab w:val="num" w:pos="3600"/>
        </w:tabs>
        <w:ind w:left="3600" w:hanging="360"/>
      </w:pPr>
      <w:rPr>
        <w:rFonts w:ascii="宋体" w:hAnsi="宋体" w:hint="default"/>
      </w:rPr>
    </w:lvl>
    <w:lvl w:ilvl="5" w:tentative="1">
      <w:start w:val="1"/>
      <w:numFmt w:val="bullet"/>
      <w:lvlText w:val="•"/>
      <w:lvlJc w:val="left"/>
      <w:pPr>
        <w:tabs>
          <w:tab w:val="num" w:pos="4320"/>
        </w:tabs>
        <w:ind w:left="4320" w:hanging="360"/>
      </w:pPr>
      <w:rPr>
        <w:rFonts w:ascii="宋体" w:hAnsi="宋体" w:hint="default"/>
      </w:rPr>
    </w:lvl>
    <w:lvl w:ilvl="6" w:tentative="1">
      <w:start w:val="1"/>
      <w:numFmt w:val="bullet"/>
      <w:lvlText w:val="•"/>
      <w:lvlJc w:val="left"/>
      <w:pPr>
        <w:tabs>
          <w:tab w:val="num" w:pos="5040"/>
        </w:tabs>
        <w:ind w:left="5040" w:hanging="360"/>
      </w:pPr>
      <w:rPr>
        <w:rFonts w:ascii="宋体" w:hAnsi="宋体" w:hint="default"/>
      </w:rPr>
    </w:lvl>
    <w:lvl w:ilvl="7" w:tentative="1">
      <w:start w:val="1"/>
      <w:numFmt w:val="bullet"/>
      <w:lvlText w:val="•"/>
      <w:lvlJc w:val="left"/>
      <w:pPr>
        <w:tabs>
          <w:tab w:val="num" w:pos="5760"/>
        </w:tabs>
        <w:ind w:left="5760" w:hanging="360"/>
      </w:pPr>
      <w:rPr>
        <w:rFonts w:ascii="宋体" w:hAnsi="宋体" w:hint="default"/>
      </w:rPr>
    </w:lvl>
    <w:lvl w:ilvl="8" w:tentative="1">
      <w:start w:val="1"/>
      <w:numFmt w:val="bullet"/>
      <w:lvlText w:val="•"/>
      <w:lvlJc w:val="left"/>
      <w:pPr>
        <w:tabs>
          <w:tab w:val="num" w:pos="6480"/>
        </w:tabs>
        <w:ind w:left="6480" w:hanging="360"/>
      </w:pPr>
      <w:rPr>
        <w:rFonts w:ascii="宋体" w:hAnsi="宋体" w:hint="default"/>
      </w:rPr>
    </w:lvl>
  </w:abstractNum>
  <w:abstractNum w:abstractNumId="5">
    <w:nsid w:val="5D9B4ABF"/>
    <w:multiLevelType w:val="hybridMultilevel"/>
    <w:tmpl w:val="92006FE8"/>
    <w:lvl w:ilvl="0">
      <w:start w:val="1"/>
      <w:numFmt w:val="bullet"/>
      <w:lvlText w:val="•"/>
      <w:lvlJc w:val="left"/>
      <w:pPr>
        <w:tabs>
          <w:tab w:val="num" w:pos="720"/>
        </w:tabs>
        <w:ind w:left="720" w:hanging="360"/>
      </w:pPr>
      <w:rPr>
        <w:rFonts w:ascii="宋体" w:hAnsi="宋体" w:hint="default"/>
      </w:rPr>
    </w:lvl>
    <w:lvl w:ilvl="1" w:tentative="1">
      <w:start w:val="1"/>
      <w:numFmt w:val="bullet"/>
      <w:lvlText w:val="•"/>
      <w:lvlJc w:val="left"/>
      <w:pPr>
        <w:tabs>
          <w:tab w:val="num" w:pos="1440"/>
        </w:tabs>
        <w:ind w:left="1440" w:hanging="360"/>
      </w:pPr>
      <w:rPr>
        <w:rFonts w:ascii="宋体" w:hAnsi="宋体" w:hint="default"/>
      </w:rPr>
    </w:lvl>
    <w:lvl w:ilvl="2" w:tentative="1">
      <w:start w:val="1"/>
      <w:numFmt w:val="bullet"/>
      <w:lvlText w:val="•"/>
      <w:lvlJc w:val="left"/>
      <w:pPr>
        <w:tabs>
          <w:tab w:val="num" w:pos="2160"/>
        </w:tabs>
        <w:ind w:left="2160" w:hanging="360"/>
      </w:pPr>
      <w:rPr>
        <w:rFonts w:ascii="宋体" w:hAnsi="宋体" w:hint="default"/>
      </w:rPr>
    </w:lvl>
    <w:lvl w:ilvl="3" w:tentative="1">
      <w:start w:val="1"/>
      <w:numFmt w:val="bullet"/>
      <w:lvlText w:val="•"/>
      <w:lvlJc w:val="left"/>
      <w:pPr>
        <w:tabs>
          <w:tab w:val="num" w:pos="2880"/>
        </w:tabs>
        <w:ind w:left="2880" w:hanging="360"/>
      </w:pPr>
      <w:rPr>
        <w:rFonts w:ascii="宋体" w:hAnsi="宋体" w:hint="default"/>
      </w:rPr>
    </w:lvl>
    <w:lvl w:ilvl="4" w:tentative="1">
      <w:start w:val="1"/>
      <w:numFmt w:val="bullet"/>
      <w:lvlText w:val="•"/>
      <w:lvlJc w:val="left"/>
      <w:pPr>
        <w:tabs>
          <w:tab w:val="num" w:pos="3600"/>
        </w:tabs>
        <w:ind w:left="3600" w:hanging="360"/>
      </w:pPr>
      <w:rPr>
        <w:rFonts w:ascii="宋体" w:hAnsi="宋体" w:hint="default"/>
      </w:rPr>
    </w:lvl>
    <w:lvl w:ilvl="5" w:tentative="1">
      <w:start w:val="1"/>
      <w:numFmt w:val="bullet"/>
      <w:lvlText w:val="•"/>
      <w:lvlJc w:val="left"/>
      <w:pPr>
        <w:tabs>
          <w:tab w:val="num" w:pos="4320"/>
        </w:tabs>
        <w:ind w:left="4320" w:hanging="360"/>
      </w:pPr>
      <w:rPr>
        <w:rFonts w:ascii="宋体" w:hAnsi="宋体" w:hint="default"/>
      </w:rPr>
    </w:lvl>
    <w:lvl w:ilvl="6" w:tentative="1">
      <w:start w:val="1"/>
      <w:numFmt w:val="bullet"/>
      <w:lvlText w:val="•"/>
      <w:lvlJc w:val="left"/>
      <w:pPr>
        <w:tabs>
          <w:tab w:val="num" w:pos="5040"/>
        </w:tabs>
        <w:ind w:left="5040" w:hanging="360"/>
      </w:pPr>
      <w:rPr>
        <w:rFonts w:ascii="宋体" w:hAnsi="宋体" w:hint="default"/>
      </w:rPr>
    </w:lvl>
    <w:lvl w:ilvl="7" w:tentative="1">
      <w:start w:val="1"/>
      <w:numFmt w:val="bullet"/>
      <w:lvlText w:val="•"/>
      <w:lvlJc w:val="left"/>
      <w:pPr>
        <w:tabs>
          <w:tab w:val="num" w:pos="5760"/>
        </w:tabs>
        <w:ind w:left="5760" w:hanging="360"/>
      </w:pPr>
      <w:rPr>
        <w:rFonts w:ascii="宋体" w:hAnsi="宋体" w:hint="default"/>
      </w:rPr>
    </w:lvl>
    <w:lvl w:ilvl="8" w:tentative="1">
      <w:start w:val="1"/>
      <w:numFmt w:val="bullet"/>
      <w:lvlText w:val="•"/>
      <w:lvlJc w:val="left"/>
      <w:pPr>
        <w:tabs>
          <w:tab w:val="num" w:pos="6480"/>
        </w:tabs>
        <w:ind w:left="6480" w:hanging="360"/>
      </w:pPr>
      <w:rPr>
        <w:rFonts w:ascii="宋体" w:hAnsi="宋体" w:hint="default"/>
      </w:rPr>
    </w:lvl>
  </w:abstractNum>
  <w:abstractNum w:abstractNumId="6">
    <w:nsid w:val="77B059F4"/>
    <w:multiLevelType w:val="hybridMultilevel"/>
    <w:tmpl w:val="2FFC3A16"/>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7">
    <w:nsid w:val="7A36371D"/>
    <w:multiLevelType w:val="multilevel"/>
    <w:tmpl w:val="0E16BC86"/>
    <w:lvl w:ilvl="0">
      <w:start w:val="1"/>
      <w:numFmt w:val="none"/>
      <w:pStyle w:val="1"/>
      <w:lvlJc w:val="center"/>
      <w:pPr>
        <w:ind w:left="425" w:hanging="137"/>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7AF71A50"/>
    <w:multiLevelType w:val="hybridMultilevel"/>
    <w:tmpl w:val="68A84C3E"/>
    <w:lvl w:ilvl="0">
      <w:start w:val="1"/>
      <w:numFmt w:val="bullet"/>
      <w:lvlText w:val="•"/>
      <w:lvlJc w:val="left"/>
      <w:pPr>
        <w:tabs>
          <w:tab w:val="num" w:pos="720"/>
        </w:tabs>
        <w:ind w:left="720" w:hanging="360"/>
      </w:pPr>
      <w:rPr>
        <w:rFonts w:ascii="宋体" w:hAnsi="宋体" w:hint="default"/>
      </w:rPr>
    </w:lvl>
    <w:lvl w:ilvl="1" w:tentative="1">
      <w:start w:val="1"/>
      <w:numFmt w:val="bullet"/>
      <w:lvlText w:val="•"/>
      <w:lvlJc w:val="left"/>
      <w:pPr>
        <w:tabs>
          <w:tab w:val="num" w:pos="1440"/>
        </w:tabs>
        <w:ind w:left="1440" w:hanging="360"/>
      </w:pPr>
      <w:rPr>
        <w:rFonts w:ascii="宋体" w:hAnsi="宋体" w:hint="default"/>
      </w:rPr>
    </w:lvl>
    <w:lvl w:ilvl="2" w:tentative="1">
      <w:start w:val="1"/>
      <w:numFmt w:val="bullet"/>
      <w:lvlText w:val="•"/>
      <w:lvlJc w:val="left"/>
      <w:pPr>
        <w:tabs>
          <w:tab w:val="num" w:pos="2160"/>
        </w:tabs>
        <w:ind w:left="2160" w:hanging="360"/>
      </w:pPr>
      <w:rPr>
        <w:rFonts w:ascii="宋体" w:hAnsi="宋体" w:hint="default"/>
      </w:rPr>
    </w:lvl>
    <w:lvl w:ilvl="3" w:tentative="1">
      <w:start w:val="1"/>
      <w:numFmt w:val="bullet"/>
      <w:lvlText w:val="•"/>
      <w:lvlJc w:val="left"/>
      <w:pPr>
        <w:tabs>
          <w:tab w:val="num" w:pos="2880"/>
        </w:tabs>
        <w:ind w:left="2880" w:hanging="360"/>
      </w:pPr>
      <w:rPr>
        <w:rFonts w:ascii="宋体" w:hAnsi="宋体" w:hint="default"/>
      </w:rPr>
    </w:lvl>
    <w:lvl w:ilvl="4" w:tentative="1">
      <w:start w:val="1"/>
      <w:numFmt w:val="bullet"/>
      <w:lvlText w:val="•"/>
      <w:lvlJc w:val="left"/>
      <w:pPr>
        <w:tabs>
          <w:tab w:val="num" w:pos="3600"/>
        </w:tabs>
        <w:ind w:left="3600" w:hanging="360"/>
      </w:pPr>
      <w:rPr>
        <w:rFonts w:ascii="宋体" w:hAnsi="宋体" w:hint="default"/>
      </w:rPr>
    </w:lvl>
    <w:lvl w:ilvl="5" w:tentative="1">
      <w:start w:val="1"/>
      <w:numFmt w:val="bullet"/>
      <w:lvlText w:val="•"/>
      <w:lvlJc w:val="left"/>
      <w:pPr>
        <w:tabs>
          <w:tab w:val="num" w:pos="4320"/>
        </w:tabs>
        <w:ind w:left="4320" w:hanging="360"/>
      </w:pPr>
      <w:rPr>
        <w:rFonts w:ascii="宋体" w:hAnsi="宋体" w:hint="default"/>
      </w:rPr>
    </w:lvl>
    <w:lvl w:ilvl="6" w:tentative="1">
      <w:start w:val="1"/>
      <w:numFmt w:val="bullet"/>
      <w:lvlText w:val="•"/>
      <w:lvlJc w:val="left"/>
      <w:pPr>
        <w:tabs>
          <w:tab w:val="num" w:pos="5040"/>
        </w:tabs>
        <w:ind w:left="5040" w:hanging="360"/>
      </w:pPr>
      <w:rPr>
        <w:rFonts w:ascii="宋体" w:hAnsi="宋体" w:hint="default"/>
      </w:rPr>
    </w:lvl>
    <w:lvl w:ilvl="7" w:tentative="1">
      <w:start w:val="1"/>
      <w:numFmt w:val="bullet"/>
      <w:lvlText w:val="•"/>
      <w:lvlJc w:val="left"/>
      <w:pPr>
        <w:tabs>
          <w:tab w:val="num" w:pos="5760"/>
        </w:tabs>
        <w:ind w:left="5760" w:hanging="360"/>
      </w:pPr>
      <w:rPr>
        <w:rFonts w:ascii="宋体" w:hAnsi="宋体" w:hint="default"/>
      </w:rPr>
    </w:lvl>
    <w:lvl w:ilvl="8" w:tentative="1">
      <w:start w:val="1"/>
      <w:numFmt w:val="bullet"/>
      <w:lvlText w:val="•"/>
      <w:lvlJc w:val="left"/>
      <w:pPr>
        <w:tabs>
          <w:tab w:val="num" w:pos="6480"/>
        </w:tabs>
        <w:ind w:left="6480" w:hanging="360"/>
      </w:pPr>
      <w:rPr>
        <w:rFonts w:ascii="宋体" w:hAnsi="宋体" w:hint="default"/>
      </w:rPr>
    </w:lvl>
  </w:abstractNum>
  <w:num w:numId="1">
    <w:abstractNumId w:val="4"/>
  </w:num>
  <w:num w:numId="2">
    <w:abstractNumId w:val="1"/>
  </w:num>
  <w:num w:numId="3">
    <w:abstractNumId w:val="8"/>
  </w:num>
  <w:num w:numId="4">
    <w:abstractNumId w:val="5"/>
  </w:num>
  <w:num w:numId="5">
    <w:abstractNumId w:val="2"/>
  </w:num>
  <w:num w:numId="6">
    <w:abstractNumId w:val="6"/>
  </w:num>
  <w:num w:numId="7">
    <w:abstractNumId w:val="7"/>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C1C"/>
    <w:rsid w:val="000820D1"/>
    <w:rsid w:val="000B1405"/>
    <w:rsid w:val="00192AC3"/>
    <w:rsid w:val="00236B59"/>
    <w:rsid w:val="00300E29"/>
    <w:rsid w:val="003E4909"/>
    <w:rsid w:val="004D7238"/>
    <w:rsid w:val="00511ABE"/>
    <w:rsid w:val="0053221B"/>
    <w:rsid w:val="00545F56"/>
    <w:rsid w:val="00552B87"/>
    <w:rsid w:val="00586EF6"/>
    <w:rsid w:val="005D0134"/>
    <w:rsid w:val="0063133B"/>
    <w:rsid w:val="006435D3"/>
    <w:rsid w:val="006C2208"/>
    <w:rsid w:val="006F34F0"/>
    <w:rsid w:val="00712743"/>
    <w:rsid w:val="00795F24"/>
    <w:rsid w:val="007D2F94"/>
    <w:rsid w:val="007D651B"/>
    <w:rsid w:val="007F02B2"/>
    <w:rsid w:val="007F3A96"/>
    <w:rsid w:val="008543D0"/>
    <w:rsid w:val="00876696"/>
    <w:rsid w:val="008F6997"/>
    <w:rsid w:val="00923F9A"/>
    <w:rsid w:val="00962B30"/>
    <w:rsid w:val="009D460F"/>
    <w:rsid w:val="00A01B6E"/>
    <w:rsid w:val="00A2375E"/>
    <w:rsid w:val="00A62431"/>
    <w:rsid w:val="00A71547"/>
    <w:rsid w:val="00AD4737"/>
    <w:rsid w:val="00BB536D"/>
    <w:rsid w:val="00BC475F"/>
    <w:rsid w:val="00C11547"/>
    <w:rsid w:val="00C56D33"/>
    <w:rsid w:val="00C7233B"/>
    <w:rsid w:val="00C81A15"/>
    <w:rsid w:val="00D05C1C"/>
    <w:rsid w:val="00D23D1A"/>
    <w:rsid w:val="00D64832"/>
    <w:rsid w:val="00DB6398"/>
    <w:rsid w:val="00E13AC4"/>
    <w:rsid w:val="00E433BE"/>
    <w:rsid w:val="00EE7027"/>
    <w:rsid w:val="00EF7CB7"/>
    <w:rsid w:val="00F662A0"/>
    <w:rsid w:val="00FB0296"/>
    <w:rsid w:val="00FB241F"/>
    <w:rsid w:val="00FE4C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398"/>
    <w:pPr>
      <w:widowControl w:val="0"/>
      <w:jc w:val="both"/>
    </w:pPr>
  </w:style>
  <w:style w:type="paragraph" w:styleId="Heading1">
    <w:name w:val="heading 1"/>
    <w:basedOn w:val="Normal"/>
    <w:next w:val="Normal"/>
    <w:link w:val="1Char"/>
    <w:uiPriority w:val="9"/>
    <w:qFormat/>
    <w:rsid w:val="00DB6398"/>
    <w:pPr>
      <w:keepNext/>
      <w:keepLines/>
      <w:spacing w:before="340" w:after="330" w:line="578" w:lineRule="auto"/>
      <w:outlineLvl w:val="0"/>
    </w:pPr>
    <w:rPr>
      <w:b/>
      <w:bCs/>
      <w:kern w:val="44"/>
      <w:sz w:val="44"/>
      <w:szCs w:val="44"/>
    </w:rPr>
  </w:style>
  <w:style w:type="paragraph" w:styleId="Heading2">
    <w:name w:val="heading 2"/>
    <w:basedOn w:val="Normal"/>
    <w:link w:val="2Char"/>
    <w:uiPriority w:val="9"/>
    <w:qFormat/>
    <w:rsid w:val="00DB639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DB63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B6398"/>
    <w:rPr>
      <w:sz w:val="18"/>
      <w:szCs w:val="18"/>
    </w:rPr>
  </w:style>
  <w:style w:type="paragraph" w:styleId="Footer">
    <w:name w:val="footer"/>
    <w:basedOn w:val="Normal"/>
    <w:link w:val="Char0"/>
    <w:uiPriority w:val="99"/>
    <w:unhideWhenUsed/>
    <w:rsid w:val="00DB639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qFormat/>
    <w:rsid w:val="00DB6398"/>
    <w:rPr>
      <w:sz w:val="18"/>
      <w:szCs w:val="18"/>
    </w:rPr>
  </w:style>
  <w:style w:type="character" w:customStyle="1" w:styleId="1Char">
    <w:name w:val="标题 1 Char"/>
    <w:basedOn w:val="DefaultParagraphFont"/>
    <w:link w:val="Heading1"/>
    <w:uiPriority w:val="9"/>
    <w:rsid w:val="00DB6398"/>
    <w:rPr>
      <w:b/>
      <w:bCs/>
      <w:kern w:val="44"/>
      <w:sz w:val="44"/>
      <w:szCs w:val="44"/>
    </w:rPr>
  </w:style>
  <w:style w:type="character" w:customStyle="1" w:styleId="2Char">
    <w:name w:val="标题 2 Char"/>
    <w:basedOn w:val="DefaultParagraphFont"/>
    <w:link w:val="Heading2"/>
    <w:uiPriority w:val="9"/>
    <w:rsid w:val="00DB6398"/>
    <w:rPr>
      <w:rFonts w:ascii="宋体" w:eastAsia="宋体" w:hAnsi="宋体" w:cs="宋体"/>
      <w:b/>
      <w:bCs/>
      <w:kern w:val="0"/>
      <w:sz w:val="36"/>
      <w:szCs w:val="36"/>
    </w:rPr>
  </w:style>
  <w:style w:type="paragraph" w:styleId="BalloonText">
    <w:name w:val="Balloon Text"/>
    <w:basedOn w:val="Normal"/>
    <w:link w:val="Char1"/>
    <w:uiPriority w:val="99"/>
    <w:semiHidden/>
    <w:unhideWhenUsed/>
    <w:rsid w:val="00DB6398"/>
    <w:rPr>
      <w:sz w:val="18"/>
      <w:szCs w:val="18"/>
    </w:rPr>
  </w:style>
  <w:style w:type="character" w:customStyle="1" w:styleId="Char1">
    <w:name w:val="批注框文本 Char"/>
    <w:basedOn w:val="DefaultParagraphFont"/>
    <w:link w:val="BalloonText"/>
    <w:uiPriority w:val="99"/>
    <w:semiHidden/>
    <w:rsid w:val="00DB6398"/>
    <w:rPr>
      <w:sz w:val="18"/>
      <w:szCs w:val="18"/>
    </w:rPr>
  </w:style>
  <w:style w:type="table" w:styleId="TableGrid">
    <w:name w:val="Table Grid"/>
    <w:basedOn w:val="TableNormal"/>
    <w:uiPriority w:val="59"/>
    <w:rsid w:val="00DB63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DB6398"/>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DB6398"/>
    <w:rPr>
      <w:color w:val="808080"/>
    </w:rPr>
  </w:style>
  <w:style w:type="paragraph" w:styleId="ListParagraph">
    <w:name w:val="List Paragraph"/>
    <w:basedOn w:val="Normal"/>
    <w:uiPriority w:val="34"/>
    <w:qFormat/>
    <w:rsid w:val="00DB6398"/>
    <w:pPr>
      <w:ind w:firstLine="420" w:firstLineChars="200"/>
    </w:pPr>
  </w:style>
  <w:style w:type="paragraph" w:styleId="NoSpacing">
    <w:name w:val="No Spacing"/>
    <w:uiPriority w:val="1"/>
    <w:qFormat/>
    <w:rsid w:val="00DB6398"/>
    <w:pPr>
      <w:widowControl w:val="0"/>
      <w:jc w:val="both"/>
    </w:pPr>
  </w:style>
  <w:style w:type="character" w:styleId="CommentReference">
    <w:name w:val="annotation reference"/>
    <w:basedOn w:val="DefaultParagraphFont"/>
    <w:uiPriority w:val="99"/>
    <w:semiHidden/>
    <w:unhideWhenUsed/>
    <w:rsid w:val="00DB6398"/>
    <w:rPr>
      <w:sz w:val="21"/>
      <w:szCs w:val="21"/>
    </w:rPr>
  </w:style>
  <w:style w:type="paragraph" w:styleId="CommentText">
    <w:name w:val="annotation text"/>
    <w:basedOn w:val="Normal"/>
    <w:link w:val="Char2"/>
    <w:uiPriority w:val="99"/>
    <w:semiHidden/>
    <w:unhideWhenUsed/>
    <w:rsid w:val="00DB6398"/>
    <w:pPr>
      <w:jc w:val="left"/>
    </w:pPr>
  </w:style>
  <w:style w:type="character" w:customStyle="1" w:styleId="Char2">
    <w:name w:val="批注文字 Char"/>
    <w:basedOn w:val="DefaultParagraphFont"/>
    <w:link w:val="CommentText"/>
    <w:uiPriority w:val="99"/>
    <w:semiHidden/>
    <w:rsid w:val="00DB6398"/>
  </w:style>
  <w:style w:type="paragraph" w:styleId="CommentSubject">
    <w:name w:val="annotation subject"/>
    <w:basedOn w:val="CommentText"/>
    <w:next w:val="CommentText"/>
    <w:link w:val="Char3"/>
    <w:uiPriority w:val="99"/>
    <w:semiHidden/>
    <w:unhideWhenUsed/>
    <w:rsid w:val="00DB6398"/>
    <w:rPr>
      <w:b/>
      <w:bCs/>
    </w:rPr>
  </w:style>
  <w:style w:type="character" w:customStyle="1" w:styleId="Char3">
    <w:name w:val="批注主题 Char"/>
    <w:basedOn w:val="Char2"/>
    <w:link w:val="CommentSubject"/>
    <w:uiPriority w:val="99"/>
    <w:semiHidden/>
    <w:rsid w:val="00DB6398"/>
    <w:rPr>
      <w:b/>
      <w:bCs/>
    </w:rPr>
  </w:style>
  <w:style w:type="table" w:styleId="LightShadingAccent1">
    <w:name w:val="Light Shading Accent 1"/>
    <w:basedOn w:val="TableNormal"/>
    <w:uiPriority w:val="60"/>
    <w:rsid w:val="00DB6398"/>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FootnoteText">
    <w:name w:val="footnote text"/>
    <w:basedOn w:val="Normal"/>
    <w:link w:val="Char4"/>
    <w:uiPriority w:val="99"/>
    <w:semiHidden/>
    <w:unhideWhenUsed/>
    <w:rsid w:val="00DB6398"/>
    <w:pPr>
      <w:snapToGrid w:val="0"/>
      <w:jc w:val="left"/>
    </w:pPr>
    <w:rPr>
      <w:sz w:val="18"/>
      <w:szCs w:val="18"/>
    </w:rPr>
  </w:style>
  <w:style w:type="character" w:customStyle="1" w:styleId="Char4">
    <w:name w:val="脚注文本 Char"/>
    <w:basedOn w:val="DefaultParagraphFont"/>
    <w:link w:val="FootnoteText"/>
    <w:uiPriority w:val="99"/>
    <w:semiHidden/>
    <w:rsid w:val="00DB6398"/>
    <w:rPr>
      <w:sz w:val="18"/>
      <w:szCs w:val="18"/>
    </w:rPr>
  </w:style>
  <w:style w:type="character" w:styleId="FootnoteReference">
    <w:name w:val="footnote reference"/>
    <w:basedOn w:val="DefaultParagraphFont"/>
    <w:uiPriority w:val="99"/>
    <w:semiHidden/>
    <w:unhideWhenUsed/>
    <w:rsid w:val="00DB6398"/>
    <w:rPr>
      <w:vertAlign w:val="superscript"/>
    </w:rPr>
  </w:style>
  <w:style w:type="paragraph" w:styleId="EndnoteText">
    <w:name w:val="endnote text"/>
    <w:basedOn w:val="Normal"/>
    <w:link w:val="Char5"/>
    <w:uiPriority w:val="99"/>
    <w:semiHidden/>
    <w:unhideWhenUsed/>
    <w:rsid w:val="00DB6398"/>
    <w:pPr>
      <w:snapToGrid w:val="0"/>
      <w:jc w:val="left"/>
    </w:pPr>
  </w:style>
  <w:style w:type="character" w:customStyle="1" w:styleId="Char5">
    <w:name w:val="尾注文本 Char"/>
    <w:basedOn w:val="DefaultParagraphFont"/>
    <w:link w:val="EndnoteText"/>
    <w:uiPriority w:val="99"/>
    <w:semiHidden/>
    <w:rsid w:val="00DB6398"/>
  </w:style>
  <w:style w:type="character" w:styleId="EndnoteReference">
    <w:name w:val="endnote reference"/>
    <w:basedOn w:val="DefaultParagraphFont"/>
    <w:uiPriority w:val="99"/>
    <w:semiHidden/>
    <w:unhideWhenUsed/>
    <w:rsid w:val="00DB6398"/>
    <w:rPr>
      <w:vertAlign w:val="superscript"/>
    </w:rPr>
  </w:style>
  <w:style w:type="paragraph" w:styleId="NormalWeb">
    <w:name w:val="Normal (Web)"/>
    <w:basedOn w:val="Normal"/>
    <w:uiPriority w:val="99"/>
    <w:unhideWhenUsed/>
    <w:rsid w:val="00DB6398"/>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unhideWhenUsed/>
    <w:rsid w:val="00DB6398"/>
    <w:rPr>
      <w:color w:val="0000FF"/>
      <w:u w:val="single"/>
    </w:rPr>
  </w:style>
  <w:style w:type="character" w:customStyle="1" w:styleId="apple-converted-space">
    <w:name w:val="apple-converted-space"/>
    <w:basedOn w:val="DefaultParagraphFont"/>
    <w:rsid w:val="00DB6398"/>
  </w:style>
  <w:style w:type="paragraph" w:styleId="TOCHeading">
    <w:name w:val="TOC Heading"/>
    <w:basedOn w:val="Heading1"/>
    <w:next w:val="Normal"/>
    <w:uiPriority w:val="39"/>
    <w:semiHidden/>
    <w:unhideWhenUsed/>
    <w:qFormat/>
    <w:rsid w:val="00DB639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2">
    <w:name w:val="toc 2"/>
    <w:basedOn w:val="Normal"/>
    <w:next w:val="Normal"/>
    <w:autoRedefine/>
    <w:uiPriority w:val="39"/>
    <w:unhideWhenUsed/>
    <w:qFormat/>
    <w:rsid w:val="00DB6398"/>
    <w:pPr>
      <w:widowControl/>
      <w:spacing w:after="100" w:line="276" w:lineRule="auto"/>
      <w:ind w:left="220"/>
      <w:jc w:val="left"/>
    </w:pPr>
    <w:rPr>
      <w:kern w:val="0"/>
      <w:sz w:val="22"/>
    </w:rPr>
  </w:style>
  <w:style w:type="paragraph" w:styleId="TOC1">
    <w:name w:val="toc 1"/>
    <w:basedOn w:val="Normal"/>
    <w:next w:val="Normal"/>
    <w:autoRedefine/>
    <w:uiPriority w:val="39"/>
    <w:unhideWhenUsed/>
    <w:qFormat/>
    <w:rsid w:val="00DB6398"/>
    <w:pPr>
      <w:widowControl/>
      <w:tabs>
        <w:tab w:val="right" w:leader="dot" w:pos="8494"/>
      </w:tabs>
      <w:spacing w:after="100" w:line="276" w:lineRule="auto"/>
      <w:jc w:val="left"/>
    </w:pPr>
    <w:rPr>
      <w:noProof/>
      <w:kern w:val="0"/>
      <w:sz w:val="22"/>
    </w:rPr>
  </w:style>
  <w:style w:type="paragraph" w:styleId="TOC3">
    <w:name w:val="toc 3"/>
    <w:basedOn w:val="Normal"/>
    <w:next w:val="Normal"/>
    <w:autoRedefine/>
    <w:uiPriority w:val="39"/>
    <w:unhideWhenUsed/>
    <w:qFormat/>
    <w:rsid w:val="00DB6398"/>
    <w:pPr>
      <w:widowControl/>
      <w:spacing w:after="100" w:line="276" w:lineRule="auto"/>
      <w:ind w:left="440"/>
      <w:jc w:val="left"/>
    </w:pPr>
    <w:rPr>
      <w:kern w:val="0"/>
      <w:sz w:val="22"/>
    </w:rPr>
  </w:style>
  <w:style w:type="paragraph" w:customStyle="1" w:styleId="1">
    <w:name w:val="样式1"/>
    <w:basedOn w:val="Normal"/>
    <w:link w:val="1Char0"/>
    <w:qFormat/>
    <w:rsid w:val="00DB6398"/>
    <w:pPr>
      <w:numPr>
        <w:numId w:val="7"/>
      </w:numPr>
      <w:tabs>
        <w:tab w:val="left" w:pos="1725"/>
        <w:tab w:val="center" w:pos="4252"/>
      </w:tabs>
      <w:spacing w:before="936" w:beforeLines="300" w:after="624" w:afterLines="200" w:line="360" w:lineRule="auto"/>
      <w:jc w:val="left"/>
    </w:pPr>
    <w:rPr>
      <w:rFonts w:ascii="华文中宋" w:eastAsia="华文中宋" w:hAnsi="华文中宋"/>
      <w:b/>
      <w:sz w:val="44"/>
      <w:szCs w:val="44"/>
    </w:rPr>
  </w:style>
  <w:style w:type="paragraph" w:customStyle="1" w:styleId="2">
    <w:name w:val="样式2"/>
    <w:basedOn w:val="Normal"/>
    <w:link w:val="2Char0"/>
    <w:qFormat/>
    <w:rsid w:val="00DB6398"/>
    <w:pPr>
      <w:numPr>
        <w:ilvl w:val="1"/>
        <w:numId w:val="8"/>
      </w:numPr>
      <w:spacing w:before="312" w:beforeLines="100" w:after="312" w:afterLines="100" w:line="360" w:lineRule="auto"/>
      <w:jc w:val="left"/>
    </w:pPr>
    <w:rPr>
      <w:rFonts w:ascii="黑体" w:eastAsia="黑体" w:hAnsi="黑体"/>
      <w:b/>
      <w:sz w:val="30"/>
      <w:szCs w:val="30"/>
    </w:rPr>
  </w:style>
  <w:style w:type="character" w:customStyle="1" w:styleId="1Char0">
    <w:name w:val="样式1 Char"/>
    <w:basedOn w:val="DefaultParagraphFont"/>
    <w:link w:val="1"/>
    <w:rsid w:val="00DB6398"/>
    <w:rPr>
      <w:rFonts w:ascii="华文中宋" w:eastAsia="华文中宋" w:hAnsi="华文中宋"/>
      <w:b/>
      <w:sz w:val="44"/>
      <w:szCs w:val="44"/>
    </w:rPr>
  </w:style>
  <w:style w:type="paragraph" w:customStyle="1" w:styleId="3">
    <w:name w:val="样式3"/>
    <w:basedOn w:val="Normal"/>
    <w:link w:val="3Char"/>
    <w:qFormat/>
    <w:rsid w:val="00DB6398"/>
    <w:pPr>
      <w:numPr>
        <w:ilvl w:val="2"/>
        <w:numId w:val="9"/>
      </w:numPr>
      <w:spacing w:before="312" w:beforeLines="100" w:after="312" w:afterLines="100" w:line="360" w:lineRule="auto"/>
      <w:jc w:val="left"/>
    </w:pPr>
    <w:rPr>
      <w:rFonts w:ascii="黑体" w:eastAsia="黑体" w:hAnsi="黑体"/>
      <w:b/>
      <w:sz w:val="24"/>
      <w:szCs w:val="24"/>
    </w:rPr>
  </w:style>
  <w:style w:type="character" w:customStyle="1" w:styleId="2Char0">
    <w:name w:val="样式2 Char"/>
    <w:basedOn w:val="DefaultParagraphFont"/>
    <w:link w:val="2"/>
    <w:rsid w:val="00DB6398"/>
    <w:rPr>
      <w:rFonts w:ascii="黑体" w:eastAsia="黑体" w:hAnsi="黑体"/>
      <w:b/>
      <w:sz w:val="30"/>
      <w:szCs w:val="30"/>
    </w:rPr>
  </w:style>
  <w:style w:type="character" w:customStyle="1" w:styleId="3Char">
    <w:name w:val="样式3 Char"/>
    <w:basedOn w:val="DefaultParagraphFont"/>
    <w:link w:val="3"/>
    <w:rsid w:val="00DB6398"/>
    <w:rPr>
      <w:rFonts w:ascii="黑体" w:eastAsia="黑体" w:hAnsi="黑体"/>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518055037134006034"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2921</Words>
  <Characters>16656</Characters>
  <Application>Microsoft Office Word</Application>
  <DocSecurity>0</DocSecurity>
  <Lines>138</Lines>
  <Paragraphs>39</Paragraphs>
  <ScaleCrop>false</ScaleCrop>
  <Company>Microsoft</Company>
  <LinksUpToDate>false</LinksUpToDate>
  <CharactersWithSpaces>19538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dcterms:created xsi:type="dcterms:W3CDTF">2020-04-01T14:36:00Z</dcterms:created>
  <dcterms:modified xsi:type="dcterms:W3CDTF">2020-04-01T14:38:00Z</dcterms:modified>
</cp:coreProperties>
</file>