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D2B17" w:rsidP="007D2B17" w14:paraId="40F74371" w14:textId="77777777">
      <w:pPr>
        <w:spacing w:before="48" w:beforeLines="20" w:after="360" w:afterLines="150" w:line="360" w:lineRule="auto"/>
        <w:jc w:val="center"/>
        <w:rPr>
          <w:rFonts w:ascii="华文中宋" w:eastAsia="华文中宋" w:hAnsi="华文中宋"/>
          <w:b/>
          <w:sz w:val="30"/>
        </w:rPr>
      </w:pPr>
      <w:r w:rsidRPr="007D2B17">
        <w:rPr>
          <w:rFonts w:ascii="华文中宋" w:eastAsia="华文中宋" w:hAnsi="华文中宋"/>
          <w:b/>
          <w:sz w:val="30"/>
        </w:rPr>
        <w:t>2024</w:t>
      </w:r>
      <w:r w:rsidRPr="007D2B17">
        <w:rPr>
          <w:rFonts w:ascii="华文中宋" w:eastAsia="华文中宋" w:hAnsi="华文中宋"/>
          <w:b/>
          <w:sz w:val="30"/>
        </w:rPr>
        <w:t>年四川嘉陵江滨水文化发展股份有限公司人员招聘考试题库及答案解析</w:t>
      </w:r>
    </w:p>
    <w:p w:rsidR="00A77B3E" w14:paraId="68E31EB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1D4191" w14:textId="77777777">
      <w:pPr>
        <w:spacing w:after="260" w:line="360" w:lineRule="auto"/>
      </w:pPr>
      <w:r>
        <w:rPr>
          <w:rFonts w:eastAsia="微软雅黑" w:cs="宋体"/>
          <w:b/>
        </w:rPr>
        <w:t>一、言语理解与表达</w:t>
      </w:r>
    </w:p>
    <w:p w:rsidR="003F588C" w14:paraId="39694C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阅读传统的纸质图书时，文字本身不会移动，可以让人平心静气，但在电脑屏幕前阅读时，鼠标点击和滚屏不可避免地会打断人的注意力，让人很难对文字进行全面把握，令人失去耐心。此外，手指在触摸纸张和显示屏对大脑的感知区域的刺激也完全不同。前者更有助于激发人的潜意识，帮助人深入理解文字之美，而不仅仅止步于获取信息。</w:t>
      </w:r>
    </w:p>
    <w:p w:rsidR="003F588C" w14:paraId="17ADF7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这段文字主要介绍的是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80B7D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、传统的纸质图书具有难以替代的优势</w:t>
      </w:r>
    </w:p>
    <w:p w:rsidR="003F588C" w14:paraId="3BE626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、传统的阅读方式更有助于大脑的开发</w:t>
      </w:r>
    </w:p>
    <w:p w:rsidR="003F588C" w14:paraId="075EB3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、获取信息并非阅读的主要目的</w:t>
      </w:r>
    </w:p>
    <w:p w:rsidR="003F588C" w14:paraId="570F2F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、使用电脑阅读给全面理解文意带来诸多障碍</w:t>
      </w:r>
    </w:p>
    <w:p w:rsidR="003F588C" w14:paraId="7CA618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B183F8E"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项正确，由文段可知，与在电脑屏幕前阅读相比，阅读传统纸质图书具有的优点有：①可以让人平心静气</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②有助于激发人的潜意识，帮助人理解文字之美</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项错误，文中只是“激发人的潜意识”而不是“大脑的开发”，而且后者范围过大</w:t>
      </w:r>
      <w:r w:rsidRPr="003F588C">
        <w:rPr>
          <w:rFonts w:ascii="Times New Roman" w:eastAsia="微软雅黑" w:hAnsi="微软雅黑" w:cs="宋体" w:hint="eastAsia"/>
          <w:szCs w:val="18"/>
        </w:rPr>
        <w:t>;C</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项错误，由“不仅仅止步于获取信息”可知，文中强调在获取信息之余有更进一步的收</w:t>
      </w:r>
      <w:r w:rsidRPr="003F588C">
        <w:rPr>
          <w:rFonts w:ascii="Times New Roman" w:eastAsia="微软雅黑" w:hAnsi="微软雅黑" w:cs="宋体" w:hint="eastAsia"/>
          <w:szCs w:val="18"/>
        </w:rPr>
        <w:t>获，而不是说“获取信息并非阅读的主要目的”</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项错误，文中只涉及阅读纸质图书有助于理解，并不能说电脑阅读带来理解障碍，而且文中“理解文字之美”，和理解文意不是一个层面。故选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C4AE8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在现实中的卢浮宫，你需要在蒙娜丽莎的外围等上数十分钟，才能凑近那发黄的小画看上片刻。虚拟博物馆此时就可以发挥效用：攒动的人潮没有了，距离没有了，推到眼前的只有高度还原的展厅景观和</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亿像素无限细腻的细节和质感。而博物馆虽然有丰富的馆藏和长期列展，但因为空间有限，并不会将所有作品同时展示在展厅里，但在数字展厅，那些难得一见的艺术品你都可以随时观览。</w:t>
      </w:r>
    </w:p>
    <w:p w:rsidR="003F588C" w14:paraId="20BCCBE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这段文字主要介绍了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5E6F8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、数字博物馆的优势</w:t>
      </w:r>
    </w:p>
    <w:p w:rsidR="003F588C" w14:paraId="08DAAD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、博物馆的未来发展方向</w:t>
      </w:r>
    </w:p>
    <w:p w:rsidR="003F588C" w14:paraId="483E73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、传统博物馆的技术局限</w:t>
      </w:r>
    </w:p>
    <w:p w:rsidR="003F588C" w14:paraId="1EF2D5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、建设数字博物馆的重要性</w:t>
      </w:r>
    </w:p>
    <w:p w:rsidR="003F588C" w14:paraId="64E5CC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5EEF324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文段的主体是数字虚拟博物馆，通过对比传统博物馆和数字虚拟博物馆的对比，来突出数字虚拟博物馆比传统博物馆更时效、便捷的优势。故选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196800FF"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种子，如果害怕</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，那它永远不能发芽。鲜花，如果害怕</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，那它永远不能开放。矿石，如果害怕</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，那它永远不能成钢。航船，如果害怕风浪，那它永远不能到达彼岸。</w:t>
      </w:r>
    </w:p>
    <w:p w:rsidR="003F588C" w14:paraId="45FAE3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4E8D8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、埋藏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凋零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燃烧</w:t>
      </w:r>
    </w:p>
    <w:p w:rsidR="003F588C" w14:paraId="33BC4E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、掩埋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凋落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烧毁</w:t>
      </w:r>
    </w:p>
    <w:p w:rsidR="003F588C" w14:paraId="5A2853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、凋谢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埋没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焚烧</w:t>
      </w:r>
    </w:p>
    <w:p w:rsidR="003F588C" w14:paraId="5810DE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、埋没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凋谢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焚烧</w:t>
      </w:r>
    </w:p>
    <w:p w:rsidR="003F588C" w14:paraId="1A23AF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612A6B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第一空，与“种子”搭配，指要想发芽必须经历在泥土中的黑暗，“掩埋”、“埋没”都符合种子发芽前埋在地下的状态</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项“埋藏”侧重隐藏之意，与文意不符，排除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项“凋谢”与“种子”搭配不当，排除。第三空，搭配“矿石”，</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项“焚烧”形容矿石成钢的必要经历，符合文意。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项“烧毁”指焚烧毁坏，侧重于毁坏，与“矿石”搭配不当，排除。第二空代入验证，形容鲜花要想开放不能害怕凋谢，符合文意。故选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49282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真正的信息公开，当然要求政府要在第一时间发布信息，但更重要的是，不能</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信息的发布渠道，而必须尊重媒体多渠道地报道、展现事实，在多元的信息和声音的“竞争”中由公众判断事实在哪里。政府调查的能力有限，可能被假象所</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，所以需要媒体调查的跟进，这对政府的调查是一个有益的信息补充</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更重要的是，政府在利益的绑架下，可能会习惯性地瞒报虚报、掩盖事实，这就需要媒体的报道与政府的调查相互</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，从而在信息的竞争和交叉中逼出真相。</w:t>
      </w:r>
    </w:p>
    <w:p w:rsidR="003F588C" w14:paraId="33B5FD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7C994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、主导</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证明</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https://d.book118.com/518074127057006026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rsidP="00A66124" w14:paraId="16FB58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2B17" w14:paraId="6E54A98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rsidP="00A66124" w14:paraId="437351F4" w14:textId="5B9EE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D2B17" w14:paraId="4671E7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14:paraId="67D7924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2B1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rsidP="00A66124" w14:textId="5B9EE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D2B1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2B1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rsidP="00A66124" w14:textId="5B9EE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D2B1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14:paraId="4AF1CD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14:paraId="4235ED4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14:paraId="3F428E6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2B1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7D2B17"/>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6902993"/>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7D2B1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D2B17"/>
    <w:rPr>
      <w:sz w:val="18"/>
      <w:szCs w:val="18"/>
    </w:rPr>
  </w:style>
  <w:style w:type="paragraph" w:styleId="Footer">
    <w:name w:val="footer"/>
    <w:basedOn w:val="Normal"/>
    <w:link w:val="a0"/>
    <w:rsid w:val="007D2B17"/>
    <w:pPr>
      <w:tabs>
        <w:tab w:val="center" w:pos="4153"/>
        <w:tab w:val="right" w:pos="8306"/>
      </w:tabs>
      <w:snapToGrid w:val="0"/>
    </w:pPr>
    <w:rPr>
      <w:sz w:val="18"/>
      <w:szCs w:val="18"/>
    </w:rPr>
  </w:style>
  <w:style w:type="character" w:customStyle="1" w:styleId="a0">
    <w:name w:val="页脚 字符"/>
    <w:basedOn w:val="DefaultParagraphFont"/>
    <w:link w:val="Footer"/>
    <w:rsid w:val="007D2B17"/>
    <w:rPr>
      <w:sz w:val="18"/>
      <w:szCs w:val="18"/>
    </w:rPr>
  </w:style>
  <w:style w:type="character" w:styleId="PageNumber">
    <w:name w:val="page number"/>
    <w:basedOn w:val="DefaultParagraphFont"/>
    <w:rsid w:val="007D2B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8074127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3971</Words>
  <Characters>22637</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2024-01-14T10:14:00Z</dcterms:created>
  <dcterms:modified xsi:type="dcterms:W3CDTF">2024-01-14T10:14:00Z</dcterms:modified>
</cp:coreProperties>
</file>