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rPr>
          <w:rFonts w:ascii="黑体" w:eastAsia="黑体" w:hint="eastAsia"/>
          <w:sz w:val="32"/>
          <w:szCs w:val="32"/>
        </w:rPr>
      </w:pPr>
      <w:bookmarkStart w:id="0" w:name="_Toc278262334"/>
      <w:bookmarkStart w:id="1" w:name="_Toc273203441"/>
      <w:bookmarkStart w:id="2" w:name="_Toc277065587"/>
      <w:bookmarkStart w:id="3" w:name="_Toc277068166"/>
      <w:r>
        <w:rPr>
          <w:rFonts w:ascii="黑体" w:eastAsia="黑体" w:hint="eastAsia"/>
          <w:sz w:val="32"/>
          <w:szCs w:val="32"/>
        </w:rPr>
        <w:t>目   录</w:t>
      </w:r>
    </w:p>
    <w:p>
      <w:pPr>
        <w:pStyle w:val="TOC1"/>
        <w:tabs>
          <w:tab w:val="right" w:leader="dot" w:pos="9060"/>
        </w:tabs>
        <w:ind w:firstLine="241"/>
      </w:pPr>
      <w:r>
        <w:fldChar w:fldCharType="begin"/>
      </w:r>
      <w:r>
        <w:instrText xml:space="preserve"> </w:instrText>
      </w:r>
      <w:r>
        <w:rPr>
          <w:rFonts w:hint="eastAsia"/>
        </w:rPr>
        <w:instrText>TOC \o "1-2" \h \z \u</w:instrText>
      </w:r>
      <w:r>
        <w:instrText xml:space="preserve"> </w:instrText>
      </w:r>
      <w:r>
        <w:fldChar w:fldCharType="separate"/>
      </w:r>
      <w:hyperlink w:anchor="_Toc278367018" w:history="1">
        <w:r>
          <w:rPr>
            <w:rStyle w:val="Hyperlink"/>
          </w:rPr>
          <w:t>1.</w:t>
        </w:r>
        <w:r>
          <w:rPr>
            <w:rStyle w:val="Hyperlink"/>
            <w:rFonts w:hint="eastAsia"/>
          </w:rPr>
          <w:t>编制依据</w:t>
        </w:r>
        <w:r>
          <w:tab/>
        </w:r>
        <w:r>
          <w:rPr>
            <w:rFonts w:hint="eastAsia"/>
          </w:rPr>
          <w:t>4</w:t>
        </w:r>
      </w:hyperlink>
    </w:p>
    <w:p>
      <w:pPr>
        <w:pStyle w:val="TOC1"/>
        <w:tabs>
          <w:tab w:val="right" w:leader="dot" w:pos="9060"/>
        </w:tabs>
        <w:ind w:firstLine="241"/>
      </w:pPr>
      <w:hyperlink w:anchor="_Toc278367022" w:history="1">
        <w:r>
          <w:rPr>
            <w:rStyle w:val="Hyperlink"/>
          </w:rPr>
          <w:t>2.</w:t>
        </w:r>
        <w:r>
          <w:rPr>
            <w:rStyle w:val="Hyperlink"/>
            <w:rFonts w:hint="eastAsia"/>
          </w:rPr>
          <w:t>工程概况</w:t>
        </w:r>
        <w:r>
          <w:tab/>
        </w:r>
        <w:r>
          <w:rPr>
            <w:rFonts w:hint="eastAsia"/>
          </w:rPr>
          <w:t>4</w:t>
        </w:r>
      </w:hyperlink>
    </w:p>
    <w:p>
      <w:pPr>
        <w:pStyle w:val="TOC1"/>
        <w:tabs>
          <w:tab w:val="right" w:leader="dot" w:pos="9060"/>
        </w:tabs>
        <w:ind w:firstLine="241"/>
      </w:pPr>
      <w:hyperlink w:anchor="_Toc278367026" w:history="1">
        <w:r>
          <w:rPr>
            <w:rStyle w:val="Hyperlink"/>
          </w:rPr>
          <w:t>3.</w:t>
        </w:r>
        <w:r>
          <w:rPr>
            <w:rStyle w:val="Hyperlink"/>
            <w:rFonts w:hint="eastAsia"/>
          </w:rPr>
          <w:t>地质水文情况</w:t>
        </w:r>
        <w:r>
          <w:tab/>
        </w:r>
        <w:r>
          <w:rPr>
            <w:rFonts w:hint="eastAsia"/>
          </w:rPr>
          <w:t>4</w:t>
        </w:r>
      </w:hyperlink>
    </w:p>
    <w:p>
      <w:pPr>
        <w:pStyle w:val="TOC2"/>
        <w:tabs>
          <w:tab w:val="right" w:leader="dot" w:pos="9062"/>
        </w:tabs>
        <w:spacing w:line="360" w:lineRule="auto"/>
        <w:rPr>
          <w:rFonts w:ascii="宋体" w:hAnsi="宋体"/>
          <w:sz w:val="24"/>
          <w:szCs w:val="24"/>
        </w:rPr>
      </w:pPr>
      <w:hyperlink w:anchor="_Toc278367027" w:history="1">
        <w:r>
          <w:rPr>
            <w:rStyle w:val="Hyperlink"/>
            <w:rFonts w:ascii="宋体" w:hAnsi="宋体"/>
            <w:sz w:val="24"/>
            <w:szCs w:val="24"/>
          </w:rPr>
          <w:t xml:space="preserve">3.1 </w:t>
        </w:r>
        <w:r>
          <w:rPr>
            <w:rStyle w:val="Hyperlink"/>
            <w:rFonts w:ascii="宋体" w:hAnsi="宋体" w:hint="eastAsia"/>
            <w:sz w:val="24"/>
            <w:szCs w:val="24"/>
          </w:rPr>
          <w:t>自然特征（地形地貌、地质、水文、气象等）</w:t>
        </w:r>
        <w:r>
          <w:rPr>
            <w:rFonts w:ascii="宋体" w:hAnsi="宋体"/>
            <w:sz w:val="24"/>
            <w:szCs w:val="24"/>
          </w:rPr>
          <w:tab/>
        </w:r>
        <w:r>
          <w:rPr>
            <w:rFonts w:ascii="宋体" w:hAnsi="宋体" w:hint="eastAsia"/>
            <w:sz w:val="24"/>
            <w:szCs w:val="24"/>
          </w:rPr>
          <w:t>4</w:t>
        </w:r>
      </w:hyperlink>
    </w:p>
    <w:p>
      <w:pPr>
        <w:pStyle w:val="TOC2"/>
        <w:tabs>
          <w:tab w:val="right" w:leader="dot" w:pos="9062"/>
        </w:tabs>
        <w:spacing w:line="360" w:lineRule="auto"/>
        <w:rPr>
          <w:rFonts w:ascii="宋体" w:hAnsi="宋体"/>
          <w:sz w:val="24"/>
          <w:szCs w:val="24"/>
        </w:rPr>
      </w:pPr>
      <w:hyperlink w:anchor="_Toc278367028" w:history="1">
        <w:r>
          <w:rPr>
            <w:rStyle w:val="Hyperlink"/>
            <w:rFonts w:ascii="宋体" w:hAnsi="宋体"/>
            <w:sz w:val="24"/>
            <w:szCs w:val="24"/>
          </w:rPr>
          <w:t>3.</w:t>
        </w:r>
        <w:r>
          <w:rPr>
            <w:rStyle w:val="Hyperlink"/>
            <w:rFonts w:ascii="宋体" w:hAnsi="宋体" w:hint="eastAsia"/>
            <w:sz w:val="24"/>
            <w:szCs w:val="24"/>
          </w:rPr>
          <w:t>1.1</w:t>
        </w:r>
        <w:r>
          <w:rPr>
            <w:rStyle w:val="Hyperlink"/>
            <w:rFonts w:ascii="宋体" w:hAnsi="宋体"/>
            <w:sz w:val="24"/>
            <w:szCs w:val="24"/>
          </w:rPr>
          <w:t xml:space="preserve"> </w:t>
        </w:r>
        <w:r>
          <w:rPr>
            <w:rStyle w:val="Hyperlink"/>
            <w:rFonts w:ascii="宋体" w:hAnsi="宋体" w:hint="eastAsia"/>
            <w:sz w:val="24"/>
            <w:szCs w:val="24"/>
          </w:rPr>
          <w:t>地形地貌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_Toc278367028 \h </w:instrText>
        </w:r>
        <w:r>
          <w:rPr>
            <w:rFonts w:ascii="宋体" w:hAnsi="宋体"/>
            <w:sz w:val="24"/>
            <w:szCs w:val="24"/>
          </w:rPr>
          <w:fldChar w:fldCharType="separate"/>
        </w:r>
        <w:r>
          <w:rPr>
            <w:rFonts w:ascii="宋体" w:hAnsi="宋体" w:hint="eastAsia"/>
            <w:b/>
            <w:bCs/>
            <w:sz w:val="24"/>
            <w:szCs w:val="24"/>
          </w:rPr>
          <w:t>错误!未定义书签。</w:t>
        </w:r>
        <w:r>
          <w:rPr>
            <w:rFonts w:ascii="宋体" w:hAnsi="宋体"/>
            <w:sz w:val="24"/>
            <w:szCs w:val="24"/>
          </w:rPr>
          <w:fldChar w:fldCharType="end"/>
        </w:r>
      </w:hyperlink>
    </w:p>
    <w:p>
      <w:pPr>
        <w:pStyle w:val="TOC2"/>
        <w:tabs>
          <w:tab w:val="right" w:leader="dot" w:pos="9062"/>
        </w:tabs>
        <w:spacing w:line="360" w:lineRule="auto"/>
        <w:rPr>
          <w:rFonts w:ascii="宋体" w:hAnsi="宋体"/>
          <w:sz w:val="24"/>
          <w:szCs w:val="24"/>
        </w:rPr>
      </w:pPr>
      <w:hyperlink w:anchor="_Toc278367029" w:history="1">
        <w:r>
          <w:rPr>
            <w:rStyle w:val="Hyperlink"/>
            <w:rFonts w:ascii="宋体" w:hAnsi="宋体"/>
            <w:sz w:val="24"/>
            <w:szCs w:val="24"/>
          </w:rPr>
          <w:t>3.</w:t>
        </w:r>
        <w:r>
          <w:rPr>
            <w:rStyle w:val="Hyperlink"/>
            <w:rFonts w:ascii="宋体" w:hAnsi="宋体" w:hint="eastAsia"/>
            <w:sz w:val="24"/>
            <w:szCs w:val="24"/>
          </w:rPr>
          <w:t>1.2</w:t>
        </w:r>
        <w:r>
          <w:rPr>
            <w:rStyle w:val="Hyperlink"/>
            <w:rFonts w:ascii="宋体" w:hAnsi="宋体"/>
            <w:sz w:val="24"/>
            <w:szCs w:val="24"/>
          </w:rPr>
          <w:t xml:space="preserve"> </w:t>
        </w:r>
        <w:r>
          <w:rPr>
            <w:rStyle w:val="Hyperlink"/>
            <w:rFonts w:ascii="宋体" w:hAnsi="宋体" w:hint="eastAsia"/>
            <w:sz w:val="24"/>
            <w:szCs w:val="24"/>
          </w:rPr>
          <w:t>地质特征</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_Toc278367029 \h </w:instrText>
        </w:r>
        <w:r>
          <w:rPr>
            <w:rFonts w:ascii="宋体" w:hAnsi="宋体"/>
            <w:sz w:val="24"/>
            <w:szCs w:val="24"/>
          </w:rPr>
          <w:fldChar w:fldCharType="separate"/>
        </w:r>
        <w:r>
          <w:rPr>
            <w:rFonts w:ascii="宋体" w:hAnsi="宋体" w:hint="eastAsia"/>
            <w:b/>
            <w:bCs/>
            <w:sz w:val="24"/>
            <w:szCs w:val="24"/>
          </w:rPr>
          <w:t>错误!未定义书签。</w:t>
        </w:r>
        <w:r>
          <w:rPr>
            <w:rFonts w:ascii="宋体" w:hAnsi="宋体"/>
            <w:sz w:val="24"/>
            <w:szCs w:val="24"/>
          </w:rPr>
          <w:fldChar w:fldCharType="end"/>
        </w:r>
      </w:hyperlink>
    </w:p>
    <w:p>
      <w:pPr>
        <w:pStyle w:val="TOC2"/>
        <w:tabs>
          <w:tab w:val="right" w:leader="dot" w:pos="9062"/>
        </w:tabs>
        <w:spacing w:line="360" w:lineRule="auto"/>
        <w:rPr>
          <w:rStyle w:val="Hyperlink"/>
          <w:rFonts w:ascii="宋体" w:hAnsi="宋体" w:hint="eastAsia"/>
          <w:sz w:val="24"/>
          <w:szCs w:val="24"/>
        </w:rPr>
      </w:pPr>
      <w:hyperlink w:anchor="_Toc278367030" w:history="1">
        <w:r>
          <w:rPr>
            <w:rStyle w:val="Hyperlink"/>
            <w:rFonts w:ascii="宋体" w:hAnsi="宋体"/>
            <w:sz w:val="24"/>
            <w:szCs w:val="24"/>
          </w:rPr>
          <w:t>3.</w:t>
        </w:r>
        <w:r>
          <w:rPr>
            <w:rStyle w:val="Hyperlink"/>
            <w:rFonts w:ascii="宋体" w:hAnsi="宋体" w:hint="eastAsia"/>
            <w:sz w:val="24"/>
            <w:szCs w:val="24"/>
          </w:rPr>
          <w:t>1.3</w:t>
        </w:r>
        <w:r>
          <w:rPr>
            <w:rStyle w:val="Hyperlink"/>
            <w:rFonts w:ascii="宋体" w:hAnsi="宋体"/>
            <w:sz w:val="24"/>
            <w:szCs w:val="24"/>
          </w:rPr>
          <w:t xml:space="preserve"> </w:t>
        </w:r>
        <w:r>
          <w:rPr>
            <w:rStyle w:val="Hyperlink"/>
            <w:rFonts w:ascii="宋体" w:hAnsi="宋体" w:hint="eastAsia"/>
            <w:sz w:val="24"/>
            <w:szCs w:val="24"/>
          </w:rPr>
          <w:t>水文特征</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_Toc278367030 \h </w:instrText>
        </w:r>
        <w:r>
          <w:rPr>
            <w:rFonts w:ascii="宋体" w:hAnsi="宋体"/>
            <w:sz w:val="24"/>
            <w:szCs w:val="24"/>
          </w:rPr>
          <w:fldChar w:fldCharType="separate"/>
        </w:r>
        <w:r>
          <w:rPr>
            <w:rFonts w:ascii="宋体" w:hAnsi="宋体" w:hint="eastAsia"/>
            <w:b/>
            <w:bCs/>
            <w:sz w:val="24"/>
            <w:szCs w:val="24"/>
          </w:rPr>
          <w:t>错误!未定义书签。</w:t>
        </w:r>
        <w:r>
          <w:rPr>
            <w:rFonts w:ascii="宋体" w:hAnsi="宋体"/>
            <w:sz w:val="24"/>
            <w:szCs w:val="24"/>
          </w:rPr>
          <w:fldChar w:fldCharType="end"/>
        </w:r>
      </w:hyperlink>
    </w:p>
    <w:p>
      <w:pPr>
        <w:pStyle w:val="TOC2"/>
        <w:tabs>
          <w:tab w:val="right" w:leader="dot" w:pos="9062"/>
        </w:tabs>
        <w:spacing w:line="360" w:lineRule="auto"/>
        <w:rPr>
          <w:rFonts w:ascii="宋体" w:hAnsi="宋体" w:hint="eastAsia"/>
          <w:color w:val="0000FF"/>
          <w:sz w:val="24"/>
          <w:szCs w:val="24"/>
          <w:u w:val="single"/>
        </w:rPr>
      </w:pPr>
      <w:hyperlink w:anchor="_Toc278367030" w:history="1">
        <w:r>
          <w:rPr>
            <w:rStyle w:val="Hyperlink"/>
            <w:rFonts w:ascii="宋体" w:hAnsi="宋体"/>
            <w:sz w:val="24"/>
            <w:szCs w:val="24"/>
          </w:rPr>
          <w:t>3.</w:t>
        </w:r>
        <w:r>
          <w:rPr>
            <w:rStyle w:val="Hyperlink"/>
            <w:rFonts w:ascii="宋体" w:hAnsi="宋体" w:hint="eastAsia"/>
            <w:sz w:val="24"/>
            <w:szCs w:val="24"/>
          </w:rPr>
          <w:t>2</w:t>
        </w:r>
        <w:r>
          <w:rPr>
            <w:rStyle w:val="Hyperlink"/>
            <w:rFonts w:ascii="宋体" w:hAnsi="宋体"/>
            <w:sz w:val="24"/>
            <w:szCs w:val="24"/>
          </w:rPr>
          <w:t xml:space="preserve"> </w:t>
        </w:r>
        <w:r>
          <w:rPr>
            <w:rStyle w:val="Hyperlink"/>
            <w:rFonts w:ascii="宋体" w:hAnsi="宋体" w:hint="eastAsia"/>
            <w:sz w:val="24"/>
            <w:szCs w:val="24"/>
          </w:rPr>
          <w:t>气象环境</w:t>
        </w:r>
        <w:r>
          <w:rPr>
            <w:rFonts w:ascii="宋体" w:hAnsi="宋体"/>
            <w:sz w:val="24"/>
            <w:szCs w:val="24"/>
          </w:rPr>
          <w:tab/>
        </w:r>
        <w:r>
          <w:rPr>
            <w:rFonts w:ascii="宋体" w:hAnsi="宋体" w:hint="eastAsia"/>
            <w:sz w:val="24"/>
            <w:szCs w:val="24"/>
          </w:rPr>
          <w:t>5</w:t>
        </w:r>
      </w:hyperlink>
    </w:p>
    <w:p>
      <w:pPr>
        <w:pStyle w:val="TOC1"/>
        <w:tabs>
          <w:tab w:val="right" w:leader="dot" w:pos="9060"/>
        </w:tabs>
        <w:ind w:firstLine="241"/>
      </w:pPr>
      <w:hyperlink w:anchor="_Toc278367031" w:history="1">
        <w:r>
          <w:rPr>
            <w:rStyle w:val="Hyperlink"/>
          </w:rPr>
          <w:t>4.</w:t>
        </w:r>
        <w:r>
          <w:rPr>
            <w:rStyle w:val="Hyperlink"/>
            <w:rFonts w:hint="eastAsia"/>
          </w:rPr>
          <w:t>基坑支护施工</w:t>
        </w:r>
        <w:r>
          <w:tab/>
        </w:r>
        <w:r>
          <w:fldChar w:fldCharType="begin"/>
        </w:r>
        <w:r>
          <w:instrText xml:space="preserve"> PAGEREF _Toc278367031 \h </w:instrText>
        </w:r>
        <w:r>
          <w:fldChar w:fldCharType="separate"/>
        </w:r>
        <w:r>
          <w:rPr>
            <w:rFonts w:hint="eastAsia"/>
            <w:b w:val="0"/>
            <w:bCs w:val="0"/>
          </w:rPr>
          <w:t>错误!未定义书签。</w:t>
        </w:r>
        <w:r>
          <w:fldChar w:fldCharType="end"/>
        </w:r>
      </w:hyperlink>
    </w:p>
    <w:p>
      <w:pPr>
        <w:pStyle w:val="TOC2"/>
        <w:tabs>
          <w:tab w:val="right" w:leader="dot" w:pos="9062"/>
        </w:tabs>
        <w:spacing w:line="360" w:lineRule="auto"/>
        <w:rPr>
          <w:rFonts w:ascii="宋体" w:hAnsi="宋体"/>
          <w:sz w:val="24"/>
          <w:szCs w:val="24"/>
        </w:rPr>
      </w:pPr>
      <w:hyperlink w:anchor="_Toc278367032" w:history="1">
        <w:r>
          <w:rPr>
            <w:rStyle w:val="Hyperlink"/>
            <w:rFonts w:ascii="宋体" w:hAnsi="宋体"/>
            <w:sz w:val="24"/>
            <w:szCs w:val="24"/>
          </w:rPr>
          <w:t>4.1</w:t>
        </w:r>
        <w:r>
          <w:rPr>
            <w:rStyle w:val="Hyperlink"/>
            <w:rFonts w:ascii="宋体" w:hAnsi="宋体" w:hint="eastAsia"/>
            <w:sz w:val="24"/>
            <w:szCs w:val="24"/>
          </w:rPr>
          <w:t>确定方案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_Toc278367032 \h </w:instrText>
        </w:r>
        <w:r>
          <w:rPr>
            <w:rFonts w:ascii="宋体" w:hAnsi="宋体"/>
            <w:sz w:val="24"/>
            <w:szCs w:val="24"/>
          </w:rPr>
          <w:fldChar w:fldCharType="separate"/>
        </w:r>
        <w:r>
          <w:rPr>
            <w:rFonts w:ascii="宋体" w:hAnsi="宋体" w:hint="eastAsia"/>
            <w:b/>
            <w:bCs/>
            <w:sz w:val="24"/>
            <w:szCs w:val="24"/>
          </w:rPr>
          <w:t>错误!未定义书签。</w:t>
        </w:r>
        <w:r>
          <w:rPr>
            <w:rFonts w:ascii="宋体" w:hAnsi="宋体"/>
            <w:sz w:val="24"/>
            <w:szCs w:val="24"/>
          </w:rPr>
          <w:fldChar w:fldCharType="end"/>
        </w:r>
      </w:hyperlink>
    </w:p>
    <w:p>
      <w:pPr>
        <w:pStyle w:val="TOC2"/>
        <w:tabs>
          <w:tab w:val="right" w:leader="dot" w:pos="9062"/>
        </w:tabs>
        <w:spacing w:line="360" w:lineRule="auto"/>
        <w:rPr>
          <w:rFonts w:ascii="宋体" w:hAnsi="宋体"/>
          <w:sz w:val="24"/>
          <w:szCs w:val="24"/>
        </w:rPr>
      </w:pPr>
      <w:hyperlink w:anchor="_Toc278367033" w:history="1">
        <w:r>
          <w:rPr>
            <w:rStyle w:val="Hyperlink"/>
            <w:rFonts w:ascii="宋体" w:hAnsi="宋体"/>
            <w:sz w:val="24"/>
            <w:szCs w:val="24"/>
          </w:rPr>
          <w:t xml:space="preserve">4.2 </w:t>
        </w:r>
        <w:r>
          <w:rPr>
            <w:rStyle w:val="Hyperlink"/>
            <w:rFonts w:ascii="宋体" w:hAnsi="宋体" w:hint="eastAsia"/>
            <w:sz w:val="24"/>
            <w:szCs w:val="24"/>
          </w:rPr>
          <w:t>钢板桩支护施工方案</w:t>
        </w:r>
        <w:r>
          <w:rPr>
            <w:rFonts w:ascii="宋体" w:hAnsi="宋体"/>
            <w:sz w:val="24"/>
            <w:szCs w:val="24"/>
          </w:rPr>
          <w:tab/>
        </w:r>
        <w:r>
          <w:rPr>
            <w:rFonts w:ascii="宋体" w:hAnsi="宋体" w:hint="eastAsia"/>
            <w:sz w:val="24"/>
            <w:szCs w:val="24"/>
          </w:rPr>
          <w:t>5</w:t>
        </w:r>
      </w:hyperlink>
    </w:p>
    <w:p>
      <w:pPr>
        <w:pStyle w:val="TOC2"/>
        <w:tabs>
          <w:tab w:val="right" w:leader="dot" w:pos="9062"/>
        </w:tabs>
        <w:spacing w:line="360" w:lineRule="auto"/>
        <w:rPr>
          <w:rFonts w:ascii="宋体" w:hAnsi="宋体"/>
          <w:sz w:val="24"/>
          <w:szCs w:val="24"/>
        </w:rPr>
      </w:pPr>
      <w:hyperlink w:anchor="_Toc278367034" w:history="1">
        <w:r>
          <w:rPr>
            <w:rStyle w:val="Hyperlink"/>
            <w:rFonts w:ascii="宋体" w:hAnsi="宋体"/>
            <w:sz w:val="24"/>
            <w:szCs w:val="24"/>
          </w:rPr>
          <w:t>4.</w:t>
        </w:r>
        <w:r>
          <w:rPr>
            <w:rStyle w:val="Hyperlink"/>
            <w:rFonts w:ascii="宋体" w:hAnsi="宋体" w:hint="eastAsia"/>
            <w:sz w:val="24"/>
            <w:szCs w:val="24"/>
          </w:rPr>
          <w:t>2.1</w:t>
        </w:r>
        <w:r>
          <w:rPr>
            <w:rStyle w:val="Hyperlink"/>
            <w:rFonts w:ascii="宋体" w:hAnsi="宋体"/>
            <w:sz w:val="24"/>
            <w:szCs w:val="24"/>
          </w:rPr>
          <w:t xml:space="preserve"> </w:t>
        </w:r>
        <w:r>
          <w:rPr>
            <w:rStyle w:val="Hyperlink"/>
            <w:rFonts w:ascii="宋体" w:hAnsi="宋体" w:hint="eastAsia"/>
            <w:sz w:val="24"/>
            <w:szCs w:val="24"/>
          </w:rPr>
          <w:t>钢板桩施工工艺</w:t>
        </w:r>
        <w:r>
          <w:rPr>
            <w:rFonts w:ascii="宋体" w:hAnsi="宋体"/>
            <w:sz w:val="24"/>
            <w:szCs w:val="24"/>
          </w:rPr>
          <w:tab/>
        </w:r>
        <w:r>
          <w:rPr>
            <w:rFonts w:ascii="宋体" w:hAnsi="宋体" w:hint="eastAsia"/>
            <w:sz w:val="24"/>
            <w:szCs w:val="24"/>
          </w:rPr>
          <w:t>5</w:t>
        </w:r>
      </w:hyperlink>
    </w:p>
    <w:p>
      <w:pPr>
        <w:pStyle w:val="TOC2"/>
        <w:tabs>
          <w:tab w:val="right" w:leader="dot" w:pos="9062"/>
        </w:tabs>
        <w:spacing w:line="360" w:lineRule="auto"/>
        <w:rPr>
          <w:rFonts w:ascii="宋体" w:hAnsi="宋体"/>
          <w:sz w:val="24"/>
          <w:szCs w:val="24"/>
        </w:rPr>
      </w:pPr>
      <w:hyperlink w:anchor="_Toc278367035" w:history="1">
        <w:r>
          <w:rPr>
            <w:rStyle w:val="Hyperlink"/>
            <w:rFonts w:ascii="宋体" w:hAnsi="宋体"/>
            <w:sz w:val="24"/>
            <w:szCs w:val="24"/>
          </w:rPr>
          <w:t>4.</w:t>
        </w:r>
        <w:r>
          <w:rPr>
            <w:rStyle w:val="Hyperlink"/>
            <w:rFonts w:ascii="宋体" w:hAnsi="宋体" w:hint="eastAsia"/>
            <w:sz w:val="24"/>
            <w:szCs w:val="24"/>
          </w:rPr>
          <w:t>2.2</w:t>
        </w:r>
        <w:r>
          <w:rPr>
            <w:rStyle w:val="Hyperlink"/>
            <w:rFonts w:ascii="宋体" w:hAnsi="宋体"/>
            <w:sz w:val="24"/>
            <w:szCs w:val="24"/>
          </w:rPr>
          <w:t xml:space="preserve"> </w:t>
        </w:r>
        <w:r>
          <w:rPr>
            <w:rStyle w:val="Hyperlink"/>
            <w:rFonts w:ascii="宋体" w:hAnsi="宋体" w:hint="eastAsia"/>
            <w:sz w:val="24"/>
            <w:szCs w:val="24"/>
          </w:rPr>
          <w:t>施工准备</w:t>
        </w:r>
        <w:r>
          <w:rPr>
            <w:rFonts w:ascii="宋体" w:hAnsi="宋体"/>
            <w:sz w:val="24"/>
            <w:szCs w:val="24"/>
          </w:rPr>
          <w:tab/>
        </w:r>
        <w:r>
          <w:rPr>
            <w:rFonts w:ascii="宋体" w:hAnsi="宋体" w:hint="eastAsia"/>
            <w:sz w:val="24"/>
            <w:szCs w:val="24"/>
          </w:rPr>
          <w:t>5</w:t>
        </w:r>
      </w:hyperlink>
    </w:p>
    <w:p>
      <w:pPr>
        <w:pStyle w:val="TOC2"/>
        <w:tabs>
          <w:tab w:val="right" w:leader="dot" w:pos="9062"/>
        </w:tabs>
        <w:spacing w:line="360" w:lineRule="auto"/>
        <w:rPr>
          <w:rFonts w:ascii="宋体" w:hAnsi="宋体"/>
          <w:sz w:val="24"/>
          <w:szCs w:val="24"/>
        </w:rPr>
      </w:pPr>
      <w:hyperlink w:anchor="_Toc278367036" w:history="1">
        <w:r>
          <w:rPr>
            <w:rStyle w:val="Hyperlink"/>
            <w:rFonts w:ascii="宋体" w:hAnsi="宋体"/>
            <w:sz w:val="24"/>
            <w:szCs w:val="24"/>
          </w:rPr>
          <w:t>4.</w:t>
        </w:r>
        <w:r>
          <w:rPr>
            <w:rStyle w:val="Hyperlink"/>
            <w:rFonts w:ascii="宋体" w:hAnsi="宋体" w:hint="eastAsia"/>
            <w:sz w:val="24"/>
            <w:szCs w:val="24"/>
          </w:rPr>
          <w:t>2.3</w:t>
        </w:r>
        <w:r>
          <w:rPr>
            <w:rStyle w:val="Hyperlink"/>
            <w:rFonts w:ascii="宋体" w:hAnsi="宋体"/>
            <w:sz w:val="24"/>
            <w:szCs w:val="24"/>
          </w:rPr>
          <w:t xml:space="preserve"> </w:t>
        </w:r>
        <w:r>
          <w:rPr>
            <w:rStyle w:val="Hyperlink"/>
            <w:rFonts w:ascii="宋体" w:hAnsi="宋体" w:hint="eastAsia"/>
            <w:sz w:val="24"/>
            <w:szCs w:val="24"/>
          </w:rPr>
          <w:t>钢板桩的吊运、插打</w:t>
        </w:r>
        <w:r>
          <w:rPr>
            <w:rFonts w:ascii="宋体" w:hAnsi="宋体"/>
            <w:sz w:val="24"/>
            <w:szCs w:val="24"/>
          </w:rPr>
          <w:tab/>
        </w:r>
        <w:r>
          <w:rPr>
            <w:rFonts w:ascii="宋体" w:hAnsi="宋体" w:hint="eastAsia"/>
            <w:sz w:val="24"/>
            <w:szCs w:val="24"/>
          </w:rPr>
          <w:t>7</w:t>
        </w:r>
      </w:hyperlink>
    </w:p>
    <w:p>
      <w:pPr>
        <w:pStyle w:val="TOC2"/>
        <w:tabs>
          <w:tab w:val="right" w:leader="dot" w:pos="9062"/>
        </w:tabs>
        <w:spacing w:line="360" w:lineRule="auto"/>
        <w:rPr>
          <w:rFonts w:ascii="宋体" w:hAnsi="宋体"/>
          <w:sz w:val="24"/>
          <w:szCs w:val="24"/>
        </w:rPr>
      </w:pPr>
      <w:hyperlink w:anchor="_Toc278367037" w:history="1">
        <w:r>
          <w:rPr>
            <w:rStyle w:val="Hyperlink"/>
            <w:rFonts w:ascii="宋体" w:hAnsi="宋体"/>
            <w:sz w:val="24"/>
            <w:szCs w:val="24"/>
          </w:rPr>
          <w:t>4.</w:t>
        </w:r>
        <w:r>
          <w:rPr>
            <w:rStyle w:val="Hyperlink"/>
            <w:rFonts w:ascii="宋体" w:hAnsi="宋体" w:hint="eastAsia"/>
            <w:sz w:val="24"/>
            <w:szCs w:val="24"/>
          </w:rPr>
          <w:t>2.4</w:t>
        </w:r>
        <w:r>
          <w:rPr>
            <w:rStyle w:val="Hyperlink"/>
            <w:rFonts w:ascii="宋体" w:hAnsi="宋体"/>
            <w:sz w:val="24"/>
            <w:szCs w:val="24"/>
          </w:rPr>
          <w:t xml:space="preserve"> </w:t>
        </w:r>
        <w:r>
          <w:rPr>
            <w:rStyle w:val="Hyperlink"/>
            <w:rFonts w:ascii="宋体" w:hAnsi="宋体" w:hint="eastAsia"/>
            <w:sz w:val="24"/>
            <w:szCs w:val="24"/>
          </w:rPr>
          <w:t>钢板桩施工可能遇到的问题及预防措施</w:t>
        </w:r>
        <w:r>
          <w:rPr>
            <w:rFonts w:ascii="宋体" w:hAnsi="宋体"/>
            <w:sz w:val="24"/>
            <w:szCs w:val="24"/>
          </w:rPr>
          <w:tab/>
        </w:r>
        <w:r>
          <w:rPr>
            <w:rFonts w:ascii="宋体" w:hAnsi="宋体" w:hint="eastAsia"/>
            <w:sz w:val="24"/>
            <w:szCs w:val="24"/>
          </w:rPr>
          <w:t>8</w:t>
        </w:r>
      </w:hyperlink>
    </w:p>
    <w:p>
      <w:pPr>
        <w:pStyle w:val="TOC2"/>
        <w:tabs>
          <w:tab w:val="right" w:leader="dot" w:pos="9062"/>
        </w:tabs>
        <w:spacing w:line="360" w:lineRule="auto"/>
        <w:rPr>
          <w:rFonts w:ascii="宋体" w:hAnsi="宋体"/>
          <w:sz w:val="24"/>
          <w:szCs w:val="24"/>
        </w:rPr>
      </w:pPr>
      <w:hyperlink w:anchor="_Toc278367038" w:history="1">
        <w:r>
          <w:rPr>
            <w:rStyle w:val="Hyperlink"/>
            <w:rFonts w:ascii="宋体" w:hAnsi="宋体"/>
            <w:sz w:val="24"/>
            <w:szCs w:val="24"/>
          </w:rPr>
          <w:t>4.</w:t>
        </w:r>
        <w:r>
          <w:rPr>
            <w:rStyle w:val="Hyperlink"/>
            <w:rFonts w:ascii="宋体" w:hAnsi="宋体" w:hint="eastAsia"/>
            <w:sz w:val="24"/>
            <w:szCs w:val="24"/>
          </w:rPr>
          <w:t>2.5</w:t>
        </w:r>
        <w:r>
          <w:rPr>
            <w:rStyle w:val="Hyperlink"/>
            <w:rFonts w:ascii="宋体" w:hAnsi="宋体"/>
            <w:sz w:val="24"/>
            <w:szCs w:val="24"/>
          </w:rPr>
          <w:t xml:space="preserve"> </w:t>
        </w:r>
        <w:r>
          <w:rPr>
            <w:rStyle w:val="Hyperlink"/>
            <w:rFonts w:ascii="宋体" w:hAnsi="宋体" w:hint="eastAsia"/>
            <w:sz w:val="24"/>
            <w:szCs w:val="24"/>
          </w:rPr>
          <w:t>钢板桩的拆除</w:t>
        </w:r>
        <w:r>
          <w:rPr>
            <w:rStyle w:val="Hyperlink"/>
            <w:rFonts w:ascii="宋体" w:hAnsi="宋体"/>
            <w:sz w:val="24"/>
            <w:szCs w:val="24"/>
          </w:rPr>
          <w:t>.</w:t>
        </w:r>
        <w:r>
          <w:rPr>
            <w:rFonts w:ascii="宋体" w:hAnsi="宋体"/>
            <w:sz w:val="24"/>
            <w:szCs w:val="24"/>
          </w:rPr>
          <w:tab/>
        </w:r>
        <w:r>
          <w:rPr>
            <w:rFonts w:ascii="宋体" w:hAnsi="宋体" w:hint="eastAsia"/>
            <w:sz w:val="24"/>
            <w:szCs w:val="24"/>
          </w:rPr>
          <w:t>8</w:t>
        </w:r>
      </w:hyperlink>
    </w:p>
    <w:p>
      <w:pPr>
        <w:pStyle w:val="TOC1"/>
        <w:tabs>
          <w:tab w:val="right" w:leader="dot" w:pos="9060"/>
        </w:tabs>
        <w:ind w:firstLine="241"/>
      </w:pPr>
      <w:hyperlink w:anchor="_Toc278367040" w:history="1">
        <w:r>
          <w:rPr>
            <w:rStyle w:val="Hyperlink"/>
          </w:rPr>
          <w:t>5.</w:t>
        </w:r>
        <w:r>
          <w:rPr>
            <w:rStyle w:val="Hyperlink"/>
            <w:rFonts w:hint="eastAsia"/>
          </w:rPr>
          <w:t>土方开挖施工</w:t>
        </w:r>
        <w:r>
          <w:tab/>
        </w:r>
        <w:r>
          <w:rPr>
            <w:rFonts w:hint="eastAsia"/>
          </w:rPr>
          <w:t>8</w:t>
        </w:r>
      </w:hyperlink>
    </w:p>
    <w:p>
      <w:pPr>
        <w:pStyle w:val="TOC2"/>
        <w:tabs>
          <w:tab w:val="right" w:leader="dot" w:pos="9062"/>
        </w:tabs>
        <w:spacing w:line="360" w:lineRule="auto"/>
        <w:rPr>
          <w:rFonts w:ascii="宋体" w:hAnsi="宋体"/>
          <w:sz w:val="24"/>
          <w:szCs w:val="24"/>
        </w:rPr>
      </w:pPr>
      <w:hyperlink w:anchor="_Toc278367041" w:history="1">
        <w:r>
          <w:rPr>
            <w:rStyle w:val="Hyperlink"/>
            <w:rFonts w:ascii="宋体" w:hAnsi="宋体"/>
            <w:sz w:val="24"/>
            <w:szCs w:val="24"/>
          </w:rPr>
          <w:t xml:space="preserve">5.1 </w:t>
        </w:r>
        <w:r>
          <w:rPr>
            <w:rStyle w:val="Hyperlink"/>
            <w:rFonts w:ascii="宋体" w:hAnsi="宋体" w:hint="eastAsia"/>
            <w:sz w:val="24"/>
            <w:szCs w:val="24"/>
          </w:rPr>
          <w:t>施工准备</w:t>
        </w:r>
        <w:r>
          <w:rPr>
            <w:rFonts w:ascii="宋体" w:hAnsi="宋体"/>
            <w:sz w:val="24"/>
            <w:szCs w:val="24"/>
          </w:rPr>
          <w:tab/>
        </w:r>
        <w:r>
          <w:rPr>
            <w:rFonts w:ascii="宋体" w:hAnsi="宋体" w:hint="eastAsia"/>
            <w:sz w:val="24"/>
            <w:szCs w:val="24"/>
          </w:rPr>
          <w:t>8</w:t>
        </w:r>
      </w:hyperlink>
    </w:p>
    <w:p>
      <w:pPr>
        <w:pStyle w:val="TOC2"/>
        <w:tabs>
          <w:tab w:val="right" w:leader="dot" w:pos="9062"/>
        </w:tabs>
        <w:spacing w:line="360" w:lineRule="auto"/>
        <w:rPr>
          <w:rFonts w:ascii="宋体" w:hAnsi="宋体"/>
          <w:sz w:val="24"/>
          <w:szCs w:val="24"/>
        </w:rPr>
      </w:pPr>
      <w:hyperlink w:anchor="_Toc278367042" w:history="1">
        <w:r>
          <w:rPr>
            <w:rStyle w:val="Hyperlink"/>
            <w:rFonts w:ascii="宋体" w:hAnsi="宋体"/>
            <w:sz w:val="24"/>
            <w:szCs w:val="24"/>
          </w:rPr>
          <w:t>5.</w:t>
        </w:r>
        <w:r>
          <w:rPr>
            <w:rStyle w:val="Hyperlink"/>
            <w:rFonts w:ascii="宋体" w:hAnsi="宋体" w:hint="eastAsia"/>
            <w:sz w:val="24"/>
            <w:szCs w:val="24"/>
          </w:rPr>
          <w:t>1.1</w:t>
        </w:r>
        <w:r>
          <w:rPr>
            <w:rStyle w:val="Hyperlink"/>
            <w:rFonts w:ascii="宋体" w:hAnsi="宋体"/>
            <w:sz w:val="24"/>
            <w:szCs w:val="24"/>
          </w:rPr>
          <w:t xml:space="preserve"> </w:t>
        </w:r>
        <w:r>
          <w:rPr>
            <w:rStyle w:val="Hyperlink"/>
            <w:rFonts w:ascii="宋体" w:hAnsi="宋体" w:hint="eastAsia"/>
            <w:sz w:val="24"/>
            <w:szCs w:val="24"/>
          </w:rPr>
          <w:t>清表</w:t>
        </w:r>
        <w:r>
          <w:rPr>
            <w:rFonts w:ascii="宋体" w:hAnsi="宋体"/>
            <w:sz w:val="24"/>
            <w:szCs w:val="24"/>
          </w:rPr>
          <w:tab/>
        </w:r>
        <w:r>
          <w:rPr>
            <w:rFonts w:ascii="宋体" w:hAnsi="宋体" w:hint="eastAsia"/>
            <w:sz w:val="24"/>
            <w:szCs w:val="24"/>
          </w:rPr>
          <w:t>8</w:t>
        </w:r>
      </w:hyperlink>
    </w:p>
    <w:p>
      <w:pPr>
        <w:pStyle w:val="TOC2"/>
        <w:tabs>
          <w:tab w:val="right" w:leader="dot" w:pos="9062"/>
        </w:tabs>
        <w:spacing w:line="360" w:lineRule="auto"/>
        <w:rPr>
          <w:rFonts w:ascii="宋体" w:hAnsi="宋体"/>
          <w:sz w:val="24"/>
          <w:szCs w:val="24"/>
        </w:rPr>
      </w:pPr>
      <w:hyperlink w:anchor="_Toc278367043" w:history="1">
        <w:r>
          <w:rPr>
            <w:rStyle w:val="Hyperlink"/>
            <w:rFonts w:ascii="宋体" w:hAnsi="宋体"/>
            <w:sz w:val="24"/>
            <w:szCs w:val="24"/>
          </w:rPr>
          <w:t>5.</w:t>
        </w:r>
        <w:r>
          <w:rPr>
            <w:rStyle w:val="Hyperlink"/>
            <w:rFonts w:ascii="宋体" w:hAnsi="宋体" w:hint="eastAsia"/>
            <w:sz w:val="24"/>
            <w:szCs w:val="24"/>
          </w:rPr>
          <w:t>1.2</w:t>
        </w:r>
        <w:r>
          <w:rPr>
            <w:rStyle w:val="Hyperlink"/>
            <w:rFonts w:ascii="宋体" w:hAnsi="宋体"/>
            <w:sz w:val="24"/>
            <w:szCs w:val="24"/>
          </w:rPr>
          <w:t xml:space="preserve"> </w:t>
        </w:r>
        <w:r>
          <w:rPr>
            <w:rStyle w:val="Hyperlink"/>
            <w:rFonts w:ascii="宋体" w:hAnsi="宋体" w:hint="eastAsia"/>
            <w:sz w:val="24"/>
            <w:szCs w:val="24"/>
          </w:rPr>
          <w:t>制定开挖方案</w:t>
        </w:r>
        <w:r>
          <w:rPr>
            <w:rFonts w:ascii="宋体" w:hAnsi="宋体"/>
            <w:sz w:val="24"/>
            <w:szCs w:val="24"/>
          </w:rPr>
          <w:tab/>
        </w:r>
        <w:r>
          <w:rPr>
            <w:rFonts w:ascii="宋体" w:hAnsi="宋体" w:hint="eastAsia"/>
            <w:sz w:val="24"/>
            <w:szCs w:val="24"/>
          </w:rPr>
          <w:t>9</w:t>
        </w:r>
      </w:hyperlink>
    </w:p>
    <w:p>
      <w:pPr>
        <w:pStyle w:val="TOC2"/>
        <w:tabs>
          <w:tab w:val="right" w:leader="dot" w:pos="9062"/>
        </w:tabs>
        <w:spacing w:line="360" w:lineRule="auto"/>
        <w:rPr>
          <w:rStyle w:val="Hyperlink"/>
          <w:rFonts w:ascii="宋体" w:hAnsi="宋体" w:hint="eastAsia"/>
          <w:sz w:val="24"/>
          <w:szCs w:val="24"/>
        </w:rPr>
      </w:pPr>
      <w:hyperlink w:anchor="_Toc278367044" w:history="1">
        <w:r>
          <w:rPr>
            <w:rStyle w:val="Hyperlink"/>
            <w:rFonts w:ascii="宋体" w:hAnsi="宋体"/>
            <w:sz w:val="24"/>
            <w:szCs w:val="24"/>
          </w:rPr>
          <w:t>5.</w:t>
        </w:r>
        <w:r>
          <w:rPr>
            <w:rStyle w:val="Hyperlink"/>
            <w:rFonts w:ascii="宋体" w:hAnsi="宋体" w:hint="eastAsia"/>
            <w:sz w:val="24"/>
            <w:szCs w:val="24"/>
          </w:rPr>
          <w:t>1.3</w:t>
        </w:r>
        <w:r>
          <w:rPr>
            <w:rStyle w:val="Hyperlink"/>
            <w:rFonts w:ascii="宋体" w:hAnsi="宋体"/>
            <w:sz w:val="24"/>
            <w:szCs w:val="24"/>
          </w:rPr>
          <w:t xml:space="preserve"> </w:t>
        </w:r>
        <w:r>
          <w:rPr>
            <w:rStyle w:val="Hyperlink"/>
            <w:rFonts w:ascii="宋体" w:hAnsi="宋体" w:hint="eastAsia"/>
            <w:sz w:val="24"/>
            <w:szCs w:val="24"/>
          </w:rPr>
          <w:t>清理疏通弃土便道</w:t>
        </w:r>
        <w:r>
          <w:rPr>
            <w:rFonts w:ascii="宋体" w:hAnsi="宋体"/>
            <w:sz w:val="24"/>
            <w:szCs w:val="24"/>
          </w:rPr>
          <w:tab/>
        </w:r>
        <w:r>
          <w:rPr>
            <w:rFonts w:ascii="宋体" w:hAnsi="宋体" w:hint="eastAsia"/>
            <w:sz w:val="24"/>
            <w:szCs w:val="24"/>
          </w:rPr>
          <w:t>9</w:t>
        </w:r>
      </w:hyperlink>
    </w:p>
    <w:p>
      <w:pPr>
        <w:pStyle w:val="TOC2"/>
        <w:tabs>
          <w:tab w:val="right" w:leader="dot" w:pos="9062"/>
        </w:tabs>
        <w:spacing w:line="360" w:lineRule="auto"/>
        <w:rPr>
          <w:rStyle w:val="Hyperlink"/>
          <w:rFonts w:ascii="宋体" w:hAnsi="宋体" w:hint="eastAsia"/>
          <w:sz w:val="24"/>
          <w:szCs w:val="24"/>
        </w:rPr>
      </w:pPr>
      <w:hyperlink w:anchor="_Toc278367044" w:history="1">
        <w:r>
          <w:rPr>
            <w:rStyle w:val="Hyperlink"/>
            <w:rFonts w:ascii="宋体" w:hAnsi="宋体"/>
            <w:sz w:val="24"/>
            <w:szCs w:val="24"/>
          </w:rPr>
          <w:t>5.</w:t>
        </w:r>
        <w:r>
          <w:rPr>
            <w:rStyle w:val="Hyperlink"/>
            <w:rFonts w:ascii="宋体" w:hAnsi="宋体" w:hint="eastAsia"/>
            <w:sz w:val="24"/>
            <w:szCs w:val="24"/>
          </w:rPr>
          <w:t>1.4</w:t>
        </w:r>
        <w:r>
          <w:rPr>
            <w:rStyle w:val="Hyperlink"/>
            <w:rFonts w:ascii="宋体" w:hAnsi="宋体"/>
            <w:sz w:val="24"/>
            <w:szCs w:val="24"/>
          </w:rPr>
          <w:t xml:space="preserve"> </w:t>
        </w:r>
        <w:r>
          <w:rPr>
            <w:rStyle w:val="Hyperlink"/>
            <w:rFonts w:ascii="宋体" w:hAnsi="宋体" w:hint="eastAsia"/>
            <w:sz w:val="24"/>
            <w:szCs w:val="24"/>
          </w:rPr>
          <w:t>测量放样</w:t>
        </w:r>
        <w:r>
          <w:rPr>
            <w:rFonts w:ascii="宋体" w:hAnsi="宋体"/>
            <w:sz w:val="24"/>
            <w:szCs w:val="24"/>
          </w:rPr>
          <w:tab/>
        </w:r>
        <w:r>
          <w:rPr>
            <w:rFonts w:ascii="宋体" w:hAnsi="宋体" w:hint="eastAsia"/>
            <w:sz w:val="24"/>
            <w:szCs w:val="24"/>
          </w:rPr>
          <w:t>9</w:t>
        </w:r>
      </w:hyperlink>
    </w:p>
    <w:p>
      <w:pPr>
        <w:pStyle w:val="TOC2"/>
        <w:tabs>
          <w:tab w:val="right" w:leader="dot" w:pos="9062"/>
        </w:tabs>
        <w:spacing w:line="360" w:lineRule="auto"/>
        <w:rPr>
          <w:rFonts w:ascii="宋体" w:hAnsi="宋体"/>
          <w:sz w:val="24"/>
          <w:szCs w:val="24"/>
        </w:rPr>
      </w:pPr>
      <w:hyperlink w:anchor="_Toc278367041" w:history="1">
        <w:r>
          <w:rPr>
            <w:rStyle w:val="Hyperlink"/>
            <w:rFonts w:ascii="宋体" w:hAnsi="宋体"/>
            <w:sz w:val="24"/>
            <w:szCs w:val="24"/>
          </w:rPr>
          <w:t>5.</w:t>
        </w:r>
        <w:r>
          <w:rPr>
            <w:rStyle w:val="Hyperlink"/>
            <w:rFonts w:ascii="宋体" w:hAnsi="宋体" w:hint="eastAsia"/>
            <w:sz w:val="24"/>
            <w:szCs w:val="24"/>
          </w:rPr>
          <w:t>2</w:t>
        </w:r>
        <w:r>
          <w:rPr>
            <w:rStyle w:val="Hyperlink"/>
            <w:rFonts w:ascii="宋体" w:hAnsi="宋体"/>
            <w:sz w:val="24"/>
            <w:szCs w:val="24"/>
          </w:rPr>
          <w:t xml:space="preserve"> </w:t>
        </w:r>
        <w:r>
          <w:rPr>
            <w:rStyle w:val="Hyperlink"/>
            <w:rFonts w:ascii="宋体" w:hAnsi="宋体" w:hint="eastAsia"/>
            <w:sz w:val="24"/>
            <w:szCs w:val="24"/>
          </w:rPr>
          <w:t>开挖路线</w:t>
        </w:r>
        <w:r>
          <w:rPr>
            <w:rFonts w:ascii="宋体" w:hAnsi="宋体"/>
            <w:sz w:val="24"/>
            <w:szCs w:val="24"/>
          </w:rPr>
          <w:tab/>
        </w:r>
        <w:r>
          <w:rPr>
            <w:rFonts w:ascii="宋体" w:hAnsi="宋体" w:hint="eastAsia"/>
            <w:sz w:val="24"/>
            <w:szCs w:val="24"/>
          </w:rPr>
          <w:t>9</w:t>
        </w:r>
      </w:hyperlink>
    </w:p>
    <w:p>
      <w:pPr>
        <w:pStyle w:val="TOC2"/>
        <w:tabs>
          <w:tab w:val="right" w:leader="dot" w:pos="9062"/>
        </w:tabs>
        <w:spacing w:line="360" w:lineRule="auto"/>
        <w:rPr>
          <w:rFonts w:ascii="宋体" w:hAnsi="宋体"/>
          <w:sz w:val="24"/>
          <w:szCs w:val="24"/>
        </w:rPr>
      </w:pPr>
      <w:hyperlink w:anchor="_Toc278367042" w:history="1">
        <w:r>
          <w:rPr>
            <w:rStyle w:val="Hyperlink"/>
            <w:rFonts w:ascii="宋体" w:hAnsi="宋体"/>
            <w:sz w:val="24"/>
            <w:szCs w:val="24"/>
          </w:rPr>
          <w:t>5.</w:t>
        </w:r>
        <w:r>
          <w:rPr>
            <w:rStyle w:val="Hyperlink"/>
            <w:rFonts w:ascii="宋体" w:hAnsi="宋体" w:hint="eastAsia"/>
            <w:sz w:val="24"/>
            <w:szCs w:val="24"/>
          </w:rPr>
          <w:t>3</w:t>
        </w:r>
        <w:r>
          <w:rPr>
            <w:rStyle w:val="Hyperlink"/>
            <w:rFonts w:ascii="宋体" w:hAnsi="宋体"/>
            <w:sz w:val="24"/>
            <w:szCs w:val="24"/>
          </w:rPr>
          <w:t xml:space="preserve"> </w:t>
        </w:r>
        <w:r>
          <w:rPr>
            <w:rStyle w:val="Hyperlink"/>
            <w:rFonts w:ascii="宋体" w:hAnsi="宋体" w:hint="eastAsia"/>
            <w:sz w:val="24"/>
            <w:szCs w:val="24"/>
          </w:rPr>
          <w:t>开挖方案</w:t>
        </w:r>
        <w:r>
          <w:rPr>
            <w:rFonts w:ascii="宋体" w:hAnsi="宋体"/>
            <w:sz w:val="24"/>
            <w:szCs w:val="24"/>
          </w:rPr>
          <w:tab/>
        </w:r>
        <w:r>
          <w:rPr>
            <w:rFonts w:ascii="宋体" w:hAnsi="宋体" w:hint="eastAsia"/>
            <w:sz w:val="24"/>
            <w:szCs w:val="24"/>
          </w:rPr>
          <w:t>9</w:t>
        </w:r>
      </w:hyperlink>
    </w:p>
    <w:p>
      <w:pPr>
        <w:pStyle w:val="TOC2"/>
        <w:tabs>
          <w:tab w:val="right" w:leader="dot" w:pos="9062"/>
        </w:tabs>
        <w:spacing w:line="360" w:lineRule="auto"/>
        <w:rPr>
          <w:rFonts w:ascii="宋体" w:hAnsi="宋体"/>
          <w:sz w:val="24"/>
          <w:szCs w:val="24"/>
        </w:rPr>
      </w:pPr>
      <w:hyperlink w:anchor="_Toc278367042" w:history="1">
        <w:r>
          <w:rPr>
            <w:rStyle w:val="Hyperlink"/>
            <w:rFonts w:ascii="宋体" w:hAnsi="宋体"/>
            <w:sz w:val="24"/>
            <w:szCs w:val="24"/>
          </w:rPr>
          <w:t>5.</w:t>
        </w:r>
        <w:r>
          <w:rPr>
            <w:rStyle w:val="Hyperlink"/>
            <w:rFonts w:ascii="宋体" w:hAnsi="宋体" w:hint="eastAsia"/>
            <w:sz w:val="24"/>
            <w:szCs w:val="24"/>
          </w:rPr>
          <w:t>4</w:t>
        </w:r>
        <w:r>
          <w:rPr>
            <w:rStyle w:val="Hyperlink"/>
            <w:rFonts w:ascii="宋体" w:hAnsi="宋体"/>
            <w:sz w:val="24"/>
            <w:szCs w:val="24"/>
          </w:rPr>
          <w:t xml:space="preserve"> </w:t>
        </w:r>
        <w:r>
          <w:rPr>
            <w:rStyle w:val="Hyperlink"/>
            <w:rFonts w:ascii="宋体" w:hAnsi="宋体" w:hint="eastAsia"/>
            <w:sz w:val="24"/>
            <w:szCs w:val="24"/>
          </w:rPr>
          <w:t>成品保护</w:t>
        </w:r>
        <w:r>
          <w:rPr>
            <w:rFonts w:ascii="宋体" w:hAnsi="宋体"/>
            <w:sz w:val="24"/>
            <w:szCs w:val="24"/>
          </w:rPr>
          <w:tab/>
        </w:r>
        <w:r>
          <w:rPr>
            <w:rFonts w:ascii="宋体" w:hAnsi="宋体" w:hint="eastAsia"/>
            <w:sz w:val="24"/>
            <w:szCs w:val="24"/>
          </w:rPr>
          <w:t>9</w:t>
        </w:r>
      </w:hyperlink>
    </w:p>
    <w:p>
      <w:pPr>
        <w:rPr>
          <w:rFonts w:hint="eastAsia"/>
        </w:rPr>
        <w:sectPr>
          <w:headerReference w:type="even" r:id="rId4"/>
          <w:headerReference w:type="default" r:id="rId5"/>
          <w:footerReference w:type="even" r:id="rId6"/>
          <w:footerReference w:type="default" r:id="rId7"/>
          <w:headerReference w:type="first" r:id="rId8"/>
          <w:footerReference w:type="first" r:id="rId9"/>
          <w:pgSz w:w="11907" w:h="16840"/>
          <w:pgMar w:top="1418" w:right="1191" w:bottom="1418" w:left="1644" w:header="919" w:footer="856" w:gutter="0"/>
          <w:pgNumType w:start="1"/>
          <w:cols w:space="708"/>
          <w:docGrid w:linePitch="304"/>
        </w:sectPr>
      </w:pPr>
    </w:p>
    <w:p>
      <w:pPr>
        <w:pStyle w:val="TOC1"/>
        <w:tabs>
          <w:tab w:val="right" w:leader="dot" w:pos="9060"/>
        </w:tabs>
        <w:ind w:firstLine="241"/>
      </w:pPr>
      <w:hyperlink w:anchor="_Toc278367045" w:history="1">
        <w:r>
          <w:rPr>
            <w:rStyle w:val="Hyperlink"/>
          </w:rPr>
          <w:t>6.</w:t>
        </w:r>
        <w:r>
          <w:rPr>
            <w:rStyle w:val="Hyperlink"/>
            <w:rFonts w:hint="eastAsia"/>
          </w:rPr>
          <w:t>深基坑监测</w:t>
        </w:r>
        <w:r>
          <w:tab/>
        </w:r>
        <w:r>
          <w:fldChar w:fldCharType="begin"/>
        </w:r>
        <w:r>
          <w:instrText xml:space="preserve"> PAGEREF _Toc278367045 \h </w:instrText>
        </w:r>
        <w:r>
          <w:fldChar w:fldCharType="separate"/>
        </w:r>
        <w:r>
          <w:rPr>
            <w:rFonts w:hint="eastAsia"/>
            <w:b w:val="0"/>
            <w:bCs w:val="0"/>
          </w:rPr>
          <w:t>错误!未定义书签。</w:t>
        </w:r>
        <w:r>
          <w:fldChar w:fldCharType="end"/>
        </w:r>
      </w:hyperlink>
    </w:p>
    <w:p>
      <w:pPr>
        <w:pStyle w:val="TOC2"/>
        <w:tabs>
          <w:tab w:val="right" w:leader="dot" w:pos="9062"/>
        </w:tabs>
        <w:spacing w:line="360" w:lineRule="auto"/>
        <w:rPr>
          <w:rFonts w:ascii="宋体" w:hAnsi="宋体"/>
          <w:sz w:val="24"/>
          <w:szCs w:val="24"/>
        </w:rPr>
      </w:pPr>
      <w:hyperlink w:anchor="_Toc278367046" w:history="1">
        <w:r>
          <w:rPr>
            <w:rStyle w:val="Hyperlink"/>
            <w:rFonts w:ascii="宋体" w:hAnsi="宋体"/>
            <w:sz w:val="24"/>
            <w:szCs w:val="24"/>
          </w:rPr>
          <w:t xml:space="preserve">6.1 </w:t>
        </w:r>
        <w:r>
          <w:rPr>
            <w:rStyle w:val="Hyperlink"/>
            <w:rFonts w:ascii="宋体" w:hAnsi="宋体" w:hint="eastAsia"/>
            <w:sz w:val="24"/>
            <w:szCs w:val="24"/>
          </w:rPr>
          <w:t>水平位移监测</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_Toc278367046 \h </w:instrText>
        </w:r>
        <w:r>
          <w:rPr>
            <w:rFonts w:ascii="宋体" w:hAnsi="宋体"/>
            <w:sz w:val="24"/>
            <w:szCs w:val="24"/>
          </w:rPr>
          <w:fldChar w:fldCharType="separate"/>
        </w:r>
        <w:r>
          <w:rPr>
            <w:rFonts w:ascii="宋体" w:hAnsi="宋体" w:hint="eastAsia"/>
            <w:b/>
            <w:bCs/>
            <w:sz w:val="24"/>
            <w:szCs w:val="24"/>
          </w:rPr>
          <w:t>错误!未定义书签。</w:t>
        </w:r>
        <w:r>
          <w:rPr>
            <w:rFonts w:ascii="宋体" w:hAnsi="宋体"/>
            <w:sz w:val="24"/>
            <w:szCs w:val="24"/>
          </w:rPr>
          <w:fldChar w:fldCharType="end"/>
        </w:r>
      </w:hyperlink>
    </w:p>
    <w:p>
      <w:pPr>
        <w:pStyle w:val="TOC2"/>
        <w:tabs>
          <w:tab w:val="right" w:leader="dot" w:pos="9062"/>
        </w:tabs>
        <w:spacing w:line="360" w:lineRule="auto"/>
        <w:rPr>
          <w:rFonts w:ascii="宋体" w:hAnsi="宋体"/>
          <w:sz w:val="24"/>
          <w:szCs w:val="24"/>
        </w:rPr>
      </w:pPr>
      <w:hyperlink w:anchor="_Toc278367047" w:history="1">
        <w:r>
          <w:rPr>
            <w:rStyle w:val="Hyperlink"/>
            <w:rFonts w:ascii="宋体" w:hAnsi="宋体"/>
            <w:sz w:val="24"/>
            <w:szCs w:val="24"/>
          </w:rPr>
          <w:t xml:space="preserve">6.2 </w:t>
        </w:r>
        <w:r>
          <w:rPr>
            <w:rStyle w:val="Hyperlink"/>
            <w:rFonts w:ascii="宋体" w:hAnsi="宋体" w:hint="eastAsia"/>
            <w:sz w:val="24"/>
            <w:szCs w:val="24"/>
          </w:rPr>
          <w:t>竖向位移监测</w:t>
        </w:r>
        <w:r>
          <w:rPr>
            <w:rFonts w:ascii="宋体" w:hAnsi="宋体"/>
            <w:sz w:val="24"/>
            <w:szCs w:val="24"/>
          </w:rPr>
          <w:tab/>
        </w:r>
        <w:r>
          <w:rPr>
            <w:rFonts w:ascii="宋体" w:hAnsi="宋体" w:hint="eastAsia"/>
            <w:sz w:val="24"/>
            <w:szCs w:val="24"/>
          </w:rPr>
          <w:t>10</w:t>
        </w:r>
      </w:hyperlink>
    </w:p>
    <w:p>
      <w:pPr>
        <w:pStyle w:val="TOC2"/>
        <w:tabs>
          <w:tab w:val="right" w:leader="dot" w:pos="9062"/>
        </w:tabs>
        <w:spacing w:line="360" w:lineRule="auto"/>
        <w:rPr>
          <w:rStyle w:val="Hyperlink"/>
          <w:rFonts w:ascii="宋体" w:hAnsi="宋体" w:hint="eastAsia"/>
          <w:sz w:val="24"/>
          <w:szCs w:val="24"/>
        </w:rPr>
      </w:pPr>
      <w:hyperlink w:anchor="_Toc278367048" w:history="1">
        <w:r>
          <w:rPr>
            <w:rStyle w:val="Hyperlink"/>
            <w:rFonts w:ascii="宋体" w:hAnsi="宋体"/>
            <w:sz w:val="24"/>
            <w:szCs w:val="24"/>
          </w:rPr>
          <w:t xml:space="preserve">6.3  </w:t>
        </w:r>
        <w:r>
          <w:rPr>
            <w:rStyle w:val="Hyperlink"/>
            <w:rFonts w:ascii="宋体" w:hAnsi="宋体" w:hint="eastAsia"/>
            <w:sz w:val="24"/>
            <w:szCs w:val="24"/>
          </w:rPr>
          <w:t>深层水平位移监测</w:t>
        </w:r>
        <w:r>
          <w:rPr>
            <w:rFonts w:ascii="宋体" w:hAnsi="宋体"/>
            <w:sz w:val="24"/>
            <w:szCs w:val="24"/>
          </w:rPr>
          <w:tab/>
        </w:r>
        <w:r>
          <w:rPr>
            <w:rFonts w:ascii="宋体" w:hAnsi="宋体" w:hint="eastAsia"/>
            <w:sz w:val="24"/>
            <w:szCs w:val="24"/>
          </w:rPr>
          <w:t>11</w:t>
        </w:r>
      </w:hyperlink>
    </w:p>
    <w:p>
      <w:pPr>
        <w:pStyle w:val="TOC2"/>
        <w:tabs>
          <w:tab w:val="right" w:leader="dot" w:pos="9062"/>
        </w:tabs>
        <w:spacing w:line="360" w:lineRule="auto"/>
        <w:rPr>
          <w:rFonts w:ascii="宋体" w:hAnsi="宋体"/>
          <w:sz w:val="24"/>
          <w:szCs w:val="24"/>
        </w:rPr>
      </w:pPr>
      <w:hyperlink w:anchor="_Toc278367046" w:history="1">
        <w:r>
          <w:rPr>
            <w:rStyle w:val="Hyperlink"/>
            <w:rFonts w:ascii="宋体" w:hAnsi="宋体"/>
            <w:sz w:val="24"/>
            <w:szCs w:val="24"/>
          </w:rPr>
          <w:t>6.</w:t>
        </w:r>
        <w:r>
          <w:rPr>
            <w:rStyle w:val="Hyperlink"/>
            <w:rFonts w:ascii="宋体" w:hAnsi="宋体" w:hint="eastAsia"/>
            <w:sz w:val="24"/>
            <w:szCs w:val="24"/>
          </w:rPr>
          <w:t>4</w:t>
        </w:r>
        <w:r>
          <w:rPr>
            <w:rStyle w:val="Hyperlink"/>
            <w:rFonts w:ascii="宋体" w:hAnsi="宋体"/>
            <w:sz w:val="24"/>
            <w:szCs w:val="24"/>
          </w:rPr>
          <w:t xml:space="preserve"> </w:t>
        </w:r>
        <w:r>
          <w:rPr>
            <w:rStyle w:val="Hyperlink"/>
            <w:rFonts w:ascii="宋体" w:hAnsi="宋体" w:hint="eastAsia"/>
            <w:sz w:val="24"/>
            <w:szCs w:val="24"/>
          </w:rPr>
          <w:t>倾斜监测</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_Toc278367046 \h </w:instrText>
        </w:r>
        <w:r>
          <w:rPr>
            <w:rFonts w:ascii="宋体" w:hAnsi="宋体"/>
            <w:sz w:val="24"/>
            <w:szCs w:val="24"/>
          </w:rPr>
          <w:fldChar w:fldCharType="separate"/>
        </w:r>
        <w:r>
          <w:rPr>
            <w:rFonts w:ascii="宋体" w:hAnsi="宋体" w:hint="eastAsia"/>
            <w:b/>
            <w:bCs/>
            <w:sz w:val="24"/>
            <w:szCs w:val="24"/>
          </w:rPr>
          <w:t>错误!未定义书签。</w:t>
        </w:r>
        <w:r>
          <w:rPr>
            <w:rFonts w:ascii="宋体" w:hAnsi="宋体"/>
            <w:sz w:val="24"/>
            <w:szCs w:val="24"/>
          </w:rPr>
          <w:fldChar w:fldCharType="end"/>
        </w:r>
      </w:hyperlink>
    </w:p>
    <w:p>
      <w:pPr>
        <w:pStyle w:val="TOC2"/>
        <w:tabs>
          <w:tab w:val="right" w:leader="dot" w:pos="9062"/>
        </w:tabs>
        <w:spacing w:line="360" w:lineRule="auto"/>
        <w:rPr>
          <w:rFonts w:ascii="宋体" w:hAnsi="宋体"/>
          <w:sz w:val="24"/>
          <w:szCs w:val="24"/>
        </w:rPr>
      </w:pPr>
      <w:hyperlink w:anchor="_Toc278367047" w:history="1">
        <w:r>
          <w:rPr>
            <w:rStyle w:val="Hyperlink"/>
            <w:rFonts w:ascii="宋体" w:hAnsi="宋体"/>
            <w:sz w:val="24"/>
            <w:szCs w:val="24"/>
          </w:rPr>
          <w:t>6.</w:t>
        </w:r>
        <w:r>
          <w:rPr>
            <w:rStyle w:val="Hyperlink"/>
            <w:rFonts w:ascii="宋体" w:hAnsi="宋体" w:hint="eastAsia"/>
            <w:sz w:val="24"/>
            <w:szCs w:val="24"/>
          </w:rPr>
          <w:t>5</w:t>
        </w:r>
        <w:r>
          <w:rPr>
            <w:rStyle w:val="Hyperlink"/>
            <w:rFonts w:ascii="宋体" w:hAnsi="宋体"/>
            <w:sz w:val="24"/>
            <w:szCs w:val="24"/>
          </w:rPr>
          <w:t xml:space="preserve"> </w:t>
        </w:r>
        <w:r>
          <w:rPr>
            <w:rStyle w:val="Hyperlink"/>
            <w:rFonts w:ascii="宋体" w:hAnsi="宋体" w:hint="eastAsia"/>
            <w:sz w:val="24"/>
            <w:szCs w:val="24"/>
          </w:rPr>
          <w:t>裂缝监测</w:t>
        </w:r>
        <w:r>
          <w:rPr>
            <w:rFonts w:ascii="宋体" w:hAnsi="宋体"/>
            <w:sz w:val="24"/>
            <w:szCs w:val="24"/>
          </w:rPr>
          <w:tab/>
        </w:r>
        <w:r>
          <w:rPr>
            <w:rFonts w:ascii="宋体" w:hAnsi="宋体" w:hint="eastAsia"/>
            <w:sz w:val="24"/>
            <w:szCs w:val="24"/>
          </w:rPr>
          <w:t>11</w:t>
        </w:r>
      </w:hyperlink>
    </w:p>
    <w:p>
      <w:pPr>
        <w:pStyle w:val="TOC2"/>
        <w:tabs>
          <w:tab w:val="right" w:leader="dot" w:pos="9062"/>
        </w:tabs>
        <w:spacing w:line="360" w:lineRule="auto"/>
        <w:rPr>
          <w:rStyle w:val="Hyperlink"/>
          <w:rFonts w:ascii="宋体" w:hAnsi="宋体" w:hint="eastAsia"/>
          <w:sz w:val="24"/>
          <w:szCs w:val="24"/>
        </w:rPr>
      </w:pPr>
      <w:hyperlink w:anchor="_Toc278367048" w:history="1">
        <w:r>
          <w:rPr>
            <w:rStyle w:val="Hyperlink"/>
            <w:rFonts w:ascii="宋体" w:hAnsi="宋体"/>
            <w:sz w:val="24"/>
            <w:szCs w:val="24"/>
          </w:rPr>
          <w:t>6.</w:t>
        </w:r>
        <w:r>
          <w:rPr>
            <w:rStyle w:val="Hyperlink"/>
            <w:rFonts w:ascii="宋体" w:hAnsi="宋体" w:hint="eastAsia"/>
            <w:sz w:val="24"/>
            <w:szCs w:val="24"/>
          </w:rPr>
          <w:t>6</w:t>
        </w:r>
        <w:r>
          <w:rPr>
            <w:rStyle w:val="Hyperlink"/>
            <w:rFonts w:ascii="宋体" w:hAnsi="宋体"/>
            <w:sz w:val="24"/>
            <w:szCs w:val="24"/>
          </w:rPr>
          <w:t xml:space="preserve">  </w:t>
        </w:r>
        <w:r>
          <w:rPr>
            <w:rStyle w:val="Hyperlink"/>
            <w:rFonts w:ascii="宋体" w:hAnsi="宋体" w:hint="eastAsia"/>
            <w:sz w:val="24"/>
            <w:szCs w:val="24"/>
          </w:rPr>
          <w:t>钢板桩内力监测</w:t>
        </w:r>
        <w:r>
          <w:rPr>
            <w:rFonts w:ascii="宋体" w:hAnsi="宋体"/>
            <w:sz w:val="24"/>
            <w:szCs w:val="24"/>
          </w:rPr>
          <w:tab/>
        </w:r>
        <w:r>
          <w:rPr>
            <w:rFonts w:ascii="宋体" w:hAnsi="宋体" w:hint="eastAsia"/>
            <w:sz w:val="24"/>
            <w:szCs w:val="24"/>
          </w:rPr>
          <w:t>12</w:t>
        </w:r>
      </w:hyperlink>
    </w:p>
    <w:p>
      <w:pPr>
        <w:pStyle w:val="TOC2"/>
        <w:tabs>
          <w:tab w:val="right" w:leader="dot" w:pos="9062"/>
        </w:tabs>
        <w:spacing w:line="360" w:lineRule="auto"/>
        <w:rPr>
          <w:rFonts w:ascii="宋体" w:hAnsi="宋体"/>
          <w:sz w:val="24"/>
          <w:szCs w:val="24"/>
        </w:rPr>
      </w:pPr>
      <w:hyperlink w:anchor="_Toc278367046" w:history="1">
        <w:r>
          <w:rPr>
            <w:rStyle w:val="Hyperlink"/>
            <w:rFonts w:ascii="宋体" w:hAnsi="宋体"/>
            <w:sz w:val="24"/>
            <w:szCs w:val="24"/>
          </w:rPr>
          <w:t>6.</w:t>
        </w:r>
        <w:r>
          <w:rPr>
            <w:rStyle w:val="Hyperlink"/>
            <w:rFonts w:ascii="宋体" w:hAnsi="宋体" w:hint="eastAsia"/>
            <w:sz w:val="24"/>
            <w:szCs w:val="24"/>
          </w:rPr>
          <w:t>7</w:t>
        </w:r>
        <w:r>
          <w:rPr>
            <w:rStyle w:val="Hyperlink"/>
            <w:rFonts w:ascii="宋体" w:hAnsi="宋体"/>
            <w:sz w:val="24"/>
            <w:szCs w:val="24"/>
          </w:rPr>
          <w:t xml:space="preserve"> </w:t>
        </w:r>
        <w:r>
          <w:rPr>
            <w:rStyle w:val="Hyperlink"/>
            <w:rFonts w:ascii="宋体" w:hAnsi="宋体" w:hint="eastAsia"/>
            <w:sz w:val="24"/>
            <w:szCs w:val="24"/>
          </w:rPr>
          <w:t>土压力监测</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_Toc278367046 \h </w:instrText>
        </w:r>
        <w:r>
          <w:rPr>
            <w:rFonts w:ascii="宋体" w:hAnsi="宋体"/>
            <w:sz w:val="24"/>
            <w:szCs w:val="24"/>
          </w:rPr>
          <w:fldChar w:fldCharType="separate"/>
        </w:r>
        <w:r>
          <w:rPr>
            <w:rFonts w:ascii="宋体" w:hAnsi="宋体" w:hint="eastAsia"/>
            <w:b/>
            <w:bCs/>
            <w:sz w:val="24"/>
            <w:szCs w:val="24"/>
          </w:rPr>
          <w:t>错误!未定义书签。</w:t>
        </w:r>
        <w:r>
          <w:rPr>
            <w:rFonts w:ascii="宋体" w:hAnsi="宋体"/>
            <w:sz w:val="24"/>
            <w:szCs w:val="24"/>
          </w:rPr>
          <w:fldChar w:fldCharType="end"/>
        </w:r>
      </w:hyperlink>
    </w:p>
    <w:p>
      <w:pPr>
        <w:pStyle w:val="TOC2"/>
        <w:tabs>
          <w:tab w:val="right" w:leader="dot" w:pos="9062"/>
        </w:tabs>
        <w:spacing w:line="360" w:lineRule="auto"/>
        <w:rPr>
          <w:rFonts w:ascii="宋体" w:hAnsi="宋体"/>
          <w:sz w:val="24"/>
          <w:szCs w:val="24"/>
        </w:rPr>
      </w:pPr>
      <w:hyperlink w:anchor="_Toc278367047" w:history="1">
        <w:r>
          <w:rPr>
            <w:rStyle w:val="Hyperlink"/>
            <w:rFonts w:ascii="宋体" w:hAnsi="宋体"/>
            <w:sz w:val="24"/>
            <w:szCs w:val="24"/>
          </w:rPr>
          <w:t>6.</w:t>
        </w:r>
        <w:r>
          <w:rPr>
            <w:rStyle w:val="Hyperlink"/>
            <w:rFonts w:ascii="宋体" w:hAnsi="宋体" w:hint="eastAsia"/>
            <w:sz w:val="24"/>
            <w:szCs w:val="24"/>
          </w:rPr>
          <w:t>8</w:t>
        </w:r>
        <w:r>
          <w:rPr>
            <w:rStyle w:val="Hyperlink"/>
            <w:rFonts w:ascii="宋体" w:hAnsi="宋体"/>
            <w:sz w:val="24"/>
            <w:szCs w:val="24"/>
          </w:rPr>
          <w:t xml:space="preserve"> </w:t>
        </w:r>
        <w:r>
          <w:rPr>
            <w:rStyle w:val="Hyperlink"/>
            <w:rFonts w:ascii="宋体" w:hAnsi="宋体" w:hint="eastAsia"/>
            <w:sz w:val="24"/>
            <w:szCs w:val="24"/>
          </w:rPr>
          <w:t>空隙水压力监测</w:t>
        </w:r>
        <w:r>
          <w:rPr>
            <w:rFonts w:ascii="宋体" w:hAnsi="宋体"/>
            <w:sz w:val="24"/>
            <w:szCs w:val="24"/>
          </w:rPr>
          <w:tab/>
        </w:r>
        <w:r>
          <w:rPr>
            <w:rFonts w:ascii="宋体" w:hAnsi="宋体" w:hint="eastAsia"/>
            <w:sz w:val="24"/>
            <w:szCs w:val="24"/>
          </w:rPr>
          <w:t>12</w:t>
        </w:r>
      </w:hyperlink>
    </w:p>
    <w:p>
      <w:pPr>
        <w:pStyle w:val="TOC2"/>
        <w:tabs>
          <w:tab w:val="right" w:leader="dot" w:pos="9062"/>
        </w:tabs>
        <w:spacing w:line="360" w:lineRule="auto"/>
        <w:rPr>
          <w:rFonts w:ascii="宋体" w:hAnsi="宋体" w:hint="eastAsia"/>
          <w:color w:val="0000FF"/>
          <w:sz w:val="24"/>
          <w:szCs w:val="24"/>
          <w:u w:val="single"/>
        </w:rPr>
      </w:pPr>
      <w:hyperlink w:anchor="_Toc278367048" w:history="1">
        <w:r>
          <w:rPr>
            <w:rStyle w:val="Hyperlink"/>
            <w:rFonts w:ascii="宋体" w:hAnsi="宋体"/>
            <w:sz w:val="24"/>
            <w:szCs w:val="24"/>
          </w:rPr>
          <w:t>6.</w:t>
        </w:r>
        <w:r>
          <w:rPr>
            <w:rStyle w:val="Hyperlink"/>
            <w:rFonts w:ascii="宋体" w:hAnsi="宋体" w:hint="eastAsia"/>
            <w:sz w:val="24"/>
            <w:szCs w:val="24"/>
          </w:rPr>
          <w:t>9</w:t>
        </w:r>
        <w:r>
          <w:rPr>
            <w:rStyle w:val="Hyperlink"/>
            <w:rFonts w:ascii="宋体" w:hAnsi="宋体"/>
            <w:sz w:val="24"/>
            <w:szCs w:val="24"/>
          </w:rPr>
          <w:t xml:space="preserve">  </w:t>
        </w:r>
        <w:r>
          <w:rPr>
            <w:rStyle w:val="Hyperlink"/>
            <w:rFonts w:ascii="宋体" w:hAnsi="宋体" w:hint="eastAsia"/>
            <w:sz w:val="24"/>
            <w:szCs w:val="24"/>
          </w:rPr>
          <w:t>地下水位监测</w:t>
        </w:r>
        <w:r>
          <w:rPr>
            <w:rFonts w:ascii="宋体" w:hAnsi="宋体"/>
            <w:sz w:val="24"/>
            <w:szCs w:val="24"/>
          </w:rPr>
          <w:tab/>
        </w:r>
        <w:r>
          <w:rPr>
            <w:rFonts w:ascii="宋体" w:hAnsi="宋体" w:hint="eastAsia"/>
            <w:sz w:val="24"/>
            <w:szCs w:val="24"/>
          </w:rPr>
          <w:t>13</w:t>
        </w:r>
      </w:hyperlink>
    </w:p>
    <w:p>
      <w:pPr>
        <w:pStyle w:val="TOC1"/>
        <w:tabs>
          <w:tab w:val="right" w:leader="dot" w:pos="9060"/>
        </w:tabs>
        <w:ind w:firstLine="241"/>
      </w:pPr>
      <w:hyperlink w:anchor="_Toc278367049" w:history="1">
        <w:r>
          <w:rPr>
            <w:rStyle w:val="Hyperlink"/>
          </w:rPr>
          <w:t>7.</w:t>
        </w:r>
        <w:r>
          <w:rPr>
            <w:rStyle w:val="Hyperlink"/>
            <w:rFonts w:hint="eastAsia"/>
          </w:rPr>
          <w:t>深基坑施工中的安全保证措施</w:t>
        </w:r>
        <w:r>
          <w:tab/>
        </w:r>
        <w:r>
          <w:rPr>
            <w:rFonts w:hint="eastAsia"/>
          </w:rPr>
          <w:t>13</w:t>
        </w:r>
      </w:hyperlink>
    </w:p>
    <w:p>
      <w:pPr>
        <w:pStyle w:val="TOC2"/>
        <w:tabs>
          <w:tab w:val="right" w:leader="dot" w:pos="9062"/>
        </w:tabs>
        <w:spacing w:line="360" w:lineRule="auto"/>
        <w:rPr>
          <w:rFonts w:ascii="宋体" w:hAnsi="宋体"/>
          <w:sz w:val="24"/>
          <w:szCs w:val="24"/>
        </w:rPr>
      </w:pPr>
      <w:hyperlink w:anchor="_Toc278367050" w:history="1">
        <w:r>
          <w:rPr>
            <w:rStyle w:val="Hyperlink"/>
            <w:rFonts w:ascii="宋体" w:hAnsi="宋体"/>
            <w:sz w:val="24"/>
            <w:szCs w:val="24"/>
          </w:rPr>
          <w:t>7.1</w:t>
        </w:r>
        <w:r>
          <w:rPr>
            <w:rStyle w:val="Hyperlink"/>
            <w:rFonts w:ascii="宋体" w:hAnsi="宋体" w:hint="eastAsia"/>
            <w:sz w:val="24"/>
            <w:szCs w:val="24"/>
          </w:rPr>
          <w:t>思想保证措施</w:t>
        </w:r>
        <w:r>
          <w:rPr>
            <w:rFonts w:ascii="宋体" w:hAnsi="宋体"/>
            <w:sz w:val="24"/>
            <w:szCs w:val="24"/>
          </w:rPr>
          <w:tab/>
        </w:r>
        <w:r>
          <w:rPr>
            <w:rFonts w:ascii="宋体" w:hAnsi="宋体" w:hint="eastAsia"/>
            <w:sz w:val="24"/>
            <w:szCs w:val="24"/>
          </w:rPr>
          <w:t>13</w:t>
        </w:r>
      </w:hyperlink>
    </w:p>
    <w:p>
      <w:pPr>
        <w:pStyle w:val="TOC2"/>
        <w:tabs>
          <w:tab w:val="right" w:leader="dot" w:pos="9062"/>
        </w:tabs>
        <w:spacing w:line="360" w:lineRule="auto"/>
        <w:rPr>
          <w:rFonts w:ascii="宋体" w:hAnsi="宋体"/>
          <w:sz w:val="24"/>
          <w:szCs w:val="24"/>
        </w:rPr>
      </w:pPr>
      <w:hyperlink w:anchor="_Toc278367051" w:history="1">
        <w:r>
          <w:rPr>
            <w:rStyle w:val="Hyperlink"/>
            <w:rFonts w:ascii="宋体" w:hAnsi="宋体"/>
            <w:sz w:val="24"/>
            <w:szCs w:val="24"/>
          </w:rPr>
          <w:t xml:space="preserve">7.2 </w:t>
        </w:r>
        <w:r>
          <w:rPr>
            <w:rStyle w:val="Hyperlink"/>
            <w:rFonts w:ascii="宋体" w:hAnsi="宋体" w:hint="eastAsia"/>
            <w:sz w:val="24"/>
            <w:szCs w:val="24"/>
          </w:rPr>
          <w:t>经济保证措施</w:t>
        </w:r>
        <w:r>
          <w:rPr>
            <w:rFonts w:ascii="宋体" w:hAnsi="宋体"/>
            <w:sz w:val="24"/>
            <w:szCs w:val="24"/>
          </w:rPr>
          <w:tab/>
        </w:r>
        <w:r>
          <w:rPr>
            <w:rFonts w:ascii="宋体" w:hAnsi="宋体" w:hint="eastAsia"/>
            <w:sz w:val="24"/>
            <w:szCs w:val="24"/>
          </w:rPr>
          <w:t>13</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 xml:space="preserve"> 安全管理措施</w:t>
        </w:r>
        <w:r>
          <w:rPr>
            <w:rFonts w:ascii="宋体" w:hAnsi="宋体"/>
            <w:sz w:val="24"/>
            <w:szCs w:val="24"/>
          </w:rPr>
          <w:tab/>
        </w:r>
        <w:r>
          <w:rPr>
            <w:rFonts w:ascii="宋体" w:hAnsi="宋体" w:hint="eastAsia"/>
            <w:sz w:val="24"/>
            <w:szCs w:val="24"/>
          </w:rPr>
          <w:t>13</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.1 安全目标</w:t>
        </w:r>
        <w:r>
          <w:rPr>
            <w:rFonts w:ascii="宋体" w:hAnsi="宋体"/>
            <w:sz w:val="24"/>
            <w:szCs w:val="24"/>
          </w:rPr>
          <w:tab/>
        </w:r>
        <w:r>
          <w:rPr>
            <w:rFonts w:ascii="宋体" w:hAnsi="宋体" w:hint="eastAsia"/>
            <w:sz w:val="24"/>
            <w:szCs w:val="24"/>
          </w:rPr>
          <w:t>13</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.2 安全保证体系</w:t>
        </w:r>
        <w:r>
          <w:rPr>
            <w:rFonts w:ascii="宋体" w:hAnsi="宋体"/>
            <w:sz w:val="24"/>
            <w:szCs w:val="24"/>
          </w:rPr>
          <w:tab/>
        </w:r>
        <w:r>
          <w:rPr>
            <w:rFonts w:ascii="宋体" w:hAnsi="宋体" w:hint="eastAsia"/>
            <w:sz w:val="24"/>
            <w:szCs w:val="24"/>
          </w:rPr>
          <w:t>14</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.2.1建立健全安全管理组织机构</w:t>
        </w:r>
        <w:r>
          <w:rPr>
            <w:rFonts w:ascii="宋体" w:hAnsi="宋体"/>
            <w:sz w:val="24"/>
            <w:szCs w:val="24"/>
          </w:rPr>
          <w:tab/>
        </w:r>
        <w:r>
          <w:rPr>
            <w:rFonts w:ascii="宋体" w:hAnsi="宋体" w:hint="eastAsia"/>
            <w:sz w:val="24"/>
            <w:szCs w:val="24"/>
          </w:rPr>
          <w:t>14</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.2.2 安全保证体系</w:t>
        </w:r>
        <w:r>
          <w:rPr>
            <w:rFonts w:ascii="宋体" w:hAnsi="宋体"/>
            <w:sz w:val="24"/>
            <w:szCs w:val="24"/>
          </w:rPr>
          <w:tab/>
        </w:r>
        <w:r>
          <w:rPr>
            <w:rFonts w:ascii="宋体" w:hAnsi="宋体" w:hint="eastAsia"/>
            <w:sz w:val="24"/>
            <w:szCs w:val="24"/>
          </w:rPr>
          <w:t>16</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.2.3 安全生产管理机构</w:t>
        </w:r>
        <w:r>
          <w:rPr>
            <w:rFonts w:ascii="宋体" w:hAnsi="宋体"/>
            <w:sz w:val="24"/>
            <w:szCs w:val="24"/>
          </w:rPr>
          <w:tab/>
        </w:r>
        <w:r>
          <w:rPr>
            <w:rFonts w:ascii="宋体" w:hAnsi="宋体" w:hint="eastAsia"/>
            <w:sz w:val="24"/>
            <w:szCs w:val="24"/>
          </w:rPr>
          <w:t>16</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.3 安全生产责任制</w:t>
        </w:r>
        <w:r>
          <w:rPr>
            <w:rFonts w:ascii="宋体" w:hAnsi="宋体"/>
            <w:sz w:val="24"/>
            <w:szCs w:val="24"/>
          </w:rPr>
          <w:tab/>
        </w:r>
        <w:r>
          <w:rPr>
            <w:rFonts w:ascii="宋体" w:hAnsi="宋体" w:hint="eastAsia"/>
            <w:sz w:val="24"/>
            <w:szCs w:val="24"/>
          </w:rPr>
          <w:t>16</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.4 安全保证措施</w:t>
        </w:r>
        <w:r>
          <w:rPr>
            <w:rFonts w:ascii="宋体" w:hAnsi="宋体"/>
            <w:sz w:val="24"/>
            <w:szCs w:val="24"/>
          </w:rPr>
          <w:tab/>
        </w:r>
        <w:r>
          <w:rPr>
            <w:rFonts w:ascii="宋体" w:hAnsi="宋体" w:hint="eastAsia"/>
            <w:sz w:val="24"/>
            <w:szCs w:val="24"/>
          </w:rPr>
          <w:t>24</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.4.1 建立健全各项安全管理制度</w:t>
        </w:r>
        <w:r>
          <w:rPr>
            <w:rFonts w:ascii="宋体" w:hAnsi="宋体"/>
            <w:sz w:val="24"/>
            <w:szCs w:val="24"/>
          </w:rPr>
          <w:tab/>
        </w:r>
        <w:r>
          <w:rPr>
            <w:rFonts w:ascii="宋体" w:hAnsi="宋体" w:hint="eastAsia"/>
            <w:sz w:val="24"/>
            <w:szCs w:val="24"/>
          </w:rPr>
          <w:t>24</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7.3</w:t>
        </w:r>
        <w:r>
          <w:rPr>
            <w:rStyle w:val="Hyperlink"/>
            <w:rFonts w:ascii="宋体" w:hAnsi="宋体" w:hint="eastAsia"/>
            <w:sz w:val="24"/>
            <w:szCs w:val="24"/>
          </w:rPr>
          <w:t>.4.2 安全生产教育与培训</w:t>
        </w:r>
        <w:r>
          <w:rPr>
            <w:rFonts w:ascii="宋体" w:hAnsi="宋体"/>
            <w:sz w:val="24"/>
            <w:szCs w:val="24"/>
          </w:rPr>
          <w:tab/>
        </w:r>
        <w:r>
          <w:rPr>
            <w:rFonts w:ascii="宋体" w:hAnsi="宋体" w:hint="eastAsia"/>
            <w:sz w:val="24"/>
            <w:szCs w:val="24"/>
          </w:rPr>
          <w:t>25</w:t>
        </w:r>
      </w:hyperlink>
    </w:p>
    <w:p>
      <w:pPr>
        <w:pStyle w:val="TOC2"/>
        <w:tabs>
          <w:tab w:val="right" w:leader="dot" w:pos="9062"/>
        </w:tabs>
        <w:spacing w:line="360" w:lineRule="auto"/>
        <w:rPr>
          <w:rStyle w:val="Hyperlink"/>
          <w:rFonts w:ascii="宋体" w:hAnsi="宋体" w:hint="eastAsia"/>
          <w:sz w:val="24"/>
          <w:szCs w:val="24"/>
        </w:rPr>
      </w:pPr>
      <w:hyperlink w:anchor="_Toc278367052" w:history="1">
        <w:r>
          <w:rPr>
            <w:rStyle w:val="Hyperlink"/>
            <w:rFonts w:ascii="宋体" w:hAnsi="宋体"/>
            <w:sz w:val="24"/>
            <w:szCs w:val="24"/>
          </w:rPr>
          <w:t>7.</w:t>
        </w:r>
        <w:r>
          <w:rPr>
            <w:rStyle w:val="Hyperlink"/>
            <w:rFonts w:ascii="宋体" w:hAnsi="宋体" w:hint="eastAsia"/>
            <w:sz w:val="24"/>
            <w:szCs w:val="24"/>
          </w:rPr>
          <w:t>4 安全生产检查</w:t>
        </w:r>
        <w:r>
          <w:rPr>
            <w:rFonts w:ascii="宋体" w:hAnsi="宋体"/>
            <w:sz w:val="24"/>
            <w:szCs w:val="24"/>
          </w:rPr>
          <w:tab/>
        </w:r>
        <w:r>
          <w:rPr>
            <w:rFonts w:ascii="宋体" w:hAnsi="宋体" w:hint="eastAsia"/>
            <w:sz w:val="24"/>
            <w:szCs w:val="24"/>
          </w:rPr>
          <w:t>27</w:t>
        </w:r>
      </w:hyperlink>
    </w:p>
    <w:p>
      <w:pPr>
        <w:pStyle w:val="TOC1"/>
        <w:tabs>
          <w:tab w:val="right" w:leader="dot" w:pos="9060"/>
        </w:tabs>
        <w:ind w:firstLine="241"/>
      </w:pPr>
      <w:hyperlink w:anchor="_Toc278367057" w:history="1">
        <w:r>
          <w:rPr>
            <w:rStyle w:val="Hyperlink"/>
          </w:rPr>
          <w:t>8.</w:t>
        </w:r>
        <w:r>
          <w:rPr>
            <w:rStyle w:val="Hyperlink"/>
            <w:rFonts w:hint="eastAsia"/>
          </w:rPr>
          <w:t>环境保护水土保持措施</w:t>
        </w:r>
        <w:r>
          <w:tab/>
        </w:r>
        <w:r>
          <w:rPr>
            <w:rFonts w:hint="eastAsia"/>
          </w:rPr>
          <w:t>27</w:t>
        </w:r>
      </w:hyperlink>
    </w:p>
    <w:p>
      <w:pPr>
        <w:pStyle w:val="TOC2"/>
        <w:tabs>
          <w:tab w:val="right" w:leader="dot" w:pos="9062"/>
        </w:tabs>
        <w:spacing w:line="360" w:lineRule="auto"/>
        <w:rPr>
          <w:rFonts w:ascii="宋体" w:hAnsi="宋体"/>
          <w:sz w:val="24"/>
          <w:szCs w:val="24"/>
        </w:rPr>
      </w:pPr>
      <w:hyperlink w:anchor="_Toc278367058" w:history="1">
        <w:r>
          <w:rPr>
            <w:rStyle w:val="Hyperlink"/>
            <w:rFonts w:ascii="宋体" w:hAnsi="宋体"/>
            <w:sz w:val="24"/>
            <w:szCs w:val="24"/>
          </w:rPr>
          <w:t xml:space="preserve">8.1 </w:t>
        </w:r>
        <w:r>
          <w:rPr>
            <w:rStyle w:val="Hyperlink"/>
            <w:rFonts w:ascii="宋体" w:hAnsi="宋体" w:hint="eastAsia"/>
            <w:sz w:val="24"/>
            <w:szCs w:val="24"/>
          </w:rPr>
          <w:t>环境保护、水土保持制度</w:t>
        </w:r>
        <w:r>
          <w:rPr>
            <w:rFonts w:ascii="宋体" w:hAnsi="宋体"/>
            <w:sz w:val="24"/>
            <w:szCs w:val="24"/>
          </w:rPr>
          <w:tab/>
        </w:r>
        <w:r>
          <w:rPr>
            <w:rFonts w:ascii="宋体" w:hAnsi="宋体" w:hint="eastAsia"/>
            <w:sz w:val="24"/>
            <w:szCs w:val="24"/>
          </w:rPr>
          <w:t>27</w:t>
        </w:r>
      </w:hyperlink>
    </w:p>
    <w:p>
      <w:pPr>
        <w:pStyle w:val="TOC2"/>
        <w:tabs>
          <w:tab w:val="right" w:leader="dot" w:pos="9062"/>
        </w:tabs>
        <w:spacing w:line="360" w:lineRule="auto"/>
        <w:rPr>
          <w:rFonts w:ascii="宋体" w:hAnsi="宋体"/>
          <w:sz w:val="24"/>
          <w:szCs w:val="24"/>
        </w:rPr>
      </w:pPr>
      <w:hyperlink w:anchor="_Toc278367059" w:history="1">
        <w:r>
          <w:rPr>
            <w:rStyle w:val="Hyperlink"/>
            <w:rFonts w:ascii="宋体" w:hAnsi="宋体"/>
            <w:sz w:val="24"/>
            <w:szCs w:val="24"/>
          </w:rPr>
          <w:t xml:space="preserve">8.2 </w:t>
        </w:r>
        <w:r>
          <w:rPr>
            <w:rStyle w:val="Hyperlink"/>
            <w:rFonts w:ascii="宋体" w:hAnsi="宋体" w:hint="eastAsia"/>
            <w:sz w:val="24"/>
            <w:szCs w:val="24"/>
          </w:rPr>
          <w:t>环水保目标</w:t>
        </w:r>
        <w:r>
          <w:rPr>
            <w:rFonts w:ascii="宋体" w:hAnsi="宋体"/>
            <w:sz w:val="24"/>
            <w:szCs w:val="24"/>
          </w:rPr>
          <w:tab/>
        </w:r>
        <w:r>
          <w:rPr>
            <w:rFonts w:ascii="宋体" w:hAnsi="宋体" w:hint="eastAsia"/>
            <w:sz w:val="24"/>
            <w:szCs w:val="24"/>
          </w:rPr>
          <w:t>29</w:t>
        </w:r>
      </w:hyperlink>
    </w:p>
    <w:p>
      <w:pPr>
        <w:pStyle w:val="TOC2"/>
        <w:tabs>
          <w:tab w:val="right" w:leader="dot" w:pos="9062"/>
        </w:tabs>
        <w:spacing w:line="360" w:lineRule="auto"/>
        <w:rPr>
          <w:rStyle w:val="Hyperlink"/>
          <w:rFonts w:ascii="宋体" w:hAnsi="宋体" w:hint="eastAsia"/>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7" w:h="16840"/>
          <w:pgMar w:top="1418" w:right="1191" w:bottom="1418" w:left="1644" w:header="919" w:footer="856" w:gutter="0"/>
          <w:pgNumType w:start="2"/>
          <w:cols w:space="708"/>
          <w:titlePg w:val="0"/>
          <w:docGrid w:linePitch="304"/>
        </w:sectPr>
      </w:pPr>
      <w:hyperlink w:anchor="_Toc278367060" w:history="1">
        <w:r>
          <w:rPr>
            <w:rStyle w:val="Hyperlink"/>
            <w:rFonts w:ascii="宋体" w:hAnsi="宋体"/>
            <w:sz w:val="24"/>
            <w:szCs w:val="24"/>
          </w:rPr>
          <w:t xml:space="preserve">8.3 </w:t>
        </w:r>
        <w:r>
          <w:rPr>
            <w:rStyle w:val="Hyperlink"/>
            <w:rFonts w:ascii="宋体" w:hAnsi="宋体" w:hint="eastAsia"/>
            <w:sz w:val="24"/>
            <w:szCs w:val="24"/>
          </w:rPr>
          <w:t>环水保的重要性</w:t>
        </w:r>
        <w:r>
          <w:rPr>
            <w:rFonts w:ascii="宋体" w:hAnsi="宋体"/>
            <w:sz w:val="24"/>
            <w:szCs w:val="24"/>
          </w:rPr>
          <w:tab/>
        </w:r>
        <w:r>
          <w:rPr>
            <w:rFonts w:ascii="宋体" w:hAnsi="宋体" w:hint="eastAsia"/>
            <w:sz w:val="24"/>
            <w:szCs w:val="24"/>
          </w:rPr>
          <w:t>29</w:t>
        </w:r>
      </w:hyperlink>
    </w:p>
    <w:p>
      <w:pPr>
        <w:pStyle w:val="TOC2"/>
        <w:tabs>
          <w:tab w:val="right" w:leader="dot" w:pos="9062"/>
        </w:tabs>
        <w:spacing w:line="360" w:lineRule="auto"/>
        <w:rPr>
          <w:rFonts w:ascii="宋体" w:hAnsi="宋体"/>
          <w:sz w:val="24"/>
          <w:szCs w:val="24"/>
        </w:rPr>
      </w:pPr>
      <w:hyperlink w:anchor="_Toc278367058" w:history="1">
        <w:r>
          <w:rPr>
            <w:rStyle w:val="Hyperlink"/>
            <w:rFonts w:ascii="宋体" w:hAnsi="宋体"/>
            <w:sz w:val="24"/>
            <w:szCs w:val="24"/>
          </w:rPr>
          <w:t>8.</w:t>
        </w:r>
        <w:r>
          <w:rPr>
            <w:rStyle w:val="Hyperlink"/>
            <w:rFonts w:ascii="宋体" w:hAnsi="宋体" w:hint="eastAsia"/>
            <w:sz w:val="24"/>
            <w:szCs w:val="24"/>
          </w:rPr>
          <w:t>4</w:t>
        </w:r>
        <w:r>
          <w:rPr>
            <w:rStyle w:val="Hyperlink"/>
            <w:rFonts w:ascii="宋体" w:hAnsi="宋体"/>
            <w:sz w:val="24"/>
            <w:szCs w:val="24"/>
          </w:rPr>
          <w:t xml:space="preserve"> </w:t>
        </w:r>
        <w:r>
          <w:rPr>
            <w:rStyle w:val="Hyperlink"/>
            <w:rFonts w:ascii="宋体" w:hAnsi="宋体" w:hint="eastAsia"/>
            <w:sz w:val="24"/>
            <w:szCs w:val="24"/>
          </w:rPr>
          <w:t>环水保管理制度</w:t>
        </w:r>
        <w:r>
          <w:rPr>
            <w:rFonts w:ascii="宋体" w:hAnsi="宋体"/>
            <w:sz w:val="24"/>
            <w:szCs w:val="24"/>
          </w:rPr>
          <w:tab/>
        </w:r>
        <w:r>
          <w:rPr>
            <w:rFonts w:ascii="宋体" w:hAnsi="宋体" w:hint="eastAsia"/>
            <w:sz w:val="24"/>
            <w:szCs w:val="24"/>
          </w:rPr>
          <w:t>29</w:t>
        </w:r>
      </w:hyperlink>
    </w:p>
    <w:p>
      <w:pPr>
        <w:pStyle w:val="TOC2"/>
        <w:tabs>
          <w:tab w:val="right" w:leader="dot" w:pos="9062"/>
        </w:tabs>
        <w:spacing w:line="360" w:lineRule="auto"/>
        <w:rPr>
          <w:rFonts w:ascii="宋体" w:hAnsi="宋体"/>
          <w:sz w:val="24"/>
          <w:szCs w:val="24"/>
        </w:rPr>
      </w:pPr>
      <w:hyperlink w:anchor="_Toc278367059" w:history="1">
        <w:r>
          <w:rPr>
            <w:rStyle w:val="Hyperlink"/>
            <w:rFonts w:ascii="宋体" w:hAnsi="宋体"/>
            <w:sz w:val="24"/>
            <w:szCs w:val="24"/>
          </w:rPr>
          <w:t>8.</w:t>
        </w:r>
        <w:r>
          <w:rPr>
            <w:rStyle w:val="Hyperlink"/>
            <w:rFonts w:ascii="宋体" w:hAnsi="宋体" w:hint="eastAsia"/>
            <w:sz w:val="24"/>
            <w:szCs w:val="24"/>
          </w:rPr>
          <w:t>5</w:t>
        </w:r>
        <w:r>
          <w:rPr>
            <w:rStyle w:val="Hyperlink"/>
            <w:rFonts w:ascii="宋体" w:hAnsi="宋体"/>
            <w:sz w:val="24"/>
            <w:szCs w:val="24"/>
          </w:rPr>
          <w:t xml:space="preserve"> </w:t>
        </w:r>
        <w:r>
          <w:rPr>
            <w:rStyle w:val="Hyperlink"/>
            <w:rFonts w:ascii="宋体" w:hAnsi="宋体" w:hint="eastAsia"/>
            <w:sz w:val="24"/>
            <w:szCs w:val="24"/>
          </w:rPr>
          <w:t>环水保责任制度</w:t>
        </w:r>
        <w:r>
          <w:rPr>
            <w:rFonts w:ascii="宋体" w:hAnsi="宋体"/>
            <w:sz w:val="24"/>
            <w:szCs w:val="24"/>
          </w:rPr>
          <w:tab/>
        </w:r>
        <w:r>
          <w:rPr>
            <w:rFonts w:ascii="宋体" w:hAnsi="宋体" w:hint="eastAsia"/>
            <w:sz w:val="24"/>
            <w:szCs w:val="24"/>
          </w:rPr>
          <w:t>29</w:t>
        </w:r>
      </w:hyperlink>
    </w:p>
    <w:p>
      <w:pPr>
        <w:pStyle w:val="TOC2"/>
        <w:tabs>
          <w:tab w:val="right" w:leader="dot" w:pos="9062"/>
        </w:tabs>
        <w:spacing w:line="360" w:lineRule="auto"/>
        <w:rPr>
          <w:rStyle w:val="Hyperlink"/>
          <w:rFonts w:ascii="宋体" w:hAnsi="宋体" w:hint="eastAsia"/>
          <w:sz w:val="24"/>
          <w:szCs w:val="24"/>
        </w:rPr>
      </w:pPr>
      <w:hyperlink w:anchor="_Toc278367060" w:history="1">
        <w:r>
          <w:rPr>
            <w:rStyle w:val="Hyperlink"/>
            <w:rFonts w:ascii="宋体" w:hAnsi="宋体"/>
            <w:sz w:val="24"/>
            <w:szCs w:val="24"/>
          </w:rPr>
          <w:t>8.</w:t>
        </w:r>
        <w:r>
          <w:rPr>
            <w:rStyle w:val="Hyperlink"/>
            <w:rFonts w:ascii="宋体" w:hAnsi="宋体" w:hint="eastAsia"/>
            <w:sz w:val="24"/>
            <w:szCs w:val="24"/>
          </w:rPr>
          <w:t>6</w:t>
        </w:r>
        <w:r>
          <w:rPr>
            <w:rStyle w:val="Hyperlink"/>
            <w:rFonts w:ascii="宋体" w:hAnsi="宋体"/>
            <w:sz w:val="24"/>
            <w:szCs w:val="24"/>
          </w:rPr>
          <w:t xml:space="preserve"> </w:t>
        </w:r>
        <w:r>
          <w:rPr>
            <w:rStyle w:val="Hyperlink"/>
            <w:rFonts w:ascii="宋体" w:hAnsi="宋体" w:hint="eastAsia"/>
            <w:sz w:val="24"/>
            <w:szCs w:val="24"/>
          </w:rPr>
          <w:t>环水保检查制度</w:t>
        </w:r>
        <w:r>
          <w:rPr>
            <w:rFonts w:ascii="宋体" w:hAnsi="宋体"/>
            <w:sz w:val="24"/>
            <w:szCs w:val="24"/>
          </w:rPr>
          <w:tab/>
        </w:r>
        <w:r>
          <w:rPr>
            <w:rFonts w:ascii="宋体" w:hAnsi="宋体" w:hint="eastAsia"/>
            <w:sz w:val="24"/>
            <w:szCs w:val="24"/>
          </w:rPr>
          <w:t>29</w:t>
        </w:r>
      </w:hyperlink>
    </w:p>
    <w:p>
      <w:pPr>
        <w:pStyle w:val="TOC2"/>
        <w:tabs>
          <w:tab w:val="right" w:leader="dot" w:pos="9062"/>
        </w:tabs>
        <w:spacing w:line="360" w:lineRule="auto"/>
        <w:rPr>
          <w:rFonts w:ascii="宋体" w:hAnsi="宋体"/>
          <w:sz w:val="24"/>
          <w:szCs w:val="24"/>
        </w:rPr>
      </w:pPr>
      <w:hyperlink w:anchor="_Toc278367058" w:history="1">
        <w:r>
          <w:rPr>
            <w:rStyle w:val="Hyperlink"/>
            <w:rFonts w:ascii="宋体" w:hAnsi="宋体"/>
            <w:sz w:val="24"/>
            <w:szCs w:val="24"/>
          </w:rPr>
          <w:t>8.</w:t>
        </w:r>
        <w:r>
          <w:rPr>
            <w:rStyle w:val="Hyperlink"/>
            <w:rFonts w:ascii="宋体" w:hAnsi="宋体" w:hint="eastAsia"/>
            <w:sz w:val="24"/>
            <w:szCs w:val="24"/>
          </w:rPr>
          <w:t>7</w:t>
        </w:r>
        <w:r>
          <w:rPr>
            <w:rStyle w:val="Hyperlink"/>
            <w:rFonts w:ascii="宋体" w:hAnsi="宋体"/>
            <w:sz w:val="24"/>
            <w:szCs w:val="24"/>
          </w:rPr>
          <w:t xml:space="preserve"> </w:t>
        </w:r>
        <w:r>
          <w:rPr>
            <w:rStyle w:val="Hyperlink"/>
            <w:rFonts w:ascii="宋体" w:hAnsi="宋体" w:hint="eastAsia"/>
            <w:sz w:val="24"/>
            <w:szCs w:val="24"/>
          </w:rPr>
          <w:t>环水保技术措施</w:t>
        </w:r>
        <w:r>
          <w:rPr>
            <w:rFonts w:ascii="宋体" w:hAnsi="宋体"/>
            <w:sz w:val="24"/>
            <w:szCs w:val="24"/>
          </w:rPr>
          <w:tab/>
        </w:r>
        <w:r>
          <w:rPr>
            <w:rFonts w:ascii="宋体" w:hAnsi="宋体" w:hint="eastAsia"/>
            <w:sz w:val="24"/>
            <w:szCs w:val="24"/>
          </w:rPr>
          <w:t>30</w:t>
        </w:r>
      </w:hyperlink>
    </w:p>
    <w:p>
      <w:pPr>
        <w:pStyle w:val="TOC2"/>
        <w:tabs>
          <w:tab w:val="right" w:leader="dot" w:pos="9062"/>
        </w:tabs>
        <w:spacing w:line="360" w:lineRule="auto"/>
        <w:rPr>
          <w:rFonts w:ascii="宋体" w:hAnsi="宋体"/>
          <w:sz w:val="24"/>
          <w:szCs w:val="24"/>
        </w:rPr>
      </w:pPr>
      <w:hyperlink w:anchor="_Toc278367059" w:history="1">
        <w:r>
          <w:rPr>
            <w:rStyle w:val="Hyperlink"/>
            <w:rFonts w:ascii="宋体" w:hAnsi="宋体"/>
            <w:sz w:val="24"/>
            <w:szCs w:val="24"/>
          </w:rPr>
          <w:t>8.</w:t>
        </w:r>
        <w:r>
          <w:rPr>
            <w:rStyle w:val="Hyperlink"/>
            <w:rFonts w:ascii="宋体" w:hAnsi="宋体" w:hint="eastAsia"/>
            <w:sz w:val="24"/>
            <w:szCs w:val="24"/>
          </w:rPr>
          <w:t>7.1</w:t>
        </w:r>
        <w:r>
          <w:rPr>
            <w:rStyle w:val="Hyperlink"/>
            <w:rFonts w:ascii="宋体" w:hAnsi="宋体"/>
            <w:sz w:val="24"/>
            <w:szCs w:val="24"/>
          </w:rPr>
          <w:t xml:space="preserve"> </w:t>
        </w:r>
        <w:r>
          <w:rPr>
            <w:rStyle w:val="Hyperlink"/>
            <w:rFonts w:ascii="宋体" w:hAnsi="宋体" w:hint="eastAsia"/>
            <w:sz w:val="24"/>
            <w:szCs w:val="24"/>
          </w:rPr>
          <w:t>环水保措施规划</w:t>
        </w:r>
        <w:r>
          <w:rPr>
            <w:rFonts w:ascii="宋体" w:hAnsi="宋体"/>
            <w:sz w:val="24"/>
            <w:szCs w:val="24"/>
          </w:rPr>
          <w:tab/>
        </w:r>
        <w:r>
          <w:rPr>
            <w:rFonts w:ascii="宋体" w:hAnsi="宋体" w:hint="eastAsia"/>
            <w:sz w:val="24"/>
            <w:szCs w:val="24"/>
          </w:rPr>
          <w:t>30</w:t>
        </w:r>
      </w:hyperlink>
    </w:p>
    <w:p>
      <w:pPr>
        <w:pStyle w:val="TOC2"/>
        <w:tabs>
          <w:tab w:val="right" w:leader="dot" w:pos="9062"/>
        </w:tabs>
        <w:spacing w:line="360" w:lineRule="auto"/>
        <w:rPr>
          <w:rStyle w:val="Hyperlink"/>
          <w:rFonts w:ascii="宋体" w:hAnsi="宋体" w:hint="eastAsia"/>
          <w:sz w:val="24"/>
          <w:szCs w:val="24"/>
        </w:rPr>
      </w:pPr>
      <w:hyperlink w:anchor="_Toc278367060" w:history="1">
        <w:r>
          <w:rPr>
            <w:rStyle w:val="Hyperlink"/>
            <w:rFonts w:ascii="宋体" w:hAnsi="宋体"/>
            <w:sz w:val="24"/>
            <w:szCs w:val="24"/>
          </w:rPr>
          <w:t>8.</w:t>
        </w:r>
        <w:r>
          <w:rPr>
            <w:rStyle w:val="Hyperlink"/>
            <w:rFonts w:ascii="宋体" w:hAnsi="宋体" w:hint="eastAsia"/>
            <w:sz w:val="24"/>
            <w:szCs w:val="24"/>
          </w:rPr>
          <w:t>7.2</w:t>
        </w:r>
        <w:r>
          <w:rPr>
            <w:rStyle w:val="Hyperlink"/>
            <w:rFonts w:ascii="宋体" w:hAnsi="宋体"/>
            <w:sz w:val="24"/>
            <w:szCs w:val="24"/>
          </w:rPr>
          <w:t xml:space="preserve"> </w:t>
        </w:r>
        <w:r>
          <w:rPr>
            <w:rStyle w:val="Hyperlink"/>
            <w:rFonts w:ascii="宋体" w:hAnsi="宋体" w:hint="eastAsia"/>
            <w:sz w:val="24"/>
            <w:szCs w:val="24"/>
          </w:rPr>
          <w:t>环境污染的治理</w:t>
        </w:r>
        <w:r>
          <w:rPr>
            <w:rFonts w:ascii="宋体" w:hAnsi="宋体"/>
            <w:sz w:val="24"/>
            <w:szCs w:val="24"/>
          </w:rPr>
          <w:tab/>
        </w:r>
        <w:r>
          <w:rPr>
            <w:rFonts w:ascii="宋体" w:hAnsi="宋体" w:hint="eastAsia"/>
            <w:sz w:val="24"/>
            <w:szCs w:val="24"/>
          </w:rPr>
          <w:t>31</w:t>
        </w:r>
      </w:hyperlink>
    </w:p>
    <w:p>
      <w:pPr>
        <w:pStyle w:val="TOC1"/>
        <w:tabs>
          <w:tab w:val="right" w:leader="dot" w:pos="9060"/>
        </w:tabs>
        <w:ind w:firstLine="241"/>
      </w:pPr>
      <w:hyperlink w:anchor="_Toc278367061" w:history="1">
        <w:r>
          <w:rPr>
            <w:rStyle w:val="Hyperlink"/>
          </w:rPr>
          <w:t>9.</w:t>
        </w:r>
        <w:r>
          <w:rPr>
            <w:rStyle w:val="Hyperlink"/>
            <w:rFonts w:hint="eastAsia"/>
          </w:rPr>
          <w:t>文明施工措施</w:t>
        </w:r>
        <w:r>
          <w:tab/>
        </w:r>
        <w:r>
          <w:rPr>
            <w:rFonts w:hint="eastAsia"/>
          </w:rPr>
          <w:t>33</w:t>
        </w:r>
      </w:hyperlink>
    </w:p>
    <w:p>
      <w:pPr>
        <w:pStyle w:val="TOC2"/>
        <w:tabs>
          <w:tab w:val="right" w:leader="dot" w:pos="9062"/>
        </w:tabs>
        <w:spacing w:line="360" w:lineRule="auto"/>
        <w:rPr>
          <w:rFonts w:ascii="宋体" w:hAnsi="宋体"/>
          <w:sz w:val="24"/>
          <w:szCs w:val="24"/>
        </w:rPr>
      </w:pPr>
      <w:hyperlink w:anchor="_Toc278367062" w:history="1">
        <w:r>
          <w:rPr>
            <w:rStyle w:val="Hyperlink"/>
            <w:rFonts w:ascii="宋体" w:hAnsi="宋体"/>
            <w:sz w:val="24"/>
            <w:szCs w:val="24"/>
          </w:rPr>
          <w:t xml:space="preserve">9.1 </w:t>
        </w:r>
        <w:r>
          <w:rPr>
            <w:rStyle w:val="Hyperlink"/>
            <w:rFonts w:ascii="宋体" w:hAnsi="宋体" w:hint="eastAsia"/>
            <w:sz w:val="24"/>
            <w:szCs w:val="24"/>
          </w:rPr>
          <w:t>文明施工目标</w:t>
        </w:r>
        <w:r>
          <w:rPr>
            <w:rFonts w:ascii="宋体" w:hAnsi="宋体"/>
            <w:sz w:val="24"/>
            <w:szCs w:val="24"/>
          </w:rPr>
          <w:tab/>
        </w:r>
        <w:r>
          <w:rPr>
            <w:rFonts w:ascii="宋体" w:hAnsi="宋体" w:hint="eastAsia"/>
            <w:sz w:val="24"/>
            <w:szCs w:val="24"/>
          </w:rPr>
          <w:t>33</w:t>
        </w:r>
      </w:hyperlink>
    </w:p>
    <w:p>
      <w:pPr>
        <w:pStyle w:val="TOC2"/>
        <w:tabs>
          <w:tab w:val="right" w:leader="dot" w:pos="9062"/>
        </w:tabs>
        <w:spacing w:line="360" w:lineRule="auto"/>
        <w:rPr>
          <w:rFonts w:ascii="宋体" w:hAnsi="宋体"/>
          <w:sz w:val="24"/>
          <w:szCs w:val="24"/>
        </w:rPr>
      </w:pPr>
      <w:hyperlink w:anchor="_Toc278367063" w:history="1">
        <w:r>
          <w:rPr>
            <w:rStyle w:val="Hyperlink"/>
            <w:rFonts w:ascii="宋体" w:hAnsi="宋体"/>
            <w:sz w:val="24"/>
            <w:szCs w:val="24"/>
          </w:rPr>
          <w:t xml:space="preserve">9.2 </w:t>
        </w:r>
        <w:r>
          <w:rPr>
            <w:rStyle w:val="Hyperlink"/>
            <w:rFonts w:ascii="宋体" w:hAnsi="宋体" w:hint="eastAsia"/>
            <w:sz w:val="24"/>
            <w:szCs w:val="24"/>
          </w:rPr>
          <w:t>文明施工组织与管理</w:t>
        </w:r>
        <w:r>
          <w:rPr>
            <w:rFonts w:ascii="宋体" w:hAnsi="宋体"/>
            <w:sz w:val="24"/>
            <w:szCs w:val="24"/>
          </w:rPr>
          <w:tab/>
        </w:r>
        <w:r>
          <w:rPr>
            <w:rFonts w:ascii="宋体" w:hAnsi="宋体" w:hint="eastAsia"/>
            <w:sz w:val="24"/>
            <w:szCs w:val="24"/>
          </w:rPr>
          <w:t>33</w:t>
        </w:r>
      </w:hyperlink>
    </w:p>
    <w:p>
      <w:pPr>
        <w:pStyle w:val="TOC2"/>
        <w:tabs>
          <w:tab w:val="right" w:leader="dot" w:pos="9062"/>
        </w:tabs>
        <w:spacing w:line="360" w:lineRule="auto"/>
        <w:rPr>
          <w:rFonts w:ascii="宋体" w:hAnsi="宋体"/>
          <w:sz w:val="24"/>
          <w:szCs w:val="24"/>
        </w:rPr>
      </w:pPr>
      <w:hyperlink w:anchor="_Toc278367064" w:history="1">
        <w:r>
          <w:rPr>
            <w:rStyle w:val="Hyperlink"/>
            <w:rFonts w:ascii="宋体" w:hAnsi="宋体"/>
            <w:sz w:val="24"/>
            <w:szCs w:val="24"/>
          </w:rPr>
          <w:t xml:space="preserve">9.3 </w:t>
        </w:r>
        <w:r>
          <w:rPr>
            <w:rStyle w:val="Hyperlink"/>
            <w:rFonts w:ascii="宋体" w:hAnsi="宋体" w:hint="eastAsia"/>
            <w:sz w:val="24"/>
            <w:szCs w:val="24"/>
          </w:rPr>
          <w:t>施工现场管理</w:t>
        </w:r>
        <w:r>
          <w:rPr>
            <w:rFonts w:ascii="宋体" w:hAnsi="宋体"/>
            <w:sz w:val="24"/>
            <w:szCs w:val="24"/>
          </w:rPr>
          <w:tab/>
        </w:r>
        <w:r>
          <w:rPr>
            <w:rFonts w:ascii="宋体" w:hAnsi="宋体" w:hint="eastAsia"/>
            <w:sz w:val="24"/>
            <w:szCs w:val="24"/>
          </w:rPr>
          <w:t>34</w:t>
        </w:r>
      </w:hyperlink>
    </w:p>
    <w:p>
      <w:pPr>
        <w:pStyle w:val="TOC2"/>
        <w:tabs>
          <w:tab w:val="right" w:leader="dot" w:pos="9062"/>
        </w:tabs>
        <w:spacing w:line="360" w:lineRule="auto"/>
        <w:rPr>
          <w:rFonts w:ascii="宋体" w:hAnsi="宋体"/>
          <w:sz w:val="24"/>
          <w:szCs w:val="24"/>
        </w:rPr>
      </w:pPr>
      <w:hyperlink w:anchor="_Toc278367065" w:history="1">
        <w:r>
          <w:rPr>
            <w:rStyle w:val="Hyperlink"/>
            <w:rFonts w:ascii="宋体" w:hAnsi="宋体"/>
            <w:sz w:val="24"/>
            <w:szCs w:val="24"/>
          </w:rPr>
          <w:t xml:space="preserve">9.4 </w:t>
        </w:r>
        <w:r>
          <w:rPr>
            <w:rStyle w:val="Hyperlink"/>
            <w:rFonts w:ascii="宋体" w:hAnsi="宋体" w:hint="eastAsia"/>
            <w:sz w:val="24"/>
            <w:szCs w:val="24"/>
          </w:rPr>
          <w:t>雨季施工技术保证措施</w:t>
        </w:r>
        <w:r>
          <w:rPr>
            <w:rFonts w:ascii="宋体" w:hAnsi="宋体"/>
            <w:sz w:val="24"/>
            <w:szCs w:val="24"/>
          </w:rPr>
          <w:tab/>
        </w:r>
        <w:r>
          <w:rPr>
            <w:rFonts w:ascii="宋体" w:hAnsi="宋体" w:hint="eastAsia"/>
            <w:sz w:val="24"/>
            <w:szCs w:val="24"/>
          </w:rPr>
          <w:t>35</w:t>
        </w:r>
      </w:hyperlink>
    </w:p>
    <w:p>
      <w:pPr>
        <w:pStyle w:val="TOC1"/>
        <w:tabs>
          <w:tab w:val="right" w:leader="dot" w:pos="9060"/>
        </w:tabs>
        <w:ind w:firstLine="241"/>
      </w:pPr>
      <w:hyperlink w:anchor="_Toc278367072" w:history="1">
        <w:r>
          <w:rPr>
            <w:rStyle w:val="Hyperlink"/>
          </w:rPr>
          <w:t>10.</w:t>
        </w:r>
        <w:r>
          <w:rPr>
            <w:rStyle w:val="Hyperlink"/>
            <w:rFonts w:hint="eastAsia"/>
          </w:rPr>
          <w:t>预警机制和应急预案</w:t>
        </w:r>
        <w:r>
          <w:tab/>
        </w:r>
        <w:r>
          <w:rPr>
            <w:rFonts w:hint="eastAsia"/>
          </w:rPr>
          <w:t>37</w:t>
        </w:r>
      </w:hyperlink>
    </w:p>
    <w:p>
      <w:pPr>
        <w:pStyle w:val="TOC2"/>
        <w:tabs>
          <w:tab w:val="right" w:leader="dot" w:pos="9062"/>
        </w:tabs>
        <w:spacing w:line="360" w:lineRule="auto"/>
        <w:rPr>
          <w:rFonts w:ascii="宋体" w:hAnsi="宋体"/>
          <w:sz w:val="24"/>
          <w:szCs w:val="24"/>
        </w:rPr>
      </w:pPr>
      <w:hyperlink w:anchor="_Toc278367073" w:history="1">
        <w:r>
          <w:rPr>
            <w:rStyle w:val="Hyperlink"/>
            <w:rFonts w:ascii="宋体" w:hAnsi="宋体"/>
            <w:sz w:val="24"/>
            <w:szCs w:val="24"/>
          </w:rPr>
          <w:t>10.1</w:t>
        </w:r>
        <w:r>
          <w:rPr>
            <w:rStyle w:val="Hyperlink"/>
            <w:rFonts w:ascii="宋体" w:hAnsi="宋体" w:hint="eastAsia"/>
            <w:sz w:val="24"/>
            <w:szCs w:val="24"/>
          </w:rPr>
          <w:t>安全应急机制</w:t>
        </w:r>
        <w:r>
          <w:rPr>
            <w:rFonts w:ascii="宋体" w:hAnsi="宋体"/>
            <w:sz w:val="24"/>
            <w:szCs w:val="24"/>
          </w:rPr>
          <w:tab/>
        </w:r>
        <w:r>
          <w:rPr>
            <w:rFonts w:ascii="宋体" w:hAnsi="宋体" w:hint="eastAsia"/>
            <w:sz w:val="24"/>
            <w:szCs w:val="24"/>
          </w:rPr>
          <w:t>37</w:t>
        </w:r>
      </w:hyperlink>
    </w:p>
    <w:p>
      <w:pPr>
        <w:pStyle w:val="TOC2"/>
        <w:tabs>
          <w:tab w:val="right" w:leader="dot" w:pos="9062"/>
        </w:tabs>
        <w:spacing w:line="360" w:lineRule="auto"/>
        <w:rPr>
          <w:rFonts w:ascii="宋体" w:hAnsi="宋体"/>
          <w:sz w:val="24"/>
          <w:szCs w:val="24"/>
        </w:rPr>
      </w:pPr>
      <w:hyperlink w:anchor="_Toc278367074" w:history="1">
        <w:r>
          <w:rPr>
            <w:rStyle w:val="Hyperlink"/>
            <w:rFonts w:ascii="宋体" w:hAnsi="宋体"/>
            <w:sz w:val="24"/>
            <w:szCs w:val="24"/>
          </w:rPr>
          <w:t xml:space="preserve">10.2 </w:t>
        </w:r>
        <w:r>
          <w:rPr>
            <w:rStyle w:val="Hyperlink"/>
            <w:rFonts w:ascii="宋体" w:hAnsi="宋体" w:hint="eastAsia"/>
            <w:sz w:val="24"/>
            <w:szCs w:val="24"/>
          </w:rPr>
          <w:t>突发事件应急处理措施</w:t>
        </w:r>
        <w:r>
          <w:rPr>
            <w:rFonts w:ascii="宋体" w:hAnsi="宋体"/>
            <w:sz w:val="24"/>
            <w:szCs w:val="24"/>
          </w:rPr>
          <w:tab/>
        </w:r>
        <w:r>
          <w:rPr>
            <w:rFonts w:ascii="宋体" w:hAnsi="宋体" w:hint="eastAsia"/>
            <w:sz w:val="24"/>
            <w:szCs w:val="24"/>
          </w:rPr>
          <w:t>37</w:t>
        </w:r>
      </w:hyperlink>
    </w:p>
    <w:p>
      <w:pPr>
        <w:pStyle w:val="TOC1"/>
        <w:tabs>
          <w:tab w:val="right" w:leader="dot" w:pos="9060"/>
        </w:tabs>
        <w:rPr>
          <w:rStyle w:val="Hyperlink"/>
          <w:color w:val="auto"/>
          <w:u w:val="none"/>
        </w:rPr>
      </w:pPr>
      <w:r>
        <w:rPr>
          <w:sz w:val="28"/>
          <w:szCs w:val="28"/>
        </w:rPr>
        <w:fldChar w:fldCharType="end"/>
      </w:r>
      <w:hyperlink w:anchor="_Toc278367072" w:history="1">
        <w:r>
          <w:rPr>
            <w:rStyle w:val="Hyperlink"/>
            <w:rFonts w:hint="eastAsia"/>
            <w:color w:val="auto"/>
            <w:u w:val="none"/>
          </w:rPr>
          <w:t>11</w:t>
        </w:r>
        <w:r>
          <w:rPr>
            <w:rStyle w:val="Hyperlink"/>
            <w:color w:val="auto"/>
            <w:u w:val="none"/>
          </w:rPr>
          <w:t>.</w:t>
        </w:r>
        <w:r>
          <w:rPr>
            <w:rStyle w:val="Hyperlink"/>
            <w:rFonts w:hint="eastAsia"/>
            <w:color w:val="auto"/>
            <w:u w:val="none"/>
          </w:rPr>
          <w:t>钢板桩围护计算附件</w:t>
        </w:r>
        <w:r>
          <w:rPr>
            <w:rStyle w:val="Hyperlink"/>
            <w:color w:val="auto"/>
            <w:u w:val="none"/>
          </w:rPr>
          <w:tab/>
        </w:r>
        <w:r>
          <w:rPr>
            <w:rStyle w:val="Hyperlink"/>
            <w:rFonts w:hint="eastAsia"/>
            <w:color w:val="auto"/>
            <w:u w:val="none"/>
          </w:rPr>
          <w:t>38</w:t>
        </w:r>
      </w:hyperlink>
    </w:p>
    <w:p>
      <w:pPr>
        <w:spacing w:line="360" w:lineRule="auto"/>
        <w:rPr>
          <w:rFonts w:ascii="宋体" w:hAnsi="宋体" w:hint="eastAsia"/>
          <w:sz w:val="32"/>
          <w:szCs w:val="32"/>
        </w:rPr>
        <w:sectPr>
          <w:headerReference w:type="even" r:id="rId16"/>
          <w:headerReference w:type="default" r:id="rId17"/>
          <w:footerReference w:type="even" r:id="rId18"/>
          <w:footerReference w:type="default" r:id="rId19"/>
          <w:headerReference w:type="first" r:id="rId20"/>
          <w:footerReference w:type="first" r:id="rId21"/>
          <w:type w:val="nextPage"/>
          <w:pgSz w:w="11907" w:h="16840"/>
          <w:pgMar w:top="1418" w:right="1191" w:bottom="1418" w:left="1644" w:header="919" w:footer="856" w:gutter="0"/>
          <w:pgNumType w:start="3"/>
          <w:cols w:space="708"/>
          <w:titlePg w:val="0"/>
          <w:docGrid w:linePitch="304"/>
        </w:sectPr>
      </w:pPr>
    </w:p>
    <w:p>
      <w:pPr>
        <w:rPr>
          <w:rFonts w:ascii="宋体" w:hAnsi="宋体" w:hint="eastAsia"/>
          <w:b/>
          <w:sz w:val="30"/>
          <w:szCs w:val="30"/>
        </w:rPr>
      </w:pPr>
      <w:bookmarkStart w:id="4" w:name="_Toc257731895"/>
      <w:bookmarkStart w:id="5" w:name="_Toc273203488"/>
      <w:bookmarkStart w:id="6" w:name="_Toc261304667"/>
      <w:bookmarkEnd w:id="0"/>
      <w:bookmarkEnd w:id="1"/>
      <w:bookmarkEnd w:id="2"/>
      <w:bookmarkEnd w:id="3"/>
      <w:r>
        <w:rPr>
          <w:rFonts w:ascii="宋体" w:hAnsi="宋体" w:hint="eastAsia"/>
          <w:b/>
          <w:sz w:val="30"/>
          <w:szCs w:val="30"/>
        </w:rPr>
        <w:t>1、编制依据</w:t>
      </w:r>
    </w:p>
    <w:p>
      <w:pPr>
        <w:rPr>
          <w:rFonts w:ascii="宋体" w:hAnsi="宋体" w:hint="eastAsia"/>
          <w:sz w:val="28"/>
          <w:szCs w:val="28"/>
        </w:rPr>
      </w:pPr>
      <w:r>
        <w:rPr>
          <w:rFonts w:ascii="宋体" w:hAnsi="宋体" w:hint="eastAsia"/>
          <w:sz w:val="28"/>
          <w:szCs w:val="28"/>
        </w:rPr>
        <w:t>1.1 陈山坞特大桥施工图《合肥施桥-272》。</w:t>
      </w:r>
    </w:p>
    <w:p>
      <w:pPr>
        <w:rPr>
          <w:rFonts w:ascii="宋体" w:hAnsi="宋体" w:hint="eastAsia"/>
          <w:sz w:val="28"/>
          <w:szCs w:val="28"/>
        </w:rPr>
      </w:pPr>
      <w:r>
        <w:rPr>
          <w:rFonts w:ascii="宋体" w:hAnsi="宋体" w:hint="eastAsia"/>
          <w:sz w:val="28"/>
          <w:szCs w:val="28"/>
        </w:rPr>
        <w:t>1.2 合肥施（桥）参01。</w:t>
      </w:r>
    </w:p>
    <w:p>
      <w:pPr>
        <w:rPr>
          <w:rFonts w:ascii="宋体" w:hAnsi="宋体" w:hint="eastAsia"/>
          <w:sz w:val="28"/>
          <w:szCs w:val="28"/>
        </w:rPr>
      </w:pPr>
      <w:r>
        <w:rPr>
          <w:rFonts w:ascii="宋体" w:hAnsi="宋体" w:hint="eastAsia"/>
          <w:sz w:val="28"/>
          <w:szCs w:val="28"/>
        </w:rPr>
        <w:t>1.3 陈山坞特大桥地质勘查报告。</w:t>
      </w:r>
    </w:p>
    <w:p>
      <w:pPr>
        <w:rPr>
          <w:rFonts w:ascii="宋体" w:hAnsi="宋体" w:hint="eastAsia"/>
          <w:b/>
          <w:sz w:val="30"/>
          <w:szCs w:val="30"/>
        </w:rPr>
      </w:pPr>
      <w:r>
        <w:rPr>
          <w:rFonts w:ascii="宋体" w:hAnsi="宋体" w:hint="eastAsia"/>
          <w:b/>
          <w:sz w:val="30"/>
          <w:szCs w:val="30"/>
        </w:rPr>
        <w:t>2、工程概况</w:t>
      </w:r>
    </w:p>
    <w:p>
      <w:pPr>
        <w:spacing w:line="560" w:lineRule="exact"/>
        <w:ind w:firstLine="560" w:firstLineChars="200"/>
        <w:rPr>
          <w:rFonts w:ascii="宋体" w:hAnsi="宋体" w:hint="eastAsia"/>
          <w:sz w:val="28"/>
          <w:szCs w:val="28"/>
        </w:rPr>
      </w:pPr>
      <w:r>
        <w:rPr>
          <w:rFonts w:ascii="宋体" w:hAnsi="宋体" w:hint="eastAsia"/>
          <w:sz w:val="28"/>
          <w:szCs w:val="28"/>
        </w:rPr>
        <w:t>陈山坞特大桥6#、7#、9#墩承台结构尺寸分别为：20m</w:t>
      </w:r>
      <w:r>
        <w:rPr>
          <w:rFonts w:ascii="宋体" w:hAnsi="宋体" w:hint="eastAsia"/>
          <w:sz w:val="28"/>
          <w:szCs w:val="28"/>
        </w:rPr>
        <w:t>×</w:t>
      </w:r>
      <w:r>
        <w:rPr>
          <w:rFonts w:ascii="宋体" w:hAnsi="宋体" w:hint="eastAsia"/>
          <w:sz w:val="28"/>
          <w:szCs w:val="28"/>
        </w:rPr>
        <w:t>11.8m</w:t>
      </w:r>
      <w:r>
        <w:rPr>
          <w:rFonts w:ascii="宋体" w:hAnsi="宋体" w:hint="eastAsia"/>
          <w:sz w:val="28"/>
          <w:szCs w:val="28"/>
        </w:rPr>
        <w:t>×</w:t>
      </w:r>
      <w:r>
        <w:rPr>
          <w:rFonts w:ascii="宋体" w:hAnsi="宋体" w:hint="eastAsia"/>
          <w:sz w:val="28"/>
          <w:szCs w:val="28"/>
        </w:rPr>
        <w:t>4.5m、20.8m</w:t>
      </w:r>
      <w:r>
        <w:rPr>
          <w:rFonts w:ascii="宋体" w:hAnsi="宋体" w:hint="eastAsia"/>
          <w:sz w:val="28"/>
          <w:szCs w:val="28"/>
        </w:rPr>
        <w:t>×</w:t>
      </w:r>
      <w:r>
        <w:rPr>
          <w:rFonts w:ascii="宋体" w:hAnsi="宋体" w:hint="eastAsia"/>
          <w:sz w:val="28"/>
          <w:szCs w:val="28"/>
        </w:rPr>
        <w:t>15.6m</w:t>
      </w:r>
      <w:r>
        <w:rPr>
          <w:rFonts w:ascii="宋体" w:hAnsi="宋体" w:hint="eastAsia"/>
          <w:sz w:val="28"/>
          <w:szCs w:val="28"/>
        </w:rPr>
        <w:t>×</w:t>
      </w:r>
      <w:r>
        <w:rPr>
          <w:rFonts w:ascii="宋体" w:hAnsi="宋体" w:hint="eastAsia"/>
          <w:sz w:val="28"/>
          <w:szCs w:val="28"/>
        </w:rPr>
        <w:t>5m、19.6m</w:t>
      </w:r>
      <w:r>
        <w:rPr>
          <w:rFonts w:ascii="宋体" w:hAnsi="宋体" w:hint="eastAsia"/>
          <w:sz w:val="28"/>
          <w:szCs w:val="28"/>
        </w:rPr>
        <w:t>×</w:t>
      </w:r>
      <w:r>
        <w:rPr>
          <w:rFonts w:ascii="宋体" w:hAnsi="宋体" w:hint="eastAsia"/>
          <w:sz w:val="28"/>
          <w:szCs w:val="28"/>
        </w:rPr>
        <w:t>15.2m</w:t>
      </w:r>
      <w:r>
        <w:rPr>
          <w:rFonts w:ascii="宋体" w:hAnsi="宋体" w:hint="eastAsia"/>
          <w:sz w:val="28"/>
          <w:szCs w:val="28"/>
        </w:rPr>
        <w:t>×</w:t>
      </w:r>
      <w:r>
        <w:rPr>
          <w:rFonts w:ascii="宋体" w:hAnsi="宋体" w:hint="eastAsia"/>
          <w:sz w:val="28"/>
          <w:szCs w:val="28"/>
        </w:rPr>
        <w:t>5m，承台埋深0.3m～3m不等，基坑开挖深度均大于5米；9#墩柱采用放坡施工，6#、7#墩柱承台由于受施工现场场地限制，放坡开挖难度较大，故选择拉森钢板桩进行基坑支护后再进行开挖。</w:t>
      </w:r>
    </w:p>
    <w:p>
      <w:pPr>
        <w:spacing w:line="560" w:lineRule="exact"/>
        <w:ind w:firstLine="560" w:firstLineChars="200"/>
        <w:rPr>
          <w:rFonts w:ascii="宋体" w:hAnsi="宋体" w:hint="eastAsia"/>
          <w:sz w:val="28"/>
          <w:szCs w:val="28"/>
        </w:rPr>
      </w:pPr>
      <w:r>
        <w:rPr>
          <w:rFonts w:ascii="宋体" w:hAnsi="宋体" w:hint="eastAsia"/>
          <w:sz w:val="28"/>
          <w:szCs w:val="28"/>
        </w:rPr>
        <w:t>承台开挖深度范围内地质情况为粉质粘土，粗角砾土，全风化花岗闪长岩，全风化长石石英杂砂岩，强风化长石石英杂砂岩。</w:t>
      </w:r>
    </w:p>
    <w:p>
      <w:pPr>
        <w:spacing w:line="500" w:lineRule="exact"/>
        <w:ind w:firstLine="560" w:firstLineChars="200"/>
        <w:jc w:val="left"/>
        <w:rPr>
          <w:rFonts w:ascii="宋体" w:hAnsi="宋体" w:hint="eastAsia"/>
          <w:sz w:val="28"/>
          <w:szCs w:val="28"/>
        </w:rPr>
      </w:pPr>
      <w:r>
        <w:rPr>
          <w:rFonts w:ascii="宋体" w:hAnsi="宋体" w:hint="eastAsia"/>
          <w:sz w:val="28"/>
          <w:szCs w:val="28"/>
        </w:rPr>
        <w:t>基坑深度超过5米的有6#、7#、9#四个承台，平均开挖深度约为7米。6#、7#、基坑开挖方量均超过3000m3,9#基坑开挖方量超过7000m3.</w:t>
      </w:r>
    </w:p>
    <w:p>
      <w:pPr>
        <w:rPr>
          <w:rFonts w:ascii="宋体" w:hAnsi="宋体" w:hint="eastAsia"/>
          <w:b/>
          <w:sz w:val="30"/>
          <w:szCs w:val="30"/>
        </w:rPr>
      </w:pPr>
      <w:r>
        <w:rPr>
          <w:rFonts w:ascii="宋体" w:hAnsi="宋体" w:hint="eastAsia"/>
          <w:b/>
          <w:sz w:val="30"/>
          <w:szCs w:val="30"/>
        </w:rPr>
        <w:t>3、地质水文情况</w:t>
      </w:r>
    </w:p>
    <w:p>
      <w:pPr>
        <w:spacing w:line="500" w:lineRule="exact"/>
        <w:outlineLvl w:val="1"/>
        <w:rPr>
          <w:rFonts w:ascii="宋体" w:hAnsi="宋体" w:hint="eastAsia"/>
          <w:b/>
          <w:sz w:val="30"/>
          <w:szCs w:val="30"/>
        </w:rPr>
      </w:pPr>
      <w:bookmarkStart w:id="7" w:name="_Toc273203451"/>
      <w:bookmarkStart w:id="8" w:name="_Toc277068188"/>
      <w:bookmarkStart w:id="9" w:name="_Toc307253592"/>
      <w:bookmarkStart w:id="10" w:name="_Toc307341733"/>
      <w:bookmarkStart w:id="11" w:name="_Toc278262361"/>
      <w:bookmarkStart w:id="12" w:name="_Toc277065609"/>
      <w:r>
        <w:rPr>
          <w:rFonts w:ascii="宋体" w:hAnsi="宋体" w:hint="eastAsia"/>
          <w:b/>
          <w:sz w:val="28"/>
          <w:szCs w:val="28"/>
        </w:rPr>
        <w:t>3.1 自然特征（地形地貌、地质、水文、气象等）</w:t>
      </w:r>
      <w:bookmarkEnd w:id="7"/>
      <w:bookmarkEnd w:id="8"/>
      <w:bookmarkEnd w:id="9"/>
      <w:bookmarkEnd w:id="10"/>
      <w:bookmarkEnd w:id="11"/>
      <w:bookmarkEnd w:id="12"/>
    </w:p>
    <w:p>
      <w:pPr>
        <w:spacing w:line="500" w:lineRule="exact"/>
        <w:outlineLvl w:val="2"/>
        <w:rPr>
          <w:rFonts w:ascii="宋体" w:hAnsi="宋体" w:hint="eastAsia"/>
          <w:sz w:val="28"/>
          <w:szCs w:val="28"/>
        </w:rPr>
      </w:pPr>
      <w:bookmarkStart w:id="13" w:name="_Toc307253593"/>
      <w:bookmarkStart w:id="14" w:name="_Toc307341734"/>
      <w:r>
        <w:rPr>
          <w:rFonts w:ascii="宋体" w:hAnsi="宋体" w:hint="eastAsia"/>
          <w:sz w:val="28"/>
          <w:szCs w:val="28"/>
        </w:rPr>
        <w:t>3.1.1地形地貌</w:t>
      </w:r>
      <w:bookmarkEnd w:id="13"/>
      <w:bookmarkEnd w:id="14"/>
    </w:p>
    <w:p>
      <w:pPr>
        <w:spacing w:line="500" w:lineRule="exact"/>
        <w:ind w:firstLine="560" w:firstLineChars="200"/>
        <w:jc w:val="left"/>
        <w:rPr>
          <w:rFonts w:ascii="宋体" w:hAnsi="宋体" w:hint="eastAsia"/>
          <w:sz w:val="28"/>
          <w:szCs w:val="28"/>
        </w:rPr>
      </w:pPr>
      <w:r>
        <w:rPr>
          <w:rFonts w:ascii="宋体" w:hAnsi="宋体" w:hint="eastAsia"/>
          <w:sz w:val="28"/>
          <w:szCs w:val="28"/>
        </w:rPr>
        <w:t>本桥所经区域为低山丘陵区，</w:t>
      </w:r>
      <w:r>
        <w:rPr>
          <w:rFonts w:ascii="宋体" w:hAnsi="宋体"/>
          <w:color w:val="000000"/>
          <w:sz w:val="28"/>
          <w:szCs w:val="28"/>
        </w:rPr>
        <w:t>两侧为山坡，地势较陡峭，中间为谷地，地势平缓</w:t>
      </w:r>
      <w:r>
        <w:rPr>
          <w:rFonts w:ascii="宋体" w:hAnsi="宋体" w:hint="eastAsia"/>
          <w:color w:val="000000"/>
          <w:sz w:val="28"/>
          <w:szCs w:val="28"/>
        </w:rPr>
        <w:t>，</w:t>
      </w:r>
      <w:r>
        <w:rPr>
          <w:rFonts w:ascii="宋体" w:hAnsi="宋体" w:hint="eastAsia"/>
          <w:sz w:val="28"/>
          <w:szCs w:val="28"/>
        </w:rPr>
        <w:t xml:space="preserve"> 既有公路交通运输较为不便。 </w:t>
      </w:r>
    </w:p>
    <w:p>
      <w:pPr>
        <w:spacing w:line="500" w:lineRule="exact"/>
        <w:outlineLvl w:val="2"/>
        <w:rPr>
          <w:rFonts w:ascii="宋体" w:hAnsi="宋体" w:hint="eastAsia"/>
          <w:sz w:val="28"/>
          <w:szCs w:val="28"/>
        </w:rPr>
      </w:pPr>
      <w:bookmarkStart w:id="15" w:name="_Toc251764467"/>
      <w:bookmarkStart w:id="16" w:name="_Toc307253594"/>
      <w:bookmarkStart w:id="17" w:name="_Toc307341735"/>
      <w:r>
        <w:rPr>
          <w:rFonts w:ascii="宋体" w:hAnsi="宋体" w:hint="eastAsia"/>
          <w:sz w:val="28"/>
          <w:szCs w:val="28"/>
        </w:rPr>
        <w:t>3.1.2地质</w:t>
      </w:r>
      <w:bookmarkEnd w:id="15"/>
      <w:r>
        <w:rPr>
          <w:rFonts w:ascii="宋体" w:hAnsi="宋体" w:hint="eastAsia"/>
          <w:sz w:val="28"/>
          <w:szCs w:val="28"/>
        </w:rPr>
        <w:t>特征</w:t>
      </w:r>
      <w:bookmarkEnd w:id="16"/>
      <w:bookmarkEnd w:id="17"/>
    </w:p>
    <w:p>
      <w:pPr>
        <w:spacing w:line="500" w:lineRule="exact"/>
        <w:ind w:firstLine="560" w:firstLineChars="200"/>
        <w:rPr>
          <w:rFonts w:ascii="宋体" w:hAnsi="宋体" w:hint="eastAsia"/>
          <w:sz w:val="28"/>
          <w:szCs w:val="28"/>
        </w:rPr>
        <w:sectPr>
          <w:headerReference w:type="even" r:id="rId22"/>
          <w:headerReference w:type="default" r:id="rId23"/>
          <w:footerReference w:type="even" r:id="rId24"/>
          <w:footerReference w:type="default" r:id="rId25"/>
          <w:headerReference w:type="first" r:id="rId26"/>
          <w:footerReference w:type="first" r:id="rId27"/>
          <w:pgSz w:w="11906" w:h="16838"/>
          <w:pgMar w:top="1418" w:right="1418" w:bottom="1418" w:left="1418" w:header="851" w:footer="992" w:gutter="0"/>
          <w:pgNumType w:start="4"/>
          <w:cols w:space="708"/>
          <w:titlePg/>
          <w:docGrid w:type="lines" w:linePitch="312"/>
        </w:sectPr>
      </w:pPr>
      <w:r>
        <w:rPr>
          <w:rFonts w:ascii="宋体" w:hAnsi="宋体" w:hint="eastAsia"/>
          <w:sz w:val="28"/>
          <w:szCs w:val="28"/>
        </w:rPr>
        <w:t>本桥所经地区地层岩性主要为第四系全新统坡洪积层粉质黏土、粗角砾土；燕山早期花岗岩；震旦系下统志棠组长石石英杂砂岩；5#墩</w:t>
      </w:r>
      <w:bookmarkStart w:id="18" w:name="_Toc251764468"/>
      <w:r>
        <w:rPr>
          <w:rFonts w:ascii="宋体" w:hAnsi="宋体" w:hint="eastAsia"/>
          <w:sz w:val="28"/>
          <w:szCs w:val="28"/>
        </w:rPr>
        <w:t>存在岩溶塌陷。7#～9#墩、12#～17#墩柱桩持力层进入弱风化花岗岩（</w:t>
      </w:r>
      <w:r>
        <w:rPr>
          <w:rFonts w:ascii="宋体" w:hAnsi="宋体" w:hint="eastAsia"/>
          <w:sz w:val="28"/>
          <w:szCs w:val="28"/>
        </w:rPr>
        <w:t>σ</w:t>
      </w:r>
      <w:r>
        <w:rPr>
          <w:rFonts w:ascii="宋体" w:hAnsi="宋体" w:hint="eastAsia"/>
          <w:sz w:val="28"/>
          <w:szCs w:val="28"/>
          <w:vertAlign w:val="subscript"/>
        </w:rPr>
        <w:t>0</w:t>
      </w:r>
      <w:r>
        <w:rPr>
          <w:rFonts w:ascii="宋体" w:hAnsi="宋体" w:hint="eastAsia"/>
          <w:sz w:val="28"/>
          <w:szCs w:val="28"/>
        </w:rPr>
        <w:t>=1000kpa），合肥台～4#、6#墩柱桩持力层进入弱风化长石石英杂砂岩（</w:t>
      </w:r>
      <w:r>
        <w:rPr>
          <w:rFonts w:ascii="宋体" w:hAnsi="宋体" w:hint="eastAsia"/>
          <w:sz w:val="28"/>
          <w:szCs w:val="28"/>
        </w:rPr>
        <w:t>σ</w:t>
      </w:r>
      <w:r>
        <w:rPr>
          <w:rFonts w:ascii="宋体" w:hAnsi="宋体" w:hint="eastAsia"/>
          <w:sz w:val="28"/>
          <w:szCs w:val="28"/>
          <w:vertAlign w:val="subscript"/>
        </w:rPr>
        <w:t>0</w:t>
      </w:r>
      <w:r>
        <w:rPr>
          <w:rFonts w:ascii="宋体" w:hAnsi="宋体" w:hint="eastAsia"/>
          <w:sz w:val="28"/>
          <w:szCs w:val="28"/>
        </w:rPr>
        <w:t>=800kpa）。</w:t>
      </w:r>
    </w:p>
    <w:p>
      <w:pPr>
        <w:spacing w:line="500" w:lineRule="exact"/>
        <w:outlineLvl w:val="2"/>
        <w:rPr>
          <w:rFonts w:ascii="宋体" w:hAnsi="宋体" w:hint="eastAsia"/>
          <w:sz w:val="28"/>
          <w:szCs w:val="28"/>
        </w:rPr>
      </w:pPr>
      <w:bookmarkStart w:id="19" w:name="_Toc307253595"/>
      <w:bookmarkStart w:id="20" w:name="_Toc307341736"/>
      <w:r>
        <w:rPr>
          <w:rFonts w:ascii="宋体" w:hAnsi="宋体" w:hint="eastAsia"/>
          <w:sz w:val="28"/>
          <w:szCs w:val="28"/>
        </w:rPr>
        <w:t>3.1.3 水文特征</w:t>
      </w:r>
      <w:bookmarkEnd w:id="19"/>
      <w:bookmarkEnd w:id="20"/>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 xml:space="preserve"> 地表水</w:t>
      </w:r>
    </w:p>
    <w:p>
      <w:pPr>
        <w:spacing w:line="500" w:lineRule="exact"/>
        <w:ind w:firstLine="560" w:firstLineChars="200"/>
        <w:rPr>
          <w:rFonts w:ascii="宋体" w:hAnsi="宋体" w:hint="eastAsia"/>
          <w:sz w:val="28"/>
          <w:szCs w:val="28"/>
        </w:rPr>
      </w:pPr>
      <w:r>
        <w:rPr>
          <w:rFonts w:ascii="宋体" w:hAnsi="宋体" w:hint="eastAsia"/>
          <w:sz w:val="28"/>
          <w:szCs w:val="28"/>
        </w:rPr>
        <w:t>桥址地表水由山脊向沟谷低洼处汇集排出。桥处径流条件良好，流量受大气降水影响较大。</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 xml:space="preserve"> 地下水</w:t>
      </w:r>
    </w:p>
    <w:p>
      <w:pPr>
        <w:spacing w:line="500" w:lineRule="exact"/>
        <w:ind w:firstLine="560" w:firstLineChars="200"/>
        <w:rPr>
          <w:rFonts w:ascii="宋体" w:hAnsi="宋体" w:hint="eastAsia"/>
          <w:sz w:val="28"/>
          <w:szCs w:val="28"/>
        </w:rPr>
      </w:pPr>
      <w:r>
        <w:rPr>
          <w:rFonts w:ascii="宋体" w:hAnsi="宋体" w:hint="eastAsia"/>
          <w:sz w:val="28"/>
          <w:szCs w:val="28"/>
        </w:rPr>
        <w:t>桥址地下水类型有孔隙水、基岩裂隙水，地下水稳定水位埋深0.3-17.5m，稳定水位标高159.11-213.14m，受大气降水补给，向低洼处汇聚。水量受大气降雨影响较大。</w:t>
      </w:r>
    </w:p>
    <w:p>
      <w:pPr>
        <w:spacing w:line="500" w:lineRule="exact"/>
        <w:outlineLvl w:val="2"/>
        <w:rPr>
          <w:rFonts w:ascii="宋体" w:hAnsi="宋体" w:hint="eastAsia"/>
          <w:b/>
          <w:sz w:val="28"/>
          <w:szCs w:val="28"/>
        </w:rPr>
      </w:pPr>
      <w:bookmarkStart w:id="21" w:name="_Toc307341737"/>
      <w:bookmarkStart w:id="22" w:name="_Toc307253596"/>
      <w:r>
        <w:rPr>
          <w:rFonts w:ascii="宋体" w:hAnsi="宋体" w:hint="eastAsia"/>
          <w:b/>
          <w:sz w:val="28"/>
          <w:szCs w:val="28"/>
        </w:rPr>
        <w:t>3.2气象环境</w:t>
      </w:r>
      <w:bookmarkEnd w:id="21"/>
      <w:bookmarkEnd w:id="22"/>
    </w:p>
    <w:p>
      <w:pPr>
        <w:spacing w:line="500" w:lineRule="exact"/>
        <w:ind w:firstLine="560" w:firstLineChars="200"/>
        <w:rPr>
          <w:rFonts w:ascii="宋体" w:hAnsi="宋体" w:hint="eastAsia"/>
          <w:sz w:val="28"/>
          <w:szCs w:val="28"/>
        </w:rPr>
      </w:pPr>
      <w:r>
        <w:rPr>
          <w:rFonts w:ascii="宋体" w:hAnsi="宋体" w:hint="eastAsia"/>
          <w:sz w:val="28"/>
          <w:szCs w:val="28"/>
        </w:rPr>
        <w:t>江西省上饶县郑坊镇境内属中亚热带季风湿润气候。</w:t>
      </w:r>
      <w:bookmarkEnd w:id="18"/>
      <w:r>
        <w:rPr>
          <w:rFonts w:ascii="宋体" w:hAnsi="宋体" w:hint="eastAsia"/>
          <w:sz w:val="28"/>
          <w:szCs w:val="28"/>
        </w:rPr>
        <w:t>年平均气温17.8</w:t>
      </w:r>
      <w:r>
        <w:rPr>
          <w:rFonts w:ascii="宋体" w:hAnsi="宋体" w:hint="eastAsia"/>
          <w:sz w:val="28"/>
          <w:szCs w:val="28"/>
        </w:rPr>
        <w:t>℃</w:t>
      </w:r>
      <w:r>
        <w:rPr>
          <w:rFonts w:ascii="宋体" w:hAnsi="宋体" w:hint="eastAsia"/>
          <w:sz w:val="28"/>
          <w:szCs w:val="28"/>
        </w:rPr>
        <w:t>， 7月最热，月平均气温28.8</w:t>
      </w:r>
      <w:r>
        <w:rPr>
          <w:rFonts w:ascii="宋体" w:hAnsi="宋体" w:hint="eastAsia"/>
          <w:sz w:val="28"/>
          <w:szCs w:val="28"/>
        </w:rPr>
        <w:t>℃</w:t>
      </w:r>
      <w:r>
        <w:rPr>
          <w:rFonts w:ascii="宋体" w:hAnsi="宋体" w:hint="eastAsia"/>
          <w:sz w:val="28"/>
          <w:szCs w:val="28"/>
        </w:rPr>
        <w:t>；1月最冷，月平均气温6.2</w:t>
      </w:r>
      <w:r>
        <w:rPr>
          <w:rFonts w:ascii="宋体" w:hAnsi="宋体" w:hint="eastAsia"/>
          <w:sz w:val="28"/>
          <w:szCs w:val="28"/>
        </w:rPr>
        <w:t>℃</w:t>
      </w:r>
      <w:r>
        <w:rPr>
          <w:rFonts w:ascii="宋体" w:hAnsi="宋体" w:hint="eastAsia"/>
          <w:sz w:val="28"/>
          <w:szCs w:val="28"/>
        </w:rPr>
        <w:t>。年平均降水量2066.1毫米。月平均日照142.6小时。年平均风速1.3米/秒。有霜期9-32天。</w:t>
      </w:r>
    </w:p>
    <w:p>
      <w:pPr>
        <w:spacing w:line="500" w:lineRule="exact"/>
        <w:rPr>
          <w:rFonts w:ascii="宋体" w:hAnsi="宋体" w:hint="eastAsia"/>
          <w:b/>
          <w:sz w:val="30"/>
          <w:szCs w:val="30"/>
        </w:rPr>
      </w:pPr>
      <w:r>
        <w:rPr>
          <w:rFonts w:ascii="宋体" w:hAnsi="宋体" w:hint="eastAsia"/>
          <w:b/>
          <w:sz w:val="30"/>
          <w:szCs w:val="30"/>
        </w:rPr>
        <w:t>4、基坑支护施工</w:t>
      </w:r>
    </w:p>
    <w:p>
      <w:pPr>
        <w:spacing w:line="500" w:lineRule="exact"/>
        <w:rPr>
          <w:rFonts w:ascii="宋体" w:hAnsi="宋体" w:hint="eastAsia"/>
          <w:b/>
          <w:sz w:val="28"/>
          <w:szCs w:val="28"/>
        </w:rPr>
      </w:pPr>
      <w:r>
        <w:rPr>
          <w:rFonts w:ascii="宋体" w:hAnsi="宋体" w:hint="eastAsia"/>
          <w:b/>
          <w:sz w:val="28"/>
          <w:szCs w:val="28"/>
        </w:rPr>
        <w:t>4.1 确定方案</w:t>
      </w:r>
    </w:p>
    <w:p>
      <w:pPr>
        <w:spacing w:line="500" w:lineRule="exact"/>
        <w:ind w:firstLine="560" w:firstLineChars="200"/>
        <w:rPr>
          <w:rFonts w:ascii="宋体" w:hAnsi="宋体" w:hint="eastAsia"/>
          <w:sz w:val="28"/>
          <w:szCs w:val="28"/>
        </w:rPr>
      </w:pPr>
      <w:r>
        <w:rPr>
          <w:rFonts w:ascii="宋体" w:hAnsi="宋体" w:hint="eastAsia"/>
          <w:sz w:val="28"/>
          <w:szCs w:val="28"/>
        </w:rPr>
        <w:t>根据地质情况及基坑四周场地大小情况确定6#、7#、采用钢板桩围护，9#基坑开挖采用放坡开挖。</w:t>
      </w:r>
    </w:p>
    <w:p>
      <w:pPr>
        <w:spacing w:line="500" w:lineRule="exact"/>
        <w:ind w:firstLine="560" w:firstLineChars="200"/>
        <w:rPr>
          <w:rFonts w:ascii="宋体" w:hAnsi="宋体" w:hint="eastAsia"/>
          <w:sz w:val="28"/>
          <w:szCs w:val="28"/>
        </w:rPr>
      </w:pPr>
      <w:r>
        <w:rPr>
          <w:rFonts w:ascii="宋体" w:hAnsi="宋体" w:hint="eastAsia"/>
          <w:sz w:val="28"/>
          <w:szCs w:val="28"/>
        </w:rPr>
        <w:t>经计算陈山坞特大桥6#及7#墩的钢板桩围护采用</w:t>
      </w:r>
      <w:r>
        <w:rPr>
          <w:rFonts w:ascii="宋体" w:hAnsi="宋体" w:hint="eastAsia"/>
          <w:sz w:val="28"/>
          <w:szCs w:val="28"/>
        </w:rPr>
        <w:t>Ⅳ</w:t>
      </w:r>
      <w:r>
        <w:rPr>
          <w:rFonts w:ascii="宋体" w:hAnsi="宋体" w:hint="eastAsia"/>
          <w:sz w:val="28"/>
          <w:szCs w:val="28"/>
        </w:rPr>
        <w:t>型拉森钢板桩，钢板桩围护的深度为13米（具体计算详见附件1），具体的施工方案如下：</w:t>
      </w:r>
    </w:p>
    <w:p>
      <w:pPr>
        <w:spacing w:line="500" w:lineRule="exact"/>
        <w:rPr>
          <w:rFonts w:ascii="宋体" w:hAnsi="宋体" w:hint="eastAsia"/>
          <w:b/>
          <w:sz w:val="28"/>
          <w:szCs w:val="28"/>
        </w:rPr>
      </w:pPr>
      <w:r>
        <w:rPr>
          <w:rFonts w:ascii="宋体" w:hAnsi="宋体" w:hint="eastAsia"/>
          <w:b/>
          <w:sz w:val="28"/>
          <w:szCs w:val="28"/>
        </w:rPr>
        <w:t>4.2 钢板桩支护施工方案</w:t>
      </w:r>
    </w:p>
    <w:p>
      <w:pPr>
        <w:spacing w:line="500" w:lineRule="exact"/>
        <w:rPr>
          <w:rFonts w:ascii="宋体" w:hAnsi="宋体" w:hint="eastAsia"/>
          <w:sz w:val="28"/>
          <w:szCs w:val="28"/>
        </w:rPr>
      </w:pPr>
      <w:bookmarkStart w:id="23" w:name="_Toc307039288"/>
      <w:r>
        <w:rPr>
          <w:rFonts w:ascii="宋体" w:hAnsi="宋体" w:hint="eastAsia"/>
          <w:sz w:val="28"/>
          <w:szCs w:val="28"/>
        </w:rPr>
        <w:t>4.2.1 钢板桩施工工艺（详见图4）</w:t>
      </w:r>
      <w:bookmarkEnd w:id="23"/>
    </w:p>
    <w:p>
      <w:pPr>
        <w:spacing w:line="500" w:lineRule="exact"/>
        <w:rPr>
          <w:rFonts w:ascii="宋体" w:hAnsi="宋体" w:hint="eastAsia"/>
          <w:sz w:val="28"/>
          <w:szCs w:val="28"/>
        </w:rPr>
      </w:pPr>
      <w:bookmarkStart w:id="24" w:name="_Toc307039289"/>
      <w:r>
        <w:rPr>
          <w:rFonts w:ascii="宋体" w:hAnsi="宋体" w:hint="eastAsia"/>
          <w:sz w:val="28"/>
          <w:szCs w:val="28"/>
        </w:rPr>
        <w:t>4.2.2 插打钢板桩前的准备工作</w:t>
      </w:r>
      <w:bookmarkEnd w:id="24"/>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1）、现场准备</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每个墩的钻孔桩完成后，拆除钻孔平台，进行场地平整清理，避免在钢板桩插打位置遇到障碍物。测量定位，确定钢板桩的插打边线。</w:t>
      </w:r>
    </w:p>
    <w:p>
      <w:pPr>
        <w:autoSpaceDE w:val="0"/>
        <w:autoSpaceDN w:val="0"/>
        <w:spacing w:line="500" w:lineRule="exact"/>
        <w:ind w:firstLine="560" w:firstLineChars="200"/>
        <w:jc w:val="left"/>
        <w:rPr>
          <w:rFonts w:ascii="宋体" w:hAnsi="宋体" w:hint="eastAsia"/>
          <w:sz w:val="28"/>
          <w:szCs w:val="28"/>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18" w:right="1418" w:bottom="1418" w:left="1418" w:header="851" w:footer="992" w:gutter="0"/>
          <w:pgNumType w:start="5"/>
          <w:cols w:space="708"/>
          <w:titlePg w:val="0"/>
          <w:docGrid w:type="lines" w:linePitch="312"/>
        </w:sectPr>
      </w:pPr>
      <w:r>
        <w:rPr>
          <w:rFonts w:ascii="宋体" w:hAnsi="宋体" w:hint="eastAsia"/>
          <w:sz w:val="28"/>
          <w:szCs w:val="28"/>
        </w:rPr>
        <w:t>2）、钢板桩的整理</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钢板桩运到工地后，进行检查、编号及登记。</w:t>
      </w: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r>
        <w:rPr>
          <w:rFonts w:ascii="宋体" w:hAnsi="宋体" w:hint="eastAsia"/>
          <w:sz w:val="28"/>
          <w:szCs w:val="28"/>
        </w:rPr>
        <w:pict>
          <v:group id="组合 11353" o:spid="_x0000_s1025" style="width:444.9pt;height:357.65pt;margin-top:7.5pt;margin-left:-9pt;position:absolute;z-index:251658240" coordorigin="1521,2440" coordsize="8898,7153">
            <v:shapetype id="_x0000_t202" coordsize="21600,21600" o:spt="202" path="m,l,21600r21600,l21600,xe">
              <v:stroke joinstyle="miter"/>
              <v:path gradientshapeok="t" o:connecttype="rect"/>
            </v:shapetype>
            <v:shape id="文本框 11354" o:spid="_x0000_s1026" type="#_x0000_t202" style="width:2340;height:624;left:4345;mso-wrap-style:square;position:absolute;top:2440">
              <v:stroke linestyle="single"/>
              <v:textbox inset=",0,,0">
                <w:txbxContent>
                  <w:p>
                    <w:pPr>
                      <w:spacing w:line="360" w:lineRule="auto"/>
                      <w:jc w:val="center"/>
                      <w:rPr>
                        <w:rFonts w:hint="eastAsia"/>
                        <w:sz w:val="28"/>
                        <w:szCs w:val="28"/>
                      </w:rPr>
                    </w:pPr>
                    <w:r>
                      <w:rPr>
                        <w:rFonts w:hint="eastAsia"/>
                        <w:sz w:val="28"/>
                        <w:szCs w:val="28"/>
                      </w:rPr>
                      <w:t>场地平整</w:t>
                    </w:r>
                  </w:p>
                </w:txbxContent>
              </v:textbox>
            </v:shape>
            <v:line id="直线 11355" o:spid="_x0000_s1027" style="mso-wrap-style:square;position:absolute" from="5515,3064" to="5515,3532">
              <v:stroke linestyle="single" endarrow="block"/>
            </v:line>
            <v:shape id="文本框 11356" o:spid="_x0000_s1028" type="#_x0000_t202" style="width:2340;height:624;left:4345;mso-wrap-style:square;position:absolute;top:3532">
              <v:stroke linestyle="single"/>
              <v:textbox inset=",0,,0">
                <w:txbxContent>
                  <w:p>
                    <w:pPr>
                      <w:spacing w:line="360" w:lineRule="auto"/>
                      <w:jc w:val="center"/>
                      <w:rPr>
                        <w:rFonts w:hint="eastAsia"/>
                        <w:sz w:val="28"/>
                        <w:szCs w:val="28"/>
                      </w:rPr>
                    </w:pPr>
                    <w:r>
                      <w:rPr>
                        <w:rFonts w:hint="eastAsia"/>
                        <w:sz w:val="28"/>
                        <w:szCs w:val="28"/>
                      </w:rPr>
                      <w:t>测量定位</w:t>
                    </w:r>
                  </w:p>
                </w:txbxContent>
              </v:textbox>
            </v:shape>
            <v:shape id="文本框 11357" o:spid="_x0000_s1029" type="#_x0000_t202" style="width:2340;height:624;left:4345;mso-wrap-style:square;position:absolute;top:4645">
              <v:stroke linestyle="single"/>
              <v:textbox inset=",0,,0">
                <w:txbxContent>
                  <w:p>
                    <w:pPr>
                      <w:spacing w:line="360" w:lineRule="auto"/>
                      <w:jc w:val="center"/>
                      <w:rPr>
                        <w:rFonts w:hint="eastAsia"/>
                        <w:sz w:val="28"/>
                        <w:szCs w:val="28"/>
                      </w:rPr>
                    </w:pPr>
                    <w:r>
                      <w:rPr>
                        <w:rFonts w:hint="eastAsia"/>
                        <w:sz w:val="28"/>
                        <w:szCs w:val="28"/>
                      </w:rPr>
                      <w:t>插打钢板桩</w:t>
                    </w:r>
                  </w:p>
                </w:txbxContent>
              </v:textbox>
            </v:shape>
            <v:line id="直线 11358" o:spid="_x0000_s1030" style="mso-wrap-style:square;position:absolute" from="5515,4156" to="5515,4624">
              <v:stroke linestyle="single" endarrow="block"/>
            </v:line>
            <v:line id="直线 11359" o:spid="_x0000_s1031" style="mso-wrap-style:square;position:absolute" from="5515,5278" to="5515,5746">
              <v:stroke linestyle="single" endarrow="block"/>
            </v:line>
            <v:shape id="文本框 11360" o:spid="_x0000_s1032" type="#_x0000_t202" style="width:2340;height:624;left:4360;mso-wrap-style:square;position:absolute;top:5716">
              <v:stroke linestyle="single"/>
              <v:textbox inset=",0,,0">
                <w:txbxContent>
                  <w:p>
                    <w:pPr>
                      <w:spacing w:line="360" w:lineRule="auto"/>
                      <w:jc w:val="center"/>
                      <w:rPr>
                        <w:rFonts w:hint="eastAsia"/>
                        <w:sz w:val="28"/>
                        <w:szCs w:val="28"/>
                      </w:rPr>
                    </w:pPr>
                    <w:r>
                      <w:rPr>
                        <w:rFonts w:hint="eastAsia"/>
                        <w:sz w:val="28"/>
                        <w:szCs w:val="28"/>
                      </w:rPr>
                      <w:t>安装横撑</w:t>
                    </w:r>
                  </w:p>
                  <w:p/>
                </w:txbxContent>
              </v:textbox>
            </v:shape>
            <v:line id="直线 11361" o:spid="_x0000_s1033" style="mso-wrap-style:square;position:absolute" from="5515,6340" to="5515,6808">
              <v:stroke linestyle="single" endarrow="block"/>
            </v:line>
            <v:shape id="文本框 11362" o:spid="_x0000_s1034" type="#_x0000_t202" style="width:1800;height:624;left:1521;mso-wrap-style:square;position:absolute;top:5072">
              <v:stroke linestyle="single"/>
              <v:textbox inset=",0,,0">
                <w:txbxContent>
                  <w:p>
                    <w:pPr>
                      <w:spacing w:line="360" w:lineRule="auto"/>
                      <w:jc w:val="center"/>
                      <w:rPr>
                        <w:rFonts w:hint="eastAsia"/>
                        <w:sz w:val="28"/>
                        <w:szCs w:val="28"/>
                      </w:rPr>
                    </w:pPr>
                    <w:r>
                      <w:rPr>
                        <w:rFonts w:hint="eastAsia"/>
                        <w:sz w:val="28"/>
                        <w:szCs w:val="28"/>
                      </w:rPr>
                      <w:t>基坑开挖</w:t>
                    </w:r>
                  </w:p>
                </w:txbxContent>
              </v:textbox>
            </v:shape>
            <v:line id="直线 11363" o:spid="_x0000_s1035" style="mso-wrap-style:square;position:absolute" from="3338,5387" to="5498,5387">
              <v:stroke linestyle="single" endarrow="block"/>
            </v:line>
            <v:group id="组合 11364" o:spid="_x0000_s1036" style="width:4860;height:624;left:5515;position:absolute;top:5092" coordorigin="5661,6663" coordsize="4860,624">
              <v:line id="直线 11365" o:spid="_x0000_s1037" style="flip:x;mso-wrap-style:square;position:absolute" from="5661,6966" to="7641,6966">
                <v:stroke linestyle="single" endarrow="block"/>
              </v:line>
              <v:shape id="文本框 11366" o:spid="_x0000_s1038" type="#_x0000_t202" style="width:2880;height:624;left:7641;mso-wrap-style:square;position:absolute;top:6663">
                <v:stroke linestyle="single"/>
                <v:textbox inset=",0,,0">
                  <w:txbxContent>
                    <w:p>
                      <w:pPr>
                        <w:spacing w:line="360" w:lineRule="auto"/>
                        <w:jc w:val="center"/>
                        <w:rPr>
                          <w:rFonts w:hint="eastAsia"/>
                          <w:sz w:val="28"/>
                          <w:szCs w:val="28"/>
                        </w:rPr>
                      </w:pPr>
                      <w:r>
                        <w:rPr>
                          <w:rFonts w:hint="eastAsia"/>
                          <w:sz w:val="28"/>
                          <w:szCs w:val="28"/>
                        </w:rPr>
                        <w:t>桁架横撑制做加工</w:t>
                      </w:r>
                    </w:p>
                  </w:txbxContent>
                </v:textbox>
              </v:shape>
            </v:group>
            <v:group id="组合 11367" o:spid="_x0000_s1039" style="width:8864;height:3422;left:1555;position:absolute;top:6171" coordorigin="1555,6276" coordsize="8864,3422">
              <v:shape id="文本框 11368" o:spid="_x0000_s1040" type="#_x0000_t202" style="width:3780;height:624;left:3615;mso-wrap-style:square;position:absolute;top:6900">
                <v:stroke linestyle="single"/>
                <v:textbox inset=",0,,0">
                  <w:txbxContent>
                    <w:p>
                      <w:pPr>
                        <w:spacing w:line="360" w:lineRule="auto"/>
                        <w:jc w:val="center"/>
                        <w:rPr>
                          <w:rFonts w:hint="eastAsia"/>
                          <w:sz w:val="28"/>
                          <w:szCs w:val="28"/>
                        </w:rPr>
                      </w:pPr>
                      <w:r>
                        <w:rPr>
                          <w:rFonts w:hint="eastAsia"/>
                          <w:sz w:val="28"/>
                          <w:szCs w:val="28"/>
                        </w:rPr>
                        <w:t>基底设置排水沟、集水井</w:t>
                      </w:r>
                    </w:p>
                    <w:p/>
                  </w:txbxContent>
                </v:textbox>
              </v:shape>
              <v:line id="直线 11369" o:spid="_x0000_s1041" style="mso-wrap-style:square;position:absolute" from="5515,6432" to="5515,6900">
                <v:stroke linestyle="single" endarrow="block"/>
              </v:line>
              <v:line id="直线 11370" o:spid="_x0000_s1042" style="mso-wrap-style:square;position:absolute" from="3355,6588" to="5515,6588">
                <v:stroke linestyle="single" endarrow="block"/>
              </v:line>
              <v:shape id="文本框 11371" o:spid="_x0000_s1043" type="#_x0000_t202" style="width:1800;height:624;left:1555;mso-wrap-style:square;position:absolute;top:6276">
                <v:stroke linestyle="single"/>
                <v:textbox inset=",0,,0">
                  <w:txbxContent>
                    <w:p>
                      <w:pPr>
                        <w:spacing w:line="360" w:lineRule="auto"/>
                        <w:jc w:val="center"/>
                        <w:rPr>
                          <w:rFonts w:hint="eastAsia"/>
                          <w:sz w:val="28"/>
                          <w:szCs w:val="28"/>
                        </w:rPr>
                      </w:pPr>
                      <w:r>
                        <w:rPr>
                          <w:rFonts w:hint="eastAsia"/>
                          <w:sz w:val="28"/>
                          <w:szCs w:val="28"/>
                        </w:rPr>
                        <w:t>基坑开挖</w:t>
                      </w:r>
                    </w:p>
                  </w:txbxContent>
                </v:textbox>
              </v:shape>
              <v:line id="直线 11372" o:spid="_x0000_s1044" style="mso-wrap-style:square;position:absolute" from="5576,7524" to="5576,7992">
                <v:stroke linestyle="single" endarrow="block"/>
              </v:line>
              <v:group id="组合 11373" o:spid="_x0000_s1045" style="width:4860;height:624;left:5559;position:absolute;top:7453" coordorigin="5661,6663" coordsize="4860,624">
                <v:line id="直线 11374" o:spid="_x0000_s1046" style="flip:x;mso-wrap-style:square;position:absolute" from="5661,6966" to="7641,6966">
                  <v:stroke linestyle="single" endarrow="block"/>
                </v:line>
                <v:shape id="文本框 11375" o:spid="_x0000_s1047" type="#_x0000_t202" style="width:2880;height:624;left:7641;mso-wrap-style:square;position:absolute;top:6663">
                  <v:stroke linestyle="single"/>
                  <v:textbox inset=",0,,0">
                    <w:txbxContent>
                      <w:p>
                        <w:pPr>
                          <w:spacing w:line="360" w:lineRule="auto"/>
                          <w:jc w:val="center"/>
                          <w:rPr>
                            <w:rFonts w:hint="eastAsia"/>
                            <w:sz w:val="28"/>
                            <w:szCs w:val="28"/>
                          </w:rPr>
                        </w:pPr>
                        <w:r>
                          <w:rPr>
                            <w:rFonts w:hint="eastAsia"/>
                            <w:sz w:val="28"/>
                            <w:szCs w:val="28"/>
                          </w:rPr>
                          <w:t>承台施工</w:t>
                        </w:r>
                      </w:p>
                    </w:txbxContent>
                  </v:textbox>
                </v:shape>
              </v:group>
              <v:shape id="文本框 11376" o:spid="_x0000_s1048" type="#_x0000_t202" style="width:2632;height:624;left:4241;mso-wrap-style:square;position:absolute;top:7975">
                <v:stroke linestyle="single"/>
                <v:textbox inset=",0,,0">
                  <w:txbxContent>
                    <w:p>
                      <w:pPr>
                        <w:spacing w:line="360" w:lineRule="auto"/>
                        <w:jc w:val="center"/>
                        <w:rPr>
                          <w:rFonts w:hint="eastAsia"/>
                          <w:sz w:val="28"/>
                          <w:szCs w:val="28"/>
                        </w:rPr>
                      </w:pPr>
                      <w:r>
                        <w:rPr>
                          <w:rFonts w:hint="eastAsia"/>
                          <w:sz w:val="28"/>
                          <w:szCs w:val="28"/>
                        </w:rPr>
                        <w:t>钢板桩的拔出</w:t>
                      </w:r>
                    </w:p>
                    <w:p/>
                  </w:txbxContent>
                </v:textbox>
              </v:shape>
              <v:line id="直线 11377" o:spid="_x0000_s1049" style="mso-wrap-style:square;position:absolute" from="5593,8621" to="5593,9089">
                <v:stroke linestyle="single" endarrow="block"/>
              </v:line>
              <v:shape id="文本框 11378" o:spid="_x0000_s1050" type="#_x0000_t202" style="width:4320;height:624;left:3440;mso-wrap-style:square;position:absolute;top:9074">
                <v:stroke linestyle="single"/>
                <v:textbox inset=",0.85pt">
                  <w:txbxContent>
                    <w:p>
                      <w:pPr>
                        <w:rPr>
                          <w:rFonts w:hint="eastAsia"/>
                          <w:sz w:val="28"/>
                          <w:szCs w:val="28"/>
                        </w:rPr>
                      </w:pPr>
                      <w:r>
                        <w:rPr>
                          <w:rFonts w:hint="eastAsia"/>
                          <w:sz w:val="28"/>
                          <w:szCs w:val="28"/>
                        </w:rPr>
                        <w:t>下一个承台基坑钢板桩施工施工</w:t>
                      </w:r>
                    </w:p>
                  </w:txbxContent>
                </v:textbox>
              </v:shape>
            </v:group>
          </v:group>
        </w:pict>
      </w: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line="500" w:lineRule="exact"/>
        <w:jc w:val="left"/>
        <w:rPr>
          <w:rFonts w:ascii="宋体" w:hAnsi="宋体" w:hint="eastAsia"/>
          <w:sz w:val="28"/>
          <w:szCs w:val="28"/>
        </w:rPr>
      </w:pPr>
    </w:p>
    <w:p>
      <w:pPr>
        <w:autoSpaceDE w:val="0"/>
        <w:autoSpaceDN w:val="0"/>
        <w:spacing w:before="312" w:beforeLines="100" w:line="500" w:lineRule="exact"/>
        <w:jc w:val="center"/>
        <w:rPr>
          <w:rFonts w:ascii="宋体" w:hAnsi="宋体" w:hint="eastAsia"/>
          <w:b/>
          <w:sz w:val="24"/>
        </w:rPr>
      </w:pPr>
      <w:r>
        <w:rPr>
          <w:rFonts w:ascii="宋体" w:hAnsi="宋体" w:hint="eastAsia"/>
          <w:b/>
          <w:sz w:val="24"/>
        </w:rPr>
        <w:t>图4 钢板桩施工工艺</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凡钢板桩有弯曲、破损、锁口不合的均应整修，按具体情况分别用冷弯、热敲、焊补、铆补、割补或接长。</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钢板桩长度不够时，可用同类型的钢板桩等强度焊接接长，焊接时先对焊口或接口补焊合缝，再焊加固板，相邻板接长缝应注意错开。</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3）、钢板桩变形检查</w:t>
      </w:r>
    </w:p>
    <w:p>
      <w:pPr>
        <w:autoSpaceDE w:val="0"/>
        <w:autoSpaceDN w:val="0"/>
        <w:spacing w:line="500" w:lineRule="exact"/>
        <w:ind w:firstLine="560" w:firstLineChars="200"/>
        <w:jc w:val="left"/>
        <w:rPr>
          <w:rFonts w:ascii="宋体" w:hAnsi="宋体" w:hint="eastAsia"/>
          <w:sz w:val="28"/>
          <w:szCs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18" w:right="1418" w:bottom="1418" w:left="1418" w:header="851" w:footer="992" w:gutter="0"/>
          <w:pgNumType w:start="6"/>
          <w:cols w:space="708"/>
          <w:titlePg w:val="0"/>
          <w:docGrid w:type="lines" w:linePitch="312"/>
        </w:sectPr>
      </w:pP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因钢板桩在装卸、运输过程会出现撞伤、弯扭及锁口变形等现象，因此，钢板桩在插打前有必要对其进行变形检查。对变形严重的钢板桩进行校正并做锁口通过检查。锁口检查方法：用一块长约2米的同类型、同规格的钢板桩作标准，采用卷扬机拉动标准钢板桩平车，从桩头至桩尾作锁口通过检查，对于检查通过的投入使用，不合格的再进行校正或淘汰不用。</w:t>
      </w:r>
      <w:r>
        <w:rPr>
          <w:rFonts w:ascii="宋体" w:hAnsi="宋体" w:hint="eastAsia"/>
          <w:sz w:val="28"/>
          <w:szCs w:val="28"/>
        </w:rPr>
        <w:t xml:space="preserve"> </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钢板桩的其它检查：剔除钢板桩前期使用后表面因焊接钢板、钢筋留下的残渣瘤。</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4）振动锤检查</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 xml:space="preserve">振动锤是打拔钢板桩的关键设备，在打拔前一定要进行专门检查，确保线路畅通，功能正常，振动锤的端电压要达到 380－420 V，而夹板牙齿不能有太多磨损。 </w:t>
      </w:r>
    </w:p>
    <w:p>
      <w:pPr>
        <w:pStyle w:val="PlainText"/>
        <w:spacing w:line="440" w:lineRule="exact"/>
        <w:ind w:firstLine="627" w:firstLineChars="224"/>
        <w:jc w:val="left"/>
        <w:rPr>
          <w:rFonts w:hAnsi="宋体"/>
          <w:sz w:val="28"/>
          <w:szCs w:val="28"/>
        </w:rPr>
      </w:pPr>
      <w:r>
        <w:rPr>
          <w:rFonts w:hAnsi="宋体"/>
          <w:sz w:val="28"/>
          <w:szCs w:val="28"/>
        </w:rPr>
        <w:t>5）涂刷黄油混合物油膏：为了减少插打时锁口间的摩擦，在钢板桩锁口内涂抹黄油混合物油膏（重量配合比为沥青：黄油：滑石粉：锯末=4：6：10：1）。</w:t>
      </w:r>
    </w:p>
    <w:p>
      <w:pPr>
        <w:spacing w:line="500" w:lineRule="exact"/>
        <w:rPr>
          <w:rFonts w:ascii="宋体" w:hAnsi="宋体" w:hint="eastAsia"/>
          <w:sz w:val="28"/>
          <w:szCs w:val="28"/>
        </w:rPr>
      </w:pPr>
      <w:bookmarkStart w:id="25" w:name="_Toc307039290"/>
      <w:r>
        <w:rPr>
          <w:rFonts w:ascii="宋体" w:hAnsi="宋体" w:hint="eastAsia"/>
          <w:sz w:val="28"/>
          <w:szCs w:val="28"/>
        </w:rPr>
        <w:t>4.2.3 钢板桩的吊运、插打</w:t>
      </w:r>
      <w:bookmarkEnd w:id="25"/>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1）钢板桩的吊运</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钢板桩的准备工作完成后，运至作业面，按插桩顺序堆码。堆码层数最多不超过四层，每层用垫木搁置，其高差不得大于10mm，上下层垫木中线应在同一直线上，允许偏差不得大于20mm。</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2）钢板桩的插打</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插打前可采用加工好的横撑作为导向架，钢板桩的插打利用起重机配合DZ90型振动锤的方法逐片插打。用起重机的两个吊钩，将钢板桩从地面吊起，然后运用两个吊钩起吊和下放，使钢板桩成垂直状态，脱出小钩移向安插位置，插入已就位的钢板桩锁口中。起吊前，锁口内填嵌黄油沥青混合料。箍紧钢板桩用的夹板，在插入锁口时逐个拆除。</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插打时，钢板桩桩背紧靠导向架，边插边将吊钩缓慢下放，这时在相互垂直的两个方向用锤球或水平尺进行观测，以确保钢板桩插正、插直。</w:t>
      </w:r>
    </w:p>
    <w:p>
      <w:pPr>
        <w:autoSpaceDE w:val="0"/>
        <w:autoSpaceDN w:val="0"/>
        <w:spacing w:line="500" w:lineRule="exact"/>
        <w:ind w:firstLine="560" w:firstLineChars="200"/>
        <w:jc w:val="left"/>
        <w:rPr>
          <w:rFonts w:ascii="宋体" w:hAnsi="宋体" w:hint="eastAsia"/>
          <w:sz w:val="28"/>
          <w:szCs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18" w:right="1418" w:bottom="1418" w:left="1418" w:header="851" w:footer="992" w:gutter="0"/>
          <w:pgNumType w:start="7"/>
          <w:cols w:space="708"/>
          <w:titlePg w:val="0"/>
          <w:docGrid w:type="lines" w:linePitch="312"/>
        </w:sectPr>
      </w:pP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通过检测，确定第一片钢板桩插打合格后，然后以第一根钢板桩为基准，再向两边对称插打每一根钢板桩到设计位置。整个施工过程中，要用锤球或水平尺始终控制每片桩的垂直度，及时调整。</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钢板桩插打至设计标高后，立即与横撑进行焊接，以抵抗土压力。</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插打钢板桩时应保证其倾斜度不大于0.5%，且要紧靠内导框，其间隙不得大于20mm。否则要采取措施，检查加固内外导框等。</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钢板桩插打时，插一组打一组，到剩下最后几组时，改为先全部插入并使之合拢后，再逐根打到设计深度。</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插打过程中，须遵守</w:t>
      </w:r>
      <w:r>
        <w:rPr>
          <w:rFonts w:ascii="宋体" w:hAnsi="宋体" w:hint="eastAsia"/>
          <w:sz w:val="28"/>
          <w:szCs w:val="28"/>
        </w:rPr>
        <w:t>“</w:t>
      </w:r>
      <w:r>
        <w:rPr>
          <w:rFonts w:ascii="宋体" w:hAnsi="宋体" w:hint="eastAsia"/>
          <w:sz w:val="28"/>
          <w:szCs w:val="28"/>
        </w:rPr>
        <w:t>插桩正直，分散即纠，调整合拢</w:t>
      </w:r>
      <w:r>
        <w:rPr>
          <w:rFonts w:ascii="宋体" w:hAnsi="宋体" w:hint="eastAsia"/>
          <w:sz w:val="28"/>
          <w:szCs w:val="28"/>
        </w:rPr>
        <w:t>”</w:t>
      </w:r>
      <w:r>
        <w:rPr>
          <w:rFonts w:ascii="宋体" w:hAnsi="宋体" w:hint="eastAsia"/>
          <w:sz w:val="28"/>
          <w:szCs w:val="28"/>
        </w:rPr>
        <w:t>的施工。</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4）钢板桩的合拢</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由于本工程钢板桩支护过程中无止水要求，当合拢时误差较大，采取上述措施仍无法合拢时，可采用其他型钢或制作异形钢板桩进行合拢。</w:t>
      </w:r>
    </w:p>
    <w:p>
      <w:pPr>
        <w:spacing w:line="500" w:lineRule="exact"/>
        <w:rPr>
          <w:rFonts w:ascii="宋体" w:hAnsi="宋体" w:hint="eastAsia"/>
          <w:b/>
          <w:sz w:val="28"/>
          <w:szCs w:val="28"/>
        </w:rPr>
      </w:pPr>
      <w:bookmarkStart w:id="26" w:name="_Toc307039291"/>
      <w:r>
        <w:rPr>
          <w:rFonts w:ascii="宋体" w:hAnsi="宋体" w:hint="eastAsia"/>
          <w:sz w:val="28"/>
          <w:szCs w:val="28"/>
        </w:rPr>
        <w:t>4.2.4 钢板桩支护可能遇到的问题及预防措施</w:t>
      </w:r>
      <w:bookmarkEnd w:id="26"/>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在插钢板桩前，除在锁口内涂以润滑油以减少锁口的磨擦力外，同时在未插套锁口下端打入铁楔或硬木楔，防止沉入时泥砂堵塞锁口。</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在坚实土地带插钢板时，可将桩尖截成一定角度，利用其反力，使已倾斜的钢板桩逐步恢复正常。</w:t>
      </w:r>
    </w:p>
    <w:p>
      <w:pPr>
        <w:spacing w:line="500" w:lineRule="exact"/>
        <w:rPr>
          <w:rFonts w:ascii="宋体" w:hAnsi="宋体" w:hint="eastAsia"/>
          <w:sz w:val="28"/>
          <w:szCs w:val="28"/>
        </w:rPr>
      </w:pPr>
      <w:bookmarkStart w:id="27" w:name="_Toc307039292"/>
      <w:r>
        <w:rPr>
          <w:rFonts w:ascii="宋体" w:hAnsi="宋体" w:hint="eastAsia"/>
          <w:sz w:val="28"/>
          <w:szCs w:val="28"/>
        </w:rPr>
        <w:t>4.2.5 钢板桩的拆除</w:t>
      </w:r>
      <w:bookmarkEnd w:id="27"/>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1）、横撑拆除</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拆除顺序由下至上，即先拆除第二道横撑，再拆除第一道横撑。</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注意：横撑拆除前进行基坑回填，回填至横撑底部时，才拆除横撑。</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2）、钢板桩拆除</w:t>
      </w:r>
    </w:p>
    <w:p>
      <w:pPr>
        <w:autoSpaceDE w:val="0"/>
        <w:autoSpaceDN w:val="0"/>
        <w:spacing w:line="500" w:lineRule="exact"/>
        <w:ind w:firstLine="560" w:firstLineChars="200"/>
        <w:jc w:val="left"/>
        <w:rPr>
          <w:rFonts w:ascii="宋体" w:hAnsi="宋体" w:hint="eastAsia"/>
          <w:sz w:val="28"/>
          <w:szCs w:val="28"/>
        </w:rPr>
      </w:pPr>
      <w:r>
        <w:rPr>
          <w:rFonts w:ascii="宋体" w:hAnsi="宋体" w:hint="eastAsia"/>
          <w:sz w:val="28"/>
          <w:szCs w:val="28"/>
        </w:rPr>
        <w:t>先用打拔桩机夹住钢板桩头部振动1min～2min，使钢板桩周围的土松动，产生</w:t>
      </w:r>
      <w:r>
        <w:rPr>
          <w:rFonts w:ascii="宋体" w:hAnsi="宋体" w:hint="eastAsia"/>
          <w:sz w:val="28"/>
          <w:szCs w:val="28"/>
        </w:rPr>
        <w:t>“</w:t>
      </w:r>
      <w:r>
        <w:rPr>
          <w:rFonts w:ascii="宋体" w:hAnsi="宋体" w:hint="eastAsia"/>
          <w:sz w:val="28"/>
          <w:szCs w:val="28"/>
        </w:rPr>
        <w:t>液化</w:t>
      </w:r>
      <w:r>
        <w:rPr>
          <w:rFonts w:ascii="宋体" w:hAnsi="宋体" w:hint="eastAsia"/>
          <w:sz w:val="28"/>
          <w:szCs w:val="28"/>
        </w:rPr>
        <w:t>”</w:t>
      </w:r>
      <w:r>
        <w:rPr>
          <w:rFonts w:ascii="宋体" w:hAnsi="宋体" w:hint="eastAsia"/>
          <w:sz w:val="28"/>
          <w:szCs w:val="28"/>
        </w:rPr>
        <w:t>，减少土对桩的摩阻力，然后慢慢的往上振拔，拔桩时注意桩机的负荷情况，发现上拔困难或拔不上来时，停止拔桩，可先行往下施打少许，再往上拨，如此反复可将桩拔出来。</w:t>
      </w:r>
    </w:p>
    <w:p>
      <w:pPr>
        <w:spacing w:line="500" w:lineRule="exact"/>
        <w:rPr>
          <w:rFonts w:ascii="宋体" w:hAnsi="宋体" w:hint="eastAsia"/>
          <w:b/>
          <w:sz w:val="30"/>
          <w:szCs w:val="30"/>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18" w:right="1418" w:bottom="1418" w:left="1418" w:header="851" w:footer="992" w:gutter="0"/>
          <w:pgNumType w:start="8"/>
          <w:cols w:space="708"/>
          <w:titlePg w:val="0"/>
          <w:docGrid w:type="lines" w:linePitch="312"/>
        </w:sectPr>
      </w:pPr>
      <w:r>
        <w:rPr>
          <w:rFonts w:ascii="宋体" w:hAnsi="宋体" w:hint="eastAsia"/>
          <w:b/>
          <w:sz w:val="30"/>
          <w:szCs w:val="30"/>
        </w:rPr>
        <w:t>5、土方开挖施工</w:t>
      </w:r>
    </w:p>
    <w:p>
      <w:pPr>
        <w:spacing w:line="500" w:lineRule="exact"/>
        <w:rPr>
          <w:rFonts w:ascii="宋体" w:hAnsi="宋体" w:hint="eastAsia"/>
          <w:b/>
          <w:sz w:val="28"/>
          <w:szCs w:val="28"/>
        </w:rPr>
      </w:pPr>
      <w:r>
        <w:rPr>
          <w:rFonts w:ascii="宋体" w:hAnsi="宋体" w:hint="eastAsia"/>
          <w:b/>
          <w:sz w:val="28"/>
          <w:szCs w:val="28"/>
        </w:rPr>
        <w:t>5.1施工准备</w:t>
      </w:r>
    </w:p>
    <w:p>
      <w:pPr>
        <w:spacing w:line="500" w:lineRule="exact"/>
        <w:rPr>
          <w:rFonts w:ascii="宋体" w:hAnsi="宋体" w:hint="eastAsia"/>
          <w:sz w:val="28"/>
          <w:szCs w:val="28"/>
        </w:rPr>
      </w:pPr>
      <w:r>
        <w:rPr>
          <w:rFonts w:ascii="宋体" w:hAnsi="宋体" w:hint="eastAsia"/>
          <w:sz w:val="28"/>
          <w:szCs w:val="28"/>
        </w:rPr>
        <w:t>5.1.1清表。</w:t>
      </w:r>
    </w:p>
    <w:p>
      <w:pPr>
        <w:spacing w:line="500" w:lineRule="exact"/>
        <w:rPr>
          <w:rFonts w:ascii="宋体" w:hAnsi="宋体" w:hint="eastAsia"/>
          <w:sz w:val="28"/>
          <w:szCs w:val="28"/>
        </w:rPr>
      </w:pPr>
      <w:r>
        <w:rPr>
          <w:rFonts w:ascii="宋体" w:hAnsi="宋体" w:hint="eastAsia"/>
          <w:sz w:val="28"/>
          <w:szCs w:val="28"/>
        </w:rPr>
        <w:t>开挖前先用挖机将坡面和基坑范围内的植被和障碍物清理干净。</w:t>
      </w:r>
    </w:p>
    <w:p>
      <w:pPr>
        <w:spacing w:line="500" w:lineRule="exact"/>
        <w:rPr>
          <w:rFonts w:ascii="宋体" w:hAnsi="宋体" w:hint="eastAsia"/>
          <w:sz w:val="28"/>
          <w:szCs w:val="28"/>
        </w:rPr>
      </w:pPr>
      <w:r>
        <w:rPr>
          <w:rFonts w:ascii="宋体" w:hAnsi="宋体" w:hint="eastAsia"/>
          <w:sz w:val="28"/>
          <w:szCs w:val="28"/>
        </w:rPr>
        <w:t>5.1.2制定开挖方案。</w:t>
      </w:r>
    </w:p>
    <w:p>
      <w:pPr>
        <w:spacing w:line="500" w:lineRule="exact"/>
        <w:ind w:firstLine="560" w:firstLineChars="200"/>
        <w:rPr>
          <w:rFonts w:ascii="宋体" w:hAnsi="宋体" w:hint="eastAsia"/>
          <w:sz w:val="28"/>
          <w:szCs w:val="28"/>
        </w:rPr>
      </w:pPr>
      <w:r>
        <w:rPr>
          <w:rFonts w:ascii="宋体" w:hAnsi="宋体" w:hint="eastAsia"/>
          <w:sz w:val="28"/>
          <w:szCs w:val="28"/>
        </w:rPr>
        <w:t>制定好基坑开挖施工方案，绘制施工平面布置图和基坑开挖图，确定开挖路线、基地标高、边坡坡度、排水沟、集水井位置。</w:t>
      </w:r>
    </w:p>
    <w:p>
      <w:pPr>
        <w:spacing w:line="500" w:lineRule="exact"/>
        <w:rPr>
          <w:rFonts w:ascii="宋体" w:hAnsi="宋体" w:hint="eastAsia"/>
          <w:sz w:val="28"/>
          <w:szCs w:val="28"/>
        </w:rPr>
      </w:pPr>
      <w:r>
        <w:rPr>
          <w:rFonts w:ascii="宋体" w:hAnsi="宋体" w:hint="eastAsia"/>
          <w:sz w:val="28"/>
          <w:szCs w:val="28"/>
        </w:rPr>
        <w:t>5.1.3 清理便道。</w:t>
      </w:r>
    </w:p>
    <w:p>
      <w:pPr>
        <w:spacing w:line="500" w:lineRule="exact"/>
        <w:ind w:firstLine="560" w:firstLineChars="200"/>
        <w:rPr>
          <w:rFonts w:ascii="宋体" w:hAnsi="宋体" w:hint="eastAsia"/>
          <w:sz w:val="28"/>
          <w:szCs w:val="28"/>
        </w:rPr>
      </w:pPr>
      <w:r>
        <w:rPr>
          <w:rFonts w:ascii="宋体" w:hAnsi="宋体" w:hint="eastAsia"/>
          <w:sz w:val="28"/>
          <w:szCs w:val="28"/>
        </w:rPr>
        <w:t>清理好弃土场便道，确保所以土方全部顺利弃至弃渣场。</w:t>
      </w:r>
    </w:p>
    <w:p>
      <w:pPr>
        <w:spacing w:line="500" w:lineRule="exact"/>
        <w:rPr>
          <w:rFonts w:ascii="宋体" w:hAnsi="宋体" w:hint="eastAsia"/>
          <w:sz w:val="28"/>
          <w:szCs w:val="28"/>
        </w:rPr>
      </w:pPr>
      <w:r>
        <w:rPr>
          <w:rFonts w:ascii="宋体" w:hAnsi="宋体" w:hint="eastAsia"/>
          <w:sz w:val="28"/>
          <w:szCs w:val="28"/>
        </w:rPr>
        <w:t>5.1.4 测量放样。</w:t>
      </w:r>
    </w:p>
    <w:p>
      <w:pPr>
        <w:spacing w:line="500" w:lineRule="exact"/>
        <w:ind w:firstLine="560" w:firstLineChars="200"/>
        <w:rPr>
          <w:rFonts w:ascii="宋体" w:hAnsi="宋体" w:hint="eastAsia"/>
          <w:sz w:val="28"/>
          <w:szCs w:val="28"/>
        </w:rPr>
      </w:pPr>
      <w:r>
        <w:rPr>
          <w:rFonts w:ascii="宋体" w:hAnsi="宋体" w:hint="eastAsia"/>
          <w:sz w:val="28"/>
          <w:szCs w:val="28"/>
        </w:rPr>
        <w:t>完成测量准备工作，包括控制基线、轴线和水准点。通过测量估算挖方量。</w:t>
      </w:r>
    </w:p>
    <w:p>
      <w:pPr>
        <w:spacing w:line="500" w:lineRule="exact"/>
        <w:rPr>
          <w:rFonts w:ascii="宋体" w:hAnsi="宋体" w:hint="eastAsia"/>
          <w:b/>
          <w:sz w:val="28"/>
          <w:szCs w:val="28"/>
        </w:rPr>
      </w:pPr>
      <w:r>
        <w:rPr>
          <w:rFonts w:ascii="宋体" w:hAnsi="宋体" w:hint="eastAsia"/>
          <w:b/>
          <w:sz w:val="28"/>
          <w:szCs w:val="28"/>
        </w:rPr>
        <w:t>5.2 开挖路线</w:t>
      </w:r>
    </w:p>
    <w:p>
      <w:pPr>
        <w:spacing w:line="500" w:lineRule="exact"/>
        <w:ind w:firstLine="560" w:firstLineChars="200"/>
        <w:rPr>
          <w:rFonts w:ascii="宋体" w:hAnsi="宋体" w:hint="eastAsia"/>
          <w:sz w:val="28"/>
          <w:szCs w:val="28"/>
        </w:rPr>
      </w:pPr>
      <w:r>
        <w:rPr>
          <w:rFonts w:ascii="宋体" w:hAnsi="宋体" w:hint="eastAsia"/>
          <w:sz w:val="28"/>
          <w:szCs w:val="28"/>
        </w:rPr>
        <w:t>本工程采用1台225型号挖机从基坑一侧向另一侧分层开挖。</w:t>
      </w:r>
    </w:p>
    <w:p>
      <w:pPr>
        <w:spacing w:line="500" w:lineRule="exact"/>
        <w:rPr>
          <w:rFonts w:ascii="宋体" w:hAnsi="宋体" w:hint="eastAsia"/>
          <w:b/>
          <w:sz w:val="28"/>
          <w:szCs w:val="28"/>
        </w:rPr>
      </w:pPr>
      <w:r>
        <w:rPr>
          <w:rFonts w:ascii="宋体" w:hAnsi="宋体" w:hint="eastAsia"/>
          <w:b/>
          <w:sz w:val="28"/>
          <w:szCs w:val="28"/>
        </w:rPr>
        <w:t>5.3 开挖方案</w:t>
      </w:r>
    </w:p>
    <w:p>
      <w:pPr>
        <w:spacing w:line="500" w:lineRule="exact"/>
        <w:ind w:firstLine="560" w:firstLineChars="200"/>
        <w:rPr>
          <w:rFonts w:ascii="宋体" w:hAnsi="宋体" w:hint="eastAsia"/>
          <w:sz w:val="28"/>
          <w:szCs w:val="28"/>
        </w:rPr>
      </w:pPr>
      <w:r>
        <w:rPr>
          <w:rFonts w:ascii="宋体" w:hAnsi="宋体" w:hint="eastAsia"/>
          <w:sz w:val="28"/>
          <w:szCs w:val="28"/>
        </w:rPr>
        <w:t>本工程采用分层开挖法分三层开挖。第一层开挖深度为2.5米，第二层开挖深度为2.5米，第三层开挖深度为2米。第一层将出土车直接开入承台基坑范围内直接装车。从开挖第二层开始，在基坑一侧场地容许的位置设置出土车爬坡道，爬坡道坡度不得大于8%。</w:t>
      </w:r>
    </w:p>
    <w:p>
      <w:pPr>
        <w:spacing w:line="500" w:lineRule="exact"/>
        <w:ind w:firstLine="560" w:firstLineChars="200"/>
        <w:rPr>
          <w:rFonts w:ascii="宋体" w:hAnsi="宋体" w:hint="eastAsia"/>
          <w:sz w:val="28"/>
          <w:szCs w:val="28"/>
        </w:rPr>
      </w:pPr>
      <w:r>
        <w:rPr>
          <w:rFonts w:ascii="宋体" w:hAnsi="宋体" w:hint="eastAsia"/>
          <w:sz w:val="28"/>
          <w:szCs w:val="28"/>
        </w:rPr>
        <w:t>开挖时机械挖土，人工修破，开挖过程中随时用坡度尺检查边坡坡度正确无误。为防止超挖和保持边坡稳定，机械开挖至接近设计基坑底标高时，预留30-50cm厚土层，用人工开挖和修坡。</w:t>
      </w:r>
    </w:p>
    <w:p>
      <w:pPr>
        <w:spacing w:line="500" w:lineRule="exact"/>
        <w:ind w:firstLine="560" w:firstLineChars="200"/>
        <w:rPr>
          <w:rFonts w:ascii="宋体" w:hAnsi="宋体" w:hint="eastAsia"/>
          <w:sz w:val="28"/>
          <w:szCs w:val="28"/>
        </w:rPr>
      </w:pPr>
      <w:r>
        <w:rPr>
          <w:rFonts w:ascii="宋体" w:hAnsi="宋体" w:hint="eastAsia"/>
          <w:sz w:val="28"/>
          <w:szCs w:val="28"/>
        </w:rPr>
        <w:t>挖土之前做好坑外截排水，防止坑外水流入基坑而导致基坑边坡塌方。</w:t>
      </w:r>
    </w:p>
    <w:p>
      <w:pPr>
        <w:spacing w:line="500" w:lineRule="exact"/>
        <w:ind w:firstLine="560" w:firstLineChars="200"/>
        <w:rPr>
          <w:rFonts w:ascii="宋体" w:hAnsi="宋体" w:hint="eastAsia"/>
          <w:sz w:val="28"/>
          <w:szCs w:val="28"/>
        </w:rPr>
      </w:pPr>
      <w:r>
        <w:rPr>
          <w:rFonts w:ascii="宋体" w:hAnsi="宋体" w:hint="eastAsia"/>
          <w:sz w:val="28"/>
          <w:szCs w:val="28"/>
        </w:rPr>
        <w:t>为防止坑底扰动，基坑开挖完毕后尽量减少暴露时间，及时进行下道工序施工。如不能立即进行下道工序施工时，预留15-30cm厚覆盖土层，待基础施工时再挖出。</w:t>
      </w:r>
    </w:p>
    <w:p>
      <w:pPr>
        <w:spacing w:line="500" w:lineRule="exact"/>
        <w:rPr>
          <w:rFonts w:ascii="宋体" w:hAnsi="宋体" w:hint="eastAsia"/>
          <w:b/>
          <w:sz w:val="28"/>
          <w:szCs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18" w:right="1418" w:bottom="1418" w:left="1418" w:header="851" w:footer="992" w:gutter="0"/>
          <w:pgNumType w:start="9"/>
          <w:cols w:space="708"/>
          <w:titlePg w:val="0"/>
          <w:docGrid w:type="lines" w:linePitch="312"/>
        </w:sectPr>
      </w:pPr>
      <w:r>
        <w:rPr>
          <w:rFonts w:ascii="宋体" w:hAnsi="宋体" w:hint="eastAsia"/>
          <w:b/>
          <w:sz w:val="28"/>
          <w:szCs w:val="28"/>
        </w:rPr>
        <w:t>5.4成品保护</w:t>
      </w:r>
    </w:p>
    <w:p>
      <w:pPr>
        <w:spacing w:line="500" w:lineRule="exact"/>
        <w:ind w:firstLine="560" w:firstLineChars="200"/>
        <w:rPr>
          <w:rFonts w:ascii="宋体" w:hAnsi="宋体" w:hint="eastAsia"/>
          <w:sz w:val="28"/>
          <w:szCs w:val="28"/>
        </w:rPr>
      </w:pPr>
      <w:r>
        <w:rPr>
          <w:rFonts w:ascii="宋体" w:hAnsi="宋体" w:hint="eastAsia"/>
          <w:sz w:val="28"/>
          <w:szCs w:val="28"/>
        </w:rPr>
        <w:t>1）开挖时注意保护测量控制定位桩、轴线桩、标高桩，避免开挖过程中反复测量放样。</w:t>
      </w:r>
    </w:p>
    <w:p>
      <w:pPr>
        <w:spacing w:line="500" w:lineRule="exact"/>
        <w:ind w:firstLine="560" w:firstLineChars="200"/>
        <w:rPr>
          <w:rFonts w:ascii="宋体" w:hAnsi="宋体" w:hint="eastAsia"/>
          <w:sz w:val="28"/>
          <w:szCs w:val="28"/>
        </w:rPr>
      </w:pPr>
      <w:r>
        <w:rPr>
          <w:rFonts w:ascii="宋体" w:hAnsi="宋体" w:hint="eastAsia"/>
          <w:sz w:val="28"/>
          <w:szCs w:val="28"/>
        </w:rPr>
        <w:t>2）基坑设置排水沟、集水井，以防止雨水浸泡基坑。</w:t>
      </w:r>
    </w:p>
    <w:p>
      <w:pPr>
        <w:spacing w:line="500" w:lineRule="exact"/>
        <w:ind w:firstLine="560" w:firstLineChars="200"/>
        <w:rPr>
          <w:rFonts w:ascii="宋体" w:hAnsi="宋体" w:hint="eastAsia"/>
          <w:sz w:val="28"/>
          <w:szCs w:val="28"/>
        </w:rPr>
      </w:pPr>
      <w:r>
        <w:rPr>
          <w:rFonts w:ascii="宋体" w:hAnsi="宋体" w:hint="eastAsia"/>
          <w:sz w:val="28"/>
          <w:szCs w:val="28"/>
        </w:rPr>
        <w:t>3）基坑开挖完毕后及时进行基坑维护，确保施工安全。</w:t>
      </w:r>
    </w:p>
    <w:p>
      <w:pPr>
        <w:spacing w:line="500" w:lineRule="exact"/>
        <w:ind w:firstLine="560" w:firstLineChars="200"/>
        <w:rPr>
          <w:rFonts w:ascii="宋体" w:hAnsi="宋体" w:hint="eastAsia"/>
          <w:sz w:val="28"/>
          <w:szCs w:val="28"/>
        </w:rPr>
      </w:pPr>
      <w:r>
        <w:rPr>
          <w:rFonts w:ascii="宋体" w:hAnsi="宋体" w:hint="eastAsia"/>
          <w:sz w:val="28"/>
          <w:szCs w:val="28"/>
        </w:rPr>
        <w:t>4）夜间施工应设置足够的照明。</w:t>
      </w:r>
    </w:p>
    <w:p>
      <w:pPr>
        <w:spacing w:line="500" w:lineRule="exact"/>
        <w:rPr>
          <w:rFonts w:ascii="宋体" w:hAnsi="宋体"/>
          <w:b/>
          <w:sz w:val="30"/>
          <w:szCs w:val="30"/>
        </w:rPr>
      </w:pPr>
      <w:r>
        <w:rPr>
          <w:rFonts w:ascii="宋体" w:hAnsi="宋体"/>
          <w:b/>
          <w:sz w:val="30"/>
          <w:szCs w:val="30"/>
        </w:rPr>
        <w:t>6、深基坑监测</w:t>
      </w:r>
    </w:p>
    <w:p>
      <w:pPr>
        <w:pStyle w:val="PlainText"/>
        <w:rPr>
          <w:rFonts w:hAnsi="宋体"/>
          <w:sz w:val="28"/>
          <w:szCs w:val="28"/>
        </w:rPr>
      </w:pPr>
      <w:r>
        <w:rPr>
          <w:rFonts w:hAnsi="宋体"/>
          <w:sz w:val="28"/>
          <w:szCs w:val="28"/>
        </w:rPr>
        <w:t>深基坑在开挖和后期承台施工过程中对基坑进行监测至关重要，通过监测可以时刻掌握基坑沉降、位移等重多因素，可以有效的判断基坑稳定性，为安全施工提供保障。 监测内容包括以下几项：</w:t>
      </w:r>
    </w:p>
    <w:p>
      <w:pPr>
        <w:spacing w:line="500" w:lineRule="exact"/>
        <w:rPr>
          <w:rFonts w:ascii="宋体" w:hAnsi="宋体"/>
          <w:b/>
          <w:sz w:val="28"/>
          <w:szCs w:val="28"/>
        </w:rPr>
      </w:pPr>
      <w:bookmarkStart w:id="28" w:name="2_1"/>
      <w:bookmarkStart w:id="29" w:name="2"/>
      <w:bookmarkEnd w:id="28"/>
      <w:bookmarkEnd w:id="29"/>
      <w:r>
        <w:rPr>
          <w:rFonts w:ascii="宋体" w:hAnsi="宋体"/>
          <w:b/>
          <w:sz w:val="28"/>
          <w:szCs w:val="28"/>
        </w:rPr>
        <w:t>6.1水平位移监测</w:t>
      </w:r>
    </w:p>
    <w:p>
      <w:pPr>
        <w:pStyle w:val="PlainText"/>
        <w:rPr>
          <w:rFonts w:hAnsi="宋体"/>
          <w:sz w:val="28"/>
          <w:szCs w:val="28"/>
        </w:rPr>
      </w:pPr>
      <w:r>
        <w:rPr>
          <w:rFonts w:hAnsi="宋体"/>
          <w:sz w:val="28"/>
          <w:szCs w:val="28"/>
        </w:rPr>
        <w:t xml:space="preserve">　　测定特定方向上的水平位移时可采用视准线法、小角度法、投点法等；测定监测点任意方向的水平位移时可视监测点的分布情况，采用前方交会法、自由设站法、极坐标法等；当基准点距基坑较远时，可采用GPS测量法或三角、三边、边角测量与基准线法相结合的综合测量方法。 </w:t>
      </w:r>
    </w:p>
    <w:p>
      <w:pPr>
        <w:pStyle w:val="PlainText"/>
        <w:rPr>
          <w:rFonts w:hAnsi="宋体"/>
          <w:sz w:val="28"/>
          <w:szCs w:val="28"/>
        </w:rPr>
      </w:pPr>
      <w:r>
        <w:rPr>
          <w:rFonts w:hAnsi="宋体"/>
          <w:sz w:val="28"/>
          <w:szCs w:val="28"/>
        </w:rPr>
        <w:t xml:space="preserve">　　水平位移监测基准点应埋设在基坑开挖深度3倍范围以外不受施工影响的稳定区域，或利用已有稳定的施工控制点，不应埋设在低洼积水、湿陷、冻胀、胀缩等影响范围内；基准点的埋设应按有关测量规范、规程执行。宜设置有强制对中的观测墩；采用精密的光学对中装置，对中误差不宜大于0.5mm。 </w:t>
      </w:r>
    </w:p>
    <w:p>
      <w:pPr>
        <w:spacing w:line="500" w:lineRule="exact"/>
        <w:rPr>
          <w:rFonts w:ascii="宋体" w:hAnsi="宋体"/>
          <w:b/>
          <w:sz w:val="28"/>
          <w:szCs w:val="28"/>
        </w:rPr>
      </w:pPr>
      <w:bookmarkStart w:id="30" w:name="2_2"/>
      <w:bookmarkEnd w:id="30"/>
      <w:r>
        <w:rPr>
          <w:rFonts w:ascii="宋体" w:hAnsi="宋体"/>
          <w:b/>
          <w:sz w:val="28"/>
          <w:szCs w:val="28"/>
        </w:rPr>
        <w:t>6.2 竖向位移监测</w:t>
      </w:r>
    </w:p>
    <w:p>
      <w:pPr>
        <w:pStyle w:val="PlainText"/>
        <w:rPr>
          <w:rFonts w:hAnsi="宋体"/>
          <w:sz w:val="28"/>
          <w:szCs w:val="28"/>
        </w:rPr>
      </w:pPr>
      <w:r>
        <w:rPr>
          <w:rFonts w:hAnsi="宋体"/>
          <w:sz w:val="28"/>
          <w:szCs w:val="28"/>
        </w:rPr>
        <w:t xml:space="preserve">　　竖向位移监测可采用几何水准或液体静力水准等方法。 </w:t>
      </w:r>
    </w:p>
    <w:p>
      <w:pPr>
        <w:pStyle w:val="PlainText"/>
        <w:rPr>
          <w:rFonts w:hAnsi="宋体"/>
          <w:sz w:val="28"/>
          <w:szCs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18" w:right="1418" w:bottom="1418" w:left="1418" w:header="851" w:footer="992" w:gutter="0"/>
          <w:pgNumType w:start="10"/>
          <w:cols w:space="708"/>
          <w:titlePg w:val="0"/>
          <w:docGrid w:type="lines" w:linePitch="312"/>
        </w:sectPr>
      </w:pPr>
    </w:p>
    <w:p>
      <w:pPr>
        <w:pStyle w:val="PlainText"/>
        <w:rPr>
          <w:rFonts w:hAnsi="宋体"/>
          <w:sz w:val="28"/>
          <w:szCs w:val="28"/>
        </w:rPr>
      </w:pPr>
      <w:r>
        <w:rPr>
          <w:rFonts w:hAnsi="宋体"/>
          <w:sz w:val="28"/>
          <w:szCs w:val="28"/>
        </w:rPr>
        <w:t>　　坑底隆起（回弹）宜通过设置回弹监测标，采用几何水准并配合传递高程的辅助设备进行监测，传递高程的金属杆或钢尺等应进行温度、尺长和拉力等</w:t>
      </w:r>
      <w:r>
        <w:rPr>
          <w:rFonts w:hAnsi="宋体"/>
          <w:sz w:val="28"/>
          <w:szCs w:val="28"/>
        </w:rPr>
        <w:t xml:space="preserve"> </w:t>
      </w:r>
    </w:p>
    <w:p>
      <w:pPr>
        <w:pStyle w:val="PlainText"/>
        <w:rPr>
          <w:rFonts w:hAnsi="宋体"/>
          <w:sz w:val="28"/>
          <w:szCs w:val="28"/>
        </w:rPr>
      </w:pPr>
      <w:r>
        <w:rPr>
          <w:rFonts w:hAnsi="宋体"/>
          <w:sz w:val="28"/>
          <w:szCs w:val="28"/>
        </w:rPr>
        <w:t xml:space="preserve">　　基坑围护墙（坡）顶、墙后地表与立柱的竖向位移监测精度应根据竖向位移报警值确定。 </w:t>
      </w:r>
    </w:p>
    <w:p>
      <w:pPr>
        <w:spacing w:line="500" w:lineRule="exact"/>
        <w:rPr>
          <w:rFonts w:ascii="宋体" w:hAnsi="宋体"/>
          <w:b/>
          <w:sz w:val="28"/>
          <w:szCs w:val="28"/>
        </w:rPr>
      </w:pPr>
      <w:bookmarkStart w:id="31" w:name="2_3"/>
      <w:bookmarkEnd w:id="31"/>
      <w:r>
        <w:rPr>
          <w:rFonts w:ascii="宋体" w:hAnsi="宋体"/>
          <w:b/>
          <w:sz w:val="28"/>
          <w:szCs w:val="28"/>
        </w:rPr>
        <w:t>6.3 深层水平位移监测</w:t>
      </w:r>
    </w:p>
    <w:p>
      <w:pPr>
        <w:pStyle w:val="PlainText"/>
        <w:rPr>
          <w:rFonts w:hAnsi="宋体"/>
          <w:sz w:val="28"/>
          <w:szCs w:val="28"/>
        </w:rPr>
      </w:pPr>
      <w:r>
        <w:rPr>
          <w:rFonts w:hAnsi="宋体"/>
          <w:sz w:val="28"/>
          <w:szCs w:val="28"/>
        </w:rPr>
        <w:t xml:space="preserve">　　围护墙体或坑周土体的深层水平位移的监测宜采用在墙体或土体中预埋测斜管、通过测斜仪观测各深度处水平位移的方法。 </w:t>
      </w:r>
    </w:p>
    <w:p>
      <w:pPr>
        <w:spacing w:line="500" w:lineRule="exact"/>
        <w:rPr>
          <w:rFonts w:ascii="宋体" w:hAnsi="宋体"/>
          <w:b/>
          <w:sz w:val="28"/>
          <w:szCs w:val="28"/>
        </w:rPr>
      </w:pPr>
      <w:bookmarkStart w:id="32" w:name="2_4"/>
      <w:bookmarkEnd w:id="32"/>
      <w:r>
        <w:rPr>
          <w:rFonts w:ascii="宋体" w:hAnsi="宋体"/>
          <w:b/>
          <w:sz w:val="28"/>
          <w:szCs w:val="28"/>
        </w:rPr>
        <w:t>6.4倾斜监测</w:t>
      </w:r>
    </w:p>
    <w:p>
      <w:pPr>
        <w:pStyle w:val="PlainText"/>
        <w:rPr>
          <w:rFonts w:hAnsi="宋体" w:cs="Arial"/>
          <w:sz w:val="28"/>
          <w:szCs w:val="28"/>
        </w:rPr>
      </w:pPr>
      <w:r>
        <w:rPr>
          <w:rFonts w:hAnsi="宋体"/>
          <w:sz w:val="28"/>
          <w:szCs w:val="28"/>
        </w:rPr>
        <w:t xml:space="preserve">　　建筑物倾斜监测应测定监测对象顶部相对于底部的水平位移与高差，分别记录并计算监测对象的倾斜度、倾斜方向和倾斜速率。应根据不同的现场观测条件和要求，选用投点法、水平角法、前方交会法、正垂线法、差异沉降法等。 </w:t>
      </w:r>
    </w:p>
    <w:p>
      <w:pPr>
        <w:spacing w:line="500" w:lineRule="exact"/>
        <w:rPr>
          <w:rFonts w:ascii="宋体" w:hAnsi="宋体"/>
          <w:b/>
          <w:sz w:val="28"/>
          <w:szCs w:val="28"/>
        </w:rPr>
      </w:pPr>
      <w:bookmarkStart w:id="33" w:name="2_5"/>
      <w:bookmarkEnd w:id="33"/>
      <w:r>
        <w:rPr>
          <w:rFonts w:ascii="宋体" w:hAnsi="宋体"/>
          <w:b/>
          <w:sz w:val="28"/>
          <w:szCs w:val="28"/>
        </w:rPr>
        <w:t>6.5裂缝监测</w:t>
      </w:r>
    </w:p>
    <w:p>
      <w:pPr>
        <w:pStyle w:val="PlainText"/>
        <w:rPr>
          <w:rFonts w:hAnsi="宋体" w:cs="Arial"/>
          <w:sz w:val="28"/>
          <w:szCs w:val="28"/>
        </w:rPr>
      </w:pPr>
      <w:r>
        <w:rPr>
          <w:rFonts w:hAnsi="宋体" w:cs="Arial"/>
          <w:sz w:val="28"/>
          <w:szCs w:val="28"/>
        </w:rPr>
        <w:t xml:space="preserve">　　裂缝监测应包括裂缝的位置、走向、长度、宽度及变化程度，需要时还包括深度。裂缝监测数量根据需要确定，主要或变化较大的裂缝应进行监测。 裂缝监测可采用以下方法： </w:t>
      </w:r>
    </w:p>
    <w:p>
      <w:pPr>
        <w:pStyle w:val="PlainText"/>
        <w:ind w:firstLine="560" w:firstLineChars="200"/>
        <w:rPr>
          <w:rFonts w:hAnsi="宋体" w:cs="Arial"/>
          <w:sz w:val="28"/>
          <w:szCs w:val="28"/>
        </w:rPr>
      </w:pPr>
      <w:r>
        <w:rPr>
          <w:rFonts w:hAnsi="宋体"/>
          <w:sz w:val="28"/>
          <w:szCs w:val="28"/>
        </w:rPr>
        <w:t xml:space="preserve">1） </w:t>
      </w:r>
      <w:r>
        <w:rPr>
          <w:rFonts w:hAnsi="宋体" w:cs="Arial"/>
          <w:sz w:val="28"/>
          <w:szCs w:val="28"/>
        </w:rPr>
        <w:t xml:space="preserve">对裂缝宽度监测，可在裂缝两侧贴石膏饼、划平行线或贴埋金属标志等，采用千分尺或游标卡尺等直接量测的方法；也可采用裂缝计、粘贴安装千分表法、摄影量测等方法。 </w:t>
      </w:r>
    </w:p>
    <w:p>
      <w:pPr>
        <w:pStyle w:val="PlainText"/>
        <w:ind w:firstLine="560" w:firstLineChars="200"/>
        <w:rPr>
          <w:rFonts w:hAnsi="宋体" w:cs="Arial"/>
          <w:sz w:val="28"/>
          <w:szCs w:val="28"/>
        </w:rPr>
      </w:pPr>
      <w:r>
        <w:rPr>
          <w:rFonts w:hAnsi="宋体"/>
          <w:sz w:val="28"/>
          <w:szCs w:val="28"/>
        </w:rPr>
        <w:t>2）</w:t>
      </w:r>
      <w:r>
        <w:rPr>
          <w:rFonts w:hAnsi="宋体" w:cs="Arial"/>
          <w:sz w:val="28"/>
          <w:szCs w:val="28"/>
        </w:rPr>
        <w:t xml:space="preserve">对裂缝深度量测，当裂缝深度较小时宜采用凿出法和单面接触超声波法监测；深度较大裂缝宜采用超声波法监测。 </w:t>
      </w:r>
    </w:p>
    <w:p>
      <w:pPr>
        <w:pStyle w:val="PlainText"/>
        <w:ind w:firstLine="560" w:firstLineChars="200"/>
        <w:rPr>
          <w:rFonts w:hAnsi="宋体" w:cs="Arial"/>
          <w:sz w:val="28"/>
          <w:szCs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18" w:right="1418" w:bottom="1418" w:left="1418" w:header="851" w:footer="992" w:gutter="0"/>
          <w:pgNumType w:start="11"/>
          <w:cols w:space="708"/>
          <w:titlePg w:val="0"/>
          <w:docGrid w:type="lines" w:linePitch="312"/>
        </w:sectPr>
      </w:pPr>
      <w:r>
        <w:rPr>
          <w:rFonts w:hAnsi="宋体"/>
          <w:sz w:val="28"/>
          <w:szCs w:val="28"/>
        </w:rPr>
        <w:t xml:space="preserve">3） </w:t>
      </w:r>
      <w:r>
        <w:rPr>
          <w:rFonts w:hAnsi="宋体" w:cs="Arial"/>
          <w:sz w:val="28"/>
          <w:szCs w:val="28"/>
        </w:rPr>
        <w:t xml:space="preserve">应在基坑开挖前记录监测对象已有裂缝的分布位置和数量，测定其走向、长度、宽度和深度等情况，标志应具有可供量测的明晰端面或中心。 </w:t>
      </w:r>
    </w:p>
    <w:p>
      <w:pPr>
        <w:pStyle w:val="PlainText"/>
        <w:rPr>
          <w:rFonts w:hAnsi="宋体" w:cs="Arial"/>
          <w:sz w:val="28"/>
          <w:szCs w:val="28"/>
        </w:rPr>
      </w:pPr>
      <w:r>
        <w:rPr>
          <w:rFonts w:hAnsi="宋体" w:cs="Arial"/>
          <w:sz w:val="28"/>
          <w:szCs w:val="28"/>
        </w:rPr>
        <w:t xml:space="preserve">　　裂缝宽度监测精度不宜低于0.1mm，长度和深度监测精度不宜低于1mm。 </w:t>
      </w:r>
    </w:p>
    <w:p>
      <w:pPr>
        <w:spacing w:line="500" w:lineRule="exact"/>
        <w:rPr>
          <w:rFonts w:ascii="宋体" w:hAnsi="宋体"/>
          <w:b/>
          <w:sz w:val="28"/>
          <w:szCs w:val="28"/>
        </w:rPr>
      </w:pPr>
      <w:bookmarkStart w:id="34" w:name="2_6"/>
      <w:bookmarkEnd w:id="34"/>
      <w:r>
        <w:rPr>
          <w:rFonts w:ascii="宋体" w:hAnsi="宋体"/>
          <w:b/>
          <w:sz w:val="28"/>
          <w:szCs w:val="28"/>
        </w:rPr>
        <w:t>6.6 钢板桩内力监测</w:t>
      </w:r>
    </w:p>
    <w:p>
      <w:pPr>
        <w:pStyle w:val="PlainText"/>
        <w:ind w:firstLine="570"/>
        <w:rPr>
          <w:rFonts w:hAnsi="宋体" w:cs="Arial"/>
          <w:sz w:val="28"/>
          <w:szCs w:val="28"/>
        </w:rPr>
      </w:pPr>
      <w:r>
        <w:rPr>
          <w:rFonts w:hAnsi="宋体" w:cs="Arial"/>
          <w:sz w:val="28"/>
          <w:szCs w:val="28"/>
        </w:rPr>
        <w:t xml:space="preserve">坑开挖过程中支护结构内力变化可通过在结构内部或表面安装应变计或应力计进行量测。对于钢筋混凝土支撑，宜采用钢筋应力计（钢筋计）或混凝土应变计进行量测；对于钢结构支撑，宜采用轴力计进行量测。围护墙、桩及围檩等内力宜在围护墙、桩钢筋制作时，在主筋上焊接钢筋应力计的预埋方法进行量测。支护结构内力监测值应考虑温度变化的影响，对钢筋混凝土支撑尚应考虑混凝土收缩、徐变以及裂缝开展的影响。 </w:t>
      </w:r>
      <w:bookmarkStart w:id="35" w:name="2_7"/>
      <w:bookmarkEnd w:id="35"/>
    </w:p>
    <w:p>
      <w:pPr>
        <w:spacing w:line="500" w:lineRule="exact"/>
        <w:rPr>
          <w:rFonts w:ascii="宋体" w:hAnsi="宋体"/>
          <w:b/>
          <w:sz w:val="28"/>
          <w:szCs w:val="28"/>
        </w:rPr>
      </w:pPr>
      <w:r>
        <w:rPr>
          <w:rFonts w:ascii="宋体" w:hAnsi="宋体"/>
          <w:b/>
          <w:sz w:val="28"/>
          <w:szCs w:val="28"/>
        </w:rPr>
        <w:t>6.7 土压力监测</w:t>
      </w:r>
    </w:p>
    <w:p>
      <w:pPr>
        <w:pStyle w:val="PlainText"/>
        <w:rPr>
          <w:rFonts w:hAnsi="宋体" w:cs="Arial"/>
          <w:sz w:val="28"/>
          <w:szCs w:val="28"/>
        </w:rPr>
      </w:pPr>
      <w:r>
        <w:rPr>
          <w:rFonts w:hAnsi="宋体" w:cs="Arial"/>
          <w:sz w:val="28"/>
          <w:szCs w:val="28"/>
        </w:rPr>
        <w:t xml:space="preserve">　　土压力宜采用土压力计量测。 </w:t>
      </w:r>
    </w:p>
    <w:p>
      <w:pPr>
        <w:pStyle w:val="PlainText"/>
        <w:rPr>
          <w:rFonts w:hAnsi="宋体" w:cs="Arial"/>
          <w:sz w:val="28"/>
          <w:szCs w:val="28"/>
        </w:rPr>
      </w:pPr>
      <w:r>
        <w:rPr>
          <w:rFonts w:hAnsi="宋体" w:cs="Arial"/>
          <w:sz w:val="28"/>
          <w:szCs w:val="28"/>
        </w:rPr>
        <w:t xml:space="preserve">　　土压力计埋设可采用埋入式或边界式（接触式）。埋设时应符合下列要求： </w:t>
      </w:r>
    </w:p>
    <w:p>
      <w:pPr>
        <w:pStyle w:val="PlainText"/>
        <w:ind w:firstLine="560" w:firstLineChars="200"/>
        <w:rPr>
          <w:rFonts w:hAnsi="宋体" w:cs="Arial"/>
          <w:sz w:val="28"/>
          <w:szCs w:val="28"/>
        </w:rPr>
      </w:pPr>
      <w:r>
        <w:rPr>
          <w:rFonts w:hAnsi="宋体"/>
          <w:sz w:val="28"/>
          <w:szCs w:val="28"/>
        </w:rPr>
        <w:t xml:space="preserve">1） </w:t>
      </w:r>
      <w:r>
        <w:rPr>
          <w:rFonts w:hAnsi="宋体" w:cs="Arial"/>
          <w:sz w:val="28"/>
          <w:szCs w:val="28"/>
        </w:rPr>
        <w:t xml:space="preserve">受力面与所需监测的压力方向垂直并紧贴被监测对象； </w:t>
      </w:r>
    </w:p>
    <w:p>
      <w:pPr>
        <w:pStyle w:val="PlainText"/>
        <w:ind w:firstLine="560" w:firstLineChars="200"/>
        <w:rPr>
          <w:rFonts w:hAnsi="宋体" w:cs="Arial"/>
          <w:sz w:val="28"/>
          <w:szCs w:val="28"/>
        </w:rPr>
      </w:pPr>
      <w:r>
        <w:rPr>
          <w:rFonts w:hAnsi="宋体"/>
          <w:sz w:val="28"/>
          <w:szCs w:val="28"/>
        </w:rPr>
        <w:t xml:space="preserve">2） </w:t>
      </w:r>
      <w:r>
        <w:rPr>
          <w:rFonts w:hAnsi="宋体" w:cs="Arial"/>
          <w:sz w:val="28"/>
          <w:szCs w:val="28"/>
        </w:rPr>
        <w:t xml:space="preserve">埋设过程中应有土压力膜保护措施； </w:t>
      </w:r>
    </w:p>
    <w:p>
      <w:pPr>
        <w:pStyle w:val="PlainText"/>
        <w:ind w:firstLine="560" w:firstLineChars="200"/>
        <w:rPr>
          <w:rFonts w:hAnsi="宋体" w:cs="Arial"/>
          <w:sz w:val="28"/>
          <w:szCs w:val="28"/>
        </w:rPr>
      </w:pPr>
      <w:r>
        <w:rPr>
          <w:rFonts w:hAnsi="宋体"/>
          <w:sz w:val="28"/>
          <w:szCs w:val="28"/>
        </w:rPr>
        <w:t xml:space="preserve">3） </w:t>
      </w:r>
      <w:r>
        <w:rPr>
          <w:rFonts w:hAnsi="宋体" w:cs="Arial"/>
          <w:sz w:val="28"/>
          <w:szCs w:val="28"/>
        </w:rPr>
        <w:t xml:space="preserve">采用钻孔法埋设时，回填应均匀密实，且回填材料宜与周围岩土体一致。 </w:t>
      </w:r>
    </w:p>
    <w:p>
      <w:pPr>
        <w:pStyle w:val="PlainText"/>
        <w:ind w:firstLine="560" w:firstLineChars="200"/>
        <w:rPr>
          <w:rFonts w:hAnsi="宋体" w:cs="Arial"/>
          <w:sz w:val="28"/>
          <w:szCs w:val="28"/>
        </w:rPr>
      </w:pPr>
      <w:r>
        <w:rPr>
          <w:rFonts w:hAnsi="宋体"/>
          <w:sz w:val="28"/>
          <w:szCs w:val="28"/>
        </w:rPr>
        <w:t>4）</w:t>
      </w:r>
      <w:r>
        <w:rPr>
          <w:rFonts w:hAnsi="宋体" w:cs="Arial"/>
          <w:sz w:val="28"/>
          <w:szCs w:val="28"/>
        </w:rPr>
        <w:t xml:space="preserve">做好完整的埋设记录。 </w:t>
      </w:r>
    </w:p>
    <w:p>
      <w:pPr>
        <w:pStyle w:val="PlainText"/>
        <w:rPr>
          <w:rFonts w:hAnsi="宋体" w:cs="Arial"/>
          <w:sz w:val="28"/>
          <w:szCs w:val="28"/>
        </w:rPr>
      </w:pPr>
      <w:r>
        <w:rPr>
          <w:rFonts w:hAnsi="宋体" w:cs="Arial"/>
          <w:sz w:val="28"/>
          <w:szCs w:val="28"/>
        </w:rPr>
        <w:t xml:space="preserve">　　土压力计埋设以后应立即进行检查测试，基坑开挖前至少经过1周时间的监测并取得稳定初始值 </w:t>
      </w:r>
    </w:p>
    <w:p>
      <w:pPr>
        <w:spacing w:line="500" w:lineRule="exact"/>
        <w:rPr>
          <w:rFonts w:ascii="宋体" w:hAnsi="宋体"/>
          <w:b/>
          <w:sz w:val="28"/>
          <w:szCs w:val="28"/>
        </w:rPr>
      </w:pPr>
      <w:bookmarkStart w:id="36" w:name="2_8"/>
      <w:bookmarkEnd w:id="36"/>
      <w:r>
        <w:rPr>
          <w:rFonts w:ascii="宋体" w:hAnsi="宋体"/>
          <w:b/>
          <w:sz w:val="28"/>
          <w:szCs w:val="28"/>
        </w:rPr>
        <w:t>6.8 孔隙水压力监测</w:t>
      </w:r>
    </w:p>
    <w:p>
      <w:pPr>
        <w:pStyle w:val="PlainText"/>
        <w:rPr>
          <w:rFonts w:hAnsi="宋体" w:cs="Arial"/>
          <w:sz w:val="28"/>
          <w:szCs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18" w:right="1418" w:bottom="1418" w:left="1418" w:header="851" w:footer="992" w:gutter="0"/>
          <w:pgNumType w:start="12"/>
          <w:cols w:space="708"/>
          <w:titlePg w:val="0"/>
          <w:docGrid w:type="lines" w:linePitch="312"/>
        </w:sectPr>
      </w:pPr>
    </w:p>
    <w:p>
      <w:pPr>
        <w:pStyle w:val="PlainText"/>
        <w:rPr>
          <w:rFonts w:hAnsi="宋体" w:cs="Arial"/>
          <w:sz w:val="28"/>
          <w:szCs w:val="28"/>
        </w:rPr>
      </w:pPr>
      <w:r>
        <w:rPr>
          <w:rFonts w:hAnsi="宋体" w:cs="Arial"/>
          <w:sz w:val="28"/>
          <w:szCs w:val="28"/>
        </w:rPr>
        <w:t>　　孔隙水压力宜通过埋设钢弦式、应变式等孔隙水压力计，采用频率计或应变计量测。孔隙水压力计应满足以下要求：量程应满足被测压力范围的要求，可取静水压力与超孔隙水压力之和的1.2倍；精度不宜低于0.5%F·S，分辨率不宜低于0.2%F·S。孔隙水压力计埋设可采用压入法、钻孔法等。</w:t>
      </w:r>
      <w:r>
        <w:rPr>
          <w:rFonts w:hAnsi="宋体" w:cs="Arial"/>
          <w:sz w:val="28"/>
          <w:szCs w:val="28"/>
        </w:rPr>
        <w:t xml:space="preserve"> </w:t>
      </w:r>
    </w:p>
    <w:p>
      <w:pPr>
        <w:spacing w:line="500" w:lineRule="exact"/>
        <w:rPr>
          <w:rFonts w:ascii="宋体" w:hAnsi="宋体"/>
          <w:b/>
          <w:sz w:val="28"/>
          <w:szCs w:val="28"/>
        </w:rPr>
      </w:pPr>
      <w:bookmarkStart w:id="37" w:name="2_9"/>
      <w:bookmarkEnd w:id="37"/>
      <w:r>
        <w:rPr>
          <w:rFonts w:ascii="宋体" w:hAnsi="宋体"/>
          <w:b/>
          <w:sz w:val="28"/>
          <w:szCs w:val="28"/>
        </w:rPr>
        <w:t>6.9 地下水位监测</w:t>
      </w:r>
    </w:p>
    <w:p>
      <w:pPr>
        <w:pStyle w:val="PlainText"/>
        <w:ind w:firstLine="570"/>
        <w:rPr>
          <w:rFonts w:hAnsi="宋体" w:cs="Arial"/>
          <w:sz w:val="28"/>
          <w:szCs w:val="28"/>
        </w:rPr>
      </w:pPr>
      <w:r>
        <w:rPr>
          <w:rFonts w:hAnsi="宋体" w:cs="Arial"/>
          <w:sz w:val="28"/>
          <w:szCs w:val="28"/>
        </w:rPr>
        <w:t>地下水位监测宜采通过孔内设置水位管，采用水位计等方法进行测量。地下水位监测精度不宜低于10mm。</w:t>
      </w:r>
    </w:p>
    <w:p>
      <w:pPr>
        <w:pStyle w:val="PlainText"/>
        <w:ind w:firstLine="570"/>
        <w:rPr>
          <w:rFonts w:hAnsi="宋体" w:cs="Arial"/>
          <w:sz w:val="28"/>
          <w:szCs w:val="28"/>
        </w:rPr>
      </w:pPr>
      <w:r>
        <w:rPr>
          <w:rFonts w:hAnsi="宋体" w:cs="Arial"/>
          <w:sz w:val="28"/>
          <w:szCs w:val="28"/>
        </w:rPr>
        <w:t>将监测的数据整理形成日报或周报，每天上报给工程部，由工程部负责整理分析和上报。</w:t>
      </w:r>
    </w:p>
    <w:p>
      <w:pPr>
        <w:spacing w:line="500" w:lineRule="exact"/>
        <w:outlineLvl w:val="2"/>
        <w:rPr>
          <w:rFonts w:ascii="宋体" w:hAnsi="宋体" w:hint="eastAsia"/>
          <w:sz w:val="30"/>
          <w:szCs w:val="30"/>
        </w:rPr>
      </w:pPr>
      <w:bookmarkStart w:id="38" w:name="_Toc307341738"/>
      <w:r>
        <w:rPr>
          <w:rFonts w:ascii="宋体" w:hAnsi="宋体" w:cs="Arial" w:hint="eastAsia"/>
          <w:b/>
          <w:sz w:val="30"/>
          <w:szCs w:val="30"/>
        </w:rPr>
        <w:t>7、深基坑施工中的安全措施</w:t>
      </w:r>
      <w:bookmarkEnd w:id="38"/>
    </w:p>
    <w:p>
      <w:pPr>
        <w:spacing w:line="500" w:lineRule="exact"/>
        <w:outlineLvl w:val="2"/>
        <w:rPr>
          <w:rFonts w:ascii="宋体" w:hAnsi="宋体" w:hint="eastAsia"/>
          <w:b/>
          <w:sz w:val="28"/>
          <w:szCs w:val="28"/>
        </w:rPr>
      </w:pPr>
      <w:bookmarkStart w:id="39" w:name="_Toc307341739"/>
      <w:r>
        <w:rPr>
          <w:rFonts w:ascii="宋体" w:hAnsi="宋体" w:hint="eastAsia"/>
          <w:b/>
          <w:sz w:val="28"/>
          <w:szCs w:val="28"/>
        </w:rPr>
        <w:t>7.1 思想保证措施</w:t>
      </w:r>
      <w:bookmarkEnd w:id="4"/>
      <w:bookmarkEnd w:id="6"/>
      <w:bookmarkEnd w:id="39"/>
    </w:p>
    <w:p>
      <w:pPr>
        <w:spacing w:line="500" w:lineRule="exact"/>
        <w:ind w:firstLine="560" w:firstLineChars="200"/>
        <w:rPr>
          <w:rFonts w:ascii="宋体" w:hAnsi="宋体" w:hint="eastAsia"/>
          <w:sz w:val="28"/>
          <w:szCs w:val="28"/>
        </w:rPr>
      </w:pPr>
      <w:r>
        <w:rPr>
          <w:rFonts w:ascii="宋体" w:hAnsi="宋体" w:hint="eastAsia"/>
          <w:sz w:val="28"/>
          <w:szCs w:val="28"/>
        </w:rPr>
        <w:t>工程质量是施工活动的最终成果，它取决于工序质量，而工作质量则是工序质量和工程质量的保证和基础。工程质量是一个系统工程，领导是关键，制度是手段，技术是保证。施工队伍进场后，将分项目、分工序实施质量教育，有的放矢，做到人人明白质量要求，个个清楚质量标准。</w:t>
      </w:r>
    </w:p>
    <w:p>
      <w:pPr>
        <w:spacing w:line="500" w:lineRule="exact"/>
        <w:rPr>
          <w:rFonts w:ascii="宋体" w:hAnsi="宋体" w:hint="eastAsia"/>
          <w:sz w:val="28"/>
          <w:szCs w:val="28"/>
        </w:rPr>
      </w:pPr>
      <w:r>
        <w:rPr>
          <w:rFonts w:ascii="宋体" w:hAnsi="宋体" w:hint="eastAsia"/>
          <w:sz w:val="28"/>
          <w:szCs w:val="28"/>
        </w:rPr>
        <w:t>实施领导把关，做到文明施工，将</w:t>
      </w:r>
      <w:r>
        <w:rPr>
          <w:rFonts w:ascii="宋体" w:hAnsi="宋体" w:hint="eastAsia"/>
          <w:sz w:val="28"/>
          <w:szCs w:val="28"/>
        </w:rPr>
        <w:t>“</w:t>
      </w:r>
      <w:r>
        <w:rPr>
          <w:rFonts w:ascii="宋体" w:hAnsi="宋体" w:hint="eastAsia"/>
          <w:sz w:val="28"/>
          <w:szCs w:val="28"/>
        </w:rPr>
        <w:t>百年大计，质量第一</w:t>
      </w:r>
      <w:r>
        <w:rPr>
          <w:rFonts w:ascii="宋体" w:hAnsi="宋体" w:hint="eastAsia"/>
          <w:sz w:val="28"/>
          <w:szCs w:val="28"/>
        </w:rPr>
        <w:t>”</w:t>
      </w:r>
      <w:r>
        <w:rPr>
          <w:rFonts w:ascii="宋体" w:hAnsi="宋体" w:hint="eastAsia"/>
          <w:sz w:val="28"/>
          <w:szCs w:val="28"/>
        </w:rPr>
        <w:t>的思想贯彻到参战的每一个施工人员的行动中。</w:t>
      </w:r>
    </w:p>
    <w:p>
      <w:pPr>
        <w:spacing w:line="500" w:lineRule="exact"/>
        <w:outlineLvl w:val="2"/>
        <w:rPr>
          <w:rFonts w:ascii="宋体" w:hAnsi="宋体" w:hint="eastAsia"/>
          <w:b/>
          <w:sz w:val="28"/>
          <w:szCs w:val="28"/>
        </w:rPr>
      </w:pPr>
      <w:bookmarkStart w:id="40" w:name="_Toc257731896"/>
      <w:bookmarkStart w:id="41" w:name="_Toc261304668"/>
      <w:bookmarkStart w:id="42" w:name="_Toc307341740"/>
      <w:r>
        <w:rPr>
          <w:rFonts w:ascii="宋体" w:hAnsi="宋体" w:hint="eastAsia"/>
          <w:b/>
          <w:sz w:val="28"/>
          <w:szCs w:val="28"/>
        </w:rPr>
        <w:t>7.2经济保证措施</w:t>
      </w:r>
      <w:bookmarkEnd w:id="40"/>
      <w:bookmarkEnd w:id="41"/>
      <w:bookmarkEnd w:id="42"/>
    </w:p>
    <w:p>
      <w:pPr>
        <w:spacing w:line="500" w:lineRule="exact"/>
        <w:ind w:firstLine="560" w:firstLineChars="200"/>
        <w:rPr>
          <w:rFonts w:ascii="宋体" w:hAnsi="宋体" w:hint="eastAsia"/>
          <w:sz w:val="28"/>
          <w:szCs w:val="28"/>
        </w:rPr>
      </w:pPr>
      <w:r>
        <w:rPr>
          <w:rFonts w:ascii="宋体" w:hAnsi="宋体" w:hint="eastAsia"/>
          <w:sz w:val="28"/>
          <w:szCs w:val="28"/>
        </w:rPr>
        <w:t>为积极推广全员质量管理，进一步完善质量责任制，促进质量管理，提高工程质量，工程队每年交纳质量保证金，项目经理部按合同总额提取一定比例的工程质量奖励基金，实行优质优价、奖优罚劣、奖惩兑现。</w:t>
      </w:r>
    </w:p>
    <w:p>
      <w:pPr>
        <w:spacing w:line="500" w:lineRule="exact"/>
        <w:ind w:firstLine="560" w:firstLineChars="200"/>
        <w:rPr>
          <w:rFonts w:ascii="宋体" w:hAnsi="宋体" w:hint="eastAsia"/>
          <w:sz w:val="28"/>
          <w:szCs w:val="28"/>
        </w:rPr>
      </w:pPr>
      <w:r>
        <w:rPr>
          <w:rFonts w:ascii="宋体" w:hAnsi="宋体" w:hint="eastAsia"/>
          <w:sz w:val="28"/>
          <w:szCs w:val="28"/>
        </w:rPr>
        <w:t>对造成质量事故的单位，除负责施工的单位承担全部返工费用外，项目部将再按事故损失金额的10％罚款，并对有关责任人进行行政及经济处罚。</w:t>
      </w:r>
    </w:p>
    <w:p>
      <w:pPr>
        <w:spacing w:line="500" w:lineRule="exact"/>
        <w:outlineLvl w:val="2"/>
        <w:rPr>
          <w:rFonts w:ascii="宋体" w:hAnsi="宋体" w:hint="eastAsia"/>
          <w:b/>
          <w:sz w:val="28"/>
          <w:szCs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18" w:right="1418" w:bottom="1418" w:left="1418" w:header="851" w:footer="992" w:gutter="0"/>
          <w:pgNumType w:start="13"/>
          <w:cols w:space="708"/>
          <w:titlePg w:val="0"/>
          <w:docGrid w:type="lines" w:linePitch="312"/>
        </w:sectPr>
      </w:pPr>
      <w:bookmarkStart w:id="43" w:name="_Toc277068417"/>
      <w:bookmarkStart w:id="44" w:name="_Toc278262584"/>
      <w:bookmarkStart w:id="45" w:name="_Toc277065838"/>
      <w:bookmarkStart w:id="46" w:name="_Toc307341741"/>
      <w:r>
        <w:rPr>
          <w:rFonts w:ascii="宋体" w:hAnsi="宋体" w:hint="eastAsia"/>
          <w:b/>
          <w:sz w:val="28"/>
          <w:szCs w:val="28"/>
        </w:rPr>
        <w:t>7.3 安全管理措施</w:t>
      </w:r>
      <w:bookmarkEnd w:id="5"/>
      <w:bookmarkEnd w:id="43"/>
      <w:bookmarkEnd w:id="44"/>
      <w:bookmarkEnd w:id="45"/>
      <w:bookmarkEnd w:id="46"/>
    </w:p>
    <w:p>
      <w:pPr>
        <w:spacing w:line="500" w:lineRule="exact"/>
        <w:outlineLvl w:val="2"/>
        <w:rPr>
          <w:rFonts w:ascii="宋体" w:hAnsi="宋体" w:hint="eastAsia"/>
          <w:sz w:val="28"/>
          <w:szCs w:val="28"/>
        </w:rPr>
      </w:pPr>
      <w:bookmarkStart w:id="47" w:name="_Toc261304679"/>
      <w:bookmarkStart w:id="48" w:name="_Toc307341742"/>
      <w:bookmarkStart w:id="49" w:name="_Toc257731907"/>
      <w:bookmarkStart w:id="50" w:name="_Toc273203489"/>
      <w:r>
        <w:rPr>
          <w:rFonts w:ascii="宋体" w:hAnsi="宋体" w:hint="eastAsia"/>
          <w:sz w:val="28"/>
          <w:szCs w:val="28"/>
        </w:rPr>
        <w:t>7.3.1 安全目标</w:t>
      </w:r>
      <w:bookmarkEnd w:id="47"/>
      <w:bookmarkEnd w:id="48"/>
      <w:bookmarkEnd w:id="49"/>
    </w:p>
    <w:p>
      <w:pPr>
        <w:spacing w:line="500" w:lineRule="exact"/>
        <w:ind w:firstLine="560" w:firstLineChars="200"/>
        <w:rPr>
          <w:rFonts w:ascii="宋体" w:hAnsi="宋体" w:hint="eastAsia"/>
          <w:sz w:val="28"/>
          <w:szCs w:val="28"/>
        </w:rPr>
      </w:pPr>
      <w:r>
        <w:rPr>
          <w:rFonts w:ascii="宋体" w:hAnsi="宋体" w:hint="eastAsia"/>
          <w:sz w:val="28"/>
          <w:szCs w:val="28"/>
        </w:rPr>
        <w:t>杜绝生产安全特别重大事故和重大事故、较大生产安全事故、铁路交通重特大事故；减少一般安全事故。</w:t>
      </w:r>
    </w:p>
    <w:p>
      <w:pPr>
        <w:spacing w:line="500" w:lineRule="exact"/>
        <w:outlineLvl w:val="2"/>
        <w:rPr>
          <w:rFonts w:ascii="宋体" w:hAnsi="宋体" w:hint="eastAsia"/>
          <w:sz w:val="28"/>
          <w:szCs w:val="28"/>
        </w:rPr>
      </w:pPr>
      <w:bookmarkStart w:id="51" w:name="_Toc307341743"/>
      <w:bookmarkStart w:id="52" w:name="_Toc261304680"/>
      <w:bookmarkStart w:id="53" w:name="_Toc257731908"/>
      <w:r>
        <w:rPr>
          <w:rFonts w:ascii="宋体" w:hAnsi="宋体" w:hint="eastAsia"/>
          <w:sz w:val="28"/>
          <w:szCs w:val="28"/>
        </w:rPr>
        <w:t>7.3.2 安全保证体系</w:t>
      </w:r>
      <w:bookmarkEnd w:id="53"/>
      <w:bookmarkEnd w:id="51"/>
      <w:bookmarkEnd w:id="52"/>
    </w:p>
    <w:p>
      <w:pPr>
        <w:spacing w:line="500" w:lineRule="exact"/>
        <w:outlineLvl w:val="3"/>
        <w:rPr>
          <w:rFonts w:ascii="宋体" w:hAnsi="宋体" w:hint="eastAsia"/>
          <w:sz w:val="28"/>
          <w:szCs w:val="28"/>
        </w:rPr>
      </w:pPr>
      <w:bookmarkStart w:id="54" w:name="_Toc257731909"/>
      <w:bookmarkStart w:id="55" w:name="_Toc261304681"/>
      <w:r>
        <w:rPr>
          <w:rFonts w:ascii="宋体" w:hAnsi="宋体" w:hint="eastAsia"/>
          <w:sz w:val="28"/>
          <w:szCs w:val="28"/>
        </w:rPr>
        <w:t>7.3.2.1 建立健全安全管理组织机构</w:t>
      </w:r>
      <w:bookmarkEnd w:id="54"/>
      <w:bookmarkEnd w:id="55"/>
    </w:p>
    <w:p>
      <w:pPr>
        <w:ind w:firstLine="560" w:firstLineChars="200"/>
        <w:rPr>
          <w:rFonts w:ascii="宋体" w:hAnsi="宋体" w:hint="eastAsia"/>
          <w:sz w:val="28"/>
          <w:szCs w:val="28"/>
        </w:rPr>
      </w:pPr>
      <w:r>
        <w:rPr>
          <w:rFonts w:ascii="宋体" w:hAnsi="宋体" w:hint="eastAsia"/>
          <w:sz w:val="28"/>
          <w:szCs w:val="28"/>
        </w:rPr>
        <w:t>成立以项目经理为组长、项目副经理、总工程师为副组长，有关业务部门领导、分部安全领导小组组长为成员的安全领导小组，负责安全生产的组织、协调和领导。分部成立相应安全生产领导小组。建立健全岗位责任制，从组织上、制度上保证安全生产，做到程序化、规范化施工，全面实现安全目标。</w:t>
      </w:r>
    </w:p>
    <w:p>
      <w:pPr>
        <w:ind w:firstLine="560" w:firstLineChars="200"/>
        <w:rPr>
          <w:rFonts w:ascii="宋体" w:hAnsi="宋体" w:hint="eastAsia"/>
          <w:sz w:val="28"/>
          <w:szCs w:val="28"/>
        </w:rPr>
      </w:pPr>
      <w:r>
        <w:rPr>
          <w:rFonts w:ascii="宋体" w:hAnsi="宋体" w:hint="eastAsia"/>
          <w:sz w:val="28"/>
          <w:szCs w:val="28"/>
        </w:rPr>
        <w:t>按京福客专安全生产管理办法的要求建立健全安全生产保证体系，明确安全工作目标，实行安全生产一票否决制。施工中严格按照《安全生产法》和《工程建设安全管理条例》有关的规定落实好安全生产相关投入，施工现场设置安全防护措施，按规定发放作业人员防护用品，购置安全生产设备。</w:t>
      </w:r>
    </w:p>
    <w:p>
      <w:pPr>
        <w:ind w:firstLine="560" w:firstLineChars="200"/>
        <w:rPr>
          <w:rFonts w:ascii="宋体" w:hAnsi="宋体" w:hint="eastAsia"/>
          <w:sz w:val="28"/>
          <w:szCs w:val="28"/>
        </w:rPr>
      </w:pPr>
      <w:r>
        <w:rPr>
          <w:rFonts w:ascii="宋体" w:hAnsi="宋体" w:hint="eastAsia"/>
          <w:sz w:val="28"/>
          <w:szCs w:val="28"/>
        </w:rPr>
        <w:t>按照GB/T28001-</w:t>
      </w:r>
      <w:r>
        <w:rPr>
          <w:rFonts w:ascii="宋体" w:hAnsi="宋体" w:hint="eastAsia"/>
          <w:sz w:val="28"/>
          <w:szCs w:val="28"/>
          <w:lang w:eastAsia="zh-CN"/>
        </w:rPr>
        <w:t>201</w:t>
      </w:r>
      <w:r>
        <w:rPr>
          <w:rFonts w:ascii="宋体" w:hAnsi="宋体" w:hint="eastAsia"/>
          <w:sz w:val="28"/>
          <w:szCs w:val="28"/>
        </w:rPr>
        <w:t>1职业健康安全管理体系标准的要求建立项目安全生产保证体系。贯彻国家有关安全生产的法律、法规，严格执行现行《铁路工程施工安全技术规程》，制定安全包保责任制，逐级签订安全承包合同，使各级明确安全职责和安全目标，充分体现</w:t>
      </w:r>
      <w:r>
        <w:rPr>
          <w:rFonts w:ascii="宋体" w:hAnsi="宋体" w:hint="eastAsia"/>
          <w:sz w:val="28"/>
          <w:szCs w:val="28"/>
        </w:rPr>
        <w:t>“</w:t>
      </w:r>
      <w:r>
        <w:rPr>
          <w:rFonts w:ascii="宋体" w:hAnsi="宋体" w:hint="eastAsia"/>
          <w:sz w:val="28"/>
          <w:szCs w:val="28"/>
        </w:rPr>
        <w:t>安全生产、事事相关、人人有责</w:t>
      </w:r>
      <w:r>
        <w:rPr>
          <w:rFonts w:ascii="宋体" w:hAnsi="宋体" w:hint="eastAsia"/>
          <w:sz w:val="28"/>
          <w:szCs w:val="28"/>
        </w:rPr>
        <w:t>”</w:t>
      </w:r>
      <w:r>
        <w:rPr>
          <w:rFonts w:ascii="宋体" w:hAnsi="宋体" w:hint="eastAsia"/>
          <w:sz w:val="28"/>
          <w:szCs w:val="28"/>
        </w:rPr>
        <w:t>，达到全员参与、全面管理的目的。</w:t>
      </w:r>
    </w:p>
    <w:p>
      <w:pPr>
        <w:rPr>
          <w:rFonts w:ascii="宋体" w:hAnsi="宋体" w:hint="eastAsia"/>
          <w:sz w:val="28"/>
          <w:szCs w:val="28"/>
        </w:rPr>
      </w:pPr>
      <w:r>
        <w:rPr>
          <w:rFonts w:ascii="宋体" w:hAnsi="宋体" w:hint="eastAsia"/>
          <w:sz w:val="28"/>
          <w:szCs w:val="28"/>
        </w:rPr>
        <w:t>安全管理组织机构见</w:t>
      </w:r>
      <w:r>
        <w:rPr>
          <w:rFonts w:ascii="宋体" w:hAnsi="宋体" w:hint="eastAsia"/>
          <w:sz w:val="28"/>
          <w:szCs w:val="28"/>
        </w:rPr>
        <w:t>“</w:t>
      </w:r>
      <w:r>
        <w:rPr>
          <w:rFonts w:ascii="宋体" w:hAnsi="宋体" w:hint="eastAsia"/>
          <w:sz w:val="28"/>
          <w:szCs w:val="28"/>
        </w:rPr>
        <w:t>图7.3-1</w:t>
      </w:r>
      <w:r>
        <w:rPr>
          <w:rFonts w:ascii="宋体" w:hAnsi="宋体" w:hint="eastAsia"/>
          <w:sz w:val="28"/>
          <w:szCs w:val="28"/>
        </w:rPr>
        <w:t>”</w:t>
      </w:r>
      <w:r>
        <w:rPr>
          <w:rFonts w:ascii="宋体" w:hAnsi="宋体" w:hint="eastAsia"/>
          <w:sz w:val="28"/>
          <w:szCs w:val="28"/>
        </w:rPr>
        <w:t>。</w:t>
      </w:r>
    </w:p>
    <w:p>
      <w:pPr>
        <w:spacing w:line="500" w:lineRule="exact"/>
        <w:ind w:firstLine="480" w:firstLineChars="200"/>
        <w:jc w:val="center"/>
        <w:rPr>
          <w:rFonts w:ascii="宋体" w:hAnsi="宋体" w:hint="eastAsia"/>
          <w:sz w:val="24"/>
        </w:rPr>
      </w:pPr>
      <w:r>
        <w:rPr>
          <w:rFonts w:ascii="宋体" w:hAnsi="宋体" w:hint="eastAsia"/>
          <w:sz w:val="24"/>
        </w:rPr>
        <w:t>图7.3-1  安全管理组织机构框图</w:t>
      </w:r>
    </w:p>
    <w:p>
      <w:pPr>
        <w:rPr>
          <w:rFonts w:ascii="宋体" w:hAnsi="宋体" w:hint="eastAsia"/>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18" w:right="1418" w:bottom="1418" w:left="1418" w:header="851" w:footer="992" w:gutter="0"/>
          <w:pgNumType w:start="14"/>
          <w:cols w:space="708"/>
          <w:titlePg w:val="0"/>
          <w:docGrid w:type="lines" w:linePitch="312"/>
        </w:sectPr>
      </w:pPr>
      <w:r>
        <w:rPr>
          <w:rFonts w:ascii="宋体" w:hAnsi="宋体" w:hint="eastAsia"/>
        </w:rPr>
        <w:pict>
          <v:group id="组合 797" o:spid="_x0000_s1051" style="width:281.25pt;height:353.05pt;margin-top:6.75pt;margin-left:60.75pt;position:absolute;z-index:-251657216" coordorigin="2858,3853" coordsize="6015,5108">
            <v:line id="直线 798" o:spid="_x0000_s1052" style="mso-wrap-style:square;position:absolute" from="3867,6908" to="7906,6908" stroked="t" strokeweight="0.25pt">
              <v:stroke linestyle="single"/>
            </v:line>
            <v:line id="直线 799" o:spid="_x0000_s1053" style="flip:y;mso-wrap-style:square;position:absolute" from="3879,5930" to="7916,5930" stroked="t" strokeweight="0.25pt">
              <v:stroke linestyle="single"/>
            </v:line>
            <v:line id="直线 800" o:spid="_x0000_s1054" style="mso-wrap-style:square;position:absolute" from="5957,8321" to="5957,8568" stroked="t" strokeweight="0.25pt">
              <v:stroke linestyle="single"/>
            </v:line>
            <v:line id="直线 801" o:spid="_x0000_s1055" style="flip:x;mso-wrap-style:square;position:absolute" from="5972,7619" to="5972,7927" stroked="t" strokeweight="0.25pt">
              <v:stroke linestyle="single"/>
            </v:line>
            <v:shape id="文本框 802" o:spid="_x0000_s1056" type="#_x0000_t202" style="width:3303;height:386;left:4247;mso-wrap-style:square;position:absolute;top:3853" filled="f" fillcolor="#ccecff" stroked="t" strokeweight="0.25pt">
              <v:fill rotate="t"/>
              <v:stroke linestyle="single"/>
              <v:textbox inset="0,5.67pt,0,0">
                <w:txbxContent>
                  <w:p>
                    <w:pPr>
                      <w:pStyle w:val="a10"/>
                      <w:tabs>
                        <w:tab w:val="right" w:leader="dot" w:pos="8891"/>
                        <w:tab w:val="right" w:leader="dot" w:pos="9060"/>
                      </w:tabs>
                      <w:spacing w:before="156" w:line="260" w:lineRule="exact"/>
                      <w:ind w:firstLine="240"/>
                      <w:rPr>
                        <w:rFonts w:hint="eastAsia"/>
                        <w:b w:val="0"/>
                      </w:rPr>
                    </w:pPr>
                    <w:r>
                      <w:rPr>
                        <w:rFonts w:hint="eastAsia"/>
                        <w:b w:val="0"/>
                      </w:rPr>
                      <w:t>安全管理领导小组</w:t>
                    </w:r>
                  </w:p>
                </w:txbxContent>
              </v:textbox>
            </v:shape>
            <v:shape id="文本框 803" o:spid="_x0000_s1057" type="#_x0000_t202" style="width:3303;height:374;left:4233;mso-wrap-style:square;position:absolute;top:4551" filled="f" fillcolor="#ccecff" stroked="t" strokeweight="0.25pt">
              <v:fill rotate="t"/>
              <v:stroke linestyle="single"/>
              <v:textbox inset="0,5.67pt,0,0">
                <w:txbxContent>
                  <w:p>
                    <w:pPr>
                      <w:pStyle w:val="a10"/>
                      <w:tabs>
                        <w:tab w:val="right" w:leader="dot" w:pos="8891"/>
                        <w:tab w:val="right" w:leader="dot" w:pos="9060"/>
                      </w:tabs>
                      <w:spacing w:before="156" w:line="240" w:lineRule="exact"/>
                      <w:ind w:firstLine="240"/>
                      <w:rPr>
                        <w:rFonts w:hint="eastAsia"/>
                        <w:b w:val="0"/>
                      </w:rPr>
                    </w:pPr>
                    <w:r>
                      <w:rPr>
                        <w:rFonts w:hint="eastAsia"/>
                        <w:b w:val="0"/>
                      </w:rPr>
                      <w:t>组  长：项目经理</w:t>
                    </w:r>
                  </w:p>
                  <w:p>
                    <w:pPr>
                      <w:pStyle w:val="a10"/>
                      <w:tabs>
                        <w:tab w:val="right" w:leader="dot" w:pos="8891"/>
                        <w:tab w:val="right" w:leader="dot" w:pos="9060"/>
                      </w:tabs>
                      <w:spacing w:before="156"/>
                      <w:ind w:firstLine="240"/>
                    </w:pPr>
                  </w:p>
                </w:txbxContent>
              </v:textbox>
            </v:shape>
            <v:shape id="文本框 804" o:spid="_x0000_s1058" type="#_x0000_t202" style="width:3300;height:364;left:4233;mso-wrap-style:square;position:absolute;top:5249" filled="f" fillcolor="#ccecff" stroked="t" strokeweight="0.25pt">
              <v:fill rotate="t"/>
              <v:stroke linestyle="single"/>
              <v:textbox inset="0,5.67pt,0,0">
                <w:txbxContent>
                  <w:p>
                    <w:pPr>
                      <w:pStyle w:val="a10"/>
                      <w:tabs>
                        <w:tab w:val="right" w:leader="dot" w:pos="8891"/>
                        <w:tab w:val="right" w:leader="dot" w:pos="9060"/>
                      </w:tabs>
                      <w:spacing w:before="156" w:after="0" w:line="230" w:lineRule="exact"/>
                      <w:ind w:firstLine="240"/>
                      <w:rPr>
                        <w:rFonts w:hint="eastAsia"/>
                      </w:rPr>
                    </w:pPr>
                    <w:r>
                      <w:rPr>
                        <w:rFonts w:hint="eastAsia"/>
                        <w:b w:val="0"/>
                      </w:rPr>
                      <w:t>副组长：项目副经理、项目</w:t>
                    </w:r>
                    <w:r>
                      <w:rPr>
                        <w:rFonts w:hint="eastAsia"/>
                      </w:rPr>
                      <w:t>总工</w:t>
                    </w: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txbxContent>
              </v:textbox>
            </v:shape>
            <v:shape id="文本框 805" o:spid="_x0000_s1059" type="#_x0000_t202" style="width:2876;height:374;left:4508;mso-wrap-style:square;position:absolute;top:8587" filled="f" fillcolor="#ccecff" stroked="t" strokeweight="0.25pt">
              <v:fill rotate="t"/>
              <v:stroke linestyle="single"/>
              <v:textbox inset="0,5.67pt,0,0">
                <w:txbxContent>
                  <w:p>
                    <w:pPr>
                      <w:pStyle w:val="a10"/>
                      <w:tabs>
                        <w:tab w:val="right" w:leader="dot" w:pos="8891"/>
                        <w:tab w:val="right" w:leader="dot" w:pos="9060"/>
                      </w:tabs>
                      <w:spacing w:before="156" w:line="240" w:lineRule="exact"/>
                      <w:ind w:firstLine="240"/>
                      <w:rPr>
                        <w:rFonts w:hint="eastAsia"/>
                        <w:b w:val="0"/>
                      </w:rPr>
                    </w:pPr>
                    <w:r>
                      <w:rPr>
                        <w:rFonts w:hint="eastAsia"/>
                        <w:b w:val="0"/>
                      </w:rPr>
                      <w:t>各工点安全员</w:t>
                    </w: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txbxContent>
              </v:textbox>
            </v:shape>
            <v:shape id="文本框 806" o:spid="_x0000_s1060" type="#_x0000_t202" style="width:2008;height:361;left:2858;mso-wrap-style:square;position:absolute;top:6241" filled="f" fillcolor="#ccecff" stroked="t" strokeweight="0.25pt">
              <v:fill rotate="t"/>
              <v:stroke linestyle="single"/>
              <v:textbox inset="0,5.67pt,0,0">
                <w:txbxContent>
                  <w:p>
                    <w:pPr>
                      <w:pStyle w:val="a10"/>
                      <w:tabs>
                        <w:tab w:val="right" w:leader="dot" w:pos="8891"/>
                        <w:tab w:val="right" w:leader="dot" w:pos="9060"/>
                      </w:tabs>
                      <w:spacing w:before="156" w:line="240" w:lineRule="exact"/>
                      <w:ind w:firstLine="240"/>
                      <w:rPr>
                        <w:rFonts w:hint="eastAsia"/>
                      </w:rPr>
                    </w:pPr>
                    <w:r>
                      <w:rPr>
                        <w:rFonts w:hint="eastAsia"/>
                        <w:b w:val="0"/>
                      </w:rPr>
                      <w:t>各业务部门负</w:t>
                    </w:r>
                    <w:r>
                      <w:rPr>
                        <w:rFonts w:hint="eastAsia"/>
                      </w:rPr>
                      <w:t>责人</w:t>
                    </w:r>
                  </w:p>
                </w:txbxContent>
              </v:textbox>
            </v:shape>
            <v:shape id="文本框 807" o:spid="_x0000_s1061" type="#_x0000_t202" style="width:2876;height:373;left:4508;mso-wrap-style:square;position:absolute;top:7945" filled="f" fillcolor="#ccecff" stroked="t" strokeweight="0.25pt">
              <v:fill rotate="t"/>
              <v:stroke linestyle="single"/>
              <v:textbox inset="0,5.67pt,0,0">
                <w:txbxContent>
                  <w:p>
                    <w:pPr>
                      <w:pStyle w:val="a10"/>
                      <w:tabs>
                        <w:tab w:val="right" w:leader="dot" w:pos="8891"/>
                        <w:tab w:val="right" w:leader="dot" w:pos="9060"/>
                      </w:tabs>
                      <w:spacing w:before="156" w:line="240" w:lineRule="exact"/>
                      <w:ind w:firstLine="240"/>
                      <w:rPr>
                        <w:rFonts w:hint="eastAsia"/>
                        <w:b w:val="0"/>
                      </w:rPr>
                    </w:pPr>
                    <w:r>
                      <w:rPr>
                        <w:rFonts w:hint="eastAsia"/>
                        <w:b w:val="0"/>
                      </w:rPr>
                      <w:t>各施工班组负责人</w:t>
                    </w: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txbxContent>
              </v:textbox>
            </v:shape>
            <v:shape id="文本框 808" o:spid="_x0000_s1062" type="#_x0000_t202" style="width:1925;height:360;left:6948;mso-wrap-style:square;position:absolute;top:6228" filled="f" fillcolor="#ccecff" stroked="t" strokeweight="0.25pt">
              <v:fill rotate="t"/>
              <v:stroke linestyle="single"/>
              <v:textbox inset="0,5.67pt,0,0">
                <w:txbxContent>
                  <w:p>
                    <w:pPr>
                      <w:pStyle w:val="a10"/>
                      <w:tabs>
                        <w:tab w:val="right" w:leader="dot" w:pos="8891"/>
                        <w:tab w:val="right" w:leader="dot" w:pos="9060"/>
                      </w:tabs>
                      <w:spacing w:before="156" w:line="240" w:lineRule="exact"/>
                      <w:ind w:firstLine="240"/>
                      <w:jc w:val="both"/>
                      <w:rPr>
                        <w:rFonts w:hint="eastAsia"/>
                      </w:rPr>
                    </w:pPr>
                    <w:r>
                      <w:rPr>
                        <w:rFonts w:hint="eastAsia"/>
                        <w:b w:val="0"/>
                      </w:rPr>
                      <w:t>各分部（工区）</w:t>
                    </w:r>
                    <w:r>
                      <w:rPr>
                        <w:rFonts w:hint="eastAsia"/>
                      </w:rPr>
                      <w:t>经理</w:t>
                    </w:r>
                  </w:p>
                  <w:p>
                    <w:pPr>
                      <w:pStyle w:val="a10"/>
                      <w:tabs>
                        <w:tab w:val="right" w:leader="dot" w:pos="8891"/>
                        <w:tab w:val="right" w:leader="dot" w:pos="9060"/>
                      </w:tabs>
                      <w:spacing w:before="156"/>
                      <w:ind w:firstLine="240"/>
                      <w:rPr>
                        <w:rFonts w:hint="eastAsia"/>
                      </w:rPr>
                    </w:pPr>
                  </w:p>
                </w:txbxContent>
              </v:textbox>
            </v:shape>
            <v:line id="直线 809" o:spid="_x0000_s1063" style="flip:x;mso-wrap-style:square;position:absolute" from="3873,5937" to="3873,6245" stroked="t" strokeweight="0.25pt">
              <v:stroke linestyle="single"/>
            </v:line>
            <v:line id="直线 810" o:spid="_x0000_s1064" style="flip:x;mso-wrap-style:square;position:absolute" from="5903,5615" to="5903,5922" stroked="t" strokeweight="0.25pt">
              <v:stroke linestyle="single"/>
            </v:line>
            <v:line id="直线 811" o:spid="_x0000_s1065" style="flip:x;mso-wrap-style:square;position:absolute" from="5903,4931" to="5903,5237" stroked="t" strokeweight="0.25pt">
              <v:stroke linestyle="single"/>
            </v:line>
            <v:line id="直线 812" o:spid="_x0000_s1066" style="flip:x;mso-wrap-style:square;position:absolute" from="5908,4234" to="5908,4541" stroked="t" strokeweight="0.25pt">
              <v:stroke linestyle="single"/>
            </v:line>
            <v:line id="直线 813" o:spid="_x0000_s1067" style="flip:x;mso-wrap-style:square;position:absolute" from="7933,6597" to="7933,6903" stroked="t" strokeweight="0.25pt">
              <v:stroke linestyle="single"/>
            </v:line>
            <v:line id="直线 814" o:spid="_x0000_s1068" style="flip:x;mso-wrap-style:square;position:absolute" from="7933,5937" to="7933,6245" stroked="t" strokeweight="0.25pt">
              <v:stroke linestyle="single"/>
            </v:line>
            <v:line id="直线 815" o:spid="_x0000_s1069" style="flip:x;mso-wrap-style:square;position:absolute" from="3873,6592" to="3873,6900" stroked="t" strokeweight="0.25pt">
              <v:stroke linestyle="single"/>
            </v:line>
            <v:line id="直线 816" o:spid="_x0000_s1070" style="flip:x;mso-wrap-style:square;position:absolute" from="5942,6914" to="5942,7222" stroked="t" strokeweight="0.25pt">
              <v:stroke linestyle="single"/>
            </v:line>
            <v:shape id="文本框 817" o:spid="_x0000_s1071" type="#_x0000_t202" style="width:2876;height:373;left:4478;mso-wrap-style:square;position:absolute;top:7240" filled="f" fillcolor="#ccecff" stroked="t" strokeweight="0.25pt">
              <v:fill rotate="t"/>
              <v:stroke linestyle="single"/>
              <v:textbox inset="0,5.67pt,0,0">
                <w:txbxContent>
                  <w:p>
                    <w:pPr>
                      <w:pStyle w:val="a10"/>
                      <w:tabs>
                        <w:tab w:val="right" w:leader="dot" w:pos="8891"/>
                        <w:tab w:val="right" w:leader="dot" w:pos="9060"/>
                      </w:tabs>
                      <w:spacing w:before="156" w:line="240" w:lineRule="exact"/>
                      <w:ind w:firstLine="240"/>
                      <w:rPr>
                        <w:rFonts w:hint="eastAsia"/>
                        <w:b w:val="0"/>
                      </w:rPr>
                    </w:pPr>
                    <w:r>
                      <w:rPr>
                        <w:rFonts w:hint="eastAsia"/>
                        <w:b w:val="0"/>
                      </w:rPr>
                      <w:t>各架子队队长</w:t>
                    </w: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p>
                    <w:pPr>
                      <w:pStyle w:val="a10"/>
                      <w:tabs>
                        <w:tab w:val="right" w:leader="dot" w:pos="8891"/>
                        <w:tab w:val="right" w:leader="dot" w:pos="9060"/>
                      </w:tabs>
                      <w:spacing w:before="156"/>
                      <w:ind w:firstLine="240"/>
                    </w:pPr>
                  </w:p>
                </w:txbxContent>
              </v:textbox>
            </v:shape>
          </v:group>
        </w:pict>
      </w: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spacing w:line="500" w:lineRule="exact"/>
        <w:ind w:firstLine="560" w:firstLineChars="200"/>
        <w:rPr>
          <w:rFonts w:ascii="宋体" w:hAnsi="宋体" w:hint="eastAsia"/>
          <w:sz w:val="28"/>
          <w:szCs w:val="28"/>
        </w:rPr>
      </w:pPr>
      <w:r>
        <w:rPr>
          <w:rFonts w:ascii="宋体" w:hAnsi="宋体" w:hint="eastAsia"/>
          <w:sz w:val="28"/>
          <w:szCs w:val="28"/>
        </w:rPr>
        <w:t>项目经理部设安全质量部，配安全工程师，具体负责本标段工程项目的全部安全监察和管理工作，分部设安全科、各架子队设专职安全员、各工班设兼职安全员。安全监察（检查）员均选派工作责任心强，有多年现场工作经验，经过安全管理专业技术培训的人员担任。项目经理部安全管理领导小组的任务和职责：贯彻执行上级各项安全法规规程；定期召开安全工作会议；总结和布置安全生产工作；决策重大施工安全方案；制订本项目各项安全制度规定；落实安全责任制；组织安全教育培训；开展安全检查等。</w:t>
      </w:r>
    </w:p>
    <w:p>
      <w:pPr>
        <w:spacing w:line="500" w:lineRule="exact"/>
        <w:ind w:firstLine="560" w:firstLineChars="200"/>
        <w:rPr>
          <w:rFonts w:ascii="宋体" w:hAnsi="宋体" w:hint="eastAsia"/>
          <w:sz w:val="28"/>
          <w:szCs w:val="28"/>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18" w:right="1418" w:bottom="1418" w:left="1418" w:header="851" w:footer="992" w:gutter="0"/>
          <w:pgNumType w:start="15"/>
          <w:cols w:space="708"/>
          <w:titlePg w:val="0"/>
          <w:docGrid w:type="lines" w:linePitch="312"/>
        </w:sectPr>
      </w:pPr>
      <w:r>
        <w:rPr>
          <w:rFonts w:ascii="宋体" w:hAnsi="宋体" w:hint="eastAsia"/>
          <w:sz w:val="28"/>
          <w:szCs w:val="28"/>
        </w:rPr>
        <w:t>建立高效灵敏的安全管理信息系统。系统规定各种安全信息的传递方法和程序，在施工中形成畅通无阻的信息网，准确及时地搜集各种安全信息（如执行</w:t>
      </w:r>
      <w:r>
        <w:rPr>
          <w:rFonts w:ascii="宋体" w:hAnsi="宋体" w:hint="eastAsia"/>
          <w:sz w:val="28"/>
          <w:szCs w:val="28"/>
        </w:rPr>
        <w:t>“</w:t>
      </w:r>
      <w:r>
        <w:rPr>
          <w:rFonts w:ascii="宋体" w:hAnsi="宋体" w:hint="eastAsia"/>
          <w:sz w:val="28"/>
          <w:szCs w:val="28"/>
        </w:rPr>
        <w:t>五同时</w:t>
      </w:r>
      <w:r>
        <w:rPr>
          <w:rFonts w:ascii="宋体" w:hAnsi="宋体" w:hint="eastAsia"/>
          <w:sz w:val="28"/>
          <w:szCs w:val="28"/>
        </w:rPr>
        <w:t>”</w:t>
      </w:r>
    </w:p>
    <w:p>
      <w:pPr>
        <w:spacing w:line="500" w:lineRule="exact"/>
        <w:ind w:firstLine="560" w:firstLineChars="200"/>
        <w:rPr>
          <w:rFonts w:ascii="宋体" w:hAnsi="宋体" w:hint="eastAsia"/>
          <w:sz w:val="28"/>
          <w:szCs w:val="28"/>
        </w:rPr>
      </w:pPr>
      <w:r>
        <w:rPr>
          <w:rFonts w:ascii="宋体" w:hAnsi="宋体" w:hint="eastAsia"/>
          <w:sz w:val="28"/>
          <w:szCs w:val="28"/>
        </w:rPr>
        <w:t>的信息，安全技术措施方案的编制、审批、交底、落实、确认信息，安全隐患、险肇事故及工伤信息等），并设专人负责予以处理。</w:t>
      </w:r>
    </w:p>
    <w:p>
      <w:pPr>
        <w:spacing w:line="500" w:lineRule="exact"/>
        <w:outlineLvl w:val="3"/>
        <w:rPr>
          <w:rFonts w:ascii="宋体" w:hAnsi="宋体" w:hint="eastAsia"/>
          <w:sz w:val="28"/>
          <w:szCs w:val="28"/>
        </w:rPr>
      </w:pPr>
      <w:bookmarkStart w:id="56" w:name="_Toc261304682"/>
      <w:bookmarkStart w:id="57" w:name="_Toc257731910"/>
      <w:r>
        <w:rPr>
          <w:rFonts w:ascii="宋体" w:hAnsi="宋体" w:hint="eastAsia"/>
          <w:sz w:val="28"/>
          <w:szCs w:val="28"/>
        </w:rPr>
        <w:t>7.3.2.2 安全保证体系</w:t>
      </w:r>
      <w:bookmarkEnd w:id="56"/>
      <w:bookmarkEnd w:id="57"/>
    </w:p>
    <w:p>
      <w:pPr>
        <w:spacing w:line="500" w:lineRule="exact"/>
        <w:ind w:firstLine="560" w:firstLineChars="200"/>
        <w:rPr>
          <w:rFonts w:ascii="宋体" w:hAnsi="宋体" w:hint="eastAsia"/>
          <w:sz w:val="28"/>
          <w:szCs w:val="28"/>
        </w:rPr>
      </w:pPr>
      <w:r>
        <w:rPr>
          <w:rFonts w:ascii="宋体" w:hAnsi="宋体" w:hint="eastAsia"/>
          <w:sz w:val="28"/>
          <w:szCs w:val="28"/>
        </w:rPr>
        <w:t>安全生产是工程项目重要的控制目标之一，也是衡量企业的施工管理水平的重要标志。为确保施工作业安全，我们将建立、健全各项安全规章制度，做到依法办事；加强安全教育，提高广大职工的安全意识和防范安全事故的能力；及时开展安全生产大检查，消除事故隐患；建立高效精干的安全组织机构，制定切实可行的安全技术措施，在施工中严格执行；并从技术上入手，针对本标段工程的实际情况，及时解决施工中的安全问题，以确保实现安全目标，创建安全生产标准化工地。本标段工程施工坚持</w:t>
      </w:r>
      <w:r>
        <w:rPr>
          <w:rFonts w:ascii="宋体" w:hAnsi="宋体" w:hint="eastAsia"/>
          <w:sz w:val="28"/>
          <w:szCs w:val="28"/>
        </w:rPr>
        <w:t>“</w:t>
      </w:r>
      <w:r>
        <w:rPr>
          <w:rFonts w:ascii="宋体" w:hAnsi="宋体" w:hint="eastAsia"/>
          <w:sz w:val="28"/>
          <w:szCs w:val="28"/>
        </w:rPr>
        <w:t>安全第一、预防为主</w:t>
      </w:r>
      <w:r>
        <w:rPr>
          <w:rFonts w:ascii="宋体" w:hAnsi="宋体" w:hint="eastAsia"/>
          <w:sz w:val="28"/>
          <w:szCs w:val="28"/>
        </w:rPr>
        <w:t>”</w:t>
      </w:r>
      <w:r>
        <w:rPr>
          <w:rFonts w:ascii="宋体" w:hAnsi="宋体" w:hint="eastAsia"/>
          <w:sz w:val="28"/>
          <w:szCs w:val="28"/>
        </w:rPr>
        <w:t>和坚持</w:t>
      </w:r>
      <w:r>
        <w:rPr>
          <w:rFonts w:ascii="宋体" w:hAnsi="宋体" w:hint="eastAsia"/>
          <w:sz w:val="28"/>
          <w:szCs w:val="28"/>
        </w:rPr>
        <w:t>“</w:t>
      </w:r>
      <w:r>
        <w:rPr>
          <w:rFonts w:ascii="宋体" w:hAnsi="宋体" w:hint="eastAsia"/>
          <w:sz w:val="28"/>
          <w:szCs w:val="28"/>
        </w:rPr>
        <w:t>管生产必须管安全</w:t>
      </w:r>
      <w:r>
        <w:rPr>
          <w:rFonts w:ascii="宋体" w:hAnsi="宋体" w:hint="eastAsia"/>
          <w:sz w:val="28"/>
          <w:szCs w:val="28"/>
        </w:rPr>
        <w:t>”</w:t>
      </w:r>
      <w:r>
        <w:rPr>
          <w:rFonts w:ascii="宋体" w:hAnsi="宋体" w:hint="eastAsia"/>
          <w:sz w:val="28"/>
          <w:szCs w:val="28"/>
        </w:rPr>
        <w:t>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各项规定。</w:t>
      </w:r>
    </w:p>
    <w:p>
      <w:pPr>
        <w:spacing w:line="500" w:lineRule="exact"/>
        <w:outlineLvl w:val="3"/>
        <w:rPr>
          <w:rFonts w:ascii="宋体" w:hAnsi="宋体" w:hint="eastAsia"/>
          <w:sz w:val="28"/>
          <w:szCs w:val="28"/>
        </w:rPr>
      </w:pPr>
      <w:r>
        <w:rPr>
          <w:rFonts w:ascii="宋体" w:hAnsi="宋体" w:hint="eastAsia"/>
          <w:sz w:val="28"/>
          <w:szCs w:val="28"/>
        </w:rPr>
        <w:t>7.3.2.3 安全生产管理机构</w:t>
      </w:r>
    </w:p>
    <w:p>
      <w:pPr>
        <w:spacing w:line="500" w:lineRule="exact"/>
        <w:ind w:firstLine="560" w:firstLineChars="200"/>
        <w:rPr>
          <w:rFonts w:ascii="宋体" w:hAnsi="宋体" w:hint="eastAsia"/>
          <w:sz w:val="28"/>
          <w:szCs w:val="28"/>
        </w:rPr>
      </w:pPr>
      <w:r>
        <w:rPr>
          <w:rFonts w:ascii="宋体" w:hAnsi="宋体" w:hint="eastAsia"/>
          <w:sz w:val="28"/>
          <w:szCs w:val="28"/>
        </w:rPr>
        <w:t>成立以项目经理为组长，项目副经理、总工程师为副组长，有关业务</w:t>
      </w:r>
    </w:p>
    <w:p>
      <w:pPr>
        <w:spacing w:line="500" w:lineRule="exact"/>
        <w:rPr>
          <w:rFonts w:ascii="宋体" w:hAnsi="宋体" w:hint="eastAsia"/>
          <w:sz w:val="28"/>
          <w:szCs w:val="28"/>
        </w:rPr>
      </w:pPr>
      <w:r>
        <w:rPr>
          <w:rFonts w:ascii="宋体" w:hAnsi="宋体" w:hint="eastAsia"/>
          <w:sz w:val="28"/>
          <w:szCs w:val="28"/>
        </w:rPr>
        <w:t>部门领导、分部安全领导小组组长为成员的安全领导小组，负责安全生产的组织、协调和领导。分部成立相应安全生产领导小组。建立健全岗位责任制，从组织上、制度上保证安全生产，做到程序化、规范化施工，全面实现安全目标。</w:t>
      </w:r>
    </w:p>
    <w:p>
      <w:pPr>
        <w:spacing w:line="500" w:lineRule="exact"/>
        <w:outlineLvl w:val="2"/>
        <w:rPr>
          <w:rFonts w:ascii="宋体" w:hAnsi="宋体" w:hint="eastAsia"/>
          <w:sz w:val="28"/>
          <w:szCs w:val="28"/>
        </w:rPr>
      </w:pPr>
      <w:bookmarkStart w:id="58" w:name="_Toc257731911"/>
      <w:bookmarkStart w:id="59" w:name="_Toc261304683"/>
      <w:bookmarkStart w:id="60" w:name="_Toc307341744"/>
      <w:r>
        <w:rPr>
          <w:rFonts w:ascii="宋体" w:hAnsi="宋体" w:hint="eastAsia"/>
          <w:sz w:val="28"/>
          <w:szCs w:val="28"/>
        </w:rPr>
        <w:t>7.3.3 安全生产责任制</w:t>
      </w:r>
      <w:bookmarkEnd w:id="60"/>
      <w:bookmarkEnd w:id="58"/>
      <w:bookmarkEnd w:id="59"/>
    </w:p>
    <w:p>
      <w:pPr>
        <w:spacing w:line="500" w:lineRule="exact"/>
        <w:ind w:firstLine="560" w:firstLineChars="200"/>
        <w:rPr>
          <w:rFonts w:ascii="宋体" w:hAnsi="宋体" w:hint="eastAsia"/>
          <w:sz w:val="28"/>
          <w:szCs w:val="28"/>
        </w:rPr>
      </w:pPr>
      <w:r>
        <w:rPr>
          <w:rFonts w:ascii="宋体" w:hAnsi="宋体" w:hint="eastAsia"/>
          <w:sz w:val="28"/>
          <w:szCs w:val="28"/>
        </w:rPr>
        <w:t>⑴</w:t>
      </w:r>
      <w:r>
        <w:rPr>
          <w:rFonts w:ascii="宋体" w:hAnsi="宋体" w:hint="eastAsia"/>
          <w:sz w:val="28"/>
          <w:szCs w:val="28"/>
        </w:rPr>
        <w:t>项目经理安全生产责任</w:t>
      </w:r>
    </w:p>
    <w:p>
      <w:pPr>
        <w:spacing w:line="500" w:lineRule="exact"/>
        <w:ind w:firstLine="560" w:firstLineChars="200"/>
        <w:rPr>
          <w:rFonts w:ascii="宋体" w:hAnsi="宋体" w:hint="eastAsia"/>
          <w:sz w:val="28"/>
          <w:szCs w:val="28"/>
        </w:rPr>
      </w:pPr>
      <w:r>
        <w:rPr>
          <w:rFonts w:ascii="宋体" w:hAnsi="宋体" w:hint="eastAsia"/>
          <w:sz w:val="28"/>
          <w:szCs w:val="28"/>
        </w:rPr>
        <w:t>项目经理在安全生产方面对本桥负全面责任，是工程项目安全生产第一责任者和管理者。其安全生产责任是：</w:t>
      </w:r>
    </w:p>
    <w:p>
      <w:pPr>
        <w:spacing w:line="500" w:lineRule="exact"/>
        <w:ind w:firstLine="560" w:firstLineChars="200"/>
        <w:rPr>
          <w:rFonts w:ascii="宋体" w:hAnsi="宋体" w:hint="eastAsia"/>
          <w:sz w:val="28"/>
          <w:szCs w:val="28"/>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18" w:right="1418" w:bottom="1418" w:left="1418" w:header="851" w:footer="992" w:gutter="0"/>
          <w:pgNumType w:start="16"/>
          <w:cols w:space="708"/>
          <w:titlePg w:val="0"/>
          <w:docGrid w:type="lines" w:linePitch="312"/>
        </w:sectPr>
      </w:pPr>
      <w:r>
        <w:rPr>
          <w:rFonts w:ascii="宋体" w:hAnsi="宋体" w:hint="eastAsia"/>
          <w:sz w:val="28"/>
          <w:szCs w:val="28"/>
        </w:rPr>
        <w:t>①</w:t>
      </w:r>
      <w:r>
        <w:rPr>
          <w:rFonts w:ascii="宋体" w:hAnsi="宋体" w:hint="eastAsia"/>
          <w:sz w:val="28"/>
          <w:szCs w:val="28"/>
        </w:rPr>
        <w:t>贯彻落实国家安全生产方针、政策、法令、法规和各项规章制度，落实企业安全生产各项规章制度，结合工程项目特点及施工性质，制定有</w:t>
      </w:r>
    </w:p>
    <w:p>
      <w:pPr>
        <w:spacing w:line="500" w:lineRule="exact"/>
        <w:ind w:firstLine="560" w:firstLineChars="200"/>
        <w:rPr>
          <w:rFonts w:ascii="宋体" w:hAnsi="宋体" w:hint="eastAsia"/>
          <w:sz w:val="28"/>
          <w:szCs w:val="28"/>
        </w:rPr>
      </w:pPr>
      <w:r>
        <w:rPr>
          <w:rFonts w:ascii="宋体" w:hAnsi="宋体" w:hint="eastAsia"/>
          <w:sz w:val="28"/>
          <w:szCs w:val="28"/>
        </w:rPr>
        <w:t>针对性的各项安全生产管理办法和实施细则，并主持监督其实施。</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根据项目工程特点和工程规模，成立工程项目安全生产领导小组，明确本桥专(兼)职安全专业监督管理人员，支持、指导安全监督管理人员工作，不干扰或阻挠安全专业监督管理人员行使职权。</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在组织项目工程施工前，明确各专业管理部门和关键岗位人员安全生产责任考核指标和考核办法，定期组织实施考核，并与经济效益挂钩。</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定期组织安全生产大检查，及时消除事故隐患，对上级在安全生产检查中提出的事故隐患和安全管理问题，按照定人、定时间、定措施的原则予以解决，并按时将解决情况向上级反馈。重大隐患必须立即停止施工生产，待隐患消除，报请上级部门验收合格后，方可恢复施工生产。</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组织制定并实施工程项目生产安全事故应急救援预案。</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坚持把安全管理作为项目管理的重要内容，与施工生产同时进行。</w:t>
      </w:r>
    </w:p>
    <w:p>
      <w:pPr>
        <w:spacing w:line="500" w:lineRule="exact"/>
        <w:ind w:firstLine="560" w:firstLineChars="200"/>
        <w:rPr>
          <w:rFonts w:ascii="宋体" w:hAnsi="宋体" w:hint="eastAsia"/>
          <w:sz w:val="28"/>
          <w:szCs w:val="28"/>
        </w:rPr>
      </w:pPr>
      <w:r>
        <w:rPr>
          <w:rFonts w:ascii="宋体" w:hAnsi="宋体" w:hint="eastAsia"/>
          <w:sz w:val="28"/>
          <w:szCs w:val="28"/>
        </w:rPr>
        <w:t>⑦</w:t>
      </w:r>
      <w:r>
        <w:rPr>
          <w:rFonts w:ascii="宋体" w:hAnsi="宋体" w:hint="eastAsia"/>
          <w:sz w:val="28"/>
          <w:szCs w:val="28"/>
        </w:rPr>
        <w:t>严格履行工程项目承包经营合同，认真制定项目经理部安全生产管理标准、目标和安全规则，建立健全工程项目安全生产责任制和操作规程，合理配置人力、物资、机具、资金等安全生产要素。保证工程项目安全生产投入有效实施，积极采用新技术、新工艺、新设备、新材料，提高施工安全水平。</w:t>
      </w:r>
    </w:p>
    <w:p>
      <w:pPr>
        <w:spacing w:line="500" w:lineRule="exact"/>
        <w:ind w:firstLine="560" w:firstLineChars="200"/>
        <w:rPr>
          <w:rFonts w:ascii="宋体" w:hAnsi="宋体" w:hint="eastAsia"/>
          <w:sz w:val="28"/>
          <w:szCs w:val="28"/>
        </w:rPr>
      </w:pPr>
      <w:r>
        <w:rPr>
          <w:rFonts w:ascii="宋体" w:hAnsi="宋体" w:hint="eastAsia"/>
          <w:sz w:val="28"/>
          <w:szCs w:val="28"/>
        </w:rPr>
        <w:t>⑧</w:t>
      </w:r>
      <w:r>
        <w:rPr>
          <w:rFonts w:ascii="宋体" w:hAnsi="宋体" w:hint="eastAsia"/>
          <w:sz w:val="28"/>
          <w:szCs w:val="28"/>
        </w:rPr>
        <w:t>依据工程特点，科学编制施工安全措施。正确处理好安全与进度、安全与效益关系，坚持把安全生产贯穿于施工生产全过程，把安全生产摆在首位抓紧、抓好、抓实。</w:t>
      </w:r>
    </w:p>
    <w:p>
      <w:pPr>
        <w:spacing w:line="500" w:lineRule="exact"/>
        <w:ind w:firstLine="560" w:firstLineChars="200"/>
        <w:rPr>
          <w:rFonts w:ascii="宋体" w:hAnsi="宋体" w:hint="eastAsia"/>
          <w:sz w:val="28"/>
          <w:szCs w:val="28"/>
        </w:rPr>
      </w:pPr>
      <w:r>
        <w:rPr>
          <w:rFonts w:ascii="宋体" w:hAnsi="宋体" w:hint="eastAsia"/>
          <w:sz w:val="28"/>
          <w:szCs w:val="28"/>
        </w:rPr>
        <w:t>⑨</w:t>
      </w:r>
      <w:r>
        <w:rPr>
          <w:rFonts w:ascii="宋体" w:hAnsi="宋体" w:hint="eastAsia"/>
          <w:sz w:val="28"/>
          <w:szCs w:val="28"/>
        </w:rPr>
        <w:t>负责组织项目经理部员工安全生产教育和培训工作。发动群众，实行全员、全面、全方位、全过程安全生产管理。经常听取广大员工在安全生产方面意见和建议，总结推广科学管理经验，及时表彰先进，严肃处罚事故责任者。</w:t>
      </w:r>
    </w:p>
    <w:p>
      <w:pPr>
        <w:spacing w:line="500" w:lineRule="exact"/>
        <w:ind w:firstLine="560" w:firstLineChars="200"/>
        <w:rPr>
          <w:rFonts w:ascii="宋体" w:hAnsi="宋体" w:hint="eastAsia"/>
          <w:sz w:val="28"/>
          <w:szCs w:val="28"/>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18" w:right="1418" w:bottom="1418" w:left="1418" w:header="851" w:footer="992" w:gutter="0"/>
          <w:pgNumType w:start="17"/>
          <w:cols w:space="708"/>
          <w:titlePg w:val="0"/>
          <w:docGrid w:type="lines" w:linePitch="312"/>
        </w:sectPr>
      </w:pPr>
      <w:r>
        <w:rPr>
          <w:rFonts w:ascii="宋体" w:hAnsi="宋体" w:hint="eastAsia"/>
          <w:sz w:val="28"/>
          <w:szCs w:val="28"/>
        </w:rPr>
        <w:t>⑩</w:t>
      </w:r>
    </w:p>
    <w:p>
      <w:pPr>
        <w:spacing w:line="500" w:lineRule="exact"/>
        <w:ind w:firstLine="560" w:firstLineChars="200"/>
        <w:rPr>
          <w:rFonts w:ascii="宋体" w:hAnsi="宋体" w:hint="eastAsia"/>
          <w:sz w:val="28"/>
          <w:szCs w:val="28"/>
        </w:rPr>
      </w:pPr>
      <w:r>
        <w:rPr>
          <w:rFonts w:ascii="宋体" w:hAnsi="宋体" w:hint="eastAsia"/>
          <w:sz w:val="28"/>
          <w:szCs w:val="28"/>
        </w:rPr>
        <w:t>主持、调查处理重大伤亡事故，对重大伤亡事故提出调查处理和结案意见，并报上级机关及有关部门。对因违章指挥或决策失误而造成员工伤亡事故承担领导责任，并对因强令员工违章冒险作业，发生重大伤亡事故，承担刑事责任。</w:t>
      </w:r>
    </w:p>
    <w:p>
      <w:pPr>
        <w:spacing w:line="500" w:lineRule="exact"/>
        <w:ind w:firstLine="560" w:firstLineChars="200"/>
        <w:rPr>
          <w:rFonts w:ascii="宋体" w:hAnsi="宋体" w:hint="eastAsia"/>
          <w:sz w:val="28"/>
          <w:szCs w:val="28"/>
        </w:rPr>
      </w:pPr>
      <w:bookmarkStart w:id="61" w:name="_Toc277068418"/>
      <w:bookmarkStart w:id="62" w:name="_Toc278262585"/>
      <w:bookmarkStart w:id="63" w:name="_Toc277065839"/>
      <w:r>
        <w:rPr>
          <w:rFonts w:ascii="宋体" w:hAnsi="宋体" w:hint="eastAsia"/>
          <w:sz w:val="28"/>
          <w:szCs w:val="28"/>
        </w:rPr>
        <w:t>⑵</w:t>
      </w:r>
      <w:r>
        <w:rPr>
          <w:rFonts w:ascii="宋体" w:hAnsi="宋体" w:hint="eastAsia"/>
          <w:sz w:val="28"/>
          <w:szCs w:val="28"/>
        </w:rPr>
        <w:t xml:space="preserve"> 项目总工程师安全生产责任</w:t>
      </w:r>
      <w:bookmarkEnd w:id="63"/>
      <w:bookmarkEnd w:id="61"/>
      <w:bookmarkEnd w:id="62"/>
    </w:p>
    <w:p>
      <w:pPr>
        <w:spacing w:line="500" w:lineRule="exact"/>
        <w:ind w:firstLine="560" w:firstLineChars="200"/>
        <w:rPr>
          <w:rFonts w:ascii="宋体" w:hAnsi="宋体" w:hint="eastAsia"/>
          <w:sz w:val="28"/>
          <w:szCs w:val="28"/>
        </w:rPr>
      </w:pPr>
      <w:r>
        <w:rPr>
          <w:rFonts w:ascii="宋体" w:hAnsi="宋体" w:hint="eastAsia"/>
          <w:sz w:val="28"/>
          <w:szCs w:val="28"/>
        </w:rPr>
        <w:t>项目总工程师对工程项目生产过程中安全生产负技术责任。</w:t>
      </w:r>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贯彻落实上级有关安全生产方针、政策，严格执行各项安全生产规章和制度。协助项目经理进行安全技术管理工作。</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参加编制审定安全技术规程、操作规程和安全防护措施。制定安全生产和改善劳动条件的规划并组织付诸行动，负责处理和解决施工现场安全技术问题。</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参加或组织编制施工组织设计，在编制、审查施工方案时，必须识别重大危险源，制定、审查危险源控制和安全技术措施，保证其有可行性和针对性，并认真监督检查实施情况，发现问题及时解决。</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主持制定工程项目技术措施计划和季节性施工方案的同时，制定相应安全技术措施并监督执行，及时解决执行中出现的问题。</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主持项目安全防护设施和设备的验收。严格控制不符合标准要求的防护设备、设施投入使用；使用中的设施、设备，按规定组织定期检查，发现问题及时处理。</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在开工前及重要工序施工前，对有关人员进行安全技术交底。</w:t>
      </w:r>
    </w:p>
    <w:p>
      <w:pPr>
        <w:spacing w:line="500" w:lineRule="exact"/>
        <w:ind w:firstLine="560" w:firstLineChars="200"/>
        <w:rPr>
          <w:rFonts w:ascii="宋体" w:hAnsi="宋体" w:hint="eastAsia"/>
          <w:sz w:val="28"/>
          <w:szCs w:val="28"/>
        </w:rPr>
      </w:pPr>
      <w:r>
        <w:rPr>
          <w:rFonts w:ascii="宋体" w:hAnsi="宋体" w:hint="eastAsia"/>
          <w:sz w:val="28"/>
          <w:szCs w:val="28"/>
        </w:rPr>
        <w:t>⑦</w:t>
      </w:r>
      <w:r>
        <w:rPr>
          <w:rFonts w:ascii="宋体" w:hAnsi="宋体" w:hint="eastAsia"/>
          <w:sz w:val="28"/>
          <w:szCs w:val="28"/>
        </w:rPr>
        <w:t>组织安全技术培训，积极推广应用安全生产新技术，在使用</w:t>
      </w:r>
      <w:r>
        <w:rPr>
          <w:rFonts w:ascii="宋体" w:hAnsi="宋体" w:hint="eastAsia"/>
          <w:sz w:val="28"/>
          <w:szCs w:val="28"/>
        </w:rPr>
        <w:t>“</w:t>
      </w:r>
      <w:r>
        <w:rPr>
          <w:rFonts w:ascii="宋体" w:hAnsi="宋体" w:hint="eastAsia"/>
          <w:sz w:val="28"/>
          <w:szCs w:val="28"/>
        </w:rPr>
        <w:t>四新</w:t>
      </w:r>
      <w:r>
        <w:rPr>
          <w:rFonts w:ascii="宋体" w:hAnsi="宋体" w:hint="eastAsia"/>
          <w:sz w:val="28"/>
          <w:szCs w:val="28"/>
        </w:rPr>
        <w:t>”</w:t>
      </w:r>
      <w:r>
        <w:rPr>
          <w:rFonts w:ascii="宋体" w:hAnsi="宋体" w:hint="eastAsia"/>
          <w:sz w:val="28"/>
          <w:szCs w:val="28"/>
        </w:rPr>
        <w:t>技术时，必须制定相应安全技术措施。处理施工生产中安全技术问题，对重大事故隐患的预防和整改提出技术措施和技术方案。</w:t>
      </w:r>
    </w:p>
    <w:p>
      <w:pPr>
        <w:spacing w:line="500" w:lineRule="exact"/>
        <w:ind w:firstLine="560" w:firstLineChars="200"/>
        <w:rPr>
          <w:rFonts w:ascii="宋体" w:hAnsi="宋体" w:hint="eastAsia"/>
          <w:sz w:val="28"/>
          <w:szCs w:val="28"/>
        </w:rPr>
      </w:pPr>
      <w:r>
        <w:rPr>
          <w:rFonts w:ascii="宋体" w:hAnsi="宋体" w:hint="eastAsia"/>
          <w:sz w:val="28"/>
          <w:szCs w:val="28"/>
        </w:rPr>
        <w:t>⑧</w:t>
      </w:r>
      <w:r>
        <w:rPr>
          <w:rFonts w:ascii="宋体" w:hAnsi="宋体" w:hint="eastAsia"/>
          <w:sz w:val="28"/>
          <w:szCs w:val="28"/>
        </w:rPr>
        <w:t>组织并参加本项目安全检查，对查出的事故隐患，及时采取整改措施，对危及员工生命重大施工隐患有权停止施工，以确保员工人身安全。</w:t>
      </w:r>
    </w:p>
    <w:p>
      <w:pPr>
        <w:spacing w:line="500" w:lineRule="exact"/>
        <w:ind w:firstLine="560" w:firstLineChars="200"/>
        <w:rPr>
          <w:rFonts w:ascii="宋体" w:hAnsi="宋体" w:hint="eastAsia"/>
          <w:sz w:val="28"/>
          <w:szCs w:val="28"/>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18" w:right="1418" w:bottom="1418" w:left="1418" w:header="851" w:footer="992" w:gutter="0"/>
          <w:pgNumType w:start="18"/>
          <w:cols w:space="708"/>
          <w:titlePg w:val="0"/>
          <w:docGrid w:type="lines" w:linePitch="312"/>
        </w:sectPr>
      </w:pPr>
      <w:r>
        <w:rPr>
          <w:rFonts w:ascii="宋体" w:hAnsi="宋体" w:hint="eastAsia"/>
          <w:sz w:val="28"/>
          <w:szCs w:val="28"/>
        </w:rPr>
        <w:t>⑨</w:t>
      </w:r>
      <w:r>
        <w:rPr>
          <w:rFonts w:ascii="宋体" w:hAnsi="宋体" w:hint="eastAsia"/>
          <w:sz w:val="28"/>
          <w:szCs w:val="28"/>
        </w:rPr>
        <w:t>参加员工伤亡施工调查处理，组织技术人员分析事故原因，提出技术鉴定意见和改进措施，对因技术原因造成的职工伤亡事故，承担技术上的领导责任。</w:t>
      </w:r>
    </w:p>
    <w:p>
      <w:pPr>
        <w:spacing w:line="500" w:lineRule="exact"/>
        <w:ind w:firstLine="560" w:firstLineChars="200"/>
        <w:rPr>
          <w:rFonts w:ascii="宋体" w:hAnsi="宋体" w:hint="eastAsia"/>
          <w:sz w:val="28"/>
          <w:szCs w:val="28"/>
        </w:rPr>
      </w:pPr>
      <w:bookmarkStart w:id="64" w:name="_Toc278262586"/>
      <w:bookmarkStart w:id="65" w:name="_Toc277068419"/>
      <w:bookmarkStart w:id="66" w:name="_Toc277065840"/>
      <w:r>
        <w:rPr>
          <w:rFonts w:ascii="宋体" w:hAnsi="宋体" w:hint="eastAsia"/>
          <w:sz w:val="28"/>
          <w:szCs w:val="28"/>
        </w:rPr>
        <w:t>⑶</w:t>
      </w:r>
      <w:r>
        <w:rPr>
          <w:rFonts w:ascii="宋体" w:hAnsi="宋体" w:hint="eastAsia"/>
          <w:sz w:val="28"/>
          <w:szCs w:val="28"/>
        </w:rPr>
        <w:t xml:space="preserve"> 安全质量部职责</w:t>
      </w:r>
      <w:bookmarkEnd w:id="64"/>
      <w:bookmarkEnd w:id="65"/>
      <w:bookmarkEnd w:id="66"/>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负责监督劳动安全、人身安全、锅炉压力容器安全及交通安全工作，</w:t>
      </w:r>
    </w:p>
    <w:p>
      <w:pPr>
        <w:spacing w:line="500" w:lineRule="exact"/>
        <w:ind w:firstLine="560" w:firstLineChars="200"/>
        <w:rPr>
          <w:rFonts w:ascii="宋体" w:hAnsi="宋体" w:hint="eastAsia"/>
          <w:sz w:val="28"/>
          <w:szCs w:val="28"/>
        </w:rPr>
      </w:pPr>
      <w:r>
        <w:rPr>
          <w:rFonts w:ascii="宋体" w:hAnsi="宋体" w:hint="eastAsia"/>
          <w:sz w:val="28"/>
          <w:szCs w:val="28"/>
        </w:rPr>
        <w:t>对企业贯彻执行国家和上级有关安全生产、劳动保护政策法规情况进行监督检查。</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制定本工程安全生产规章制度，及时分析安全生产形势，提出预防事故措施和建议，对执行情况进行监督检查，按规定编制安全技术措施经费计划，监督检查安全技术措施项目的实施。</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协助上级安检部门进行职业健康安全管理体系认证申报和评审工作。</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定期组织安全生产检查，及时掌握和了解施工生产场所安全现况，及时消除施工隐患，对重大施工隐患必要时发出隐患整改通知书，并对施工隐患整改情况进行复查。</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负责安全生产标准化文明工地建设，收集安全信息、推广先进经验，组织开展安全生产竞赛、评比活动，实施安全生产奖罚。</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会同有关部门对员工进行安全教育和技术培训，对全员劳动纪律、施工作业程序、持证上岗、文明施工及对防护用品的使用等情况进行监督检查。</w:t>
      </w:r>
    </w:p>
    <w:p>
      <w:pPr>
        <w:spacing w:line="500" w:lineRule="exact"/>
        <w:ind w:firstLine="560" w:firstLineChars="200"/>
        <w:rPr>
          <w:rFonts w:ascii="宋体" w:hAnsi="宋体" w:hint="eastAsia"/>
          <w:sz w:val="28"/>
          <w:szCs w:val="28"/>
        </w:rPr>
      </w:pPr>
      <w:r>
        <w:rPr>
          <w:rFonts w:ascii="宋体" w:hAnsi="宋体" w:hint="eastAsia"/>
          <w:sz w:val="28"/>
          <w:szCs w:val="28"/>
        </w:rPr>
        <w:t>⑦</w:t>
      </w:r>
      <w:r>
        <w:rPr>
          <w:rFonts w:ascii="宋体" w:hAnsi="宋体" w:hint="eastAsia"/>
          <w:sz w:val="28"/>
          <w:szCs w:val="28"/>
        </w:rPr>
        <w:t>负责安全报表和职工伤亡事故调查、统计、报告和处理工作。对事故责任者提出处理意见并监督实施。</w:t>
      </w:r>
    </w:p>
    <w:p>
      <w:pPr>
        <w:spacing w:line="500" w:lineRule="exact"/>
        <w:ind w:firstLine="560" w:firstLineChars="200"/>
        <w:rPr>
          <w:rFonts w:ascii="宋体" w:hAnsi="宋体" w:hint="eastAsia"/>
          <w:sz w:val="28"/>
          <w:szCs w:val="28"/>
        </w:rPr>
      </w:pPr>
      <w:bookmarkStart w:id="67" w:name="_Toc277068420"/>
      <w:bookmarkStart w:id="68" w:name="_Toc278262587"/>
      <w:bookmarkStart w:id="69" w:name="_Toc277065841"/>
      <w:r>
        <w:rPr>
          <w:rFonts w:ascii="宋体" w:hAnsi="宋体" w:hint="eastAsia"/>
          <w:sz w:val="28"/>
          <w:szCs w:val="28"/>
        </w:rPr>
        <w:t>⑷</w:t>
      </w:r>
      <w:r>
        <w:rPr>
          <w:rFonts w:ascii="宋体" w:hAnsi="宋体" w:hint="eastAsia"/>
          <w:sz w:val="28"/>
          <w:szCs w:val="28"/>
        </w:rPr>
        <w:t xml:space="preserve"> 安全监督人员安全生产责任</w:t>
      </w:r>
      <w:bookmarkEnd w:id="67"/>
      <w:bookmarkEnd w:id="68"/>
      <w:bookmarkEnd w:id="69"/>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积极贯彻和宣传国家安全生产方针、政策及上级各项安全规章制度，并监督检查执行情况。执行国家、地方、行业法律法规。落实公司安全管理规定，结合工程特点编制项目安全管理策划。</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制定工程项目安全生产工作计划，针对工程项目特点，制定安全生产管理办法实施细则，并负责贯彻实施。</w:t>
      </w:r>
    </w:p>
    <w:p>
      <w:pPr>
        <w:spacing w:line="500" w:lineRule="exact"/>
        <w:ind w:firstLine="560" w:firstLineChars="200"/>
        <w:rPr>
          <w:rFonts w:ascii="宋体" w:hAnsi="宋体" w:hint="eastAsia"/>
          <w:sz w:val="28"/>
          <w:szCs w:val="28"/>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18" w:right="1418" w:bottom="1418" w:left="1418" w:header="851" w:footer="992" w:gutter="0"/>
          <w:pgNumType w:start="19"/>
          <w:cols w:space="708"/>
          <w:titlePg w:val="0"/>
          <w:docGrid w:type="lines" w:linePitch="312"/>
        </w:sectPr>
      </w:pPr>
      <w:r>
        <w:rPr>
          <w:rFonts w:ascii="宋体" w:hAnsi="宋体" w:hint="eastAsia"/>
          <w:sz w:val="28"/>
          <w:szCs w:val="28"/>
        </w:rPr>
        <w:t>③</w:t>
      </w:r>
    </w:p>
    <w:p>
      <w:pPr>
        <w:spacing w:line="500" w:lineRule="exact"/>
        <w:ind w:firstLine="560" w:firstLineChars="200"/>
        <w:rPr>
          <w:rFonts w:ascii="宋体" w:hAnsi="宋体" w:hint="eastAsia"/>
          <w:sz w:val="28"/>
          <w:szCs w:val="28"/>
        </w:rPr>
      </w:pPr>
      <w:r>
        <w:rPr>
          <w:rFonts w:ascii="宋体" w:hAnsi="宋体" w:hint="eastAsia"/>
          <w:sz w:val="28"/>
          <w:szCs w:val="28"/>
        </w:rPr>
        <w:t>协助项目经理组织开展各项安全生产活动，并监督检查工程项目施工队伍开展安全生产活动情况，发现问题及时向项目经理和上级安全生产管理部门汇报、处理。</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负责工程项目安全生产管理分支机构及人员业务领导和组织工作，负责工程项目各级安全生产基础管理台帐及安全管理资料建立和归档工作。</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负责员工安全教育、安全培训组织管理，配合劳资人员搞好特种作业人员考核办证工作；负责监督、检查施工队人员三级安全教育及特种作业人员持证上岗工作。</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开展</w:t>
      </w:r>
      <w:r>
        <w:rPr>
          <w:rFonts w:ascii="宋体" w:hAnsi="宋体" w:hint="eastAsia"/>
          <w:sz w:val="28"/>
          <w:szCs w:val="28"/>
        </w:rPr>
        <w:t>“</w:t>
      </w:r>
      <w:r>
        <w:rPr>
          <w:rFonts w:ascii="宋体" w:hAnsi="宋体" w:hint="eastAsia"/>
          <w:sz w:val="28"/>
          <w:szCs w:val="28"/>
        </w:rPr>
        <w:t>危险预知</w:t>
      </w:r>
      <w:r>
        <w:rPr>
          <w:rFonts w:ascii="宋体" w:hAnsi="宋体" w:hint="eastAsia"/>
          <w:sz w:val="28"/>
          <w:szCs w:val="28"/>
        </w:rPr>
        <w:t>”</w:t>
      </w:r>
      <w:r>
        <w:rPr>
          <w:rFonts w:ascii="宋体" w:hAnsi="宋体" w:hint="eastAsia"/>
          <w:sz w:val="28"/>
          <w:szCs w:val="28"/>
        </w:rPr>
        <w:t>活动，辨识危险源，参与危险源评价工作；建立施工班组安全活动和班前安全讲话制度，针对工程施工各阶段，组织开展事故隐患预测、预控、预防工作，建立定期安全检查制度，并逐级做好各项整改记录。</w:t>
      </w:r>
    </w:p>
    <w:p>
      <w:pPr>
        <w:spacing w:line="500" w:lineRule="exact"/>
        <w:ind w:firstLine="560" w:firstLineChars="200"/>
        <w:rPr>
          <w:rFonts w:ascii="宋体" w:hAnsi="宋体" w:hint="eastAsia"/>
          <w:sz w:val="28"/>
          <w:szCs w:val="28"/>
        </w:rPr>
      </w:pPr>
      <w:r>
        <w:rPr>
          <w:rFonts w:ascii="宋体" w:hAnsi="宋体" w:hint="eastAsia"/>
          <w:sz w:val="28"/>
          <w:szCs w:val="28"/>
        </w:rPr>
        <w:t>⑦</w:t>
      </w:r>
      <w:r>
        <w:rPr>
          <w:rFonts w:ascii="宋体" w:hAnsi="宋体" w:hint="eastAsia"/>
          <w:sz w:val="28"/>
          <w:szCs w:val="28"/>
        </w:rPr>
        <w:t>参加施工组织设计、施工方案编制和会审，参加工程项目生产会。参加公司召开安全生产例会，建立工程项目安全生产例会制度，并负责组织实施。</w:t>
      </w:r>
    </w:p>
    <w:p>
      <w:pPr>
        <w:spacing w:line="500" w:lineRule="exact"/>
        <w:ind w:firstLine="560" w:firstLineChars="200"/>
        <w:rPr>
          <w:rFonts w:ascii="宋体" w:hAnsi="宋体" w:hint="eastAsia"/>
          <w:sz w:val="28"/>
          <w:szCs w:val="28"/>
        </w:rPr>
      </w:pPr>
      <w:r>
        <w:rPr>
          <w:rFonts w:ascii="宋体" w:hAnsi="宋体" w:hint="eastAsia"/>
          <w:sz w:val="28"/>
          <w:szCs w:val="28"/>
        </w:rPr>
        <w:t>⑧</w:t>
      </w:r>
      <w:r>
        <w:rPr>
          <w:rFonts w:ascii="宋体" w:hAnsi="宋体" w:hint="eastAsia"/>
          <w:sz w:val="28"/>
          <w:szCs w:val="28"/>
        </w:rPr>
        <w:t>对重大事故隐患、严重违章施工、违章作业，有权下令停止施工并越级上报上级部门或领导，并对不具备安全生产条件工程项目有权制止投入使用。</w:t>
      </w:r>
    </w:p>
    <w:p>
      <w:pPr>
        <w:spacing w:line="500" w:lineRule="exact"/>
        <w:ind w:firstLine="560" w:firstLineChars="200"/>
        <w:rPr>
          <w:rFonts w:ascii="宋体" w:hAnsi="宋体" w:hint="eastAsia"/>
          <w:sz w:val="28"/>
          <w:szCs w:val="28"/>
        </w:rPr>
      </w:pPr>
      <w:r>
        <w:rPr>
          <w:rFonts w:ascii="宋体" w:hAnsi="宋体" w:hint="eastAsia"/>
          <w:sz w:val="28"/>
          <w:szCs w:val="28"/>
        </w:rPr>
        <w:t>⑨</w:t>
      </w:r>
      <w:r>
        <w:rPr>
          <w:rFonts w:ascii="宋体" w:hAnsi="宋体" w:hint="eastAsia"/>
          <w:sz w:val="28"/>
          <w:szCs w:val="28"/>
        </w:rPr>
        <w:t>对工程项目劳动保护用品采购、使用、管理有监督、检查权，对进入施工现场的单位或个人，有权检查、监督其是否符合现场安全管理规定要求，发现问题责令其改正。</w:t>
      </w:r>
    </w:p>
    <w:p>
      <w:pPr>
        <w:spacing w:line="500" w:lineRule="exact"/>
        <w:ind w:firstLine="560" w:firstLineChars="200"/>
        <w:rPr>
          <w:rFonts w:ascii="宋体" w:hAnsi="宋体" w:hint="eastAsia"/>
          <w:sz w:val="28"/>
          <w:szCs w:val="28"/>
        </w:rPr>
      </w:pPr>
      <w:r>
        <w:rPr>
          <w:rFonts w:ascii="宋体" w:hAnsi="宋体" w:hint="eastAsia"/>
          <w:sz w:val="28"/>
          <w:szCs w:val="28"/>
        </w:rPr>
        <w:t>⑩</w:t>
      </w:r>
      <w:r>
        <w:rPr>
          <w:rFonts w:ascii="宋体" w:hAnsi="宋体" w:hint="eastAsia"/>
          <w:sz w:val="28"/>
          <w:szCs w:val="28"/>
        </w:rPr>
        <w:t>参加因工伤亡事故调查，对伤亡事故和重大未遂事故进行统计分析，协助项目经理做好工地</w:t>
      </w:r>
      <w:r>
        <w:rPr>
          <w:rFonts w:ascii="宋体" w:hAnsi="宋体" w:hint="eastAsia"/>
          <w:sz w:val="28"/>
          <w:szCs w:val="28"/>
        </w:rPr>
        <w:t>“</w:t>
      </w:r>
      <w:r>
        <w:rPr>
          <w:rFonts w:ascii="宋体" w:hAnsi="宋体" w:hint="eastAsia"/>
          <w:sz w:val="28"/>
          <w:szCs w:val="28"/>
        </w:rPr>
        <w:t>四不放过</w:t>
      </w:r>
      <w:r>
        <w:rPr>
          <w:rFonts w:ascii="宋体" w:hAnsi="宋体" w:hint="eastAsia"/>
          <w:sz w:val="28"/>
          <w:szCs w:val="28"/>
        </w:rPr>
        <w:t>”</w:t>
      </w:r>
      <w:r>
        <w:rPr>
          <w:rFonts w:ascii="宋体" w:hAnsi="宋体" w:hint="eastAsia"/>
          <w:sz w:val="28"/>
          <w:szCs w:val="28"/>
        </w:rPr>
        <w:t>统筹工作。</w:t>
      </w:r>
    </w:p>
    <w:p>
      <w:pPr>
        <w:spacing w:line="500" w:lineRule="exact"/>
        <w:ind w:firstLine="560" w:firstLineChars="200"/>
        <w:rPr>
          <w:rFonts w:ascii="宋体" w:hAnsi="宋体" w:hint="eastAsia"/>
          <w:sz w:val="28"/>
          <w:szCs w:val="28"/>
        </w:rPr>
      </w:pPr>
      <w:bookmarkStart w:id="70" w:name="_Toc277068421"/>
      <w:bookmarkStart w:id="71" w:name="_Toc278262588"/>
      <w:bookmarkStart w:id="72" w:name="_Toc277065842"/>
      <w:r>
        <w:rPr>
          <w:rFonts w:ascii="宋体" w:hAnsi="宋体" w:hint="eastAsia"/>
          <w:sz w:val="28"/>
          <w:szCs w:val="28"/>
        </w:rPr>
        <w:t>⑸</w:t>
      </w:r>
      <w:r>
        <w:rPr>
          <w:rFonts w:ascii="宋体" w:hAnsi="宋体" w:hint="eastAsia"/>
          <w:sz w:val="28"/>
          <w:szCs w:val="28"/>
        </w:rPr>
        <w:t xml:space="preserve"> 财务部职责</w:t>
      </w:r>
      <w:bookmarkEnd w:id="70"/>
      <w:bookmarkEnd w:id="71"/>
      <w:bookmarkEnd w:id="72"/>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协助项目经理管理本工程项目安全生产所需资源(财、物)的投入及有效实施，监控资金使用，确保安全生产管理资金投入。</w:t>
      </w:r>
    </w:p>
    <w:p>
      <w:pPr>
        <w:spacing w:line="500" w:lineRule="exact"/>
        <w:ind w:firstLine="560" w:firstLineChars="200"/>
        <w:rPr>
          <w:rFonts w:ascii="宋体" w:hAnsi="宋体" w:hint="eastAsia"/>
          <w:sz w:val="28"/>
          <w:szCs w:val="28"/>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18" w:right="1418" w:bottom="1418" w:left="1418" w:header="851" w:footer="992" w:gutter="0"/>
          <w:pgNumType w:start="20"/>
          <w:cols w:space="708"/>
          <w:titlePg w:val="0"/>
          <w:docGrid w:type="lines" w:linePitch="312"/>
        </w:sectPr>
      </w:pPr>
      <w:r>
        <w:rPr>
          <w:rFonts w:ascii="宋体" w:hAnsi="宋体" w:hint="eastAsia"/>
          <w:sz w:val="28"/>
          <w:szCs w:val="28"/>
        </w:rPr>
        <w:t>②</w:t>
      </w:r>
    </w:p>
    <w:p>
      <w:pPr>
        <w:spacing w:line="500" w:lineRule="exact"/>
        <w:ind w:firstLine="560" w:firstLineChars="200"/>
        <w:rPr>
          <w:rFonts w:ascii="宋体" w:hAnsi="宋体" w:hint="eastAsia"/>
          <w:sz w:val="28"/>
          <w:szCs w:val="28"/>
        </w:rPr>
      </w:pPr>
      <w:r>
        <w:rPr>
          <w:rFonts w:ascii="宋体" w:hAnsi="宋体" w:hint="eastAsia"/>
          <w:sz w:val="28"/>
          <w:szCs w:val="28"/>
        </w:rPr>
        <w:t>负责安全生产管理成本分析；组织编制年度安全生产财务预算；审查年度安全生产预算执行情况；审查年度安全生产管理筹措经费运用情况和年度安全工作财务决算报告。</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监督</w:t>
      </w:r>
      <w:r>
        <w:rPr>
          <w:rFonts w:ascii="宋体" w:hAnsi="宋体" w:hint="eastAsia"/>
          <w:sz w:val="28"/>
          <w:szCs w:val="28"/>
        </w:rPr>
        <w:t>“</w:t>
      </w:r>
      <w:r>
        <w:rPr>
          <w:rFonts w:ascii="宋体" w:hAnsi="宋体" w:hint="eastAsia"/>
          <w:sz w:val="28"/>
          <w:szCs w:val="28"/>
        </w:rPr>
        <w:t>安全文明施工措施费</w:t>
      </w:r>
      <w:r>
        <w:rPr>
          <w:rFonts w:ascii="宋体" w:hAnsi="宋体" w:hint="eastAsia"/>
          <w:sz w:val="28"/>
          <w:szCs w:val="28"/>
        </w:rPr>
        <w:t>”</w:t>
      </w:r>
      <w:r>
        <w:rPr>
          <w:rFonts w:ascii="宋体" w:hAnsi="宋体" w:hint="eastAsia"/>
          <w:sz w:val="28"/>
          <w:szCs w:val="28"/>
        </w:rPr>
        <w:t>资金到位和运用情况。</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监督安全事故和应急处理发生费用的执行情况。</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履行</w:t>
      </w:r>
      <w:r>
        <w:rPr>
          <w:rFonts w:ascii="宋体" w:hAnsi="宋体" w:hint="eastAsia"/>
          <w:sz w:val="28"/>
          <w:szCs w:val="28"/>
        </w:rPr>
        <w:t>“</w:t>
      </w:r>
      <w:r>
        <w:rPr>
          <w:rFonts w:ascii="宋体" w:hAnsi="宋体" w:hint="eastAsia"/>
          <w:sz w:val="28"/>
          <w:szCs w:val="28"/>
        </w:rPr>
        <w:t>三标一体</w:t>
      </w:r>
      <w:r>
        <w:rPr>
          <w:rFonts w:ascii="宋体" w:hAnsi="宋体" w:hint="eastAsia"/>
          <w:sz w:val="28"/>
          <w:szCs w:val="28"/>
        </w:rPr>
        <w:t>”</w:t>
      </w:r>
      <w:r>
        <w:rPr>
          <w:rFonts w:ascii="宋体" w:hAnsi="宋体" w:hint="eastAsia"/>
          <w:sz w:val="28"/>
          <w:szCs w:val="28"/>
        </w:rPr>
        <w:t>管理体系中的相关指责。</w:t>
      </w:r>
    </w:p>
    <w:p>
      <w:pPr>
        <w:spacing w:line="500" w:lineRule="exact"/>
        <w:ind w:firstLine="560" w:firstLineChars="200"/>
        <w:rPr>
          <w:rFonts w:ascii="宋体" w:hAnsi="宋体" w:hint="eastAsia"/>
          <w:sz w:val="28"/>
          <w:szCs w:val="28"/>
        </w:rPr>
      </w:pPr>
      <w:bookmarkStart w:id="73" w:name="_Toc277065843"/>
      <w:bookmarkStart w:id="74" w:name="_Toc277068422"/>
      <w:bookmarkStart w:id="75" w:name="_Toc278262589"/>
      <w:r>
        <w:rPr>
          <w:rFonts w:ascii="宋体" w:hAnsi="宋体" w:hint="eastAsia"/>
          <w:sz w:val="28"/>
          <w:szCs w:val="28"/>
        </w:rPr>
        <w:t>⑹</w:t>
      </w:r>
      <w:r>
        <w:rPr>
          <w:rFonts w:ascii="宋体" w:hAnsi="宋体" w:hint="eastAsia"/>
          <w:sz w:val="28"/>
          <w:szCs w:val="28"/>
        </w:rPr>
        <w:t xml:space="preserve"> 施工队队长安全生产责任</w:t>
      </w:r>
      <w:bookmarkEnd w:id="73"/>
      <w:bookmarkEnd w:id="74"/>
      <w:bookmarkEnd w:id="75"/>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认真执行安全生产方针政策和法规，严格遵守安全生产规章制度和安全操作规程，执行项目经理部的指示、决定。对所承担的施工项目安全生产负直接责任，不违章指挥，制止冒险作业。</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认真监督执行安全技术措施及安全操作规程，针对生产任务特点，对规程、措施、交底要求执行情况经常检查，随时纠正违章作业。</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负责组织落实所管辖施工队伍三级安全教育、常规安全教育、季节转换及针对施工各阶段特点等进行各种形式安全教育；负责组织落实所管辖工班开展各项安全活动，学习安全操作规程；负责组织落实所管辖施工队伍中特种作业人员安全培训工作和持证上岗监督管理工作。</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严格按照施工组织设计中安全技术措施要求，设置所有安全防护设施并组织围护；对所管辖施工现场中所设置安全防护设施完整、齐全、有效性负直接责任。</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经常检查所管辖班组作业环境、设备和安全防护设施的安全状况，发现问题及时纠正解决。对重点特殊部位施工，必须检查作业人员及各种设备安全防护设施技术状况是否符合安全标准要求，认真落实书面安全技术交底，落实安全技术措施，并监督执行。接受安全管理机构或人员安全监督检查，及时解决其提出的不安全问题。</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对工程项目中采用新材料、新工艺、新技术、新设备，接受项目技术人员及上级安全管理人员指导。发现不安全因素及时停止施工，人员、设备撤离危险区域，并上报领导或有关部门。</w:t>
      </w:r>
    </w:p>
    <w:p>
      <w:pPr>
        <w:spacing w:line="500" w:lineRule="exact"/>
        <w:ind w:firstLine="560" w:firstLineChars="200"/>
        <w:rPr>
          <w:rFonts w:ascii="宋体" w:hAnsi="宋体" w:hint="eastAsia"/>
          <w:sz w:val="28"/>
          <w:szCs w:val="28"/>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18" w:right="1418" w:bottom="1418" w:left="1418" w:header="851" w:footer="992" w:gutter="0"/>
          <w:pgNumType w:start="21"/>
          <w:cols w:space="708"/>
          <w:titlePg w:val="0"/>
          <w:docGrid w:type="lines" w:linePitch="312"/>
        </w:sectPr>
      </w:pPr>
      <w:r>
        <w:rPr>
          <w:rFonts w:ascii="宋体" w:hAnsi="宋体" w:hint="eastAsia"/>
          <w:sz w:val="28"/>
          <w:szCs w:val="28"/>
        </w:rPr>
        <w:t>⑦</w:t>
      </w:r>
    </w:p>
    <w:p>
      <w:pPr>
        <w:spacing w:line="500" w:lineRule="exact"/>
        <w:ind w:firstLine="560" w:firstLineChars="200"/>
        <w:rPr>
          <w:rFonts w:ascii="宋体" w:hAnsi="宋体" w:hint="eastAsia"/>
          <w:sz w:val="28"/>
          <w:szCs w:val="28"/>
        </w:rPr>
      </w:pPr>
      <w:r>
        <w:rPr>
          <w:rFonts w:ascii="宋体" w:hAnsi="宋体" w:hint="eastAsia"/>
          <w:sz w:val="28"/>
          <w:szCs w:val="28"/>
        </w:rPr>
        <w:t>发生因工伤亡和重大未遂事故必须停止施工，采取应急措施，组织对职工伤亡事故现场抢救工作，采取应急措施，保护现场，防止事故扩大。同时立即上报，对重大伤亡和重大未遂事故必须查明事故原因，落实整改措施，经上级有关部门验收合格后方可恢复施工，不得擅自撤离现场保护设施，强行复工。</w:t>
      </w:r>
    </w:p>
    <w:p>
      <w:pPr>
        <w:spacing w:line="500" w:lineRule="exact"/>
        <w:ind w:firstLine="560" w:firstLineChars="200"/>
        <w:rPr>
          <w:rFonts w:ascii="宋体" w:hAnsi="宋体" w:hint="eastAsia"/>
          <w:sz w:val="28"/>
          <w:szCs w:val="28"/>
        </w:rPr>
      </w:pPr>
      <w:bookmarkStart w:id="76" w:name="_Toc278262590"/>
      <w:bookmarkStart w:id="77" w:name="_Toc277068423"/>
      <w:bookmarkStart w:id="78" w:name="_Toc277065844"/>
      <w:r>
        <w:rPr>
          <w:rFonts w:ascii="宋体" w:hAnsi="宋体" w:hint="eastAsia"/>
          <w:sz w:val="28"/>
          <w:szCs w:val="28"/>
        </w:rPr>
        <w:t>⑺</w:t>
      </w:r>
      <w:r>
        <w:rPr>
          <w:rFonts w:ascii="宋体" w:hAnsi="宋体" w:hint="eastAsia"/>
          <w:sz w:val="28"/>
          <w:szCs w:val="28"/>
        </w:rPr>
        <w:t xml:space="preserve"> 施工队专(兼)职安全员安全生产责任</w:t>
      </w:r>
      <w:bookmarkEnd w:id="76"/>
      <w:bookmarkEnd w:id="77"/>
      <w:bookmarkEnd w:id="78"/>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在队长的直接领导下进行工作，业务上受项目经理部安检部门和安检人员指导，享受工班长待遇。</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协助队长认真贯彻落实安全生产规章制度与防护措施，检查督促操作人员严格执行安全操作规程，确保安全施工作业。</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督促班(组)长开展各种安全生产活动，并做好安全日志。</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及时发现和制止违章指挥、违章作业行为，纠正和消除各种事故隐患；对违章违纪责任者有权按规定处以罚款。</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专(兼)职安全员必须持有公司统一颁发的安全员检查证，上岗时必须佩戴标志，秉公办事，尽职尽责。</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对因失职而造成伤亡事故承担责任。</w:t>
      </w:r>
    </w:p>
    <w:p>
      <w:pPr>
        <w:spacing w:line="500" w:lineRule="exact"/>
        <w:ind w:firstLine="560" w:firstLineChars="200"/>
        <w:rPr>
          <w:rFonts w:ascii="宋体" w:hAnsi="宋体" w:hint="eastAsia"/>
          <w:sz w:val="28"/>
          <w:szCs w:val="28"/>
        </w:rPr>
      </w:pPr>
      <w:r>
        <w:rPr>
          <w:rFonts w:ascii="宋体" w:hAnsi="宋体" w:hint="eastAsia"/>
          <w:sz w:val="28"/>
          <w:szCs w:val="28"/>
        </w:rPr>
        <w:t>⑻</w:t>
      </w:r>
      <w:r>
        <w:rPr>
          <w:rFonts w:ascii="宋体" w:hAnsi="宋体" w:hint="eastAsia"/>
          <w:sz w:val="28"/>
          <w:szCs w:val="28"/>
        </w:rPr>
        <w:t>班(组)长安全生产责任</w:t>
      </w:r>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带领本班组员工认真落实上级安全生产规章制度，严格执行安全管理标准和操作规程，遵守劳动纪律，制止</w:t>
      </w:r>
      <w:r>
        <w:rPr>
          <w:rFonts w:ascii="宋体" w:hAnsi="宋体" w:hint="eastAsia"/>
          <w:sz w:val="28"/>
          <w:szCs w:val="28"/>
        </w:rPr>
        <w:t>“</w:t>
      </w:r>
      <w:r>
        <w:rPr>
          <w:rFonts w:ascii="宋体" w:hAnsi="宋体" w:hint="eastAsia"/>
          <w:sz w:val="28"/>
          <w:szCs w:val="28"/>
        </w:rPr>
        <w:t>三违</w:t>
      </w:r>
      <w:r>
        <w:rPr>
          <w:rFonts w:ascii="宋体" w:hAnsi="宋体" w:hint="eastAsia"/>
          <w:sz w:val="28"/>
          <w:szCs w:val="28"/>
        </w:rPr>
        <w:t>”</w:t>
      </w:r>
      <w:r>
        <w:rPr>
          <w:rFonts w:ascii="宋体" w:hAnsi="宋体" w:hint="eastAsia"/>
          <w:sz w:val="28"/>
          <w:szCs w:val="28"/>
        </w:rPr>
        <w:t>行为。</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认真坚持</w:t>
      </w:r>
      <w:r>
        <w:rPr>
          <w:rFonts w:ascii="宋体" w:hAnsi="宋体" w:hint="eastAsia"/>
          <w:sz w:val="28"/>
          <w:szCs w:val="28"/>
        </w:rPr>
        <w:t>“</w:t>
      </w:r>
      <w:r>
        <w:rPr>
          <w:rFonts w:ascii="宋体" w:hAnsi="宋体" w:hint="eastAsia"/>
          <w:sz w:val="28"/>
          <w:szCs w:val="28"/>
        </w:rPr>
        <w:t>三工</w:t>
      </w:r>
      <w:r>
        <w:rPr>
          <w:rFonts w:ascii="宋体" w:hAnsi="宋体" w:hint="eastAsia"/>
          <w:sz w:val="28"/>
          <w:szCs w:val="28"/>
        </w:rPr>
        <w:t>”</w:t>
      </w:r>
      <w:r>
        <w:rPr>
          <w:rFonts w:ascii="宋体" w:hAnsi="宋体" w:hint="eastAsia"/>
          <w:sz w:val="28"/>
          <w:szCs w:val="28"/>
        </w:rPr>
        <w:t>(工前交代、工中检查、工后讲评)制度，积极开展班组安全生产活动，做好班组安全活动记录和交接班记录。</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认真组织安全生产和技术学习，不断提高班组人员安全技能素质，做好施工过程中安全生产检查。及时制止员工违章行为，消除事故隐患。本班组不能处理事故隐患及时向上级领导报告。</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自觉接受上级领导和安检人员监督检查，对检查中提出的问题及时进行整改，不留隐患。</w:t>
      </w:r>
    </w:p>
    <w:p>
      <w:pPr>
        <w:spacing w:line="500" w:lineRule="exact"/>
        <w:ind w:firstLine="560" w:firstLineChars="200"/>
        <w:rPr>
          <w:rFonts w:ascii="宋体" w:hAnsi="宋体" w:hint="eastAsia"/>
          <w:sz w:val="28"/>
          <w:szCs w:val="28"/>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18" w:right="1418" w:bottom="1418" w:left="1418" w:header="851" w:footer="992" w:gutter="0"/>
          <w:pgNumType w:start="22"/>
          <w:cols w:space="708"/>
          <w:titlePg w:val="0"/>
          <w:docGrid w:type="lines" w:linePitch="312"/>
        </w:sectPr>
      </w:pPr>
      <w:r>
        <w:rPr>
          <w:rFonts w:ascii="宋体" w:hAnsi="宋体" w:hint="eastAsia"/>
          <w:sz w:val="28"/>
          <w:szCs w:val="28"/>
        </w:rPr>
        <w:t>⑤</w:t>
      </w:r>
    </w:p>
    <w:p>
      <w:pPr>
        <w:spacing w:line="500" w:lineRule="exact"/>
        <w:ind w:firstLine="560" w:firstLineChars="200"/>
        <w:rPr>
          <w:rFonts w:ascii="宋体" w:hAnsi="宋体" w:hint="eastAsia"/>
          <w:sz w:val="28"/>
          <w:szCs w:val="28"/>
        </w:rPr>
      </w:pPr>
      <w:r>
        <w:rPr>
          <w:rFonts w:ascii="宋体" w:hAnsi="宋体" w:hint="eastAsia"/>
          <w:sz w:val="28"/>
          <w:szCs w:val="28"/>
        </w:rPr>
        <w:t>认真执行安全技术交底制度，对不具备安全生产条件，人身安全得不到保障的生产任务，有权拒绝施工，必要时可越级向上级领导或安检部门反映，待问题解决后方可复工。</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施工作业前对使用的机具、设备、防护用具及作业环境进行安全检查。</w:t>
      </w:r>
    </w:p>
    <w:p>
      <w:pPr>
        <w:spacing w:line="500" w:lineRule="exact"/>
        <w:ind w:firstLine="560" w:firstLineChars="200"/>
        <w:rPr>
          <w:rFonts w:ascii="宋体" w:hAnsi="宋体" w:hint="eastAsia"/>
          <w:sz w:val="28"/>
          <w:szCs w:val="28"/>
        </w:rPr>
      </w:pPr>
      <w:r>
        <w:rPr>
          <w:rFonts w:ascii="宋体" w:hAnsi="宋体" w:hint="eastAsia"/>
          <w:sz w:val="28"/>
          <w:szCs w:val="28"/>
        </w:rPr>
        <w:t>⑦</w:t>
      </w:r>
      <w:r>
        <w:rPr>
          <w:rFonts w:ascii="宋体" w:hAnsi="宋体" w:hint="eastAsia"/>
          <w:sz w:val="28"/>
          <w:szCs w:val="28"/>
        </w:rPr>
        <w:t>对发现违章指挥、违章作业行为不予制止以及发现事故隐患不及时消除而导致人身伤亡事故，承担直接领导责任。</w:t>
      </w:r>
    </w:p>
    <w:p>
      <w:pPr>
        <w:spacing w:line="500" w:lineRule="exact"/>
        <w:ind w:firstLine="560" w:firstLineChars="200"/>
        <w:rPr>
          <w:rFonts w:ascii="宋体" w:hAnsi="宋体" w:hint="eastAsia"/>
          <w:sz w:val="28"/>
          <w:szCs w:val="28"/>
        </w:rPr>
      </w:pPr>
      <w:bookmarkStart w:id="79" w:name="_Toc277068424"/>
      <w:bookmarkStart w:id="80" w:name="_Toc277065845"/>
      <w:bookmarkStart w:id="81" w:name="_Toc278262591"/>
      <w:r>
        <w:rPr>
          <w:rFonts w:ascii="宋体" w:hAnsi="宋体" w:hint="eastAsia"/>
          <w:sz w:val="28"/>
          <w:szCs w:val="28"/>
        </w:rPr>
        <w:t>⑼</w:t>
      </w:r>
      <w:r>
        <w:rPr>
          <w:rFonts w:ascii="宋体" w:hAnsi="宋体" w:hint="eastAsia"/>
          <w:sz w:val="28"/>
          <w:szCs w:val="28"/>
        </w:rPr>
        <w:t>施工作业人员安全生产责任</w:t>
      </w:r>
      <w:bookmarkEnd w:id="79"/>
      <w:bookmarkEnd w:id="80"/>
      <w:bookmarkEnd w:id="81"/>
    </w:p>
    <w:p>
      <w:pPr>
        <w:spacing w:line="500" w:lineRule="exact"/>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在班组长直接领导下积极参加各项安全活动，刻苦学习安全技术知识，不断提高安全操作技能。</w:t>
      </w:r>
    </w:p>
    <w:p>
      <w:pPr>
        <w:spacing w:line="500" w:lineRule="exact"/>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自觉遵守安全生产规章制度和操作规程，严格按照安全技术交底施工，按规定佩戴劳动防护用品。在施工作业中做到不伤害他人，不伤害自己，不被他人伤害，同时有责任劝阻他人违章作业。</w:t>
      </w:r>
    </w:p>
    <w:p>
      <w:pPr>
        <w:spacing w:line="500" w:lineRule="exact"/>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爱护和正确使用机械设备、工具及劳动保护用品、防护用具；对成品、半成品、材料及废料等按指定地点堆放整齐，做到文明施工。</w:t>
      </w:r>
    </w:p>
    <w:p>
      <w:pPr>
        <w:spacing w:line="500" w:lineRule="exact"/>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作业前对使用机具、机械、电器设备、作业环境安全情况进行认真检查，发现问题及时处理或向领导报告。</w:t>
      </w:r>
    </w:p>
    <w:p>
      <w:pPr>
        <w:spacing w:line="500" w:lineRule="exact"/>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从事特种作业人员和技术工种人员积极参加培训，掌握本岗位操作技能，取得特种作业资格，做到持证上岗。</w:t>
      </w:r>
    </w:p>
    <w:p>
      <w:pPr>
        <w:spacing w:line="500" w:lineRule="exact"/>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对施工现场不具备安全生产条件，有权建议改进，对违章指挥，强令冒险作业，有权拒绝执行，对危害生命安全和身体健康的行为，有权提出批评、检举和控告。</w:t>
      </w:r>
    </w:p>
    <w:p>
      <w:pPr>
        <w:spacing w:line="500" w:lineRule="exact"/>
        <w:ind w:firstLine="560" w:firstLineChars="200"/>
        <w:rPr>
          <w:rFonts w:ascii="宋体" w:hAnsi="宋体" w:hint="eastAsia"/>
          <w:sz w:val="28"/>
          <w:szCs w:val="28"/>
        </w:rPr>
      </w:pPr>
      <w:r>
        <w:rPr>
          <w:rFonts w:ascii="宋体" w:hAnsi="宋体" w:hint="eastAsia"/>
          <w:sz w:val="28"/>
          <w:szCs w:val="28"/>
        </w:rPr>
        <w:t>⑦</w:t>
      </w:r>
      <w:r>
        <w:rPr>
          <w:rFonts w:ascii="宋体" w:hAnsi="宋体" w:hint="eastAsia"/>
          <w:sz w:val="28"/>
          <w:szCs w:val="28"/>
        </w:rPr>
        <w:t>对因违章操作、盲目蛮干或不听指挥而造成本人及他人人身伤害事故和经济损失承担直接责任。</w:t>
      </w:r>
    </w:p>
    <w:p>
      <w:pPr>
        <w:spacing w:line="500" w:lineRule="exact"/>
        <w:outlineLvl w:val="2"/>
        <w:rPr>
          <w:rFonts w:ascii="宋体" w:hAnsi="宋体" w:hint="eastAsia"/>
          <w:sz w:val="28"/>
          <w:szCs w:val="28"/>
        </w:rPr>
      </w:pPr>
      <w:bookmarkStart w:id="82" w:name="_Toc261304684"/>
      <w:bookmarkStart w:id="83" w:name="_Toc307341745"/>
      <w:bookmarkStart w:id="84" w:name="_Toc257731912"/>
      <w:r>
        <w:rPr>
          <w:rFonts w:ascii="宋体" w:hAnsi="宋体" w:hint="eastAsia"/>
          <w:sz w:val="28"/>
          <w:szCs w:val="28"/>
        </w:rPr>
        <w:t>7.3.4 安全保证措施</w:t>
      </w:r>
      <w:bookmarkEnd w:id="82"/>
      <w:bookmarkEnd w:id="83"/>
      <w:bookmarkEnd w:id="84"/>
    </w:p>
    <w:p>
      <w:pPr>
        <w:spacing w:line="500" w:lineRule="exact"/>
        <w:outlineLvl w:val="3"/>
        <w:rPr>
          <w:rFonts w:ascii="宋体" w:hAnsi="宋体" w:hint="eastAsia"/>
          <w:sz w:val="28"/>
          <w:szCs w:val="28"/>
        </w:rPr>
      </w:pPr>
      <w:bookmarkStart w:id="85" w:name="_Toc257731913"/>
      <w:bookmarkStart w:id="86" w:name="_Toc261304685"/>
      <w:r>
        <w:rPr>
          <w:rFonts w:ascii="宋体" w:hAnsi="宋体" w:hint="eastAsia"/>
          <w:sz w:val="28"/>
          <w:szCs w:val="28"/>
        </w:rPr>
        <w:t>7.3.4.1建立健全各项安全制度</w:t>
      </w:r>
      <w:bookmarkEnd w:id="85"/>
      <w:bookmarkEnd w:id="86"/>
    </w:p>
    <w:p>
      <w:pPr>
        <w:spacing w:line="500" w:lineRule="exact"/>
        <w:ind w:firstLine="560" w:firstLineChars="200"/>
        <w:rPr>
          <w:rFonts w:ascii="宋体" w:hAnsi="宋体" w:hint="eastAsia"/>
          <w:sz w:val="28"/>
          <w:szCs w:val="28"/>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18" w:right="1418" w:bottom="1418" w:left="1418" w:header="851" w:footer="992" w:gutter="0"/>
          <w:pgNumType w:start="23"/>
          <w:cols w:space="708"/>
          <w:titlePg w:val="0"/>
          <w:docGrid w:type="lines" w:linePitch="312"/>
        </w:sectPr>
      </w:pPr>
    </w:p>
    <w:p>
      <w:pPr>
        <w:spacing w:line="500" w:lineRule="exact"/>
        <w:ind w:firstLine="560" w:firstLineChars="200"/>
        <w:rPr>
          <w:rFonts w:ascii="宋体" w:hAnsi="宋体" w:hint="eastAsia"/>
          <w:sz w:val="28"/>
          <w:szCs w:val="28"/>
        </w:rPr>
      </w:pPr>
      <w:r>
        <w:rPr>
          <w:rFonts w:ascii="宋体" w:hAnsi="宋体" w:hint="eastAsia"/>
          <w:sz w:val="28"/>
          <w:szCs w:val="28"/>
        </w:rPr>
        <w:t>按照国家、铁道部有关法律、法规、暂行条例及文件建立各种适合本桥工程建设施工的安全管理制度。</w:t>
      </w:r>
    </w:p>
    <w:p>
      <w:pPr>
        <w:spacing w:line="500" w:lineRule="exact"/>
        <w:ind w:firstLine="560" w:firstLineChars="200"/>
        <w:rPr>
          <w:rFonts w:ascii="宋体" w:hAnsi="宋体" w:hint="eastAsia"/>
          <w:sz w:val="28"/>
          <w:szCs w:val="28"/>
        </w:rPr>
      </w:pPr>
      <w:r>
        <w:rPr>
          <w:rFonts w:ascii="宋体" w:hAnsi="宋体" w:hint="eastAsia"/>
          <w:sz w:val="28"/>
          <w:szCs w:val="28"/>
        </w:rPr>
        <w:t>根据本桥工程特点，制定具有针对性的各项安全管理制度：各类机械的安全作业制度；用电安全制度；施工现场保安作业制度；防洪、防火、防风等措施；公路影响地段作业安全措施；起重作业安全制度；各项安全标志的设置及维护措施等。</w:t>
      </w:r>
    </w:p>
    <w:p>
      <w:pPr>
        <w:numPr>
          <w:ilvl w:val="0"/>
          <w:numId w:val="2"/>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安全生产责任制</w:t>
      </w:r>
    </w:p>
    <w:p>
      <w:pPr>
        <w:ind w:firstLine="560" w:firstLineChars="200"/>
        <w:rPr>
          <w:rFonts w:ascii="宋体" w:hAnsi="宋体" w:hint="eastAsia"/>
          <w:sz w:val="28"/>
          <w:szCs w:val="28"/>
        </w:rPr>
      </w:pPr>
      <w:r>
        <w:rPr>
          <w:rFonts w:ascii="宋体" w:hAnsi="宋体" w:hint="eastAsia"/>
          <w:sz w:val="28"/>
          <w:szCs w:val="28"/>
        </w:rPr>
        <w:t>安全生产责任制是施工中最基本的安全管理制度，从项目经理到生产工人（包括临时雇佣的民工）的安全管理系统必须做到纵向到底，一环不漏；各职能部门和人员的安全生产责任制横向到边，人人有责。工程进场的同时主动与建设单位签署安全生产协议书，并在施工过程中严格遵守。</w:t>
      </w:r>
    </w:p>
    <w:p>
      <w:pPr>
        <w:numPr>
          <w:ilvl w:val="0"/>
          <w:numId w:val="2"/>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安全生产责任制是综合各种安全生产管理、操作规程，对各级领导、各职能部门、工程技术人员、工程管理人员、施工人员应负的安全责任明确出来。使安全工作形成一个人人讲安全，事事为安全，时时想安全，处处要安全的氛围。</w:t>
      </w:r>
    </w:p>
    <w:p>
      <w:pPr>
        <w:numPr>
          <w:ilvl w:val="0"/>
          <w:numId w:val="2"/>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安全生产包保责任制</w:t>
      </w:r>
    </w:p>
    <w:p>
      <w:pPr>
        <w:numPr>
          <w:ilvl w:val="0"/>
          <w:numId w:val="2"/>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项目经理、项目副经理、项目总工程师、各职能部门负责人、施工队长至施工人员，逐级签订安全生产包保责任书，自最基层的施工人员起，逐级向上级管理层的安全生产负责，直至项目经理，以各级、各部门的安全确保整体工作的安全。</w:t>
      </w:r>
    </w:p>
    <w:p>
      <w:pPr>
        <w:ind w:firstLine="560" w:firstLineChars="200"/>
        <w:rPr>
          <w:rFonts w:ascii="宋体" w:hAnsi="宋体" w:hint="eastAsia"/>
          <w:sz w:val="28"/>
          <w:szCs w:val="28"/>
        </w:rPr>
      </w:pPr>
      <w:r>
        <w:rPr>
          <w:rFonts w:ascii="宋体" w:hAnsi="宋体" w:hint="eastAsia"/>
          <w:sz w:val="28"/>
          <w:szCs w:val="28"/>
        </w:rPr>
        <w:t>建立安全生产检查制度。通过安全检查增强广大职工的安全意识，促进企业对劳动保护和安全生产方针、政策、规章制度的贯彻执行，解决安全生产上存在的问题。</w:t>
      </w:r>
    </w:p>
    <w:p>
      <w:pPr>
        <w:spacing w:line="500" w:lineRule="exact"/>
        <w:outlineLvl w:val="3"/>
        <w:rPr>
          <w:rFonts w:ascii="宋体" w:hAnsi="宋体" w:hint="eastAsia"/>
          <w:sz w:val="28"/>
          <w:szCs w:val="28"/>
        </w:rPr>
      </w:pPr>
      <w:bookmarkStart w:id="87" w:name="_Toc261304686"/>
      <w:bookmarkStart w:id="88" w:name="_Toc257731914"/>
      <w:r>
        <w:rPr>
          <w:rFonts w:ascii="宋体" w:hAnsi="宋体" w:hint="eastAsia"/>
          <w:sz w:val="28"/>
          <w:szCs w:val="28"/>
        </w:rPr>
        <w:t>7.3.4.2 安全生产教育与培训</w:t>
      </w:r>
      <w:bookmarkEnd w:id="87"/>
      <w:bookmarkEnd w:id="88"/>
    </w:p>
    <w:p>
      <w:pPr>
        <w:spacing w:line="500" w:lineRule="exact"/>
        <w:ind w:firstLine="560" w:firstLineChars="200"/>
        <w:rPr>
          <w:rFonts w:ascii="宋体" w:hAnsi="宋体" w:hint="eastAsia"/>
          <w:sz w:val="28"/>
          <w:szCs w:val="28"/>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18" w:right="1418" w:bottom="1418" w:left="1418" w:header="851" w:footer="992" w:gutter="0"/>
          <w:pgNumType w:start="24"/>
          <w:cols w:space="708"/>
          <w:titlePg w:val="0"/>
          <w:docGrid w:type="lines" w:linePitch="312"/>
        </w:sectPr>
      </w:pPr>
    </w:p>
    <w:p>
      <w:pPr>
        <w:spacing w:line="500" w:lineRule="exact"/>
        <w:ind w:firstLine="560" w:firstLineChars="200"/>
        <w:rPr>
          <w:rFonts w:ascii="宋体" w:hAnsi="宋体" w:hint="eastAsia"/>
          <w:sz w:val="28"/>
          <w:szCs w:val="28"/>
        </w:rPr>
      </w:pPr>
      <w:r>
        <w:rPr>
          <w:rFonts w:ascii="宋体" w:hAnsi="宋体" w:hint="eastAsia"/>
          <w:sz w:val="28"/>
          <w:szCs w:val="28"/>
        </w:rPr>
        <w:t>开工前，对所有参建员工进行上岗前的安全教育。对于从事电气、起重、爆破、压力容器、高空作业、焊接、机动车驾驶等特殊工种的人员，经过专业培训，获得《安全操作合格证》后，方准持证上岗。</w:t>
      </w:r>
    </w:p>
    <w:p>
      <w:pPr>
        <w:numPr>
          <w:ilvl w:val="0"/>
          <w:numId w:val="3"/>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安全教育培训制度</w:t>
      </w:r>
    </w:p>
    <w:p>
      <w:pPr>
        <w:ind w:firstLine="560" w:firstLineChars="200"/>
        <w:rPr>
          <w:rFonts w:ascii="宋体" w:hAnsi="宋体" w:hint="eastAsia"/>
          <w:sz w:val="28"/>
          <w:szCs w:val="28"/>
        </w:rPr>
      </w:pPr>
      <w:r>
        <w:rPr>
          <w:rFonts w:ascii="宋体" w:hAnsi="宋体" w:hint="eastAsia"/>
          <w:sz w:val="28"/>
          <w:szCs w:val="28"/>
        </w:rPr>
        <w:t>建立安全教育培训制度。施工单位具有劳动安全管理部门颁发的安全生产许可证，参加施工的人员接受安全技术教育，熟知和遵守本工种的各项安全技术操作规程，定期进行安全技术考核，合格者方能上岗操作。加强全员安全教育和技术培训工作，使企业各级领导和广大职工认识到安全生产的重要性、必要性。懂得安全生产、文明施工的科学知识，自觉地遵守各项安全生产法令和规章制度。</w:t>
      </w:r>
    </w:p>
    <w:p>
      <w:pPr>
        <w:numPr>
          <w:ilvl w:val="0"/>
          <w:numId w:val="3"/>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开工前安全教育培训</w:t>
      </w:r>
    </w:p>
    <w:p>
      <w:pPr>
        <w:ind w:firstLine="560" w:firstLineChars="200"/>
        <w:rPr>
          <w:rFonts w:ascii="宋体" w:hAnsi="宋体" w:hint="eastAsia"/>
          <w:sz w:val="28"/>
          <w:szCs w:val="28"/>
        </w:rPr>
      </w:pPr>
      <w:r>
        <w:rPr>
          <w:rFonts w:ascii="宋体" w:hAnsi="宋体" w:hint="eastAsia"/>
          <w:sz w:val="28"/>
          <w:szCs w:val="28"/>
        </w:rPr>
        <w:t>每一单项工程开工前，对全体职工进行针对工程技术措施、施工方案、方法、工艺、质量标准的教育，以及重点、难点工程的安全和技术培训工作。</w:t>
      </w:r>
    </w:p>
    <w:p>
      <w:pPr>
        <w:numPr>
          <w:ilvl w:val="0"/>
          <w:numId w:val="3"/>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w:t>
      </w:r>
      <w:r>
        <w:rPr>
          <w:rFonts w:ascii="宋体" w:hAnsi="宋体" w:hint="eastAsia"/>
          <w:sz w:val="28"/>
          <w:szCs w:val="28"/>
        </w:rPr>
        <w:t>三级</w:t>
      </w:r>
      <w:r>
        <w:rPr>
          <w:rFonts w:ascii="宋体" w:hAnsi="宋体" w:hint="eastAsia"/>
          <w:sz w:val="28"/>
          <w:szCs w:val="28"/>
        </w:rPr>
        <w:t>”</w:t>
      </w:r>
      <w:r>
        <w:rPr>
          <w:rFonts w:ascii="宋体" w:hAnsi="宋体" w:hint="eastAsia"/>
          <w:sz w:val="28"/>
          <w:szCs w:val="28"/>
        </w:rPr>
        <w:t>安全教育培训</w:t>
      </w:r>
    </w:p>
    <w:p>
      <w:pPr>
        <w:ind w:firstLine="560" w:firstLineChars="200"/>
        <w:rPr>
          <w:rFonts w:ascii="宋体" w:hAnsi="宋体" w:hint="eastAsia"/>
          <w:sz w:val="28"/>
          <w:szCs w:val="28"/>
        </w:rPr>
      </w:pPr>
      <w:r>
        <w:rPr>
          <w:rFonts w:ascii="宋体" w:hAnsi="宋体" w:hint="eastAsia"/>
          <w:sz w:val="28"/>
          <w:szCs w:val="28"/>
        </w:rPr>
        <w:t>施工人员进入施工现场，进行</w:t>
      </w:r>
      <w:r>
        <w:rPr>
          <w:rFonts w:ascii="宋体" w:hAnsi="宋体" w:hint="eastAsia"/>
          <w:sz w:val="28"/>
          <w:szCs w:val="28"/>
        </w:rPr>
        <w:t>“</w:t>
      </w:r>
      <w:r>
        <w:rPr>
          <w:rFonts w:ascii="宋体" w:hAnsi="宋体" w:hint="eastAsia"/>
          <w:sz w:val="28"/>
          <w:szCs w:val="28"/>
        </w:rPr>
        <w:t>三级</w:t>
      </w:r>
      <w:r>
        <w:rPr>
          <w:rFonts w:ascii="宋体" w:hAnsi="宋体" w:hint="eastAsia"/>
          <w:sz w:val="28"/>
          <w:szCs w:val="28"/>
        </w:rPr>
        <w:t>”</w:t>
      </w:r>
      <w:r>
        <w:rPr>
          <w:rFonts w:ascii="宋体" w:hAnsi="宋体" w:hint="eastAsia"/>
          <w:sz w:val="28"/>
          <w:szCs w:val="28"/>
        </w:rPr>
        <w:t>安全教育和培训。</w:t>
      </w:r>
    </w:p>
    <w:p>
      <w:pPr>
        <w:ind w:firstLine="560" w:firstLineChars="200"/>
        <w:rPr>
          <w:rFonts w:ascii="宋体" w:hAnsi="宋体" w:hint="eastAsia"/>
          <w:sz w:val="28"/>
          <w:szCs w:val="28"/>
        </w:rPr>
      </w:pPr>
      <w:r>
        <w:rPr>
          <w:rFonts w:ascii="宋体" w:hAnsi="宋体" w:hint="eastAsia"/>
          <w:sz w:val="28"/>
          <w:szCs w:val="28"/>
        </w:rPr>
        <w:t>一级为项目经理部安全教育培训。内容包括：一般教育(该标段施工的特点，它给劳动者安全带来的不利因素；当前的安全生产情况)；安全生产法规和安全知识教育(建筑法、消防法、宪法、刑法有关条款、建设部颁布的建筑企业安全生产条例、规定，地方政府和主管部门发布的有关安全生产规定，项目经理部有关安全生产管理规定及细则，劳动部关于重伤事故范围的意见等)；建筑工程施工时容易发生的伤害事故及其预防。</w:t>
      </w:r>
    </w:p>
    <w:p>
      <w:pPr>
        <w:ind w:firstLine="560" w:firstLineChars="200"/>
        <w:rPr>
          <w:rFonts w:ascii="宋体" w:hAnsi="宋体" w:hint="eastAsia"/>
          <w:sz w:val="28"/>
          <w:szCs w:val="28"/>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18" w:right="1418" w:bottom="1418" w:left="1418" w:header="851" w:footer="992" w:gutter="0"/>
          <w:pgNumType w:start="25"/>
          <w:cols w:space="708"/>
          <w:titlePg w:val="0"/>
          <w:docGrid w:type="lines" w:linePitch="312"/>
        </w:sectPr>
      </w:pPr>
    </w:p>
    <w:p>
      <w:pPr>
        <w:ind w:firstLine="560" w:firstLineChars="200"/>
        <w:rPr>
          <w:rFonts w:ascii="宋体" w:hAnsi="宋体" w:hint="eastAsia"/>
          <w:sz w:val="28"/>
          <w:szCs w:val="28"/>
        </w:rPr>
      </w:pPr>
      <w:r>
        <w:rPr>
          <w:rFonts w:ascii="宋体" w:hAnsi="宋体" w:hint="eastAsia"/>
          <w:sz w:val="28"/>
          <w:szCs w:val="28"/>
        </w:rPr>
        <w:t>二级为施工队安全教育培训。内容包括：《建筑工人安全技术操作规程》有关规定；建筑工程现场的安全管理规定细则；在建工程基本情况和必须遵守的安全事项等。</w:t>
      </w:r>
    </w:p>
    <w:p>
      <w:pPr>
        <w:ind w:firstLine="560" w:firstLineChars="200"/>
        <w:rPr>
          <w:rFonts w:ascii="宋体" w:hAnsi="宋体" w:hint="eastAsia"/>
          <w:sz w:val="28"/>
          <w:szCs w:val="28"/>
        </w:rPr>
      </w:pPr>
      <w:r>
        <w:rPr>
          <w:rFonts w:ascii="宋体" w:hAnsi="宋体" w:hint="eastAsia"/>
          <w:sz w:val="28"/>
          <w:szCs w:val="28"/>
        </w:rPr>
        <w:t>三级为班组安全教育培训。内容包括：本班组生产工作概况、工作性质及范围；个人从事生产工作的性质，必要的安全知识，各种机具设备及其安全防护设施的性能和作用；本工种的安全操作规程；容易发生事故的部位及劳动防护用品的使用要求等。</w:t>
      </w:r>
    </w:p>
    <w:p>
      <w:pPr>
        <w:numPr>
          <w:ilvl w:val="0"/>
          <w:numId w:val="3"/>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w:t>
      </w:r>
      <w:r>
        <w:rPr>
          <w:rFonts w:ascii="宋体" w:hAnsi="宋体" w:hint="eastAsia"/>
          <w:sz w:val="28"/>
          <w:szCs w:val="28"/>
        </w:rPr>
        <w:t>四新</w:t>
      </w:r>
      <w:r>
        <w:rPr>
          <w:rFonts w:ascii="宋体" w:hAnsi="宋体" w:hint="eastAsia"/>
          <w:sz w:val="28"/>
          <w:szCs w:val="28"/>
        </w:rPr>
        <w:t>”</w:t>
      </w:r>
      <w:r>
        <w:rPr>
          <w:rFonts w:ascii="宋体" w:hAnsi="宋体" w:hint="eastAsia"/>
          <w:sz w:val="28"/>
          <w:szCs w:val="28"/>
        </w:rPr>
        <w:t>技术教育培训</w:t>
      </w:r>
    </w:p>
    <w:p>
      <w:pPr>
        <w:ind w:firstLine="560" w:firstLineChars="200"/>
        <w:rPr>
          <w:rFonts w:ascii="宋体" w:hAnsi="宋体" w:hint="eastAsia"/>
          <w:sz w:val="28"/>
          <w:szCs w:val="28"/>
        </w:rPr>
      </w:pPr>
      <w:r>
        <w:rPr>
          <w:rFonts w:ascii="宋体" w:hAnsi="宋体" w:hint="eastAsia"/>
          <w:sz w:val="28"/>
          <w:szCs w:val="28"/>
        </w:rPr>
        <w:t>在采用新设备、新工艺、新材料、新技术时，首先对直接接触和从事该项工作的人员进行具体的方法、性能、规程等的技术培训，然后再上岗。</w:t>
      </w:r>
    </w:p>
    <w:p>
      <w:pPr>
        <w:numPr>
          <w:ilvl w:val="0"/>
          <w:numId w:val="3"/>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特种作业人员安全教育培训</w:t>
      </w:r>
    </w:p>
    <w:p>
      <w:pPr>
        <w:ind w:firstLine="560" w:firstLineChars="200"/>
        <w:rPr>
          <w:rFonts w:ascii="宋体" w:hAnsi="宋体" w:hint="eastAsia"/>
          <w:sz w:val="28"/>
          <w:szCs w:val="28"/>
        </w:rPr>
      </w:pPr>
      <w:r>
        <w:rPr>
          <w:rFonts w:ascii="宋体" w:hAnsi="宋体" w:hint="eastAsia"/>
          <w:sz w:val="28"/>
          <w:szCs w:val="28"/>
        </w:rPr>
        <w:t>特种作业人员除进行一般安全教育外，还要通过地方劳动部门对特种作业人员进行培训，和本工种的安全技术教育，经考核合格发证后，方准上岗操作。</w:t>
      </w:r>
    </w:p>
    <w:p>
      <w:pPr>
        <w:ind w:firstLine="560" w:firstLineChars="200"/>
        <w:rPr>
          <w:rFonts w:ascii="宋体" w:hAnsi="宋体" w:hint="eastAsia"/>
          <w:sz w:val="28"/>
          <w:szCs w:val="28"/>
        </w:rPr>
      </w:pPr>
      <w:r>
        <w:rPr>
          <w:rFonts w:ascii="宋体" w:hAnsi="宋体" w:hint="eastAsia"/>
          <w:sz w:val="28"/>
          <w:szCs w:val="28"/>
        </w:rPr>
        <w:t>定期对特殊工种进行复审。对从事有尘毒危害作业的工人，进行尘毒危害和防治知识教育。</w:t>
      </w:r>
    </w:p>
    <w:p>
      <w:pPr>
        <w:ind w:firstLine="560" w:firstLineChars="200"/>
        <w:rPr>
          <w:rFonts w:ascii="宋体" w:hAnsi="宋体" w:hint="eastAsia"/>
          <w:sz w:val="28"/>
          <w:szCs w:val="28"/>
        </w:rPr>
      </w:pPr>
      <w:r>
        <w:rPr>
          <w:rFonts w:ascii="宋体" w:hAnsi="宋体" w:hint="eastAsia"/>
          <w:bCs/>
          <w:sz w:val="28"/>
          <w:szCs w:val="28"/>
        </w:rPr>
        <w:t>各级领导和安全管理干部的安全教育培训</w:t>
      </w:r>
    </w:p>
    <w:p>
      <w:pPr>
        <w:ind w:firstLine="560" w:firstLineChars="200"/>
        <w:rPr>
          <w:rFonts w:ascii="宋体" w:hAnsi="宋体" w:hint="eastAsia"/>
          <w:sz w:val="28"/>
          <w:szCs w:val="28"/>
        </w:rPr>
      </w:pPr>
      <w:r>
        <w:rPr>
          <w:rFonts w:ascii="宋体" w:hAnsi="宋体" w:hint="eastAsia"/>
          <w:sz w:val="28"/>
          <w:szCs w:val="28"/>
        </w:rPr>
        <w:t>定期培训各级领导干部和安全管理干部，提高政策水平，熟悉安全技术、劳动卫生业务知识，做好安全生产工作。</w:t>
      </w:r>
    </w:p>
    <w:p>
      <w:pPr>
        <w:numPr>
          <w:ilvl w:val="0"/>
          <w:numId w:val="3"/>
        </w:numPr>
        <w:tabs>
          <w:tab w:val="left" w:pos="0"/>
          <w:tab w:val="clear" w:pos="720"/>
        </w:tabs>
        <w:spacing w:line="500" w:lineRule="exact"/>
        <w:ind w:left="0" w:firstLine="538" w:firstLineChars="192"/>
        <w:rPr>
          <w:rFonts w:ascii="宋体" w:hAnsi="宋体" w:hint="eastAsia"/>
          <w:sz w:val="28"/>
          <w:szCs w:val="28"/>
        </w:rPr>
      </w:pPr>
      <w:r>
        <w:rPr>
          <w:rFonts w:ascii="宋体" w:hAnsi="宋体" w:hint="eastAsia"/>
          <w:sz w:val="28"/>
          <w:szCs w:val="28"/>
        </w:rPr>
        <w:t>安全生产的经常性教育培训</w:t>
      </w:r>
    </w:p>
    <w:p>
      <w:pPr>
        <w:ind w:firstLine="560" w:firstLineChars="200"/>
        <w:rPr>
          <w:rFonts w:ascii="宋体" w:hAnsi="宋体" w:hint="eastAsia"/>
          <w:sz w:val="28"/>
          <w:szCs w:val="28"/>
        </w:rPr>
        <w:sectPr>
          <w:headerReference w:type="even" r:id="rId154"/>
          <w:headerReference w:type="default" r:id="rId155"/>
          <w:footerReference w:type="even" r:id="rId156"/>
          <w:footerReference w:type="default" r:id="rId157"/>
          <w:headerReference w:type="first" r:id="rId158"/>
          <w:footerReference w:type="first" r:id="rId159"/>
          <w:type w:val="nextPage"/>
          <w:pgSz w:w="11906" w:h="16838"/>
          <w:pgMar w:top="1418" w:right="1418" w:bottom="1418" w:left="1418" w:header="851" w:footer="992" w:gutter="0"/>
          <w:pgNumType w:start="26"/>
          <w:cols w:space="708"/>
          <w:titlePg w:val="0"/>
          <w:docGrid w:type="lines" w:linePitch="312"/>
        </w:sectPr>
      </w:pPr>
    </w:p>
    <w:p>
      <w:pPr>
        <w:ind w:firstLine="560" w:firstLineChars="200"/>
        <w:rPr>
          <w:rFonts w:ascii="宋体" w:hAnsi="宋体" w:hint="eastAsia"/>
          <w:sz w:val="28"/>
          <w:szCs w:val="28"/>
        </w:rPr>
      </w:pPr>
      <w:r>
        <w:rPr>
          <w:rFonts w:ascii="宋体" w:hAnsi="宋体" w:hint="eastAsia"/>
          <w:sz w:val="28"/>
          <w:szCs w:val="28"/>
        </w:rPr>
        <w:t>在做好对普通工种、特种作业人员安全生产教育和各级领导干部、安全管理干部的安全生产培训的同时，把经常性的安全教育贯穿于管理工作的全过程，并根据接受教育的对象的不同特点，采取多层次、多渠道和多种方法进行。内容包括：安全生产宣传教育；普及安全生产知识宣传教育；适时安全教育等。</w:t>
      </w:r>
    </w:p>
    <w:p>
      <w:pPr>
        <w:spacing w:line="500" w:lineRule="exact"/>
        <w:outlineLvl w:val="3"/>
        <w:rPr>
          <w:rFonts w:ascii="宋体" w:hAnsi="宋体" w:hint="eastAsia"/>
          <w:b/>
          <w:sz w:val="28"/>
          <w:szCs w:val="28"/>
        </w:rPr>
      </w:pPr>
      <w:bookmarkStart w:id="89" w:name="_Toc257731915"/>
      <w:bookmarkStart w:id="90" w:name="_Toc261304687"/>
      <w:r>
        <w:rPr>
          <w:rFonts w:ascii="宋体" w:hAnsi="宋体" w:hint="eastAsia"/>
          <w:b/>
          <w:sz w:val="28"/>
          <w:szCs w:val="28"/>
        </w:rPr>
        <w:t>7.4 安全生产检查</w:t>
      </w:r>
      <w:bookmarkEnd w:id="89"/>
      <w:bookmarkEnd w:id="90"/>
    </w:p>
    <w:p>
      <w:pPr>
        <w:spacing w:line="500" w:lineRule="exact"/>
        <w:ind w:firstLine="560" w:firstLineChars="200"/>
        <w:rPr>
          <w:rFonts w:ascii="宋体" w:hAnsi="宋体" w:hint="eastAsia"/>
          <w:sz w:val="28"/>
          <w:szCs w:val="28"/>
        </w:rPr>
      </w:pPr>
      <w:r>
        <w:rPr>
          <w:rFonts w:ascii="宋体" w:hAnsi="宋体" w:hint="eastAsia"/>
          <w:sz w:val="28"/>
          <w:szCs w:val="28"/>
        </w:rPr>
        <w:t>定期安全生产检查。每月组织安全生产大检查，积极配合上级进行专项和重点检查；班组每日进行自检、互检、交接班检查。</w:t>
      </w:r>
    </w:p>
    <w:p>
      <w:pPr>
        <w:spacing w:line="500" w:lineRule="exact"/>
        <w:ind w:firstLine="560" w:firstLineChars="200"/>
        <w:outlineLvl w:val="3"/>
        <w:rPr>
          <w:rFonts w:ascii="宋体" w:hAnsi="宋体" w:hint="eastAsia"/>
          <w:sz w:val="28"/>
          <w:szCs w:val="28"/>
        </w:rPr>
      </w:pPr>
      <w:r>
        <w:rPr>
          <w:rFonts w:ascii="宋体" w:hAnsi="宋体" w:hint="eastAsia"/>
          <w:sz w:val="28"/>
          <w:szCs w:val="28"/>
        </w:rPr>
        <w:t>季节性、节假日安全生产专项检查。</w:t>
      </w:r>
      <w:bookmarkStart w:id="91" w:name="_Toc277065858"/>
      <w:bookmarkStart w:id="92" w:name="_Toc277068437"/>
      <w:bookmarkStart w:id="93" w:name="_Toc261304699"/>
      <w:bookmarkStart w:id="94" w:name="_Toc257731927"/>
      <w:bookmarkStart w:id="95" w:name="_Toc278262604"/>
      <w:bookmarkEnd w:id="50"/>
    </w:p>
    <w:p>
      <w:pPr>
        <w:spacing w:line="500" w:lineRule="exact"/>
        <w:outlineLvl w:val="3"/>
        <w:rPr>
          <w:rFonts w:ascii="宋体" w:hAnsi="宋体" w:hint="eastAsia"/>
          <w:b/>
          <w:sz w:val="30"/>
          <w:szCs w:val="30"/>
        </w:rPr>
      </w:pPr>
      <w:r>
        <w:rPr>
          <w:rFonts w:ascii="宋体" w:hAnsi="宋体" w:hint="eastAsia"/>
          <w:b/>
          <w:sz w:val="30"/>
          <w:szCs w:val="30"/>
        </w:rPr>
        <w:t>8、环境保护、水土保持措施</w:t>
      </w:r>
      <w:bookmarkEnd w:id="91"/>
      <w:bookmarkEnd w:id="92"/>
      <w:bookmarkEnd w:id="93"/>
      <w:bookmarkEnd w:id="94"/>
      <w:bookmarkEnd w:id="95"/>
    </w:p>
    <w:p>
      <w:pPr>
        <w:spacing w:line="500" w:lineRule="exact"/>
        <w:ind w:firstLine="560" w:firstLineChars="200"/>
        <w:rPr>
          <w:rFonts w:ascii="宋体" w:hAnsi="宋体" w:hint="eastAsia"/>
          <w:sz w:val="28"/>
          <w:szCs w:val="28"/>
        </w:rPr>
      </w:pPr>
      <w:r>
        <w:rPr>
          <w:rFonts w:ascii="宋体" w:hAnsi="宋体" w:hint="eastAsia"/>
          <w:sz w:val="28"/>
          <w:szCs w:val="28"/>
        </w:rPr>
        <w:t>项目经理部成立环保、水保领导小组，项目经理任组长，并在安全质量部中配专职环保、水保管理干部，各队分级管理，并配专职管理人员，负责检查、监督各项环保水保工作的落实。</w:t>
      </w:r>
    </w:p>
    <w:p>
      <w:pPr>
        <w:spacing w:line="500" w:lineRule="exact"/>
        <w:outlineLvl w:val="2"/>
        <w:rPr>
          <w:rFonts w:ascii="宋体" w:hAnsi="宋体" w:hint="eastAsia"/>
          <w:b/>
          <w:sz w:val="28"/>
          <w:szCs w:val="28"/>
        </w:rPr>
      </w:pPr>
      <w:bookmarkStart w:id="96" w:name="_Toc277065859"/>
      <w:bookmarkStart w:id="97" w:name="_Toc257731928"/>
      <w:bookmarkStart w:id="98" w:name="_Toc261304700"/>
      <w:bookmarkStart w:id="99" w:name="_Toc307341746"/>
      <w:bookmarkStart w:id="100" w:name="_Toc278262605"/>
      <w:bookmarkStart w:id="101" w:name="_Toc277068438"/>
      <w:r>
        <w:rPr>
          <w:rFonts w:ascii="宋体" w:hAnsi="宋体" w:hint="eastAsia"/>
          <w:b/>
          <w:sz w:val="28"/>
          <w:szCs w:val="28"/>
        </w:rPr>
        <w:t>8.1 环境保护、水土保持制度</w:t>
      </w:r>
      <w:bookmarkEnd w:id="96"/>
      <w:bookmarkEnd w:id="97"/>
      <w:bookmarkEnd w:id="98"/>
      <w:bookmarkEnd w:id="99"/>
      <w:bookmarkEnd w:id="100"/>
      <w:bookmarkEnd w:id="101"/>
    </w:p>
    <w:p>
      <w:pPr>
        <w:spacing w:line="500" w:lineRule="exact"/>
        <w:ind w:firstLine="560" w:firstLineChars="200"/>
        <w:rPr>
          <w:rFonts w:ascii="宋体" w:hAnsi="宋体" w:hint="eastAsia"/>
          <w:sz w:val="28"/>
          <w:szCs w:val="28"/>
        </w:rPr>
      </w:pPr>
      <w:r>
        <w:rPr>
          <w:rFonts w:ascii="宋体" w:hAnsi="宋体" w:hint="eastAsia"/>
          <w:sz w:val="28"/>
          <w:szCs w:val="28"/>
        </w:rPr>
        <w:t>建立、健全施工过程中的环境管理体系和各项环境管理规章制度。运用管理的手段及其它制度措施，控制污染物的排放量，改善环境质量。</w:t>
      </w:r>
    </w:p>
    <w:p>
      <w:pPr>
        <w:spacing w:line="500" w:lineRule="exact"/>
        <w:ind w:firstLine="560" w:firstLineChars="200"/>
        <w:rPr>
          <w:rFonts w:ascii="宋体" w:hAnsi="宋体" w:hint="eastAsia"/>
          <w:sz w:val="28"/>
          <w:szCs w:val="28"/>
        </w:rPr>
      </w:pPr>
    </w:p>
    <w:p>
      <w:pPr>
        <w:pStyle w:val="a9"/>
        <w:tabs>
          <w:tab w:val="right" w:leader="dot" w:pos="8891"/>
          <w:tab w:val="right" w:leader="dot" w:pos="9060"/>
        </w:tabs>
        <w:spacing w:before="156"/>
        <w:ind w:firstLine="280"/>
        <w:rPr>
          <w:rFonts w:hint="eastAsia"/>
        </w:rPr>
      </w:pPr>
    </w:p>
    <w:p>
      <w:pPr>
        <w:pStyle w:val="a9"/>
        <w:tabs>
          <w:tab w:val="right" w:leader="dot" w:pos="8891"/>
          <w:tab w:val="right" w:leader="dot" w:pos="9060"/>
        </w:tabs>
        <w:spacing w:before="156"/>
        <w:ind w:firstLine="280"/>
        <w:rPr>
          <w:rFonts w:hint="eastAsia"/>
        </w:rPr>
        <w:sectPr>
          <w:headerReference w:type="even" r:id="rId160"/>
          <w:headerReference w:type="default" r:id="rId161"/>
          <w:footerReference w:type="even" r:id="rId162"/>
          <w:footerReference w:type="default" r:id="rId163"/>
          <w:headerReference w:type="first" r:id="rId164"/>
          <w:footerReference w:type="first" r:id="rId165"/>
          <w:type w:val="nextPage"/>
          <w:pgSz w:w="11906" w:h="16838"/>
          <w:pgMar w:top="1418" w:right="1418" w:bottom="1418" w:left="1418" w:header="851" w:footer="992" w:gutter="0"/>
          <w:pgNumType w:start="27"/>
          <w:cols w:space="708"/>
          <w:titlePg w:val="0"/>
          <w:docGrid w:type="lines" w:linePitch="312"/>
        </w:sectPr>
      </w:pPr>
    </w:p>
    <w:p>
      <w:pPr>
        <w:pStyle w:val="a9"/>
        <w:tabs>
          <w:tab w:val="right" w:leader="dot" w:pos="8891"/>
          <w:tab w:val="right" w:leader="dot" w:pos="9060"/>
        </w:tabs>
        <w:spacing w:before="156"/>
        <w:ind w:firstLine="280"/>
        <w:rPr>
          <w:rFonts w:hint="eastAsia"/>
        </w:rPr>
      </w:pPr>
      <w:r>
        <w:rPr>
          <w:rFonts w:hint="eastAsia"/>
        </w:rPr>
        <w:t>图8-1  环境保护、水土保持管理框图</w:t>
      </w:r>
    </w:p>
    <w:p>
      <w:pPr>
        <w:rPr>
          <w:rFonts w:ascii="宋体" w:hAnsi="宋体" w:hint="eastAsia"/>
        </w:rPr>
      </w:pPr>
      <w:r>
        <w:rPr>
          <w:rFonts w:ascii="宋体" w:hAnsi="宋体" w:hint="eastAsia"/>
        </w:rPr>
        <w:pict>
          <v:group id="组合 1996" o:spid="_x0000_s1072" style="width:419.8pt;height:632.7pt;margin-top:1.7pt;margin-left:25.2pt;position:absolute;z-index:251660288" coordorigin="1922,4415" coordsize="8396,12654">
            <v:line id="直线 883" o:spid="_x0000_s1073" style="mso-wrap-style:square;position:absolute" from="2666,14564" to="9810,14564" strokeweight="0.5pt">
              <v:stroke linestyle="single"/>
            </v:line>
            <v:line id="直线 884" o:spid="_x0000_s1074" style="flip:y;mso-wrap-style:square;position:absolute" from="7604,6452" to="7604,7158" strokeweight="0.5pt">
              <v:stroke linestyle="single"/>
            </v:line>
            <v:shape id="文本框 885" o:spid="_x0000_s1075" type="#_x0000_t202" style="width:4750;height:547;left:3896;mso-wrap-style:square;position:absolute;top:16522" strokeweight="0.5pt">
              <v:stroke linestyle="single"/>
              <v:textbox inset="21.26pt,6.52pt">
                <w:txbxContent>
                  <w:p>
                    <w:pPr>
                      <w:pStyle w:val="a10"/>
                      <w:tabs>
                        <w:tab w:val="right" w:leader="dot" w:pos="8891"/>
                        <w:tab w:val="right" w:leader="dot" w:pos="9060"/>
                      </w:tabs>
                      <w:spacing w:before="0" w:beforeLines="0" w:after="0" w:line="240" w:lineRule="exact"/>
                      <w:ind w:firstLine="240"/>
                      <w:rPr>
                        <w:rFonts w:hint="eastAsia"/>
                        <w:b w:val="0"/>
                      </w:rPr>
                    </w:pPr>
                    <w:r>
                      <w:rPr>
                        <w:rFonts w:hint="eastAsia"/>
                        <w:b w:val="0"/>
                      </w:rPr>
                      <w:t>环保保护、水保保持达标</w:t>
                    </w:r>
                  </w:p>
                </w:txbxContent>
              </v:textbox>
            </v:shape>
            <v:line id="直线 886" o:spid="_x0000_s1076" style="mso-wrap-style:square;position:absolute" from="4079,14003" to="4079,14561" strokeweight="0.5pt">
              <v:stroke linestyle="single"/>
            </v:line>
            <v:line id="直线 887" o:spid="_x0000_s1077" style="mso-wrap-style:square;position:absolute" from="5624,14024" to="5624,14561" strokeweight="0.5pt">
              <v:stroke linestyle="single"/>
            </v:line>
            <v:line id="直线 888" o:spid="_x0000_s1078" style="mso-wrap-style:square;position:absolute" from="7001,13984" to="7001,14559" strokeweight="0.5pt">
              <v:stroke linestyle="single"/>
            </v:line>
            <v:line id="直线 889" o:spid="_x0000_s1079" style="mso-wrap-style:square;position:absolute" from="8377,13984" to="8377,14561" strokeweight="0.5pt">
              <v:stroke linestyle="single"/>
            </v:line>
            <v:line id="直线 890" o:spid="_x0000_s1080" style="mso-wrap-style:square;position:absolute" from="9828,13975" to="9828,14549" strokeweight="0.5pt">
              <v:stroke linestyle="single"/>
            </v:line>
            <v:line id="直线 891" o:spid="_x0000_s1081" style="mso-wrap-style:square;position:absolute" from="2647,13887" to="2647,14561" strokeweight="0.5pt">
              <v:stroke linestyle="single"/>
            </v:line>
            <v:line id="直线 892" o:spid="_x0000_s1082" style="mso-wrap-style:square;position:absolute" from="6284,14556" to="6284,15092" strokeweight="0.5pt">
              <v:stroke linestyle="single"/>
            </v:line>
            <v:rect id="矩形 893" o:spid="_x0000_s1083" style="width:4749;height:505;left:3897;mso-wrap-style:square;position:absolute;top:15699">
              <v:stroke linestyle="single"/>
              <v:textbox>
                <w:txbxContent>
                  <w:p>
                    <w:pPr>
                      <w:pStyle w:val="a10"/>
                      <w:tabs>
                        <w:tab w:val="right" w:leader="dot" w:pos="8891"/>
                        <w:tab w:val="right" w:leader="dot" w:pos="9060"/>
                      </w:tabs>
                      <w:spacing w:before="156" w:after="0" w:line="200" w:lineRule="exact"/>
                      <w:ind w:firstLine="240"/>
                      <w:rPr>
                        <w:rFonts w:hint="eastAsia"/>
                      </w:rPr>
                    </w:pPr>
                    <w:r>
                      <w:rPr>
                        <w:rFonts w:hint="eastAsia"/>
                        <w:b w:val="0"/>
                      </w:rPr>
                      <w:t>各工序、班组、岗位人员做好职责内的具</w:t>
                    </w:r>
                    <w:r>
                      <w:rPr>
                        <w:rFonts w:hint="eastAsia"/>
                      </w:rPr>
                      <w:t>体工作</w:t>
                    </w:r>
                  </w:p>
                  <w:p>
                    <w:pPr>
                      <w:pStyle w:val="a10"/>
                      <w:tabs>
                        <w:tab w:val="right" w:leader="dot" w:pos="8891"/>
                        <w:tab w:val="right" w:leader="dot" w:pos="9060"/>
                      </w:tabs>
                      <w:spacing w:before="156"/>
                      <w:ind w:firstLine="240"/>
                    </w:pPr>
                  </w:p>
                </w:txbxContent>
              </v:textbox>
            </v:rect>
            <v:rect id="矩形 894" o:spid="_x0000_s1084" style="width:4749;height:505;left:3897;mso-wrap-style:square;position:absolute;top:14883">
              <v:stroke linestyle="single"/>
              <v:textbox>
                <w:txbxContent>
                  <w:p>
                    <w:pPr>
                      <w:pStyle w:val="a10"/>
                      <w:tabs>
                        <w:tab w:val="right" w:leader="dot" w:pos="8891"/>
                        <w:tab w:val="right" w:leader="dot" w:pos="9060"/>
                      </w:tabs>
                      <w:spacing w:before="156" w:after="0" w:line="240" w:lineRule="exact"/>
                      <w:ind w:firstLine="240"/>
                      <w:rPr>
                        <w:rFonts w:hint="eastAsia"/>
                        <w:b w:val="0"/>
                      </w:rPr>
                    </w:pPr>
                    <w:r>
                      <w:rPr>
                        <w:rFonts w:hint="eastAsia"/>
                        <w:b w:val="0"/>
                      </w:rPr>
                      <w:t>各架子队环境保护、水土保持实施小组</w:t>
                    </w:r>
                  </w:p>
                  <w:p>
                    <w:pPr>
                      <w:pStyle w:val="a10"/>
                      <w:tabs>
                        <w:tab w:val="right" w:leader="dot" w:pos="8891"/>
                        <w:tab w:val="right" w:leader="dot" w:pos="9060"/>
                      </w:tabs>
                      <w:spacing w:before="156"/>
                      <w:ind w:firstLine="240"/>
                    </w:pPr>
                  </w:p>
                </w:txbxContent>
              </v:textbox>
            </v:rect>
            <v:line id="直线 895" o:spid="_x0000_s1085" style="mso-wrap-style:square;position:absolute" from="6316,15369" to="6316,15688">
              <v:stroke linestyle="single"/>
            </v:line>
            <v:line id="直线 896" o:spid="_x0000_s1086" style="mso-wrap-style:square;position:absolute" from="6316,16212" to="6316,16531">
              <v:stroke linestyle="single"/>
            </v:line>
            <v:shape id="文本框 897" o:spid="_x0000_s1087" type="#_x0000_t202" style="width:1169;height:6260;left:3516;mso-wrap-style:square;position:absolute;top:7743" strokeweight="0.5pt">
              <v:stroke linestyle="single"/>
              <v:textbox inset=",0,,0">
                <w:txbxContent>
                  <w:p>
                    <w:pPr>
                      <w:pStyle w:val="a10"/>
                      <w:tabs>
                        <w:tab w:val="right" w:leader="dot" w:pos="8891"/>
                        <w:tab w:val="right" w:leader="dot" w:pos="9060"/>
                      </w:tabs>
                      <w:spacing w:before="156" w:line="230" w:lineRule="exact"/>
                      <w:ind w:firstLine="0" w:firstLineChars="0"/>
                      <w:jc w:val="both"/>
                      <w:rPr>
                        <w:rFonts w:eastAsia="宋体" w:hint="eastAsia"/>
                        <w:b w:val="0"/>
                      </w:rPr>
                    </w:pPr>
                    <w:r>
                      <w:rPr>
                        <w:rFonts w:eastAsia="宋体" w:hint="eastAsia"/>
                        <w:b w:val="0"/>
                      </w:rPr>
                      <w:t>1、制定项目环保措施和分项的环保方案。</w:t>
                    </w:r>
                  </w:p>
                  <w:p>
                    <w:pPr>
                      <w:pStyle w:val="a10"/>
                      <w:tabs>
                        <w:tab w:val="right" w:leader="dot" w:pos="8891"/>
                        <w:tab w:val="right" w:leader="dot" w:pos="9060"/>
                      </w:tabs>
                      <w:spacing w:before="156" w:line="230" w:lineRule="exact"/>
                      <w:ind w:firstLine="0" w:firstLineChars="0"/>
                      <w:jc w:val="both"/>
                      <w:rPr>
                        <w:rFonts w:eastAsia="宋体" w:hint="eastAsia"/>
                        <w:b w:val="0"/>
                      </w:rPr>
                    </w:pPr>
                    <w:r>
                      <w:rPr>
                        <w:rFonts w:eastAsia="宋体" w:hint="eastAsia"/>
                        <w:b w:val="0"/>
                      </w:rPr>
                      <w:t>2、监督各项环保技术措施的落实。</w:t>
                    </w:r>
                  </w:p>
                  <w:p>
                    <w:pPr>
                      <w:pStyle w:val="a10"/>
                      <w:tabs>
                        <w:tab w:val="right" w:leader="dot" w:pos="8891"/>
                        <w:tab w:val="right" w:leader="dot" w:pos="9060"/>
                      </w:tabs>
                      <w:spacing w:before="156" w:line="230" w:lineRule="exact"/>
                      <w:ind w:firstLine="0" w:firstLineChars="0"/>
                      <w:jc w:val="both"/>
                      <w:rPr>
                        <w:rFonts w:eastAsia="宋体" w:hint="eastAsia"/>
                        <w:b w:val="0"/>
                      </w:rPr>
                    </w:pPr>
                    <w:r>
                      <w:rPr>
                        <w:rFonts w:eastAsia="宋体" w:hint="eastAsia"/>
                        <w:b w:val="0"/>
                      </w:rPr>
                      <w:t>3、解决施工中出现的污染环境的技术问题。</w:t>
                    </w:r>
                  </w:p>
                  <w:p>
                    <w:pPr>
                      <w:pStyle w:val="a10"/>
                      <w:tabs>
                        <w:tab w:val="right" w:leader="dot" w:pos="8891"/>
                        <w:tab w:val="right" w:leader="dot" w:pos="9060"/>
                      </w:tabs>
                      <w:spacing w:before="156" w:line="230" w:lineRule="exact"/>
                      <w:ind w:firstLine="0" w:firstLineChars="0"/>
                      <w:jc w:val="both"/>
                      <w:rPr>
                        <w:rFonts w:eastAsia="宋体" w:hint="eastAsia"/>
                        <w:b w:val="0"/>
                      </w:rPr>
                    </w:pPr>
                    <w:r>
                      <w:rPr>
                        <w:rFonts w:eastAsia="宋体" w:hint="eastAsia"/>
                        <w:b w:val="0"/>
                      </w:rPr>
                      <w:t>4、组织对施工人员的环保和文明施工培训和考核。</w:t>
                    </w:r>
                  </w:p>
                </w:txbxContent>
              </v:textbox>
            </v:shape>
            <v:shape id="文本框 898" o:spid="_x0000_s1088" type="#_x0000_t202" style="width:1169;height:6320;left:5040;mso-wrap-style:square;position:absolute;top:7704" strokeweight="0.5pt">
              <v:stroke linestyle="single"/>
              <v:textbox>
                <w:txbxContent>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1、合理安排生产、减少对环境干扰。</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2、制订各项环保技术措施。</w:t>
                    </w:r>
                  </w:p>
                  <w:p>
                    <w:pPr>
                      <w:pStyle w:val="a10"/>
                      <w:tabs>
                        <w:tab w:val="right" w:leader="dot" w:pos="8891"/>
                        <w:tab w:val="right" w:leader="dot" w:pos="9060"/>
                      </w:tabs>
                      <w:spacing w:before="156" w:line="240" w:lineRule="exact"/>
                      <w:ind w:firstLine="0" w:firstLineChars="0"/>
                      <w:jc w:val="both"/>
                      <w:rPr>
                        <w:rFonts w:hint="eastAsia"/>
                      </w:rPr>
                    </w:pPr>
                    <w:r>
                      <w:rPr>
                        <w:rFonts w:eastAsia="宋体" w:hint="eastAsia"/>
                        <w:b w:val="0"/>
                      </w:rPr>
                      <w:t>3、保证进场施工人员的文明和技术素质。</w:t>
                    </w:r>
                  </w:p>
                </w:txbxContent>
              </v:textbox>
            </v:shape>
            <v:shape id="文本框 899" o:spid="_x0000_s1089" type="#_x0000_t202" style="width:1169;height:6241;left:6416;mso-wrap-style:square;position:absolute;top:7743" strokeweight="0.5pt">
              <v:stroke linestyle="single"/>
              <v:textbox>
                <w:txbxContent>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1、保证使用的各类机械在安全、良好的状态下运行。</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2、监督操作人员按操作规章作业。</w:t>
                    </w:r>
                  </w:p>
                </w:txbxContent>
              </v:textbox>
            </v:shape>
            <v:shape id="文本框 900" o:spid="_x0000_s1090" type="#_x0000_t202" style="width:1168;height:6241;left:7774;mso-wrap-style:square;position:absolute;top:7743" strokeweight="0.5pt">
              <v:stroke linestyle="single"/>
              <v:textbox>
                <w:txbxContent>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1、保证按要求贮存和堆放材料。</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2、对有毒有害危险品严格管理。</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3、负责各种施工材料的节约和回收、再利用。</w:t>
                    </w:r>
                  </w:p>
                </w:txbxContent>
              </v:textbox>
            </v:shape>
            <v:shape id="文本框 901" o:spid="_x0000_s1091" type="#_x0000_t202" style="width:1168;height:6221;left:9150;mso-wrap-style:square;position:absolute;top:7743" strokeweight="0.5pt">
              <v:stroke linestyle="single"/>
              <v:textbox>
                <w:txbxContent>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1、财务部门保证环保工作所需经费。</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2、综合部负责各项后勤保障符合环保要求。</w:t>
                    </w:r>
                  </w:p>
                </w:txbxContent>
              </v:textbox>
            </v:shape>
            <v:line id="直线 902" o:spid="_x0000_s1092" style="flip:y;mso-wrap-style:square;position:absolute" from="4098,7147" to="4098,7743" strokeweight="0.5pt">
              <v:stroke linestyle="single"/>
            </v:line>
            <v:line id="直线 903" o:spid="_x0000_s1093" style="flip:y;mso-wrap-style:square;position:absolute" from="5606,7147" to="5606,7683" strokeweight="0.5pt">
              <v:stroke linestyle="single"/>
            </v:line>
            <v:line id="直线 904" o:spid="_x0000_s1094" style="flip:y;mso-wrap-style:square;position:absolute" from="7017,7142" to="7017,7732" strokeweight="0.5pt">
              <v:stroke linestyle="single"/>
            </v:line>
            <v:line id="直线 905" o:spid="_x0000_s1095" style="flip:y;mso-wrap-style:square;position:absolute" from="8377,7142" to="8377,7728" strokeweight="0.5pt">
              <v:stroke linestyle="single"/>
            </v:line>
            <v:line id="直线 906" o:spid="_x0000_s1096" style="flip:y;mso-wrap-style:square;position:absolute" from="9734,7142" to="9734,7732" strokeweight="0.5pt">
              <v:stroke linestyle="single"/>
            </v:line>
            <v:shape id="文本框 907" o:spid="_x0000_s1097" type="#_x0000_t202" style="width:887;height:1249;left:2081;mso-wrap-style:square;position:absolute;top:5942" strokeweight="0.5pt">
              <v:stroke linestyle="single"/>
              <v:textbox>
                <w:txbxContent>
                  <w:p>
                    <w:pPr>
                      <w:pStyle w:val="a10"/>
                      <w:tabs>
                        <w:tab w:val="right" w:leader="dot" w:pos="8891"/>
                        <w:tab w:val="right" w:leader="dot" w:pos="9060"/>
                      </w:tabs>
                      <w:spacing w:before="156" w:line="240" w:lineRule="exact"/>
                      <w:ind w:firstLine="0" w:firstLineChars="0"/>
                      <w:jc w:val="both"/>
                      <w:rPr>
                        <w:rFonts w:hint="eastAsia"/>
                        <w:b w:val="0"/>
                      </w:rPr>
                    </w:pPr>
                    <w:r>
                      <w:rPr>
                        <w:rFonts w:hint="eastAsia"/>
                        <w:b w:val="0"/>
                      </w:rPr>
                      <w:t>安全质量部长</w:t>
                    </w:r>
                  </w:p>
                </w:txbxContent>
              </v:textbox>
            </v:shape>
            <v:shape id="文本框 908" o:spid="_x0000_s1098" type="#_x0000_t202" style="width:2940;height:609;left:4778;mso-wrap-style:square;position:absolute;top:4415" strokeweight="0.5pt">
              <v:stroke linestyle="single"/>
              <v:textbox inset=",0.85pt,,6.52pt">
                <w:txbxContent>
                  <w:p>
                    <w:pPr>
                      <w:pStyle w:val="a10"/>
                      <w:tabs>
                        <w:tab w:val="right" w:leader="dot" w:pos="8891"/>
                        <w:tab w:val="right" w:leader="dot" w:pos="9060"/>
                      </w:tabs>
                      <w:spacing w:before="156" w:line="240" w:lineRule="exact"/>
                      <w:ind w:firstLine="240"/>
                      <w:rPr>
                        <w:rFonts w:hint="eastAsia"/>
                        <w:b w:val="0"/>
                      </w:rPr>
                    </w:pPr>
                    <w:r>
                      <w:rPr>
                        <w:rFonts w:hint="eastAsia"/>
                        <w:b w:val="0"/>
                      </w:rPr>
                      <w:t>项目经理</w:t>
                    </w:r>
                  </w:p>
                </w:txbxContent>
              </v:textbox>
            </v:shape>
            <v:shape id="文本框 909" o:spid="_x0000_s1099" type="#_x0000_t202" style="width:811;height:1113;left:3641;mso-wrap-style:square;position:absolute;top:6047" strokeweight="0.5pt">
              <v:stroke linestyle="single"/>
              <v:textbox>
                <w:txbxContent>
                  <w:p>
                    <w:pPr>
                      <w:pStyle w:val="a10"/>
                      <w:tabs>
                        <w:tab w:val="right" w:leader="dot" w:pos="8891"/>
                        <w:tab w:val="right" w:leader="dot" w:pos="9060"/>
                      </w:tabs>
                      <w:spacing w:before="156" w:line="240" w:lineRule="exact"/>
                      <w:ind w:firstLine="0" w:firstLineChars="0"/>
                      <w:jc w:val="both"/>
                      <w:rPr>
                        <w:rFonts w:hint="eastAsia"/>
                        <w:b w:val="0"/>
                      </w:rPr>
                    </w:pPr>
                    <w:r>
                      <w:rPr>
                        <w:rFonts w:hint="eastAsia"/>
                        <w:b w:val="0"/>
                      </w:rPr>
                      <w:t>总工程师</w:t>
                    </w:r>
                  </w:p>
                </w:txbxContent>
              </v:textbox>
            </v:shape>
            <v:shape id="文本框 910" o:spid="_x0000_s1100" type="#_x0000_t202" style="width:902;height:1086;left:5051;mso-wrap-style:square;position:absolute;top:6023" strokeweight="0.5pt">
              <v:stroke linestyle="single"/>
              <v:textbox>
                <w:txbxContent>
                  <w:p>
                    <w:pPr>
                      <w:pStyle w:val="a10"/>
                      <w:tabs>
                        <w:tab w:val="right" w:leader="dot" w:pos="8891"/>
                        <w:tab w:val="right" w:leader="dot" w:pos="9060"/>
                      </w:tabs>
                      <w:spacing w:before="156" w:line="240" w:lineRule="exact"/>
                      <w:ind w:firstLine="0" w:firstLineChars="0"/>
                      <w:jc w:val="both"/>
                      <w:rPr>
                        <w:rFonts w:hint="eastAsia"/>
                        <w:b w:val="0"/>
                      </w:rPr>
                    </w:pPr>
                    <w:r>
                      <w:rPr>
                        <w:rFonts w:hint="eastAsia"/>
                        <w:b w:val="0"/>
                      </w:rPr>
                      <w:t>生产副经理</w:t>
                    </w:r>
                  </w:p>
                </w:txbxContent>
              </v:textbox>
            </v:shape>
            <v:shape id="文本框 911" o:spid="_x0000_s1101" type="#_x0000_t202" style="width:1998;height:531;left:6632;mso-wrap-style:square;position:absolute;top:5912" strokeweight="0.5pt">
              <v:stroke linestyle="single"/>
              <v:textbox>
                <w:txbxContent>
                  <w:p>
                    <w:pPr>
                      <w:pStyle w:val="a10"/>
                      <w:tabs>
                        <w:tab w:val="right" w:leader="dot" w:pos="8891"/>
                        <w:tab w:val="right" w:leader="dot" w:pos="9060"/>
                      </w:tabs>
                      <w:spacing w:before="156" w:line="240" w:lineRule="exact"/>
                      <w:ind w:firstLine="240"/>
                      <w:rPr>
                        <w:rFonts w:hint="eastAsia"/>
                        <w:b w:val="0"/>
                      </w:rPr>
                    </w:pPr>
                    <w:r>
                      <w:rPr>
                        <w:rFonts w:hint="eastAsia"/>
                        <w:b w:val="0"/>
                      </w:rPr>
                      <w:t>物资设备部长</w:t>
                    </w:r>
                  </w:p>
                </w:txbxContent>
              </v:textbox>
            </v:shape>
            <v:shape id="文本框 912" o:spid="_x0000_s1102" type="#_x0000_t202" style="width:1237;height:1197;left:9032;mso-wrap-style:square;position:absolute;top:5960" strokeweight="0.5pt">
              <v:stroke linestyle="single"/>
              <v:textbox>
                <w:txbxContent>
                  <w:p>
                    <w:pPr>
                      <w:pStyle w:val="a10"/>
                      <w:tabs>
                        <w:tab w:val="right" w:leader="dot" w:pos="8891"/>
                        <w:tab w:val="right" w:leader="dot" w:pos="9060"/>
                      </w:tabs>
                      <w:spacing w:before="156" w:line="220" w:lineRule="exact"/>
                      <w:ind w:firstLine="0" w:firstLineChars="0"/>
                      <w:jc w:val="both"/>
                      <w:rPr>
                        <w:rFonts w:hint="eastAsia"/>
                        <w:b w:val="0"/>
                      </w:rPr>
                    </w:pPr>
                    <w:r>
                      <w:rPr>
                        <w:rFonts w:hint="eastAsia"/>
                        <w:b w:val="0"/>
                      </w:rPr>
                      <w:t>财务部部长、综合部部长</w:t>
                    </w:r>
                  </w:p>
                </w:txbxContent>
              </v:textbox>
            </v:shape>
            <v:line id="直线 913" o:spid="_x0000_s1103" style="mso-wrap-style:square;position:absolute" from="2672,5447" to="9759,5447" strokeweight="0.5pt">
              <v:stroke linestyle="single"/>
            </v:line>
            <v:line id="直线 914" o:spid="_x0000_s1104" style="mso-wrap-style:square;position:absolute" from="9759,5447" to="9759,5924" strokeweight="0.5pt">
              <v:stroke linestyle="single"/>
            </v:line>
            <v:line id="直线 915" o:spid="_x0000_s1105" style="flip:y;mso-wrap-style:square;position:absolute" from="7631,5448" to="7631,5905" strokeweight="0.5pt">
              <v:stroke linestyle="single"/>
            </v:line>
            <v:line id="直线 916" o:spid="_x0000_s1106" style="flip:y;mso-wrap-style:square;position:absolute" from="5624,5444" to="5624,6011" strokeweight="0.5pt">
              <v:stroke linestyle="single"/>
            </v:line>
            <v:line id="直线 917" o:spid="_x0000_s1107" style="flip:y;mso-wrap-style:square;position:absolute" from="4130,5458" to="4141,6020" strokeweight="0.5pt">
              <v:stroke linestyle="single"/>
            </v:line>
            <v:line id="直线 918" o:spid="_x0000_s1108" style="flip:y;mso-wrap-style:square;position:absolute" from="2672,5442" to="2672,5949" strokeweight="0.5pt">
              <v:stroke linestyle="single"/>
            </v:line>
            <v:line id="直线 919" o:spid="_x0000_s1109" style="flip:x;mso-wrap-style:square;position:absolute" from="6164,4997" to="6165,5442">
              <v:stroke linestyle="single"/>
            </v:line>
            <v:line id="直线 920" o:spid="_x0000_s1110" style="mso-wrap-style:square;position:absolute" from="7006,7144" to="8377,7144">
              <v:stroke linestyle="single"/>
            </v:line>
            <v:shape id="文本框 921" o:spid="_x0000_s1111" type="#_x0000_t202" style="width:1169;height:6260;left:1922;mso-wrap-style:square;position:absolute;top:7640" strokeweight="0.5pt">
              <v:stroke linestyle="single"/>
              <v:textbox inset=",0,,0">
                <w:txbxContent>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1、监督施工全过程的环境保护工作和不符合纠正。</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2、发现并配合解决施工中出现的环境问题。</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3、开展环保活动和环保培训。</w:t>
                    </w:r>
                  </w:p>
                  <w:p>
                    <w:pPr>
                      <w:pStyle w:val="a10"/>
                      <w:tabs>
                        <w:tab w:val="right" w:leader="dot" w:pos="8891"/>
                        <w:tab w:val="right" w:leader="dot" w:pos="9060"/>
                      </w:tabs>
                      <w:spacing w:before="156" w:line="240" w:lineRule="exact"/>
                      <w:ind w:firstLine="0" w:firstLineChars="0"/>
                      <w:jc w:val="both"/>
                      <w:rPr>
                        <w:rFonts w:eastAsia="宋体" w:hint="eastAsia"/>
                        <w:b w:val="0"/>
                      </w:rPr>
                    </w:pPr>
                    <w:r>
                      <w:rPr>
                        <w:rFonts w:eastAsia="宋体" w:hint="eastAsia"/>
                        <w:b w:val="0"/>
                      </w:rPr>
                      <w:t>4、保证环保设施的有效运行考核。</w:t>
                    </w:r>
                  </w:p>
                </w:txbxContent>
              </v:textbox>
            </v:shape>
            <v:line id="直线 922" o:spid="_x0000_s1112" style="flip:y;mso-wrap-style:square;position:absolute" from="2558,7168" to="2558,7656" strokeweight="0.5pt">
              <v:stroke linestyle="single"/>
            </v:line>
          </v:group>
        </w:pict>
      </w: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pStyle w:val="a10"/>
        <w:tabs>
          <w:tab w:val="right" w:leader="dot" w:pos="8891"/>
          <w:tab w:val="right" w:leader="dot" w:pos="9060"/>
        </w:tabs>
        <w:spacing w:before="156"/>
        <w:ind w:firstLine="240"/>
        <w:rPr>
          <w:rFonts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spacing w:line="500" w:lineRule="exact"/>
        <w:rPr>
          <w:rFonts w:ascii="宋体" w:hAnsi="宋体" w:hint="eastAsia"/>
          <w:sz w:val="28"/>
          <w:szCs w:val="28"/>
        </w:rPr>
      </w:pPr>
      <w:bookmarkStart w:id="102" w:name="_Toc277068439"/>
      <w:bookmarkStart w:id="103" w:name="_Toc257731929"/>
      <w:bookmarkStart w:id="104" w:name="_Toc261304701"/>
      <w:bookmarkStart w:id="105" w:name="_Toc277065860"/>
    </w:p>
    <w:p>
      <w:pPr>
        <w:spacing w:line="500" w:lineRule="exact"/>
        <w:rPr>
          <w:rFonts w:ascii="宋体" w:hAnsi="宋体" w:hint="eastAsia"/>
          <w:sz w:val="28"/>
          <w:szCs w:val="28"/>
        </w:rPr>
      </w:pPr>
    </w:p>
    <w:p>
      <w:pPr>
        <w:spacing w:line="500" w:lineRule="exact"/>
        <w:rPr>
          <w:rFonts w:ascii="宋体" w:hAnsi="宋体" w:hint="eastAsia"/>
          <w:sz w:val="28"/>
          <w:szCs w:val="28"/>
        </w:rPr>
      </w:pPr>
    </w:p>
    <w:p>
      <w:pPr>
        <w:spacing w:line="500" w:lineRule="exact"/>
        <w:rPr>
          <w:rFonts w:ascii="宋体" w:hAnsi="宋体" w:hint="eastAsia"/>
          <w:sz w:val="28"/>
          <w:szCs w:val="28"/>
        </w:rPr>
        <w:sectPr>
          <w:headerReference w:type="even" r:id="rId166"/>
          <w:headerReference w:type="default" r:id="rId167"/>
          <w:footerReference w:type="even" r:id="rId168"/>
          <w:footerReference w:type="default" r:id="rId169"/>
          <w:headerReference w:type="first" r:id="rId170"/>
          <w:footerReference w:type="first" r:id="rId171"/>
          <w:pgSz w:w="11906" w:h="16838"/>
          <w:pgMar w:top="1418" w:right="1418" w:bottom="1418" w:left="1418" w:header="851" w:footer="992" w:gutter="0"/>
          <w:pgNumType w:start="28"/>
          <w:cols w:space="708"/>
          <w:titlePg/>
          <w:docGrid w:type="lines" w:linePitch="312"/>
        </w:sectPr>
      </w:pPr>
      <w:bookmarkStart w:id="106" w:name="_Toc278262606"/>
    </w:p>
    <w:p>
      <w:pPr>
        <w:spacing w:line="500" w:lineRule="exact"/>
        <w:outlineLvl w:val="2"/>
        <w:rPr>
          <w:rFonts w:ascii="宋体" w:hAnsi="宋体" w:hint="eastAsia"/>
          <w:b/>
          <w:sz w:val="28"/>
          <w:szCs w:val="28"/>
        </w:rPr>
      </w:pPr>
      <w:bookmarkStart w:id="107" w:name="_Toc307341747"/>
      <w:r>
        <w:rPr>
          <w:rFonts w:ascii="宋体" w:hAnsi="宋体" w:hint="eastAsia"/>
          <w:b/>
          <w:sz w:val="28"/>
          <w:szCs w:val="28"/>
        </w:rPr>
        <w:t>8.2 环水保目标</w:t>
      </w:r>
      <w:bookmarkEnd w:id="107"/>
    </w:p>
    <w:p>
      <w:pPr>
        <w:spacing w:line="500" w:lineRule="exact"/>
        <w:ind w:firstLine="560" w:firstLineChars="200"/>
        <w:outlineLvl w:val="2"/>
        <w:rPr>
          <w:rFonts w:ascii="宋体" w:hAnsi="宋体" w:hint="eastAsia"/>
          <w:sz w:val="28"/>
          <w:szCs w:val="28"/>
        </w:rPr>
      </w:pPr>
      <w:bookmarkStart w:id="108" w:name="_Toc307341748"/>
      <w:r>
        <w:rPr>
          <w:rFonts w:ascii="宋体" w:hAnsi="宋体" w:hint="eastAsia"/>
          <w:sz w:val="28"/>
          <w:szCs w:val="28"/>
        </w:rPr>
        <w:t>最终目的就是在施工的同时尽量减少环境污染和水土流失。</w:t>
      </w:r>
      <w:bookmarkEnd w:id="108"/>
    </w:p>
    <w:p>
      <w:pPr>
        <w:spacing w:line="500" w:lineRule="exact"/>
        <w:outlineLvl w:val="2"/>
        <w:rPr>
          <w:rFonts w:ascii="宋体" w:hAnsi="宋体" w:hint="eastAsia"/>
          <w:b/>
          <w:sz w:val="28"/>
          <w:szCs w:val="28"/>
        </w:rPr>
      </w:pPr>
      <w:bookmarkStart w:id="109" w:name="_Toc307341749"/>
      <w:r>
        <w:rPr>
          <w:rFonts w:ascii="宋体" w:hAnsi="宋体" w:hint="eastAsia"/>
          <w:b/>
          <w:sz w:val="28"/>
          <w:szCs w:val="28"/>
        </w:rPr>
        <w:t>8.3 环水保的重要性</w:t>
      </w:r>
      <w:bookmarkEnd w:id="109"/>
    </w:p>
    <w:p>
      <w:pPr>
        <w:spacing w:line="500" w:lineRule="exact"/>
        <w:ind w:firstLine="560" w:firstLineChars="200"/>
        <w:outlineLvl w:val="2"/>
        <w:rPr>
          <w:rFonts w:ascii="宋体" w:hAnsi="宋体" w:hint="eastAsia"/>
          <w:sz w:val="28"/>
          <w:szCs w:val="28"/>
        </w:rPr>
      </w:pPr>
      <w:bookmarkStart w:id="110" w:name="_Toc307341750"/>
      <w:r>
        <w:rPr>
          <w:rFonts w:ascii="宋体" w:hAnsi="宋体" w:hint="eastAsia"/>
          <w:sz w:val="28"/>
          <w:szCs w:val="28"/>
        </w:rPr>
        <w:t>环境是人类赖以生存的必须条件，因此在施工保护环境是必须的硬性条件。</w:t>
      </w:r>
      <w:bookmarkEnd w:id="110"/>
    </w:p>
    <w:p>
      <w:pPr>
        <w:spacing w:line="500" w:lineRule="exact"/>
        <w:outlineLvl w:val="2"/>
        <w:rPr>
          <w:rFonts w:ascii="宋体" w:hAnsi="宋体" w:hint="eastAsia"/>
          <w:b/>
          <w:sz w:val="28"/>
          <w:szCs w:val="28"/>
        </w:rPr>
      </w:pPr>
      <w:bookmarkStart w:id="111" w:name="_Toc307341751"/>
      <w:r>
        <w:rPr>
          <w:rFonts w:ascii="宋体" w:hAnsi="宋体" w:hint="eastAsia"/>
          <w:b/>
          <w:sz w:val="28"/>
          <w:szCs w:val="28"/>
        </w:rPr>
        <w:t>8.4环保水保管理制度</w:t>
      </w:r>
      <w:bookmarkEnd w:id="102"/>
      <w:bookmarkEnd w:id="103"/>
      <w:bookmarkEnd w:id="104"/>
      <w:bookmarkEnd w:id="105"/>
      <w:bookmarkEnd w:id="106"/>
      <w:bookmarkEnd w:id="111"/>
    </w:p>
    <w:p>
      <w:pPr>
        <w:spacing w:line="500" w:lineRule="exact"/>
        <w:ind w:firstLine="560" w:firstLineChars="200"/>
        <w:rPr>
          <w:rFonts w:ascii="宋体" w:hAnsi="宋体" w:hint="eastAsia"/>
          <w:sz w:val="28"/>
          <w:szCs w:val="28"/>
        </w:rPr>
      </w:pPr>
      <w:r>
        <w:rPr>
          <w:rFonts w:ascii="宋体" w:hAnsi="宋体" w:hint="eastAsia"/>
          <w:sz w:val="28"/>
          <w:szCs w:val="28"/>
        </w:rPr>
        <w:t>建立环保、水保管理制度。管理制度的内容有：</w:t>
      </w:r>
    </w:p>
    <w:p>
      <w:pPr>
        <w:numPr>
          <w:ilvl w:val="0"/>
          <w:numId w:val="4"/>
        </w:numPr>
        <w:spacing w:line="500" w:lineRule="exact"/>
        <w:ind w:left="0" w:firstLine="560"/>
        <w:rPr>
          <w:rFonts w:ascii="宋体" w:hAnsi="宋体" w:hint="eastAsia"/>
          <w:sz w:val="28"/>
          <w:szCs w:val="28"/>
        </w:rPr>
      </w:pPr>
      <w:r>
        <w:rPr>
          <w:rFonts w:ascii="宋体" w:hAnsi="宋体" w:hint="eastAsia"/>
          <w:sz w:val="28"/>
          <w:szCs w:val="28"/>
        </w:rPr>
        <w:t>组织对污染源进行调查，弄清和掌握污染状况，建立污染源档案，定期开展环境监测。</w:t>
      </w:r>
    </w:p>
    <w:p>
      <w:pPr>
        <w:numPr>
          <w:ilvl w:val="0"/>
          <w:numId w:val="4"/>
        </w:numPr>
        <w:spacing w:line="500" w:lineRule="exact"/>
        <w:rPr>
          <w:rFonts w:ascii="宋体" w:hAnsi="宋体" w:hint="eastAsia"/>
          <w:sz w:val="28"/>
          <w:szCs w:val="28"/>
        </w:rPr>
      </w:pPr>
      <w:r>
        <w:rPr>
          <w:rFonts w:ascii="宋体" w:hAnsi="宋体" w:hint="eastAsia"/>
          <w:sz w:val="28"/>
          <w:szCs w:val="28"/>
        </w:rPr>
        <w:t>编制环境保护的规划和计划，纳入施工生产中。制定符合环保要求并便于考核的污染物排放指标、环境设施运转指标、绿化指标等，与施工生产一样考核。</w:t>
      </w:r>
    </w:p>
    <w:p>
      <w:pPr>
        <w:numPr>
          <w:ilvl w:val="0"/>
          <w:numId w:val="4"/>
        </w:numPr>
        <w:spacing w:line="500" w:lineRule="exact"/>
        <w:rPr>
          <w:rFonts w:ascii="宋体" w:hAnsi="宋体" w:hint="eastAsia"/>
          <w:sz w:val="28"/>
          <w:szCs w:val="28"/>
        </w:rPr>
      </w:pPr>
      <w:r>
        <w:rPr>
          <w:rFonts w:ascii="宋体" w:hAnsi="宋体" w:hint="eastAsia"/>
          <w:sz w:val="28"/>
          <w:szCs w:val="28"/>
        </w:rPr>
        <w:t>加大对环保的投资，对污染源的治理从资金上给予保证。</w:t>
      </w:r>
    </w:p>
    <w:p>
      <w:pPr>
        <w:numPr>
          <w:ilvl w:val="0"/>
          <w:numId w:val="4"/>
        </w:numPr>
        <w:spacing w:line="500" w:lineRule="exact"/>
        <w:rPr>
          <w:rFonts w:ascii="宋体" w:hAnsi="宋体" w:hint="eastAsia"/>
          <w:sz w:val="28"/>
          <w:szCs w:val="28"/>
        </w:rPr>
      </w:pPr>
      <w:r>
        <w:rPr>
          <w:rFonts w:ascii="宋体" w:hAnsi="宋体" w:hint="eastAsia"/>
          <w:sz w:val="28"/>
          <w:szCs w:val="28"/>
        </w:rPr>
        <w:t>加强环保管理，采用防治污染的新工艺、新技术、新设备。</w:t>
      </w:r>
    </w:p>
    <w:p>
      <w:pPr>
        <w:numPr>
          <w:ilvl w:val="0"/>
          <w:numId w:val="4"/>
        </w:numPr>
        <w:spacing w:line="500" w:lineRule="exact"/>
        <w:rPr>
          <w:rFonts w:ascii="宋体" w:hAnsi="宋体" w:hint="eastAsia"/>
          <w:sz w:val="28"/>
          <w:szCs w:val="28"/>
        </w:rPr>
      </w:pPr>
      <w:r>
        <w:rPr>
          <w:rFonts w:ascii="宋体" w:hAnsi="宋体" w:hint="eastAsia"/>
          <w:sz w:val="28"/>
          <w:szCs w:val="28"/>
        </w:rPr>
        <w:t>开展绿化工作，及时恢复已完工程的植被，控制新污染源。</w:t>
      </w:r>
    </w:p>
    <w:p>
      <w:pPr>
        <w:numPr>
          <w:ilvl w:val="0"/>
          <w:numId w:val="4"/>
        </w:numPr>
        <w:spacing w:line="500" w:lineRule="exact"/>
        <w:rPr>
          <w:rFonts w:ascii="宋体" w:hAnsi="宋体" w:hint="eastAsia"/>
          <w:sz w:val="28"/>
          <w:szCs w:val="28"/>
        </w:rPr>
      </w:pPr>
      <w:r>
        <w:rPr>
          <w:rFonts w:ascii="宋体" w:hAnsi="宋体" w:hint="eastAsia"/>
          <w:sz w:val="28"/>
          <w:szCs w:val="28"/>
        </w:rPr>
        <w:t>加强环境检测，对污染物排放要定期进行检测，确保污染物排放达标。</w:t>
      </w:r>
    </w:p>
    <w:p>
      <w:pPr>
        <w:spacing w:line="500" w:lineRule="exact"/>
        <w:ind w:firstLine="560" w:firstLineChars="200"/>
        <w:rPr>
          <w:rFonts w:ascii="宋体" w:hAnsi="宋体" w:hint="eastAsia"/>
          <w:sz w:val="28"/>
          <w:szCs w:val="28"/>
        </w:rPr>
      </w:pPr>
      <w:r>
        <w:rPr>
          <w:rFonts w:ascii="宋体" w:hAnsi="宋体" w:hint="eastAsia"/>
          <w:sz w:val="28"/>
          <w:szCs w:val="28"/>
        </w:rPr>
        <w:t>7）  经常检查环境保护工作，开展环保教育和技术培训，将环境保护纳入劳动竞赛活动中，推动环境保护工作。</w:t>
      </w:r>
    </w:p>
    <w:p>
      <w:pPr>
        <w:spacing w:line="500" w:lineRule="exact"/>
        <w:outlineLvl w:val="2"/>
        <w:rPr>
          <w:rFonts w:ascii="宋体" w:hAnsi="宋体" w:hint="eastAsia"/>
          <w:b/>
          <w:sz w:val="28"/>
          <w:szCs w:val="28"/>
        </w:rPr>
      </w:pPr>
      <w:bookmarkStart w:id="112" w:name="_Toc277068440"/>
      <w:bookmarkStart w:id="113" w:name="_Toc307341752"/>
      <w:bookmarkStart w:id="114" w:name="_Toc278262607"/>
      <w:bookmarkStart w:id="115" w:name="_Toc277065861"/>
      <w:bookmarkStart w:id="116" w:name="_Toc261304702"/>
      <w:bookmarkStart w:id="117" w:name="_Toc257731930"/>
      <w:r>
        <w:rPr>
          <w:rFonts w:ascii="宋体" w:hAnsi="宋体" w:hint="eastAsia"/>
          <w:b/>
          <w:sz w:val="28"/>
          <w:szCs w:val="28"/>
        </w:rPr>
        <w:t>8.5 环保水保责任制度</w:t>
      </w:r>
      <w:bookmarkEnd w:id="112"/>
      <w:bookmarkEnd w:id="113"/>
      <w:bookmarkEnd w:id="114"/>
      <w:bookmarkEnd w:id="115"/>
      <w:bookmarkEnd w:id="116"/>
      <w:bookmarkEnd w:id="117"/>
    </w:p>
    <w:p>
      <w:pPr>
        <w:spacing w:line="500" w:lineRule="exact"/>
        <w:ind w:firstLine="560" w:firstLineChars="200"/>
        <w:rPr>
          <w:rFonts w:ascii="宋体" w:hAnsi="宋体" w:hint="eastAsia"/>
          <w:sz w:val="28"/>
          <w:szCs w:val="28"/>
        </w:rPr>
      </w:pPr>
      <w:r>
        <w:rPr>
          <w:rFonts w:ascii="宋体" w:hAnsi="宋体" w:hint="eastAsia"/>
          <w:sz w:val="28"/>
          <w:szCs w:val="28"/>
        </w:rPr>
        <w:pict>
          <v:rect id="矩形 923" o:spid="_x0000_s1113" style="width:472.5pt;height:588pt;margin-top:742pt;margin-left:-30.1pt;mso-wrap-style:square;position:absolute;z-index:251661312" filled="f" fillcolor="gray" stroked="f" strokecolor="#333" strokeweight="4.5pt">
            <v:fill r:id="rId172" o:title="点式菱形" type="pattern"/>
            <v:stroke linestyle="thickThin"/>
          </v:rect>
        </w:pict>
      </w:r>
      <w:r>
        <w:rPr>
          <w:rFonts w:ascii="宋体" w:hAnsi="宋体" w:hint="eastAsia"/>
          <w:sz w:val="28"/>
          <w:szCs w:val="28"/>
        </w:rPr>
        <w:t>建立环保、水保责任制度。明确各级、各部门在环保水保工作中的职责分工，形成环保水保工作的责任体系。环保水保责任体系见图9.5-3。</w:t>
      </w:r>
    </w:p>
    <w:p>
      <w:pPr>
        <w:spacing w:line="500" w:lineRule="exact"/>
        <w:outlineLvl w:val="2"/>
        <w:rPr>
          <w:rFonts w:ascii="宋体" w:hAnsi="宋体" w:hint="eastAsia"/>
          <w:b/>
          <w:sz w:val="28"/>
          <w:szCs w:val="28"/>
        </w:rPr>
      </w:pPr>
      <w:bookmarkStart w:id="118" w:name="_Toc277065862"/>
      <w:bookmarkStart w:id="119" w:name="_Toc277068441"/>
      <w:bookmarkStart w:id="120" w:name="_Toc278262608"/>
      <w:bookmarkStart w:id="121" w:name="_Toc261304703"/>
      <w:bookmarkStart w:id="122" w:name="_Toc257731931"/>
      <w:bookmarkStart w:id="123" w:name="_Toc307341753"/>
      <w:r>
        <w:rPr>
          <w:rFonts w:ascii="宋体" w:hAnsi="宋体" w:hint="eastAsia"/>
          <w:b/>
          <w:sz w:val="28"/>
          <w:szCs w:val="28"/>
        </w:rPr>
        <w:t>8.6环保水保检查制度</w:t>
      </w:r>
      <w:bookmarkEnd w:id="123"/>
      <w:bookmarkEnd w:id="118"/>
      <w:bookmarkEnd w:id="119"/>
      <w:bookmarkEnd w:id="120"/>
      <w:bookmarkEnd w:id="121"/>
      <w:bookmarkEnd w:id="122"/>
    </w:p>
    <w:p>
      <w:pPr>
        <w:spacing w:line="500" w:lineRule="exact"/>
        <w:ind w:firstLine="560" w:firstLineChars="200"/>
        <w:rPr>
          <w:rFonts w:ascii="宋体" w:hAnsi="宋体" w:hint="eastAsia"/>
          <w:sz w:val="28"/>
          <w:szCs w:val="28"/>
        </w:rPr>
        <w:sectPr>
          <w:headerReference w:type="even" r:id="rId173"/>
          <w:headerReference w:type="default" r:id="rId174"/>
          <w:footerReference w:type="even" r:id="rId175"/>
          <w:footerReference w:type="default" r:id="rId176"/>
          <w:headerReference w:type="first" r:id="rId177"/>
          <w:footerReference w:type="first" r:id="rId178"/>
          <w:type w:val="nextPage"/>
          <w:pgSz w:w="11906" w:h="16838"/>
          <w:pgMar w:top="1418" w:right="1418" w:bottom="1418" w:left="1418" w:header="851" w:footer="992" w:gutter="0"/>
          <w:pgNumType w:start="29"/>
          <w:cols w:space="708"/>
          <w:titlePg w:val="0"/>
          <w:docGrid w:type="lines" w:linePitch="312"/>
        </w:sectPr>
      </w:pPr>
    </w:p>
    <w:p>
      <w:pPr>
        <w:spacing w:line="500" w:lineRule="exact"/>
        <w:ind w:firstLine="560" w:firstLineChars="200"/>
        <w:rPr>
          <w:rFonts w:ascii="宋体" w:hAnsi="宋体" w:hint="eastAsia"/>
          <w:sz w:val="28"/>
          <w:szCs w:val="28"/>
        </w:rPr>
      </w:pPr>
      <w:r>
        <w:rPr>
          <w:rFonts w:ascii="宋体" w:hAnsi="宋体" w:hint="eastAsia"/>
          <w:sz w:val="28"/>
          <w:szCs w:val="28"/>
        </w:rPr>
        <w:t>建立环境保护检查制度。环保工作的检查由项目经理部安全质量部牵头实施，由工程技术部、物资设备部、中心试验室、主管劳动卫生监测的人员配合。检查要明确检查的内容，检查方法、检查周期频次及检查人员，检查要有记录、有总结，有污染物超标排放的限定整改措施和跟踪整改报告。</w:t>
      </w:r>
    </w:p>
    <w:p>
      <w:pPr>
        <w:spacing w:line="500" w:lineRule="exact"/>
        <w:outlineLvl w:val="2"/>
        <w:rPr>
          <w:rFonts w:ascii="宋体" w:hAnsi="宋体" w:hint="eastAsia"/>
          <w:b/>
          <w:sz w:val="28"/>
          <w:szCs w:val="28"/>
        </w:rPr>
      </w:pPr>
      <w:bookmarkStart w:id="124" w:name="_Toc261304704"/>
      <w:bookmarkStart w:id="125" w:name="_Toc277065863"/>
      <w:bookmarkStart w:id="126" w:name="_Toc277068442"/>
      <w:bookmarkStart w:id="127" w:name="_Toc257731932"/>
      <w:bookmarkStart w:id="128" w:name="_Toc278262609"/>
      <w:bookmarkStart w:id="129" w:name="_Toc307341754"/>
      <w:r>
        <w:rPr>
          <w:rFonts w:ascii="宋体" w:hAnsi="宋体" w:hint="eastAsia"/>
          <w:b/>
          <w:sz w:val="28"/>
          <w:szCs w:val="28"/>
        </w:rPr>
        <w:t>8.7 环境保护、水土保持技术措施</w:t>
      </w:r>
      <w:bookmarkEnd w:id="129"/>
      <w:bookmarkEnd w:id="124"/>
      <w:bookmarkEnd w:id="125"/>
      <w:bookmarkEnd w:id="126"/>
      <w:bookmarkEnd w:id="127"/>
      <w:bookmarkEnd w:id="128"/>
    </w:p>
    <w:p>
      <w:pPr>
        <w:spacing w:line="500" w:lineRule="exact"/>
        <w:outlineLvl w:val="3"/>
        <w:rPr>
          <w:rFonts w:ascii="宋体" w:hAnsi="宋体" w:hint="eastAsia"/>
          <w:sz w:val="28"/>
          <w:szCs w:val="28"/>
        </w:rPr>
      </w:pPr>
      <w:bookmarkStart w:id="130" w:name="_Toc257731933"/>
      <w:bookmarkStart w:id="131" w:name="_Toc277068443"/>
      <w:bookmarkStart w:id="132" w:name="_Toc277065864"/>
      <w:bookmarkStart w:id="133" w:name="_Toc278262610"/>
      <w:bookmarkStart w:id="134" w:name="_Toc261304705"/>
      <w:r>
        <w:rPr>
          <w:rFonts w:ascii="宋体" w:hAnsi="宋体" w:hint="eastAsia"/>
          <w:sz w:val="28"/>
          <w:szCs w:val="28"/>
        </w:rPr>
        <w:t>8.7.1 环保水保措施规划</w:t>
      </w:r>
      <w:bookmarkEnd w:id="130"/>
      <w:bookmarkEnd w:id="131"/>
      <w:bookmarkEnd w:id="132"/>
      <w:bookmarkEnd w:id="133"/>
      <w:bookmarkEnd w:id="134"/>
    </w:p>
    <w:p>
      <w:pPr>
        <w:pStyle w:val="a9"/>
        <w:tabs>
          <w:tab w:val="right" w:leader="dot" w:pos="8891"/>
          <w:tab w:val="right" w:leader="dot" w:pos="9060"/>
        </w:tabs>
        <w:spacing w:before="156"/>
        <w:ind w:firstLine="280"/>
        <w:rPr>
          <w:rFonts w:eastAsia="宋体" w:hint="eastAsia"/>
        </w:rPr>
      </w:pPr>
      <w:r>
        <w:rPr>
          <w:rFonts w:eastAsia="宋体" w:hint="eastAsia"/>
        </w:rPr>
        <w:t>图8.7-1  环保水保责任体系</w:t>
      </w:r>
    </w:p>
    <w:p>
      <w:pPr>
        <w:rPr>
          <w:rFonts w:ascii="宋体" w:hAnsi="宋体" w:hint="eastAsia"/>
        </w:rPr>
      </w:pPr>
      <w:r>
        <w:rPr>
          <w:rFonts w:ascii="宋体" w:hAnsi="宋体" w:hint="eastAsia"/>
        </w:rPr>
        <w:pict>
          <v:group id="组合 818" o:spid="_x0000_s1114" style="width:437.1pt;height:491.75pt;margin-top:3.65pt;margin-left:-0.75pt;position:absolute;z-index:251662336" coordorigin="1623,7927" coordsize="8742,6820">
            <v:line id="直线 819" o:spid="_x0000_s1115" style="mso-wrap-style:square;position:absolute" from="2435,9050" to="9755,9050" stroked="t">
              <v:stroke linestyle="single"/>
            </v:line>
            <v:shape id="文本框 820" o:spid="_x0000_s1116" type="#_x0000_t202" style="width:4937;height:464;left:3547;mso-wrap-style:square;position:absolute;top:14283" filled="t" fillcolor="white" stroked="t">
              <v:fill rotate="t"/>
              <v:stroke linestyle="single"/>
              <v:textbox inset=",2.83pt,,0">
                <w:txbxContent>
                  <w:p>
                    <w:pPr>
                      <w:pStyle w:val="a10"/>
                      <w:tabs>
                        <w:tab w:val="right" w:leader="dot" w:pos="8891"/>
                        <w:tab w:val="right" w:leader="dot" w:pos="9060"/>
                      </w:tabs>
                      <w:spacing w:before="156" w:line="200" w:lineRule="exact"/>
                      <w:ind w:firstLine="0" w:firstLineChars="0"/>
                      <w:jc w:val="both"/>
                      <w:rPr>
                        <w:rFonts w:hint="eastAsia"/>
                      </w:rPr>
                    </w:pPr>
                    <w:r>
                      <w:rPr>
                        <w:rFonts w:hint="eastAsia"/>
                        <w:b w:val="0"/>
                      </w:rPr>
                      <w:t>各工序、班组、岗位人员做好职责的具体工作</w:t>
                    </w:r>
                  </w:p>
                </w:txbxContent>
              </v:textbox>
            </v:shape>
            <v:line id="直线 821" o:spid="_x0000_s1117" style="mso-wrap-style:square;position:absolute" from="6018,13926" to="6018,14283" stroked="t">
              <v:stroke linestyle="single" endarrow="block"/>
            </v:line>
            <v:line id="直线 822" o:spid="_x0000_s1118" style="mso-wrap-style:square;position:absolute" from="6144,8686" to="6144,9043" stroked="t">
              <v:stroke linestyle="single"/>
            </v:line>
            <v:shape id="文本框 823" o:spid="_x0000_s1119" type="#_x0000_t202" style="width:2943;height:777;left:4657;mso-wrap-style:square;position:absolute;top:7927" filled="t" fillcolor="white" stroked="t">
              <v:fill rotate="t"/>
              <v:stroke linestyle="single"/>
              <v:textbox inset="0,5.67pt,0,0">
                <w:txbxContent>
                  <w:p>
                    <w:pPr>
                      <w:pStyle w:val="a10"/>
                      <w:tabs>
                        <w:tab w:val="right" w:leader="dot" w:pos="8891"/>
                        <w:tab w:val="right" w:leader="dot" w:pos="9060"/>
                      </w:tabs>
                      <w:spacing w:before="156" w:line="240" w:lineRule="exact"/>
                      <w:ind w:firstLine="240"/>
                      <w:rPr>
                        <w:rFonts w:hint="eastAsia"/>
                        <w:b w:val="0"/>
                      </w:rPr>
                    </w:pPr>
                    <w:r>
                      <w:rPr>
                        <w:rFonts w:hint="eastAsia"/>
                        <w:b w:val="0"/>
                      </w:rPr>
                      <w:t>环保、水保领导小组</w:t>
                    </w:r>
                  </w:p>
                  <w:p>
                    <w:pPr>
                      <w:pStyle w:val="a10"/>
                      <w:tabs>
                        <w:tab w:val="right" w:leader="dot" w:pos="8891"/>
                        <w:tab w:val="right" w:leader="dot" w:pos="9060"/>
                      </w:tabs>
                      <w:spacing w:before="156" w:line="240" w:lineRule="exact"/>
                      <w:ind w:firstLine="240"/>
                      <w:rPr>
                        <w:rFonts w:hint="eastAsia"/>
                        <w:b w:val="0"/>
                      </w:rPr>
                    </w:pPr>
                    <w:r>
                      <w:rPr>
                        <w:rFonts w:hint="eastAsia"/>
                        <w:b w:val="0"/>
                      </w:rPr>
                      <w:t>项目经理全面负责</w:t>
                    </w:r>
                  </w:p>
                </w:txbxContent>
              </v:textbox>
            </v:shape>
            <v:line id="直线 824" o:spid="_x0000_s1120" style="mso-wrap-style:square;position:absolute" from="2431,9061" to="2431,13934" stroked="t">
              <v:stroke linestyle="single"/>
            </v:line>
            <v:line id="直线 825" o:spid="_x0000_s1121" style="mso-wrap-style:square;position:absolute" from="2449,13934" to="9759,13934" stroked="t">
              <v:stroke linestyle="single"/>
            </v:line>
            <v:line id="直线 826" o:spid="_x0000_s1122" style="mso-wrap-style:square;position:absolute" from="3945,9061" to="3945,13914" stroked="t">
              <v:stroke linestyle="single"/>
            </v:line>
            <v:line id="直线 827" o:spid="_x0000_s1123" style="mso-wrap-style:square;position:absolute" from="5309,9061" to="5309,13934" stroked="t">
              <v:stroke linestyle="single"/>
            </v:line>
            <v:line id="直线 828" o:spid="_x0000_s1124" style="mso-wrap-style:square;position:absolute" from="6848,9061" to="6848,13934" stroked="t">
              <v:stroke linestyle="single"/>
            </v:line>
            <v:line id="直线 829" o:spid="_x0000_s1125" style="mso-wrap-style:square;position:absolute" from="8503,9061" to="8503,13914" stroked="t">
              <v:stroke linestyle="single"/>
            </v:line>
            <v:line id="直线 830" o:spid="_x0000_s1126" style="mso-wrap-style:square;position:absolute" from="9770,9059" to="9770,13945" stroked="t">
              <v:stroke linestyle="single"/>
            </v:line>
            <v:shape id="文本框 831" o:spid="_x0000_s1127" type="#_x0000_t202" style="width:1049;height:713;left:9245;mso-wrap-style:square;position:absolute;top:9397" filled="t" fillcolor="white" stroked="t">
              <v:fill rotate="t"/>
              <v:stroke linestyle="single"/>
              <v:textbox inset="4.25pt,4.25pt,4.25pt,0">
                <w:txbxContent>
                  <w:p>
                    <w:pPr>
                      <w:pStyle w:val="a10"/>
                      <w:tabs>
                        <w:tab w:val="right" w:leader="dot" w:pos="8891"/>
                        <w:tab w:val="right" w:leader="dot" w:pos="9060"/>
                      </w:tabs>
                      <w:spacing w:before="156" w:line="240" w:lineRule="auto"/>
                      <w:ind w:firstLine="0" w:firstLineChars="0"/>
                      <w:rPr>
                        <w:rFonts w:hint="eastAsia"/>
                        <w:b w:val="0"/>
                      </w:rPr>
                    </w:pPr>
                    <w:r>
                      <w:rPr>
                        <w:rFonts w:hint="eastAsia"/>
                        <w:b w:val="0"/>
                      </w:rPr>
                      <w:t>其它有关部门</w:t>
                    </w:r>
                  </w:p>
                </w:txbxContent>
              </v:textbox>
            </v:shape>
            <v:shape id="文本框 832" o:spid="_x0000_s1128" type="#_x0000_t202" style="width:1165;height:3029;left:9200;mso-wrap-style:square;position:absolute;top:10480" filled="t" fillcolor="white" stroked="t">
              <v:fill rotate="t"/>
              <v:stroke linestyle="single"/>
              <v:textbox inset="4.25pt,0,4.25pt,0">
                <w:txbxContent>
                  <w:p>
                    <w:pPr>
                      <w:pStyle w:val="a10"/>
                      <w:tabs>
                        <w:tab w:val="right" w:leader="dot" w:pos="8891"/>
                        <w:tab w:val="right" w:leader="dot" w:pos="9060"/>
                      </w:tabs>
                      <w:spacing w:before="156" w:line="240" w:lineRule="auto"/>
                      <w:ind w:firstLine="240"/>
                      <w:rPr>
                        <w:rFonts w:hint="eastAsia"/>
                      </w:rPr>
                    </w:pPr>
                    <w:r>
                      <w:rPr>
                        <w:rFonts w:hint="eastAsia"/>
                        <w:b w:val="0"/>
                      </w:rPr>
                      <w:t>计财部门保证环保、水保工作所需经费；行政部门负责各项后勤保障符合环保、水土保持要求</w:t>
                    </w:r>
                  </w:p>
                </w:txbxContent>
              </v:textbox>
            </v:shape>
            <v:shape id="文本框 833" o:spid="_x0000_s1129" type="#_x0000_t202" style="width:1521;height:3056;left:1623;mso-wrap-style:square;position:absolute;top:10476" filled="t" fillcolor="white" stroked="t">
              <v:fill rotate="t"/>
              <v:stroke linestyle="single"/>
              <v:textbox inset="1.42pt,0,1.42pt,0">
                <w:txbxContent>
                  <w:p>
                    <w:pPr>
                      <w:pStyle w:val="a10"/>
                      <w:tabs>
                        <w:tab w:val="right" w:leader="dot" w:pos="8891"/>
                        <w:tab w:val="right" w:leader="dot" w:pos="9060"/>
                      </w:tabs>
                      <w:spacing w:before="156" w:line="240" w:lineRule="auto"/>
                      <w:ind w:firstLine="240"/>
                      <w:rPr>
                        <w:rFonts w:hint="eastAsia"/>
                      </w:rPr>
                    </w:pPr>
                    <w:r>
                      <w:rPr>
                        <w:rFonts w:hint="eastAsia"/>
                        <w:b w:val="0"/>
                      </w:rPr>
                      <w:t>监督施工全过程的环保工作，对不符合规定的进行纠正；发现并配合解决施工中出现的环境问题；开展环保活动和环保知识的培训；保证环保设施的有效运行</w:t>
                    </w:r>
                  </w:p>
                </w:txbxContent>
              </v:textbox>
            </v:shape>
            <v:shape id="文本框 834" o:spid="_x0000_s1130" type="#_x0000_t202" style="width:1367;height:3070;left:3255;mso-wrap-style:square;position:absolute;top:10476" filled="t" fillcolor="white" stroked="t">
              <v:fill rotate="t"/>
              <v:stroke linestyle="single"/>
              <v:textbox inset="0.85pt,0,0.85pt,0">
                <w:txbxContent>
                  <w:p>
                    <w:pPr>
                      <w:pStyle w:val="a10"/>
                      <w:tabs>
                        <w:tab w:val="right" w:leader="dot" w:pos="8891"/>
                        <w:tab w:val="right" w:leader="dot" w:pos="9060"/>
                      </w:tabs>
                      <w:spacing w:before="156" w:after="156" w:afterLines="50" w:line="240" w:lineRule="auto"/>
                      <w:ind w:firstLine="240"/>
                      <w:rPr>
                        <w:rFonts w:hint="eastAsia"/>
                        <w:b w:val="0"/>
                      </w:rPr>
                    </w:pPr>
                    <w:r>
                      <w:rPr>
                        <w:rFonts w:hint="eastAsia"/>
                        <w:b w:val="0"/>
                      </w:rPr>
                      <w:t>制定项目环保措施和分项工程的环保水土保持方案；监督各项环保、水土保持技术措施的落实；解决施工中出现的污染环境的技术问题</w:t>
                    </w:r>
                  </w:p>
                </w:txbxContent>
              </v:textbox>
            </v:shape>
            <v:shape id="文本框 835" o:spid="_x0000_s1131" type="#_x0000_t202" style="width:1084;height:3070;left:4747;mso-wrap-style:square;position:absolute;top:10476" filled="t" fillcolor="white" stroked="t">
              <v:fill rotate="t"/>
              <v:stroke linestyle="single"/>
              <v:textbox inset="4.25pt,0,4.25pt,0">
                <w:txbxContent>
                  <w:p>
                    <w:pPr>
                      <w:pStyle w:val="a10"/>
                      <w:tabs>
                        <w:tab w:val="right" w:leader="dot" w:pos="8891"/>
                        <w:tab w:val="right" w:leader="dot" w:pos="9060"/>
                      </w:tabs>
                      <w:spacing w:before="156" w:line="240" w:lineRule="auto"/>
                      <w:ind w:firstLine="240"/>
                      <w:rPr>
                        <w:rFonts w:hint="eastAsia"/>
                        <w:b w:val="0"/>
                      </w:rPr>
                    </w:pPr>
                    <w:r>
                      <w:rPr>
                        <w:rFonts w:hint="eastAsia"/>
                        <w:b w:val="0"/>
                      </w:rPr>
                      <w:t>合理安排生产，减少对环境的干扰；组织各项环保、水土保持技术措施的实施</w:t>
                    </w:r>
                  </w:p>
                </w:txbxContent>
              </v:textbox>
            </v:shape>
            <v:shape id="文本框 836" o:spid="_x0000_s1132" type="#_x0000_t202" style="width:1855;height:3070;left:5930;mso-wrap-style:square;position:absolute;top:10476" filled="t" fillcolor="white" stroked="t">
              <v:fill rotate="t"/>
              <v:stroke linestyle="single"/>
              <v:textbox inset="1.42pt,0,1.42pt,0">
                <w:txbxContent>
                  <w:p>
                    <w:pPr>
                      <w:pStyle w:val="a10"/>
                      <w:tabs>
                        <w:tab w:val="right" w:leader="dot" w:pos="8891"/>
                        <w:tab w:val="right" w:leader="dot" w:pos="9060"/>
                      </w:tabs>
                      <w:spacing w:before="156" w:line="240" w:lineRule="auto"/>
                      <w:ind w:firstLine="240"/>
                      <w:rPr>
                        <w:rFonts w:hint="eastAsia"/>
                        <w:b w:val="0"/>
                      </w:rPr>
                    </w:pPr>
                    <w:r>
                      <w:rPr>
                        <w:rFonts w:hint="eastAsia"/>
                        <w:b w:val="0"/>
                      </w:rPr>
                      <w:t>保证使用的各类机械在安全、良好的状态下运行；监督操作人员按操作规章作业；保证按要求贮存和堆放材料；对有毒有害危险物品严格管理和领用制度；负责各种施工材料的节约和回收、再利用</w:t>
                    </w:r>
                  </w:p>
                </w:txbxContent>
              </v:textbox>
            </v:shape>
            <v:shape id="文本框 837" o:spid="_x0000_s1133" type="#_x0000_t202" style="width:1179;height:3070;left:7901;mso-wrap-style:square;position:absolute;top:10476" filled="t" fillcolor="white" stroked="t">
              <v:fill rotate="t"/>
              <v:stroke linestyle="single"/>
              <v:textbox inset="2.83pt,0,2.83pt,0">
                <w:txbxContent>
                  <w:p>
                    <w:pPr>
                      <w:pStyle w:val="a10"/>
                      <w:tabs>
                        <w:tab w:val="right" w:leader="dot" w:pos="8891"/>
                        <w:tab w:val="right" w:leader="dot" w:pos="9060"/>
                      </w:tabs>
                      <w:spacing w:before="156" w:line="240" w:lineRule="auto"/>
                      <w:ind w:firstLine="240"/>
                      <w:rPr>
                        <w:rFonts w:hint="eastAsia"/>
                      </w:rPr>
                    </w:pPr>
                    <w:r>
                      <w:rPr>
                        <w:rFonts w:hint="eastAsia"/>
                        <w:b w:val="0"/>
                      </w:rPr>
                      <w:t>保证进场施工人员的文明和技术素质；组织对施工人员的环保、水土保持培训、考核</w:t>
                    </w:r>
                  </w:p>
                </w:txbxContent>
              </v:textbox>
            </v:shape>
            <v:shape id="文本框 838" o:spid="_x0000_s1134" type="#_x0000_t202" style="width:1049;height:713;left:1909;mso-wrap-style:square;position:absolute;top:9397" filled="t" fillcolor="white" stroked="t">
              <v:fill rotate="t"/>
              <v:stroke linestyle="single"/>
              <v:textbox inset="4.25pt,2.83pt,4.25pt,0">
                <w:txbxContent>
                  <w:p>
                    <w:pPr>
                      <w:pStyle w:val="a10"/>
                      <w:tabs>
                        <w:tab w:val="right" w:leader="dot" w:pos="8891"/>
                        <w:tab w:val="right" w:leader="dot" w:pos="9060"/>
                      </w:tabs>
                      <w:spacing w:before="0" w:beforeLines="0" w:after="0" w:line="230" w:lineRule="exact"/>
                      <w:ind w:firstLine="0" w:firstLineChars="0"/>
                      <w:jc w:val="both"/>
                      <w:rPr>
                        <w:rFonts w:hint="eastAsia"/>
                        <w:b w:val="0"/>
                      </w:rPr>
                    </w:pPr>
                    <w:r>
                      <w:rPr>
                        <w:rFonts w:hint="eastAsia"/>
                        <w:b w:val="0"/>
                      </w:rPr>
                      <w:t>工程</w:t>
                    </w:r>
                  </w:p>
                  <w:p>
                    <w:pPr>
                      <w:pStyle w:val="a10"/>
                      <w:tabs>
                        <w:tab w:val="right" w:leader="dot" w:pos="8891"/>
                        <w:tab w:val="right" w:leader="dot" w:pos="9060"/>
                      </w:tabs>
                      <w:spacing w:before="0" w:beforeLines="0" w:after="0" w:line="230" w:lineRule="exact"/>
                      <w:ind w:firstLine="0" w:firstLineChars="0"/>
                      <w:jc w:val="both"/>
                      <w:rPr>
                        <w:rFonts w:hint="eastAsia"/>
                        <w:b w:val="0"/>
                      </w:rPr>
                    </w:pPr>
                    <w:r>
                      <w:rPr>
                        <w:rFonts w:hint="eastAsia"/>
                        <w:b w:val="0"/>
                      </w:rPr>
                      <w:t>技术部</w:t>
                    </w:r>
                  </w:p>
                </w:txbxContent>
              </v:textbox>
            </v:shape>
            <v:shape id="文本框 839" o:spid="_x0000_s1135" type="#_x0000_t202" style="width:1049;height:713;left:3420;mso-wrap-style:square;position:absolute;top:9397" filled="t" fillcolor="white" stroked="t">
              <v:fill rotate="t"/>
              <v:stroke linestyle="single"/>
              <v:textbox inset="4.25pt,4.25pt,4.25pt,0">
                <w:txbxContent>
                  <w:p>
                    <w:pPr>
                      <w:pStyle w:val="a10"/>
                      <w:tabs>
                        <w:tab w:val="right" w:leader="dot" w:pos="8891"/>
                        <w:tab w:val="right" w:leader="dot" w:pos="9060"/>
                      </w:tabs>
                      <w:spacing w:before="0" w:beforeLines="0" w:after="0" w:line="230" w:lineRule="exact"/>
                      <w:ind w:firstLine="240"/>
                      <w:rPr>
                        <w:rFonts w:hint="eastAsia"/>
                        <w:b w:val="0"/>
                      </w:rPr>
                    </w:pPr>
                    <w:r>
                      <w:rPr>
                        <w:rFonts w:hint="eastAsia"/>
                        <w:b w:val="0"/>
                      </w:rPr>
                      <w:t>安全   质量部</w:t>
                    </w:r>
                  </w:p>
                </w:txbxContent>
              </v:textbox>
            </v:shape>
            <v:shape id="文本框 840" o:spid="_x0000_s1136" type="#_x0000_t202" style="width:1049;height:713;left:4768;mso-wrap-style:square;position:absolute;top:9397" filled="t" fillcolor="white" stroked="t">
              <v:fill rotate="t"/>
              <v:stroke linestyle="single"/>
              <v:textbox inset="4.25pt,4.25pt,4.25pt,0">
                <w:txbxContent>
                  <w:p>
                    <w:pPr>
                      <w:pStyle w:val="a10"/>
                      <w:tabs>
                        <w:tab w:val="right" w:leader="dot" w:pos="8891"/>
                        <w:tab w:val="right" w:leader="dot" w:pos="9060"/>
                      </w:tabs>
                      <w:spacing w:before="0" w:beforeLines="0" w:after="0" w:line="230" w:lineRule="exact"/>
                      <w:ind w:firstLine="0" w:firstLineChars="0"/>
                      <w:jc w:val="both"/>
                      <w:rPr>
                        <w:rFonts w:hint="eastAsia"/>
                        <w:b w:val="0"/>
                      </w:rPr>
                    </w:pPr>
                    <w:r>
                      <w:rPr>
                        <w:rFonts w:hint="eastAsia"/>
                        <w:b w:val="0"/>
                      </w:rPr>
                      <w:t>计划合同部</w:t>
                    </w:r>
                  </w:p>
                </w:txbxContent>
              </v:textbox>
            </v:shape>
            <v:shape id="文本框 841" o:spid="_x0000_s1137" type="#_x0000_t202" style="width:1049;height:713;left:6322;mso-wrap-style:square;position:absolute;top:9397" filled="t" fillcolor="white" stroked="t">
              <v:fill rotate="t"/>
              <v:stroke linestyle="single"/>
              <v:textbox inset="4.25pt,4.25pt,4.25pt,0">
                <w:txbxContent>
                  <w:p>
                    <w:pPr>
                      <w:pStyle w:val="a10"/>
                      <w:tabs>
                        <w:tab w:val="right" w:leader="dot" w:pos="8891"/>
                        <w:tab w:val="right" w:leader="dot" w:pos="9060"/>
                      </w:tabs>
                      <w:spacing w:before="0" w:beforeLines="0" w:after="0" w:line="230" w:lineRule="exact"/>
                      <w:ind w:firstLine="0" w:firstLineChars="0"/>
                      <w:jc w:val="both"/>
                      <w:rPr>
                        <w:rFonts w:hint="eastAsia"/>
                        <w:b w:val="0"/>
                      </w:rPr>
                    </w:pPr>
                    <w:r>
                      <w:rPr>
                        <w:rFonts w:hint="eastAsia"/>
                        <w:b w:val="0"/>
                      </w:rPr>
                      <w:t>物资设备部</w:t>
                    </w:r>
                  </w:p>
                </w:txbxContent>
              </v:textbox>
            </v:shape>
            <v:shape id="文本框 842" o:spid="_x0000_s1138" type="#_x0000_t202" style="width:1050;height:713;left:7962;mso-wrap-style:square;position:absolute;top:9397" filled="t" fillcolor="white" stroked="t">
              <v:fill rotate="t"/>
              <v:stroke linestyle="single"/>
              <v:textbox inset="4.25pt,4.25pt,4.25pt,0">
                <w:txbxContent>
                  <w:p>
                    <w:pPr>
                      <w:pStyle w:val="a10"/>
                      <w:tabs>
                        <w:tab w:val="right" w:leader="dot" w:pos="8891"/>
                        <w:tab w:val="right" w:leader="dot" w:pos="9060"/>
                      </w:tabs>
                      <w:spacing w:before="0" w:beforeLines="0" w:after="0" w:line="230" w:lineRule="exact"/>
                      <w:ind w:firstLine="0" w:firstLineChars="0"/>
                      <w:jc w:val="both"/>
                      <w:rPr>
                        <w:rFonts w:hint="eastAsia"/>
                        <w:b w:val="0"/>
                      </w:rPr>
                    </w:pPr>
                    <w:r>
                      <w:rPr>
                        <w:rFonts w:hint="eastAsia"/>
                        <w:b w:val="0"/>
                      </w:rPr>
                      <w:t>培训负责人</w:t>
                    </w:r>
                  </w:p>
                </w:txbxContent>
              </v:textbox>
            </v:shape>
          </v:group>
        </w:pict>
      </w: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r>
        <w:rPr>
          <w:rFonts w:ascii="宋体" w:hAnsi="宋体" w:hint="eastAsia"/>
        </w:rPr>
        <w:t>林木、植被及地</w:t>
      </w: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pPr>
    </w:p>
    <w:p>
      <w:pPr>
        <w:rPr>
          <w:rFonts w:ascii="宋体" w:hAnsi="宋体" w:hint="eastAsia"/>
        </w:rPr>
        <w:sectPr>
          <w:headerReference w:type="even" r:id="rId179"/>
          <w:headerReference w:type="default" r:id="rId180"/>
          <w:footerReference w:type="even" r:id="rId181"/>
          <w:footerReference w:type="default" r:id="rId182"/>
          <w:headerReference w:type="first" r:id="rId183"/>
          <w:footerReference w:type="first" r:id="rId184"/>
          <w:type w:val="nextPage"/>
          <w:pgSz w:w="11906" w:h="16838"/>
          <w:pgMar w:top="1418" w:right="1418" w:bottom="1418" w:left="1418" w:header="851" w:footer="992" w:gutter="0"/>
          <w:pgNumType w:start="30"/>
          <w:cols w:space="708"/>
          <w:titlePg w:val="0"/>
          <w:docGrid w:type="lines" w:linePitch="312"/>
        </w:sectPr>
      </w:pPr>
    </w:p>
    <w:p>
      <w:pPr>
        <w:spacing w:line="500" w:lineRule="exact"/>
        <w:ind w:firstLine="560" w:firstLineChars="200"/>
        <w:rPr>
          <w:rFonts w:ascii="宋体" w:hAnsi="宋体" w:hint="eastAsia"/>
          <w:sz w:val="28"/>
          <w:szCs w:val="28"/>
        </w:rPr>
      </w:pPr>
      <w:r>
        <w:rPr>
          <w:rFonts w:ascii="宋体" w:hAnsi="宋体" w:hint="eastAsia"/>
          <w:sz w:val="28"/>
          <w:szCs w:val="28"/>
        </w:rPr>
        <w:t>地下水资源的保护，是施工中环境保护和水土保持的重点。规定施工区域内的植被、树木等尽量维持原状。需砍除树木和其它经济作物时，事先应征得环境保护和水土保持部门、所有者同意，严禁超范围砍伐。</w:t>
      </w:r>
    </w:p>
    <w:p>
      <w:pPr>
        <w:spacing w:line="500" w:lineRule="exact"/>
        <w:rPr>
          <w:rFonts w:ascii="宋体" w:hAnsi="宋体" w:hint="eastAsia"/>
          <w:sz w:val="28"/>
          <w:szCs w:val="28"/>
        </w:rPr>
      </w:pPr>
      <w:r>
        <w:rPr>
          <w:rFonts w:ascii="宋体" w:hAnsi="宋体" w:hint="eastAsia"/>
          <w:sz w:val="28"/>
          <w:szCs w:val="28"/>
        </w:rPr>
        <w:t>施工计划中安排环境保护的具体工作任务，包括方案、措施、设施、工艺、设计、培训、监测、检测。</w:t>
      </w:r>
    </w:p>
    <w:p>
      <w:pPr>
        <w:spacing w:line="500" w:lineRule="exact"/>
        <w:ind w:firstLine="560" w:firstLineChars="200"/>
        <w:rPr>
          <w:rFonts w:ascii="宋体" w:hAnsi="宋体" w:hint="eastAsia"/>
          <w:sz w:val="28"/>
          <w:szCs w:val="28"/>
        </w:rPr>
      </w:pPr>
      <w:r>
        <w:rPr>
          <w:rFonts w:ascii="宋体" w:hAnsi="宋体" w:hint="eastAsia"/>
          <w:sz w:val="28"/>
          <w:szCs w:val="28"/>
        </w:rPr>
        <w:t>1）防止饮用水污染措施；施工活动中的噪声、粉尘、废气、废水和废油的治理措施；施工区和生活区卫生设施以及垃圾的治理措施。</w:t>
      </w:r>
    </w:p>
    <w:p>
      <w:pPr>
        <w:spacing w:line="500" w:lineRule="exact"/>
        <w:ind w:firstLine="560" w:firstLineChars="200"/>
        <w:rPr>
          <w:rFonts w:ascii="宋体" w:hAnsi="宋体" w:hint="eastAsia"/>
          <w:sz w:val="28"/>
          <w:szCs w:val="28"/>
        </w:rPr>
      </w:pPr>
      <w:r>
        <w:rPr>
          <w:rFonts w:ascii="宋体" w:hAnsi="宋体" w:hint="eastAsia"/>
          <w:sz w:val="28"/>
          <w:szCs w:val="28"/>
        </w:rPr>
        <w:t>2）不得破坏、占压、干扰河道、水道及既有灌溉、排水系统。必须占压的，应首先征求主管部门同意，并采取必要的防护、替代措施。防止工程施工中开挖的土石材料对河流、水道、灌渠等排水系统产生淤积或堵塞。</w:t>
      </w:r>
    </w:p>
    <w:p>
      <w:pPr>
        <w:spacing w:line="500" w:lineRule="exact"/>
        <w:ind w:firstLine="560" w:firstLineChars="200"/>
        <w:rPr>
          <w:rFonts w:ascii="宋体" w:hAnsi="宋体" w:hint="eastAsia"/>
          <w:sz w:val="28"/>
          <w:szCs w:val="28"/>
        </w:rPr>
      </w:pPr>
      <w:r>
        <w:rPr>
          <w:rFonts w:ascii="宋体" w:hAnsi="宋体" w:hint="eastAsia"/>
          <w:sz w:val="28"/>
          <w:szCs w:val="28"/>
        </w:rPr>
        <w:t>3）河床内施工、采取砂砾材料，应遵守《中华人民共和国河道管理条例》、《中华人民共和国水法》中的有关规定，同时防止对河流状态造成改变，防止弃土、弃碴淤积河床、污染河流水质。</w:t>
      </w:r>
    </w:p>
    <w:p>
      <w:pPr>
        <w:spacing w:line="500" w:lineRule="exact"/>
        <w:outlineLvl w:val="3"/>
        <w:rPr>
          <w:rFonts w:ascii="宋体" w:hAnsi="宋体" w:hint="eastAsia"/>
          <w:sz w:val="28"/>
          <w:szCs w:val="28"/>
        </w:rPr>
      </w:pPr>
      <w:bookmarkStart w:id="135" w:name="_Toc257731934"/>
      <w:bookmarkStart w:id="136" w:name="_Toc277068444"/>
      <w:bookmarkStart w:id="137" w:name="_Toc261304706"/>
      <w:bookmarkStart w:id="138" w:name="_Toc278262611"/>
      <w:bookmarkStart w:id="139" w:name="_Toc277065865"/>
      <w:r>
        <w:rPr>
          <w:rFonts w:ascii="宋体" w:hAnsi="宋体" w:hint="eastAsia"/>
          <w:sz w:val="28"/>
          <w:szCs w:val="28"/>
        </w:rPr>
        <w:t>8.7.2环境污染的治理</w:t>
      </w:r>
      <w:bookmarkEnd w:id="135"/>
      <w:bookmarkEnd w:id="136"/>
      <w:bookmarkEnd w:id="137"/>
      <w:bookmarkEnd w:id="138"/>
      <w:bookmarkEnd w:id="139"/>
    </w:p>
    <w:p>
      <w:pPr>
        <w:spacing w:line="500" w:lineRule="exact"/>
        <w:ind w:firstLine="560" w:firstLineChars="200"/>
        <w:rPr>
          <w:rFonts w:ascii="宋体" w:hAnsi="宋体" w:hint="eastAsia"/>
          <w:sz w:val="28"/>
          <w:szCs w:val="28"/>
        </w:rPr>
      </w:pPr>
      <w:r>
        <w:rPr>
          <w:rFonts w:ascii="宋体" w:hAnsi="宋体" w:hint="eastAsia"/>
          <w:sz w:val="28"/>
          <w:szCs w:val="28"/>
        </w:rPr>
        <w:t>施工期间的主要污染源为施工中产生的废水、废气、噪声、扬尘等。主要污染物是施工期的废水包括生活污水和施工现场产生的污水、泥浆，固体废弃物等。</w:t>
      </w:r>
    </w:p>
    <w:p>
      <w:pPr>
        <w:numPr>
          <w:ilvl w:val="0"/>
          <w:numId w:val="5"/>
        </w:numPr>
        <w:tabs>
          <w:tab w:val="left" w:pos="0"/>
          <w:tab w:val="clear" w:pos="720"/>
        </w:tabs>
        <w:spacing w:line="500" w:lineRule="exact"/>
        <w:ind w:left="0" w:firstLine="538" w:firstLineChars="192"/>
        <w:rPr>
          <w:rFonts w:ascii="宋体" w:hAnsi="宋体" w:hint="eastAsia"/>
          <w:sz w:val="28"/>
          <w:szCs w:val="28"/>
        </w:rPr>
      </w:pPr>
      <w:bookmarkStart w:id="140" w:name="_Toc277065866"/>
      <w:bookmarkStart w:id="141" w:name="_Toc277068445"/>
      <w:bookmarkStart w:id="142" w:name="_Toc278262612"/>
      <w:r>
        <w:rPr>
          <w:rFonts w:ascii="宋体" w:hAnsi="宋体" w:hint="eastAsia"/>
          <w:sz w:val="28"/>
          <w:szCs w:val="28"/>
        </w:rPr>
        <w:t>避免废水排放的措施</w:t>
      </w:r>
      <w:bookmarkEnd w:id="140"/>
      <w:bookmarkEnd w:id="141"/>
      <w:bookmarkEnd w:id="142"/>
    </w:p>
    <w:p>
      <w:pPr>
        <w:spacing w:line="500" w:lineRule="exact"/>
        <w:ind w:firstLine="560" w:firstLineChars="200"/>
        <w:rPr>
          <w:rFonts w:ascii="宋体" w:hAnsi="宋体" w:hint="eastAsia"/>
          <w:sz w:val="28"/>
          <w:szCs w:val="28"/>
        </w:rPr>
      </w:pPr>
      <w:r>
        <w:rPr>
          <w:rFonts w:ascii="宋体" w:hAnsi="宋体" w:hint="eastAsia"/>
          <w:sz w:val="28"/>
          <w:szCs w:val="28"/>
        </w:rPr>
        <w:t>在施工区和生活区设置污水处理系统，并备有临时污水汇集沉淀设施，生产和生活中产生的污水、泥浆等废水经过净化处理达到《污水综合排放标准》（GB8978-1996）规定，才能排放。施工中采取有效的保护措施，保护饮用水源不受施工活动的污染。</w:t>
      </w:r>
    </w:p>
    <w:p>
      <w:pPr>
        <w:numPr>
          <w:ilvl w:val="0"/>
          <w:numId w:val="5"/>
        </w:numPr>
        <w:tabs>
          <w:tab w:val="left" w:pos="0"/>
          <w:tab w:val="clear" w:pos="720"/>
        </w:tabs>
        <w:spacing w:line="500" w:lineRule="exact"/>
        <w:ind w:left="0" w:firstLine="538" w:firstLineChars="192"/>
        <w:rPr>
          <w:rFonts w:ascii="宋体" w:hAnsi="宋体" w:hint="eastAsia"/>
          <w:sz w:val="28"/>
          <w:szCs w:val="28"/>
        </w:rPr>
      </w:pPr>
      <w:bookmarkStart w:id="143" w:name="_Toc278262613"/>
      <w:bookmarkStart w:id="144" w:name="_Toc277065867"/>
      <w:bookmarkStart w:id="145" w:name="_Toc277068446"/>
      <w:r>
        <w:rPr>
          <w:rFonts w:ascii="宋体" w:hAnsi="宋体" w:hint="eastAsia"/>
          <w:sz w:val="28"/>
          <w:szCs w:val="28"/>
        </w:rPr>
        <w:t>避免施工生活垃圾等废物排放的措施</w:t>
      </w:r>
      <w:bookmarkEnd w:id="143"/>
      <w:bookmarkEnd w:id="144"/>
      <w:bookmarkEnd w:id="145"/>
    </w:p>
    <w:p>
      <w:pPr>
        <w:spacing w:line="500" w:lineRule="exact"/>
        <w:rPr>
          <w:rFonts w:ascii="宋体" w:hAnsi="宋体" w:hint="eastAsia"/>
          <w:sz w:val="28"/>
          <w:szCs w:val="28"/>
        </w:rPr>
      </w:pPr>
      <w:r>
        <w:rPr>
          <w:rFonts w:ascii="宋体" w:hAnsi="宋体" w:hint="eastAsia"/>
          <w:sz w:val="28"/>
          <w:szCs w:val="28"/>
        </w:rPr>
        <w:t>保护施工区和生活区的环境，及时处理施工垃圾、生活垃圾等废弃物，将废弃物运至当地环保部门同意的指定地点弃置，并注意避免阻塞水流和污染水源。无法运走的，进行填埋等无害化处理。</w: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5" w:history="1">
        <w:r>
          <w:rPr>
            <w:rFonts w:ascii="SimSun" w:eastAsia="SimSun" w:hAnsi="SimSun" w:cs="SimSun"/>
            <w:b/>
            <w:bCs/>
            <w:color w:val="0000EE"/>
            <w:kern w:val="0"/>
            <w:sz w:val="30"/>
            <w:szCs w:val="30"/>
            <w:u w:val="single" w:color="0000EE"/>
          </w:rPr>
          <w:t>https://d.book118.com/525024221200011033</w:t>
        </w:r>
      </w:hyperlink>
    </w:p>
    <w:p>
      <w:pPr>
        <w:spacing w:line="500" w:lineRule="exact"/>
        <w:rPr>
          <w:rFonts w:ascii="宋体" w:hAnsi="宋体" w:hint="eastAsia"/>
          <w:sz w:val="28"/>
          <w:szCs w:val="28"/>
        </w:rPr>
      </w:pPr>
    </w:p>
    <w:sectPr>
      <w:headerReference w:type="even" r:id="rId186"/>
      <w:headerReference w:type="default" r:id="rId187"/>
      <w:footerReference w:type="even" r:id="rId188"/>
      <w:footerReference w:type="default" r:id="rId189"/>
      <w:headerReference w:type="first" r:id="rId190"/>
      <w:footerReference w:type="first" r:id="rId191"/>
      <w:type w:val="nextPage"/>
      <w:pgSz w:w="11906" w:h="16838"/>
      <w:pgMar w:top="1418" w:right="1418" w:bottom="1418" w:left="1418" w:header="851" w:footer="992" w:gutter="0"/>
      <w:pgNumType w:start="3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Abadi MT Condensed Light">
    <w:altName w:val="Arial Narrow"/>
    <w:panose1 w:val="020B0306030101010103"/>
    <w:charset w:val="00"/>
    <w:family w:val="swiss"/>
    <w:pitch w:val="default"/>
    <w:sig w:usb0="00000003" w:usb1="00000000" w:usb2="00000000" w:usb3="00000000" w:csb0="00000001" w:csb1="00000000"/>
  </w:font>
  <w:font w:name="仿宋_GB2312">
    <w:altName w:val="仿宋"/>
    <w:panose1 w:val="02010609030101010101"/>
    <w:charset w:val="86"/>
    <w:family w:val="modern"/>
    <w:pitch w:val="default"/>
    <w:sig w:usb0="00000001" w:usb1="080E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Arial">
    <w:panose1 w:val="020B0604020202020204"/>
    <w:charset w:val="00"/>
    <w:family w:val="swiss"/>
    <w:pitch w:val="default"/>
    <w:sig w:usb0="E0002EFF" w:usb1="C000785B" w:usb2="00000009" w:usb3="00000000" w:csb0="400001FF" w:csb1="FFFF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Pr>
    </w:pPr>
  </w:p>
  <w:p>
    <w:pPr>
      <w:pStyle w:val="Footer"/>
      <w:framePr w:wrap="around" w:vAnchor="text" w:hAnchor="page" w:x="10825" w:y="43"/>
      <w:tabs>
        <w:tab w:val="center" w:pos="4153"/>
        <w:tab w:val="right" w:pos="8306"/>
      </w:tabs>
      <w:ind w:right="360"/>
      <w:rPr>
        <w:rStyle w:val="PageNumber"/>
      </w:rPr>
    </w:pPr>
  </w:p>
  <w:p>
    <w:pPr>
      <w:pStyle w:val="Footer"/>
      <w:tabs>
        <w:tab w:val="center" w:pos="4153"/>
        <w:tab w:val="right" w:pos="8306"/>
      </w:tabs>
      <w:ind w:right="360"/>
      <w:rPr>
        <w:rFonts w:ascii="宋体" w:hAnsi="宋体"/>
      </w:rPr>
    </w:pPr>
    <w:r>
      <w:rPr>
        <w:rFonts w:ascii="Cambria" w:hAnsi="Cambria" w:hint="eastAsia"/>
      </w:rPr>
      <w:t xml:space="preserve">  </w:t>
    </w:r>
  </w:p>
  <w:p>
    <w:pPr>
      <w:pStyle w:val="Footer"/>
      <w:pBdr>
        <w:top w:val="thinThickSmallGap" w:sz="24" w:space="0" w:color="622423"/>
      </w:pBdr>
      <w:tabs>
        <w:tab w:val="clear" w:pos="4153"/>
        <w:tab w:val="clear" w:pos="8306"/>
        <w:tab w:val="right" w:pos="9072"/>
      </w:tabs>
      <w:rPr>
        <w:rFonts w:ascii="Cambria" w:hAnsi="Cambria"/>
      </w:rPr>
    </w:pPr>
    <w:r>
      <w:rPr>
        <w:rFonts w:ascii="Cambria" w:hAnsi="Cambria" w:hint="eastAsia"/>
      </w:rPr>
      <w:t xml:space="preserve">                       中交一航局京福铁路客专闽赣</w:t>
    </w:r>
    <w:r>
      <w:rPr>
        <w:rFonts w:ascii="宋体" w:hAnsi="宋体" w:hint="eastAsia"/>
      </w:rPr>
      <w:t>Ⅱ</w:t>
    </w:r>
    <w:r>
      <w:rPr>
        <w:rFonts w:ascii="Cambria" w:hAnsi="Cambria" w:hint="eastAsia"/>
      </w:rPr>
      <w:t>标项目经理部</w:t>
    </w:r>
    <w:r>
      <w:rPr>
        <w:rFonts w:ascii="Cambria" w:hAnsi="Cambria"/>
        <w:lang w:val="zh-CN"/>
      </w:rPr>
      <w:tab/>
    </w:r>
    <w:r>
      <w:rPr>
        <w:rFonts w:ascii="Cambria" w:hAnsi="Cambria"/>
        <w:lang w:val="zh-CN"/>
      </w:rPr>
      <w:t xml:space="preserve"> </w:t>
    </w:r>
  </w:p>
  <w:p>
    <w:pPr>
      <w:ind w:firstLine="5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51" style="mso-wrap-style:square;position:absolute;z-index:251658240"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Pr>
    </w:pPr>
  </w:p>
  <w:p>
    <w:pPr>
      <w:pStyle w:val="Footer"/>
      <w:framePr w:wrap="around" w:vAnchor="text" w:hAnchor="page" w:x="10825" w:y="43"/>
      <w:tabs>
        <w:tab w:val="center" w:pos="4153"/>
        <w:tab w:val="right" w:pos="8306"/>
      </w:tabs>
      <w:ind w:right="360"/>
      <w:rPr>
        <w:rStyle w:val="PageNumber"/>
      </w:rPr>
    </w:pPr>
  </w:p>
  <w:p>
    <w:pPr>
      <w:pStyle w:val="Footer"/>
      <w:tabs>
        <w:tab w:val="center" w:pos="4153"/>
        <w:tab w:val="right" w:pos="8306"/>
      </w:tabs>
      <w:ind w:right="360"/>
      <w:rPr>
        <w:rFonts w:ascii="宋体" w:hAnsi="宋体"/>
      </w:rPr>
    </w:pPr>
    <w:r>
      <w:rPr>
        <w:rFonts w:ascii="Cambria" w:hAnsi="Cambria" w:hint="eastAsia"/>
      </w:rPr>
      <w:t xml:space="preserve">  </w:t>
    </w:r>
  </w:p>
  <w:p>
    <w:pPr>
      <w:pStyle w:val="Footer"/>
      <w:pBdr>
        <w:top w:val="thinThickSmallGap" w:sz="24" w:space="0" w:color="622423"/>
      </w:pBdr>
      <w:tabs>
        <w:tab w:val="clear" w:pos="4153"/>
        <w:tab w:val="clear" w:pos="8306"/>
        <w:tab w:val="right" w:pos="9072"/>
      </w:tabs>
      <w:rPr>
        <w:rFonts w:ascii="Cambria" w:hAnsi="Cambria"/>
      </w:rPr>
    </w:pPr>
    <w:r>
      <w:rPr>
        <w:rFonts w:ascii="Cambria" w:hAnsi="Cambria" w:hint="eastAsia"/>
      </w:rPr>
      <w:t xml:space="preserve">                       中交一航局京福铁路客专闽赣</w:t>
    </w:r>
    <w:r>
      <w:rPr>
        <w:rFonts w:ascii="宋体" w:hAnsi="宋体" w:hint="eastAsia"/>
      </w:rPr>
      <w:t>Ⅱ</w:t>
    </w:r>
    <w:r>
      <w:rPr>
        <w:rFonts w:ascii="Cambria" w:hAnsi="Cambria" w:hint="eastAsia"/>
      </w:rPr>
      <w:t>标项目经理部</w:t>
    </w:r>
    <w:r>
      <w:rPr>
        <w:rFonts w:ascii="Cambria" w:hAnsi="Cambria"/>
        <w:lang w:val="zh-CN"/>
      </w:rPr>
      <w:tab/>
    </w:r>
    <w:r>
      <w:rPr>
        <w:rFonts w:ascii="Cambria" w:hAnsi="Cambria"/>
        <w:lang w:val="zh-CN"/>
      </w:rPr>
      <w:t xml:space="preserve"> </w:t>
    </w:r>
  </w:p>
  <w:p>
    <w:pPr>
      <w:ind w:firstLine="5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54" style="mso-wrap-style:square;position:absolute;z-index:251659264"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Pr>
    </w:pPr>
  </w:p>
  <w:p>
    <w:pPr>
      <w:pStyle w:val="Footer"/>
      <w:framePr w:wrap="around" w:vAnchor="text" w:hAnchor="page" w:x="10825" w:y="43"/>
      <w:tabs>
        <w:tab w:val="center" w:pos="4153"/>
        <w:tab w:val="right" w:pos="8306"/>
      </w:tabs>
      <w:ind w:right="360"/>
      <w:rPr>
        <w:rStyle w:val="PageNumber"/>
      </w:rPr>
    </w:pPr>
  </w:p>
  <w:p>
    <w:pPr>
      <w:pStyle w:val="Footer"/>
      <w:tabs>
        <w:tab w:val="center" w:pos="4153"/>
        <w:tab w:val="right" w:pos="8306"/>
      </w:tabs>
      <w:ind w:right="360"/>
      <w:rPr>
        <w:rFonts w:ascii="宋体" w:hAnsi="宋体"/>
      </w:rPr>
    </w:pPr>
    <w:r>
      <w:rPr>
        <w:rFonts w:ascii="Cambria" w:hAnsi="Cambria" w:hint="eastAsia"/>
      </w:rPr>
      <w:t xml:space="preserve">  </w:t>
    </w:r>
  </w:p>
  <w:p>
    <w:pPr>
      <w:pStyle w:val="Footer"/>
      <w:pBdr>
        <w:top w:val="thinThickSmallGap" w:sz="24" w:space="0" w:color="622423"/>
      </w:pBdr>
      <w:tabs>
        <w:tab w:val="clear" w:pos="4153"/>
        <w:tab w:val="clear" w:pos="8306"/>
        <w:tab w:val="right" w:pos="9072"/>
      </w:tabs>
      <w:rPr>
        <w:rFonts w:ascii="Cambria" w:hAnsi="Cambria"/>
      </w:rPr>
    </w:pPr>
    <w:r>
      <w:rPr>
        <w:rFonts w:ascii="Cambria" w:hAnsi="Cambria" w:hint="eastAsia"/>
      </w:rPr>
      <w:t xml:space="preserve">                       中交一航局京福铁路客专闽赣</w:t>
    </w:r>
    <w:r>
      <w:rPr>
        <w:rFonts w:ascii="宋体" w:hAnsi="宋体" w:hint="eastAsia"/>
      </w:rPr>
      <w:t>Ⅱ</w:t>
    </w:r>
    <w:r>
      <w:rPr>
        <w:rFonts w:ascii="Cambria" w:hAnsi="Cambria" w:hint="eastAsia"/>
      </w:rPr>
      <w:t>标项目经理部</w:t>
    </w:r>
    <w:r>
      <w:rPr>
        <w:rFonts w:ascii="Cambria" w:hAnsi="Cambria"/>
        <w:lang w:val="zh-CN"/>
      </w:rPr>
      <w:tab/>
    </w:r>
    <w:r>
      <w:rPr>
        <w:rFonts w:ascii="Cambria" w:hAnsi="Cambria"/>
        <w:lang w:val="zh-CN"/>
      </w:rPr>
      <w:t xml:space="preserve"> </w:t>
    </w:r>
  </w:p>
  <w:p>
    <w:pPr>
      <w:ind w:firstLine="5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57" style="mso-wrap-style:square;position:absolute;z-index:251660288"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69</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59" style="mso-wrap-style:square;position:absolute;z-index:251661312"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61" style="mso-wrap-style:square;position:absolute;z-index:251662336"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63" style="mso-wrap-style:square;position:absolute;z-index:251663360"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65" style="mso-wrap-style:square;position:absolute;z-index:251664384"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67" style="mso-wrap-style:square;position:absolute;z-index:251665408"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69" style="mso-wrap-style:square;position:absolute;z-index:251666432"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71" style="mso-wrap-style:square;position:absolute;z-index:251667456"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73" style="mso-wrap-style:square;position:absolute;z-index:251668480"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75" style="mso-wrap-style:square;position:absolute;z-index:251669504"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77" style="mso-wrap-style:square;position:absolute;z-index:251670528"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79" style="mso-wrap-style:square;position:absolute;z-index:251671552"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81" style="mso-wrap-style:square;position:absolute;z-index:251672576"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83" style="mso-wrap-style:square;position:absolute;z-index:251673600"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85" style="mso-wrap-style:square;position:absolute;z-index:251674624"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87" style="mso-wrap-style:square;position:absolute;z-index:251675648"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89" style="mso-wrap-style:square;position:absolute;z-index:251676672"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91" style="mso-wrap-style:square;position:absolute;z-index:251677696"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93" style="mso-wrap-style:square;position:absolute;z-index:251678720"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95" style="mso-wrap-style:square;position:absolute;z-index:251679744"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097" style="mso-wrap-style:square;position:absolute;z-index:251680768"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099" style="mso-wrap-style:square;position:absolute;z-index:251681792"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01" style="mso-wrap-style:square;position:absolute;z-index:251682816"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03" style="mso-wrap-style:square;position:absolute;z-index:251683840"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05" style="mso-wrap-style:square;position:absolute;z-index:251684864"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07" style="mso-wrap-style:square;position:absolute;z-index:251685888"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09" style="mso-wrap-style:square;position:absolute;z-index:251686912"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11" style="mso-wrap-style:square;position:absolute;z-index:251687936"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13" style="mso-wrap-style:square;position:absolute;z-index:251688960"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15" style="mso-wrap-style:square;position:absolute;z-index:251689984"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17" style="mso-wrap-style:square;position:absolute;z-index:251691008"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19" style="mso-wrap-style:square;position:absolute;z-index:251692032"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21" style="mso-wrap-style:square;position:absolute;z-index:251693056"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23" style="mso-wrap-style:square;position:absolute;z-index:251694080"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25" style="mso-wrap-style:square;position:absolute;z-index:251695104"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27" style="mso-wrap-style:square;position:absolute;z-index:251696128"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29" style="mso-wrap-style:square;position:absolute;z-index:251697152"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23</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31" style="mso-wrap-style:square;position:absolute;z-index:251698176"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33" style="mso-wrap-style:square;position:absolute;z-index:251699200"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23</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35" style="mso-wrap-style:square;position:absolute;z-index:251700224"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37" style="mso-wrap-style:square;position:absolute;z-index:251701248"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39" style="mso-wrap-style:square;position:absolute;z-index:251702272"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41" style="mso-wrap-style:square;position:absolute;z-index:251703296"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25</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43" style="mso-wrap-style:square;position:absolute;z-index:251704320"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45" style="mso-wrap-style:square;position:absolute;z-index:251705344"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47" style="mso-wrap-style:square;position:absolute;z-index:251706368"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49" style="mso-wrap-style:square;position:absolute;z-index:251707392"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27</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51" style="mso-wrap-style:square;position:absolute;z-index:251708416"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53" style="mso-wrap-style:square;position:absolute;z-index:251709440"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69</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55" style="mso-wrap-style:square;position:absolute;z-index:251710464"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57" style="mso-wrap-style:square;position:absolute;z-index:251711488"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29</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59" style="mso-wrap-style:square;position:absolute;z-index:251712512"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61" style="mso-wrap-style:square;position:absolute;z-index:251713536"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31</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63" style="mso-wrap-style:square;position:absolute;z-index:251714560"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65" style="mso-wrap-style:square;position:absolute;z-index:251715584"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31</w:t>
    </w:r>
    <w:r>
      <w:rPr>
        <w:rStyle w:val="PageNumber"/>
      </w:rPr>
      <w:fldChar w:fldCharType="end"/>
    </w:r>
  </w:p>
  <w:p>
    <w:pPr>
      <w:pStyle w:val="Footer"/>
      <w:tabs>
        <w:tab w:val="center" w:pos="4153"/>
        <w:tab w:val="right" w:pos="8306"/>
      </w:tabs>
      <w:ind w:right="360"/>
      <w:rPr>
        <w:rStyle w:val="PageNumber"/>
      </w:rPr>
    </w:pPr>
  </w:p>
  <w:p>
    <w:pPr>
      <w:pStyle w:val="Footer"/>
      <w:tabs>
        <w:tab w:val="center" w:pos="4153"/>
        <w:tab w:val="right" w:pos="8306"/>
      </w:tabs>
      <w:rPr>
        <w:rFonts w:hint="eastAsia"/>
      </w:rPr>
    </w:pPr>
    <w:r>
      <w:rPr>
        <w:rFonts w:hint="eastAsia"/>
      </w:rPr>
      <w:pict>
        <v:line id="直线 12" o:spid="_x0000_s2167" style="mso-wrap-style:square;position:absolute;z-index:251716608" from="-3pt,6.75pt" to="456pt,6.75pt" stroked="t" strokeweight="2.25pt">
          <v:stroke linestyle="single"/>
        </v:line>
      </w:pic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jc w:val="both"/>
      <w:rPr>
        <w:rStyle w:val="PageNumber"/>
        <w:rFonts w:hint="eastAsia"/>
      </w:rPr>
    </w:pPr>
  </w:p>
  <w:p>
    <w:pPr>
      <w:pStyle w:val="11"/>
      <w:ind w:left="210" w:right="210" w:firstLine="560"/>
      <w:rPr>
        <w:rFonts w:ascii="宋体" w:eastAsia="宋体" w:hAnsi="宋体" w:hint="eastAsia"/>
        <w:sz w:val="21"/>
        <w:szCs w:val="21"/>
      </w:rPr>
    </w:pPr>
    <w:r>
      <w:rPr>
        <w:rFonts w:hint="eastAsia"/>
      </w:rPr>
      <w:pict>
        <v:line id="直线 16" o:spid="_x0000_s2169" style="mso-wrap-style:square;position:absolute;z-index:251717632" from="-3pt,6.75pt" to="456pt,6.75pt" stroked="t" strokeweight="2.25pt">
          <v:stroke linestyle="single"/>
        </v:line>
      </w:pict>
    </w:r>
    <w:r>
      <w:rPr>
        <w:rFonts w:hint="eastAsia"/>
      </w:rPr>
      <w:t xml:space="preserve">                         </w:t>
    </w:r>
    <w:r>
      <w:rPr>
        <w:rFonts w:hint="eastAsia"/>
        <w:sz w:val="21"/>
        <w:szCs w:val="21"/>
      </w:rPr>
      <w:t>4</w:t>
    </w:r>
  </w:p>
  <w:p>
    <w:pPr>
      <w:pStyle w:val="Footer"/>
      <w:tabs>
        <w:tab w:val="center" w:pos="4153"/>
        <w:tab w:val="right" w:pos="8306"/>
      </w:tabs>
      <w:rPr>
        <w:rFonts w:hint="eastAsia"/>
      </w:rPr>
    </w:pPr>
    <w:r>
      <w:rPr>
        <w:rFonts w:hint="eastAsia"/>
      </w:rPr>
      <w:t>中交一航局京福铁路客专闽赣</w:t>
    </w:r>
    <w:r>
      <w:rPr>
        <w:rFonts w:hint="eastAsia"/>
      </w:rPr>
      <w:t>Ⅱ</w:t>
    </w:r>
    <w:r>
      <w:rPr>
        <w:rFonts w:hint="eastAsia"/>
      </w:rPr>
      <w:t>标项目经理部</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420" w:firstLineChars="200"/>
      <w:jc w:val="both"/>
      <w:rPr>
        <w:rFonts w:ascii="宋体" w:hAnsi="宋体"/>
      </w:rPr>
    </w:pPr>
    <w:r>
      <w:rPr>
        <w:rFonts w:ascii="宋体" w:hAnsi="宋体"/>
        <w:sz w:val="21"/>
        <w:szCs w:val="21"/>
      </w:rPr>
      <w:pict>
        <v:line id="直线 13" o:spid="_x0000_s2049" style="flip:y;mso-wrap-style:square;position:absolute;z-index:251658240" from="2.4pt,14.5pt" to="453.1pt,14.5pt" strokeweight="2.25pt">
          <v:stroke linestyle="single"/>
        </v:line>
      </w:pict>
    </w: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50" style="mso-wrap-style:square;position:absolute;z-index:251659264" from="-3pt,9.45pt" to="456pt,9.45pt" stroked="t" strokeweight="2.25pt">
          <v:stroke linestyle="single"/>
        </v:line>
      </w:pict>
    </w:r>
  </w:p>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420" w:firstLineChars="200"/>
      <w:jc w:val="both"/>
      <w:rPr>
        <w:rFonts w:ascii="宋体" w:hAnsi="宋体"/>
      </w:rPr>
    </w:pPr>
    <w:r>
      <w:rPr>
        <w:rFonts w:ascii="宋体" w:hAnsi="宋体"/>
        <w:sz w:val="21"/>
        <w:szCs w:val="21"/>
      </w:rPr>
      <w:pict>
        <v:line id="直线 13" o:spid="_x0000_s2052" style="flip:y;mso-wrap-style:square;position:absolute;z-index:251660288" from="2.4pt,14.5pt" to="453.1pt,14.5pt" strokeweight="2.25pt">
          <v:stroke linestyle="single"/>
        </v:line>
      </w:pict>
    </w: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53" style="mso-wrap-style:square;position:absolute;z-index:251661312" from="-3pt,9.45pt" to="456pt,9.45pt" stroked="t" strokeweight="2.25pt">
          <v:stroke linestyle="single"/>
        </v:line>
      </w:pict>
    </w:r>
  </w:p>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ind w:firstLine="420" w:firstLineChars="200"/>
      <w:jc w:val="both"/>
      <w:rPr>
        <w:rFonts w:ascii="宋体" w:hAnsi="宋体"/>
      </w:rPr>
    </w:pPr>
    <w:r>
      <w:rPr>
        <w:rFonts w:ascii="宋体" w:hAnsi="宋体"/>
        <w:sz w:val="21"/>
        <w:szCs w:val="21"/>
      </w:rPr>
      <w:pict>
        <v:line id="直线 13" o:spid="_x0000_s2055" style="flip:y;mso-wrap-style:square;position:absolute;z-index:251662336" from="2.4pt,14.5pt" to="453.1pt,14.5pt" strokeweight="2.25pt">
          <v:stroke linestyle="single"/>
        </v:line>
      </w:pict>
    </w: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56" style="mso-wrap-style:square;position:absolute;z-index:251663360" from="-3pt,9.45pt" to="456pt,9.45pt" stroked="t" strokeweight="2.25pt">
          <v:stroke linestyle="single"/>
        </v:line>
      </w:pict>
    </w:r>
  </w:p>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58" style="mso-wrap-style:square;position:absolute;z-index:251664384" from="-3pt,9.45pt" to="456pt,9.45pt" stroked="t" strokeweight="2.25pt">
          <v:stroke linestyle="single"/>
        </v:line>
      </w:pict>
    </w:r>
  </w:p>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60" style="mso-wrap-style:square;position:absolute;z-index:251665408" from="-3pt,9.45pt" to="456pt,9.45pt" stroked="t" strokeweight="2.25pt">
          <v:stroke linestyle="single"/>
        </v:line>
      </w:pict>
    </w:r>
  </w:p>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62" style="mso-wrap-style:square;position:absolute;z-index:251666432" from="-3pt,9.45pt" to="456pt,9.45pt" stroked="t" strokeweight="2.25pt">
          <v:stroke linestyle="single"/>
        </v:line>
      </w:pict>
    </w:r>
  </w:p>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64" style="mso-wrap-style:square;position:absolute;z-index:251667456" from="-3pt,9.45pt" to="456pt,9.45pt" stroked="t" strokeweight="2.25pt">
          <v:stroke linestyle="single"/>
        </v:line>
      </w:pict>
    </w:r>
  </w:p>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66" style="mso-wrap-style:square;position:absolute;z-index:251668480" from="-3pt,9.45pt" to="456pt,9.45pt" stroked="t" strokeweight="2.25pt">
          <v:stroke linestyle="single"/>
        </v:line>
      </w:pict>
    </w:r>
  </w:p>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68" style="mso-wrap-style:square;position:absolute;z-index:251669504" from="-3pt,9.45pt" to="456pt,9.45pt" stroked="t" strokeweight="2.25pt">
          <v:stroke linestyle="single"/>
        </v:line>
      </w:pict>
    </w:r>
  </w:p>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70" style="mso-wrap-style:square;position:absolute;z-index:251670528" from="-3pt,9.45pt" to="456pt,9.45pt" stroked="t" strokeweight="2.25pt">
          <v:stroke linestyle="single"/>
        </v:line>
      </w:pict>
    </w:r>
  </w:p>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72" style="mso-wrap-style:square;position:absolute;z-index:251671552" from="-3pt,9.45pt" to="456pt,9.45pt" stroked="t" strokeweight="2.25pt">
          <v:stroke linestyle="single"/>
        </v:line>
      </w:pict>
    </w:r>
  </w:p>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74" style="mso-wrap-style:square;position:absolute;z-index:251672576" from="-3pt,9.45pt" to="456pt,9.45pt" stroked="t" strokeweight="2.25pt">
          <v:stroke linestyle="single"/>
        </v:line>
      </w:pict>
    </w:r>
  </w:p>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76" style="mso-wrap-style:square;position:absolute;z-index:251673600" from="-3pt,9.45pt" to="456pt,9.45pt" stroked="t" strokeweight="2.25pt">
          <v:stroke linestyle="single"/>
        </v:line>
      </w:pict>
    </w:r>
  </w:p>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78" style="mso-wrap-style:square;position:absolute;z-index:251674624" from="-3pt,9.45pt" to="456pt,9.45pt" stroked="t" strokeweight="2.25pt">
          <v:stroke linestyle="single"/>
        </v:line>
      </w:pict>
    </w:r>
  </w:p>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80" style="mso-wrap-style:square;position:absolute;z-index:251675648" from="-3pt,9.45pt" to="456pt,9.45pt" stroked="t" strokeweight="2.25pt">
          <v:stroke linestyle="single"/>
        </v:line>
      </w:pict>
    </w:r>
  </w:p>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82" style="mso-wrap-style:square;position:absolute;z-index:251676672" from="-3pt,9.45pt" to="456pt,9.45pt" stroked="t" strokeweight="2.25pt">
          <v:stroke linestyle="single"/>
        </v:line>
      </w:pict>
    </w:r>
  </w:p>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84" style="mso-wrap-style:square;position:absolute;z-index:251677696" from="-3pt,9.45pt" to="456pt,9.45pt" stroked="t" strokeweight="2.25pt">
          <v:stroke linestyle="single"/>
        </v:line>
      </w:pict>
    </w:r>
  </w:p>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86" style="mso-wrap-style:square;position:absolute;z-index:251678720" from="-3pt,9.45pt" to="456pt,9.45pt" stroked="t" strokeweight="2.25pt">
          <v:stroke linestyle="single"/>
        </v:line>
      </w:pict>
    </w:r>
  </w:p>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88" style="mso-wrap-style:square;position:absolute;z-index:251679744" from="-3pt,9.45pt" to="456pt,9.45pt" stroked="t" strokeweight="2.25pt">
          <v:stroke linestyle="single"/>
        </v:line>
      </w:pict>
    </w:r>
  </w:p>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90" style="mso-wrap-style:square;position:absolute;z-index:251680768" from="-3pt,9.45pt" to="456pt,9.45pt" stroked="t" strokeweight="2.25pt">
          <v:stroke linestyle="single"/>
        </v:line>
      </w:pict>
    </w:r>
  </w:p>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92" style="mso-wrap-style:square;position:absolute;z-index:251681792" from="-3pt,9.45pt" to="456pt,9.45pt" stroked="t" strokeweight="2.25pt">
          <v:stroke linestyle="single"/>
        </v:line>
      </w:pict>
    </w:r>
  </w:p>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94" style="mso-wrap-style:square;position:absolute;z-index:251682816" from="-3pt,9.45pt" to="456pt,9.45pt" stroked="t" strokeweight="2.25pt">
          <v:stroke linestyle="single"/>
        </v:line>
      </w:pict>
    </w:r>
  </w:p>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096" style="mso-wrap-style:square;position:absolute;z-index:251683840" from="-3pt,9.45pt" to="456pt,9.45pt" stroked="t" strokeweight="2.25pt">
          <v:stroke linestyle="single"/>
        </v:line>
      </w:pict>
    </w:r>
  </w:p>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098" style="mso-wrap-style:square;position:absolute;z-index:251684864" from="-3pt,9.45pt" to="456pt,9.45pt" stroked="t" strokeweight="2.25pt">
          <v:stroke linestyle="single"/>
        </v:line>
      </w:pict>
    </w:r>
  </w:p>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00" style="mso-wrap-style:square;position:absolute;z-index:251685888" from="-3pt,9.45pt" to="456pt,9.45pt" stroked="t" strokeweight="2.25pt">
          <v:stroke linestyle="single"/>
        </v:line>
      </w:pict>
    </w:r>
  </w:p>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02" style="mso-wrap-style:square;position:absolute;z-index:251686912" from="-3pt,9.45pt" to="456pt,9.45pt" stroked="t" strokeweight="2.25pt">
          <v:stroke linestyle="single"/>
        </v:line>
      </w:pict>
    </w:r>
  </w:p>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04" style="mso-wrap-style:square;position:absolute;z-index:251687936" from="-3pt,9.45pt" to="456pt,9.45pt" stroked="t" strokeweight="2.25pt">
          <v:stroke linestyle="single"/>
        </v:line>
      </w:pict>
    </w:r>
  </w:p>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06" style="mso-wrap-style:square;position:absolute;z-index:251688960" from="-3pt,9.45pt" to="456pt,9.45pt" stroked="t" strokeweight="2.25pt">
          <v:stroke linestyle="single"/>
        </v:line>
      </w:pict>
    </w:r>
  </w:p>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08" style="mso-wrap-style:square;position:absolute;z-index:251689984" from="-3pt,9.45pt" to="456pt,9.45pt" stroked="t" strokeweight="2.25pt">
          <v:stroke linestyle="single"/>
        </v:line>
      </w:pict>
    </w:r>
  </w:p>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10" style="mso-wrap-style:square;position:absolute;z-index:251691008" from="-3pt,9.45pt" to="456pt,9.45pt" stroked="t" strokeweight="2.25pt">
          <v:stroke linestyle="single"/>
        </v:line>
      </w:pict>
    </w:r>
  </w:p>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12" style="mso-wrap-style:square;position:absolute;z-index:251692032" from="-3pt,9.45pt" to="456pt,9.45pt" stroked="t" strokeweight="2.25pt">
          <v:stroke linestyle="single"/>
        </v:line>
      </w:pict>
    </w:r>
  </w:p>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14" style="mso-wrap-style:square;position:absolute;z-index:251693056" from="-3pt,9.45pt" to="456pt,9.45pt" stroked="t" strokeweight="2.25pt">
          <v:stroke linestyle="single"/>
        </v:line>
      </w:pict>
    </w:r>
  </w:p>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16" style="mso-wrap-style:square;position:absolute;z-index:251694080" from="-3pt,9.45pt" to="456pt,9.45pt" stroked="t" strokeweight="2.25pt">
          <v:stroke linestyle="single"/>
        </v:line>
      </w:pict>
    </w:r>
  </w:p>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18" style="mso-wrap-style:square;position:absolute;z-index:251695104" from="-3pt,9.45pt" to="456pt,9.45pt" stroked="t" strokeweight="2.25pt">
          <v:stroke linestyle="single"/>
        </v:line>
      </w:pict>
    </w:r>
  </w:p>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20" style="mso-wrap-style:square;position:absolute;z-index:251696128" from="-3pt,9.45pt" to="456pt,9.45pt" stroked="t" strokeweight="2.25pt">
          <v:stroke linestyle="single"/>
        </v:line>
      </w:pict>
    </w:r>
  </w:p>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22" style="mso-wrap-style:square;position:absolute;z-index:251697152" from="-3pt,9.45pt" to="456pt,9.45pt" stroked="t" strokeweight="2.25pt">
          <v:stroke linestyle="single"/>
        </v:line>
      </w:pict>
    </w:r>
  </w:p>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24" style="mso-wrap-style:square;position:absolute;z-index:251698176" from="-3pt,9.45pt" to="456pt,9.45pt" stroked="t" strokeweight="2.25pt">
          <v:stroke linestyle="single"/>
        </v:line>
      </w:pict>
    </w:r>
  </w:p>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26" style="mso-wrap-style:square;position:absolute;z-index:251699200" from="-3pt,9.45pt" to="456pt,9.45pt" stroked="t" strokeweight="2.25pt">
          <v:stroke linestyle="single"/>
        </v:line>
      </w:pict>
    </w:r>
  </w:p>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28" style="mso-wrap-style:square;position:absolute;z-index:251700224" from="-3pt,9.45pt" to="456pt,9.45pt" stroked="t" strokeweight="2.25pt">
          <v:stroke linestyle="single"/>
        </v:line>
      </w:pict>
    </w:r>
  </w:p>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30" style="mso-wrap-style:square;position:absolute;z-index:251701248" from="-3pt,9.45pt" to="456pt,9.45pt" stroked="t" strokeweight="2.25pt">
          <v:stroke linestyle="single"/>
        </v:line>
      </w:pict>
    </w:r>
  </w:p>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32" style="mso-wrap-style:square;position:absolute;z-index:251702272" from="-3pt,9.45pt" to="456pt,9.45pt" stroked="t" strokeweight="2.25pt">
          <v:stroke linestyle="single"/>
        </v:line>
      </w:pict>
    </w:r>
  </w:p>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34" style="mso-wrap-style:square;position:absolute;z-index:251703296" from="-3pt,9.45pt" to="456pt,9.45pt" stroked="t" strokeweight="2.25pt">
          <v:stroke linestyle="single"/>
        </v:line>
      </w:pict>
    </w:r>
  </w:p>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36" style="mso-wrap-style:square;position:absolute;z-index:251704320" from="-3pt,9.45pt" to="456pt,9.45pt" stroked="t" strokeweight="2.25pt">
          <v:stroke linestyle="single"/>
        </v:line>
      </w:pict>
    </w:r>
  </w:p>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38" style="mso-wrap-style:square;position:absolute;z-index:251705344" from="-3pt,9.45pt" to="456pt,9.45pt" stroked="t" strokeweight="2.25pt">
          <v:stroke linestyle="single"/>
        </v:line>
      </w:pict>
    </w:r>
  </w:p>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40" style="mso-wrap-style:square;position:absolute;z-index:251706368" from="-3pt,9.45pt" to="456pt,9.45pt" stroked="t" strokeweight="2.25pt">
          <v:stroke linestyle="single"/>
        </v:line>
      </w:pict>
    </w:r>
  </w:p>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42" style="mso-wrap-style:square;position:absolute;z-index:251707392" from="-3pt,9.45pt" to="456pt,9.45pt" stroked="t" strokeweight="2.25pt">
          <v:stroke linestyle="single"/>
        </v:line>
      </w:pict>
    </w:r>
  </w:p>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44" style="mso-wrap-style:square;position:absolute;z-index:251708416" from="-3pt,9.45pt" to="456pt,9.45pt" stroked="t" strokeweight="2.25pt">
          <v:stroke linestyle="single"/>
        </v:line>
      </w:pict>
    </w:r>
  </w:p>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46" style="mso-wrap-style:square;position:absolute;z-index:251709440" from="-3pt,9.45pt" to="456pt,9.45pt" stroked="t" strokeweight="2.25pt">
          <v:stroke linestyle="single"/>
        </v:line>
      </w:pict>
    </w:r>
  </w:p>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48" style="mso-wrap-style:square;position:absolute;z-index:251710464" from="-3pt,9.45pt" to="456pt,9.45pt" stroked="t" strokeweight="2.25pt">
          <v:stroke linestyle="single"/>
        </v:line>
      </w:pict>
    </w:r>
  </w:p>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50" style="mso-wrap-style:square;position:absolute;z-index:251711488" from="-3pt,9.45pt" to="456pt,9.45pt" stroked="t" strokeweight="2.25pt">
          <v:stroke linestyle="single"/>
        </v:line>
      </w:pict>
    </w:r>
  </w:p>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52" style="mso-wrap-style:square;position:absolute;z-index:251712512" from="-3pt,9.45pt" to="456pt,9.45pt" stroked="t" strokeweight="2.25pt">
          <v:stroke linestyle="single"/>
        </v:line>
      </w:pict>
    </w:r>
  </w:p>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54" style="mso-wrap-style:square;position:absolute;z-index:251713536" from="-3pt,9.45pt" to="456pt,9.45pt" stroked="t" strokeweight="2.25pt">
          <v:stroke linestyle="single"/>
        </v:line>
      </w:pict>
    </w:r>
  </w:p>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56" style="mso-wrap-style:square;position:absolute;z-index:251714560" from="-3pt,9.45pt" to="456pt,9.45pt" stroked="t" strokeweight="2.25pt">
          <v:stroke linestyle="single"/>
        </v:line>
      </w:pict>
    </w:r>
  </w:p>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58" style="mso-wrap-style:square;position:absolute;z-index:251715584" from="-3pt,9.45pt" to="456pt,9.45pt" stroked="t" strokeweight="2.25pt">
          <v:stroke linestyle="single"/>
        </v:line>
      </w:pict>
    </w:r>
  </w:p>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60" style="mso-wrap-style:square;position:absolute;z-index:251716608" from="-3pt,9.45pt" to="456pt,9.45pt" stroked="t" strokeweight="2.25pt">
          <v:stroke linestyle="single"/>
        </v:line>
      </w:pict>
    </w:r>
  </w:p>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62" style="mso-wrap-style:square;position:absolute;z-index:251717632" from="-3pt,9.45pt" to="456pt,9.45pt" stroked="t" strokeweight="2.25pt">
          <v:stroke linestyle="single"/>
        </v:line>
      </w:pict>
    </w:r>
  </w:p>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64" style="mso-wrap-style:square;position:absolute;z-index:251718656" from="-3pt,9.45pt" to="456pt,9.45pt" stroked="t" strokeweight="2.25pt">
          <v:stroke linestyle="single"/>
        </v:line>
      </w:pict>
    </w:r>
  </w:p>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00"/>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rPr>
    </w:pPr>
  </w:p>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6" o:spid="_x0000_s2166" style="mso-wrap-style:square;position:absolute;z-index:251719680" from="-3pt,9.45pt" to="456pt,9.45pt" stroked="t" strokeweight="2.25pt">
          <v:stroke linestyle="single"/>
        </v:line>
      </w:pict>
    </w:r>
  </w:p>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rPr>
        <w:rFonts w:hint="eastAsia"/>
        <w:sz w:val="21"/>
        <w:szCs w:val="21"/>
      </w:rPr>
    </w:pPr>
    <w:r>
      <w:rPr>
        <w:rFonts w:hint="eastAsia"/>
        <w:sz w:val="21"/>
        <w:szCs w:val="21"/>
      </w:rPr>
      <w:t>合肥至福州铁路工程（闽赣）段</w:t>
    </w:r>
    <w:r>
      <w:rPr>
        <w:rFonts w:hint="eastAsia"/>
        <w:sz w:val="21"/>
        <w:szCs w:val="21"/>
      </w:rPr>
      <w:t>Ⅱ</w:t>
    </w:r>
    <w:r>
      <w:rPr>
        <w:rFonts w:hint="eastAsia"/>
        <w:sz w:val="21"/>
        <w:szCs w:val="21"/>
      </w:rPr>
      <w:t>标段              陈山坞特大桥深基坑专项施工方案</w:t>
    </w:r>
  </w:p>
  <w:p>
    <w:pPr>
      <w:pStyle w:val="Header"/>
      <w:pBdr>
        <w:bottom w:val="single" w:sz="6" w:space="0" w:color="auto"/>
      </w:pBdr>
      <w:tabs>
        <w:tab w:val="center" w:pos="4153"/>
        <w:tab w:val="right" w:pos="8306"/>
      </w:tabs>
      <w:rPr>
        <w:rFonts w:hint="eastAsia"/>
      </w:rPr>
    </w:pPr>
    <w:r>
      <w:rPr>
        <w:rFonts w:hint="eastAsia"/>
      </w:rPr>
      <w:pict>
        <v:line id="直线 15" o:spid="_x0000_s2168" style="mso-wrap-style:square;position:absolute;z-index:251720704" from="-3pt,9.45pt" to="456pt,9.45pt" stroked="t" strokeweight="2.25pt">
          <v:stroke linestyle="single"/>
        </v:line>
      </w:pict>
    </w:r>
  </w:p>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decimal"/>
      <w:lvlText w:val="%1)"/>
      <w:lvlJc w:val="left"/>
      <w:pPr>
        <w:tabs>
          <w:tab w:val="num" w:pos="5020"/>
        </w:tabs>
        <w:ind w:left="5020" w:firstLine="560"/>
      </w:pPr>
      <w:rPr>
        <w:rFonts w:ascii="Times New Roman" w:hAnsi="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83F07C6"/>
    <w:multiLevelType w:val="multilevel"/>
    <w:tmpl w:val="083F07C6"/>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45075A00"/>
    <w:multiLevelType w:val="multilevel"/>
    <w:tmpl w:val="45075A00"/>
    <w:lvl w:ilvl="0">
      <w:start w:val="1"/>
      <w:numFmt w:val="decimal"/>
      <w:lvlText w:val="%1）"/>
      <w:lvlJc w:val="left"/>
      <w:pPr>
        <w:ind w:left="920" w:hanging="360"/>
      </w:pPr>
      <w:rPr>
        <w:rFonts w:ascii="宋体" w:eastAsia="宋体" w:hAnsi="宋体" w:cs="Times New Roman"/>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nsid w:val="4E8D3707"/>
    <w:multiLevelType w:val="multilevel"/>
    <w:tmpl w:val="4E8D3707"/>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579B26B4"/>
    <w:multiLevelType w:val="multilevel"/>
    <w:tmpl w:val="579B26B4"/>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6">
    <w:nsid w:val="63E75D9F"/>
    <w:multiLevelType w:val="multilevel"/>
    <w:tmpl w:val="63E75D9F"/>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4"/>
  </w:num>
  <w:num w:numId="3">
    <w:abstractNumId w:val="6"/>
  </w:num>
  <w:num w:numId="4">
    <w:abstractNumId w:val="2"/>
  </w:num>
  <w:num w:numId="5">
    <w:abstractNumId w:val="3"/>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0EE4"/>
    <w:rsid w:val="0000157D"/>
    <w:rsid w:val="00002981"/>
    <w:rsid w:val="00005B27"/>
    <w:rsid w:val="00006EB8"/>
    <w:rsid w:val="00010442"/>
    <w:rsid w:val="00010DC1"/>
    <w:rsid w:val="00011A4D"/>
    <w:rsid w:val="0001707E"/>
    <w:rsid w:val="00017C59"/>
    <w:rsid w:val="0002194E"/>
    <w:rsid w:val="00022B4B"/>
    <w:rsid w:val="000241A1"/>
    <w:rsid w:val="000260B3"/>
    <w:rsid w:val="000262DA"/>
    <w:rsid w:val="00026388"/>
    <w:rsid w:val="0003227C"/>
    <w:rsid w:val="000331DA"/>
    <w:rsid w:val="00037A37"/>
    <w:rsid w:val="000414CE"/>
    <w:rsid w:val="000423FE"/>
    <w:rsid w:val="0004294B"/>
    <w:rsid w:val="00042D2A"/>
    <w:rsid w:val="000460C8"/>
    <w:rsid w:val="0004780A"/>
    <w:rsid w:val="000503EA"/>
    <w:rsid w:val="000536A7"/>
    <w:rsid w:val="0006118E"/>
    <w:rsid w:val="000618F6"/>
    <w:rsid w:val="00061BB2"/>
    <w:rsid w:val="000628D8"/>
    <w:rsid w:val="0006426D"/>
    <w:rsid w:val="000727A7"/>
    <w:rsid w:val="000745C2"/>
    <w:rsid w:val="00076B1A"/>
    <w:rsid w:val="000805B9"/>
    <w:rsid w:val="00084D93"/>
    <w:rsid w:val="00086402"/>
    <w:rsid w:val="000876F3"/>
    <w:rsid w:val="00090E1B"/>
    <w:rsid w:val="00090EA0"/>
    <w:rsid w:val="00092310"/>
    <w:rsid w:val="00097907"/>
    <w:rsid w:val="000A04CE"/>
    <w:rsid w:val="000A11D4"/>
    <w:rsid w:val="000A1EA5"/>
    <w:rsid w:val="000A68D6"/>
    <w:rsid w:val="000A7BB4"/>
    <w:rsid w:val="000B0BC2"/>
    <w:rsid w:val="000B1A09"/>
    <w:rsid w:val="000B297A"/>
    <w:rsid w:val="000B2ED8"/>
    <w:rsid w:val="000B2EF0"/>
    <w:rsid w:val="000B394F"/>
    <w:rsid w:val="000B4E8A"/>
    <w:rsid w:val="000B6540"/>
    <w:rsid w:val="000B6B28"/>
    <w:rsid w:val="000C05B5"/>
    <w:rsid w:val="000C0F54"/>
    <w:rsid w:val="000C203E"/>
    <w:rsid w:val="000C710D"/>
    <w:rsid w:val="000C7745"/>
    <w:rsid w:val="000D0DE1"/>
    <w:rsid w:val="000D1344"/>
    <w:rsid w:val="000D1C0E"/>
    <w:rsid w:val="000D29BC"/>
    <w:rsid w:val="000D3EEC"/>
    <w:rsid w:val="000D5898"/>
    <w:rsid w:val="000E1ED9"/>
    <w:rsid w:val="000E2B49"/>
    <w:rsid w:val="000E5F6D"/>
    <w:rsid w:val="000E7583"/>
    <w:rsid w:val="000F164B"/>
    <w:rsid w:val="000F41EC"/>
    <w:rsid w:val="000F45E3"/>
    <w:rsid w:val="000F51F1"/>
    <w:rsid w:val="000F7D7A"/>
    <w:rsid w:val="00101CAF"/>
    <w:rsid w:val="00101ECB"/>
    <w:rsid w:val="001032C2"/>
    <w:rsid w:val="00106E5E"/>
    <w:rsid w:val="00110107"/>
    <w:rsid w:val="001106F9"/>
    <w:rsid w:val="001118CC"/>
    <w:rsid w:val="00111AD9"/>
    <w:rsid w:val="00113FEB"/>
    <w:rsid w:val="00114042"/>
    <w:rsid w:val="0011590B"/>
    <w:rsid w:val="00116339"/>
    <w:rsid w:val="00116F69"/>
    <w:rsid w:val="001176F5"/>
    <w:rsid w:val="00122916"/>
    <w:rsid w:val="00123EC4"/>
    <w:rsid w:val="00123FBD"/>
    <w:rsid w:val="00127F9F"/>
    <w:rsid w:val="00131348"/>
    <w:rsid w:val="00134623"/>
    <w:rsid w:val="00136A0F"/>
    <w:rsid w:val="0014144A"/>
    <w:rsid w:val="0014428F"/>
    <w:rsid w:val="00146CB2"/>
    <w:rsid w:val="00146D79"/>
    <w:rsid w:val="0015100C"/>
    <w:rsid w:val="00151AB6"/>
    <w:rsid w:val="00154A7A"/>
    <w:rsid w:val="001607C4"/>
    <w:rsid w:val="0016088F"/>
    <w:rsid w:val="00160A89"/>
    <w:rsid w:val="00161446"/>
    <w:rsid w:val="00163926"/>
    <w:rsid w:val="0016565B"/>
    <w:rsid w:val="00171D7E"/>
    <w:rsid w:val="00172208"/>
    <w:rsid w:val="00173EF7"/>
    <w:rsid w:val="00176E30"/>
    <w:rsid w:val="00176F35"/>
    <w:rsid w:val="00176FFE"/>
    <w:rsid w:val="00177129"/>
    <w:rsid w:val="0018025F"/>
    <w:rsid w:val="00180611"/>
    <w:rsid w:val="00182439"/>
    <w:rsid w:val="0018338D"/>
    <w:rsid w:val="00183494"/>
    <w:rsid w:val="00183F4F"/>
    <w:rsid w:val="00187744"/>
    <w:rsid w:val="00191116"/>
    <w:rsid w:val="00193609"/>
    <w:rsid w:val="001A041E"/>
    <w:rsid w:val="001A1C05"/>
    <w:rsid w:val="001A3482"/>
    <w:rsid w:val="001A3881"/>
    <w:rsid w:val="001A6EB7"/>
    <w:rsid w:val="001B059C"/>
    <w:rsid w:val="001B0F90"/>
    <w:rsid w:val="001B16D6"/>
    <w:rsid w:val="001B61EA"/>
    <w:rsid w:val="001B7D10"/>
    <w:rsid w:val="001C02EE"/>
    <w:rsid w:val="001C243E"/>
    <w:rsid w:val="001C2869"/>
    <w:rsid w:val="001C2E56"/>
    <w:rsid w:val="001C67DC"/>
    <w:rsid w:val="001C6A03"/>
    <w:rsid w:val="001D0391"/>
    <w:rsid w:val="001D4017"/>
    <w:rsid w:val="001D4E6C"/>
    <w:rsid w:val="001D513D"/>
    <w:rsid w:val="001D7364"/>
    <w:rsid w:val="001D7995"/>
    <w:rsid w:val="001E3C11"/>
    <w:rsid w:val="001E707B"/>
    <w:rsid w:val="001E7808"/>
    <w:rsid w:val="001F20F7"/>
    <w:rsid w:val="001F4823"/>
    <w:rsid w:val="001F5D65"/>
    <w:rsid w:val="00201C86"/>
    <w:rsid w:val="0020264F"/>
    <w:rsid w:val="00203DFD"/>
    <w:rsid w:val="00205A7E"/>
    <w:rsid w:val="00220438"/>
    <w:rsid w:val="00220C3A"/>
    <w:rsid w:val="00221764"/>
    <w:rsid w:val="00224C81"/>
    <w:rsid w:val="00225F19"/>
    <w:rsid w:val="00227B0D"/>
    <w:rsid w:val="00230406"/>
    <w:rsid w:val="00231513"/>
    <w:rsid w:val="0023387D"/>
    <w:rsid w:val="00234541"/>
    <w:rsid w:val="0024144C"/>
    <w:rsid w:val="00244563"/>
    <w:rsid w:val="00247D24"/>
    <w:rsid w:val="00250A7A"/>
    <w:rsid w:val="00251B3F"/>
    <w:rsid w:val="00251D71"/>
    <w:rsid w:val="00252208"/>
    <w:rsid w:val="00253D1F"/>
    <w:rsid w:val="00255C23"/>
    <w:rsid w:val="002602B2"/>
    <w:rsid w:val="0026089B"/>
    <w:rsid w:val="00263C79"/>
    <w:rsid w:val="0026412D"/>
    <w:rsid w:val="00264716"/>
    <w:rsid w:val="00264E8C"/>
    <w:rsid w:val="002660CC"/>
    <w:rsid w:val="00266C96"/>
    <w:rsid w:val="002716B1"/>
    <w:rsid w:val="002741FD"/>
    <w:rsid w:val="00274834"/>
    <w:rsid w:val="00275B01"/>
    <w:rsid w:val="00277635"/>
    <w:rsid w:val="002778BF"/>
    <w:rsid w:val="002801C9"/>
    <w:rsid w:val="00283080"/>
    <w:rsid w:val="00283C57"/>
    <w:rsid w:val="0029008F"/>
    <w:rsid w:val="00290AA7"/>
    <w:rsid w:val="0029250F"/>
    <w:rsid w:val="00296907"/>
    <w:rsid w:val="00296E89"/>
    <w:rsid w:val="002A0570"/>
    <w:rsid w:val="002A2277"/>
    <w:rsid w:val="002A3A4C"/>
    <w:rsid w:val="002A4C0E"/>
    <w:rsid w:val="002A79B3"/>
    <w:rsid w:val="002B0116"/>
    <w:rsid w:val="002B2D44"/>
    <w:rsid w:val="002B58CE"/>
    <w:rsid w:val="002C01EF"/>
    <w:rsid w:val="002C1555"/>
    <w:rsid w:val="002C2DA1"/>
    <w:rsid w:val="002C3AE8"/>
    <w:rsid w:val="002C4107"/>
    <w:rsid w:val="002C4FC8"/>
    <w:rsid w:val="002C686D"/>
    <w:rsid w:val="002C7A30"/>
    <w:rsid w:val="002D0944"/>
    <w:rsid w:val="002D329A"/>
    <w:rsid w:val="002E06F7"/>
    <w:rsid w:val="002E19E8"/>
    <w:rsid w:val="002E1DD7"/>
    <w:rsid w:val="002E4E06"/>
    <w:rsid w:val="002E7522"/>
    <w:rsid w:val="002F0B86"/>
    <w:rsid w:val="002F52E5"/>
    <w:rsid w:val="002F6D13"/>
    <w:rsid w:val="003059F3"/>
    <w:rsid w:val="00306305"/>
    <w:rsid w:val="00306B61"/>
    <w:rsid w:val="003074D6"/>
    <w:rsid w:val="00310929"/>
    <w:rsid w:val="00311975"/>
    <w:rsid w:val="00312BC3"/>
    <w:rsid w:val="00320E4B"/>
    <w:rsid w:val="00323F90"/>
    <w:rsid w:val="00324749"/>
    <w:rsid w:val="00324BD4"/>
    <w:rsid w:val="00326100"/>
    <w:rsid w:val="003278F5"/>
    <w:rsid w:val="00331C51"/>
    <w:rsid w:val="00331CCA"/>
    <w:rsid w:val="00331D73"/>
    <w:rsid w:val="00332B47"/>
    <w:rsid w:val="003336B6"/>
    <w:rsid w:val="00333A5E"/>
    <w:rsid w:val="00333E94"/>
    <w:rsid w:val="003348E4"/>
    <w:rsid w:val="003363B5"/>
    <w:rsid w:val="00337B47"/>
    <w:rsid w:val="00340D28"/>
    <w:rsid w:val="00340FBB"/>
    <w:rsid w:val="00341769"/>
    <w:rsid w:val="00343266"/>
    <w:rsid w:val="00345BBB"/>
    <w:rsid w:val="00346245"/>
    <w:rsid w:val="00347A01"/>
    <w:rsid w:val="003523BD"/>
    <w:rsid w:val="00352803"/>
    <w:rsid w:val="00352E8E"/>
    <w:rsid w:val="00354AA8"/>
    <w:rsid w:val="00354C78"/>
    <w:rsid w:val="003564FC"/>
    <w:rsid w:val="00361DB0"/>
    <w:rsid w:val="0036727B"/>
    <w:rsid w:val="00367CD5"/>
    <w:rsid w:val="00371A7C"/>
    <w:rsid w:val="003723B9"/>
    <w:rsid w:val="0037245F"/>
    <w:rsid w:val="00373A11"/>
    <w:rsid w:val="003742AD"/>
    <w:rsid w:val="00375AC4"/>
    <w:rsid w:val="00381A4A"/>
    <w:rsid w:val="0038249D"/>
    <w:rsid w:val="00383869"/>
    <w:rsid w:val="00385045"/>
    <w:rsid w:val="003854A9"/>
    <w:rsid w:val="00387DC2"/>
    <w:rsid w:val="003921A3"/>
    <w:rsid w:val="00392E26"/>
    <w:rsid w:val="0039451D"/>
    <w:rsid w:val="0039562B"/>
    <w:rsid w:val="003A0210"/>
    <w:rsid w:val="003A28B3"/>
    <w:rsid w:val="003A44A2"/>
    <w:rsid w:val="003A454B"/>
    <w:rsid w:val="003A5480"/>
    <w:rsid w:val="003A6AE0"/>
    <w:rsid w:val="003B010A"/>
    <w:rsid w:val="003B0264"/>
    <w:rsid w:val="003B15D2"/>
    <w:rsid w:val="003B3451"/>
    <w:rsid w:val="003B3769"/>
    <w:rsid w:val="003B5A39"/>
    <w:rsid w:val="003B7DE2"/>
    <w:rsid w:val="003C3008"/>
    <w:rsid w:val="003C48BC"/>
    <w:rsid w:val="003C7811"/>
    <w:rsid w:val="003D4F54"/>
    <w:rsid w:val="003D59E9"/>
    <w:rsid w:val="003D63AD"/>
    <w:rsid w:val="003E1032"/>
    <w:rsid w:val="003E54A8"/>
    <w:rsid w:val="003E5FD1"/>
    <w:rsid w:val="003E6AFE"/>
    <w:rsid w:val="003E6DE2"/>
    <w:rsid w:val="003F0C0B"/>
    <w:rsid w:val="003F2504"/>
    <w:rsid w:val="003F580E"/>
    <w:rsid w:val="003F6F10"/>
    <w:rsid w:val="0040396C"/>
    <w:rsid w:val="00405CE5"/>
    <w:rsid w:val="004068F7"/>
    <w:rsid w:val="004177E8"/>
    <w:rsid w:val="00421585"/>
    <w:rsid w:val="0042432E"/>
    <w:rsid w:val="0042535D"/>
    <w:rsid w:val="004258A3"/>
    <w:rsid w:val="00426F8F"/>
    <w:rsid w:val="00427375"/>
    <w:rsid w:val="004274AF"/>
    <w:rsid w:val="00432916"/>
    <w:rsid w:val="00432EAC"/>
    <w:rsid w:val="00433C0B"/>
    <w:rsid w:val="0043640A"/>
    <w:rsid w:val="004370C0"/>
    <w:rsid w:val="00440EE6"/>
    <w:rsid w:val="00441B2A"/>
    <w:rsid w:val="0044272F"/>
    <w:rsid w:val="004452AD"/>
    <w:rsid w:val="004500F3"/>
    <w:rsid w:val="00454B6C"/>
    <w:rsid w:val="004553FD"/>
    <w:rsid w:val="00456BA3"/>
    <w:rsid w:val="00460CC5"/>
    <w:rsid w:val="00462532"/>
    <w:rsid w:val="00464377"/>
    <w:rsid w:val="00464B24"/>
    <w:rsid w:val="00466B30"/>
    <w:rsid w:val="004703EE"/>
    <w:rsid w:val="00471BD4"/>
    <w:rsid w:val="00472621"/>
    <w:rsid w:val="0047427B"/>
    <w:rsid w:val="00474CBA"/>
    <w:rsid w:val="0048592E"/>
    <w:rsid w:val="004932AE"/>
    <w:rsid w:val="004953F0"/>
    <w:rsid w:val="00496723"/>
    <w:rsid w:val="004976DD"/>
    <w:rsid w:val="00497F5F"/>
    <w:rsid w:val="004A02A3"/>
    <w:rsid w:val="004A0DAB"/>
    <w:rsid w:val="004A3BCB"/>
    <w:rsid w:val="004A6720"/>
    <w:rsid w:val="004A732D"/>
    <w:rsid w:val="004B0FF7"/>
    <w:rsid w:val="004B6A04"/>
    <w:rsid w:val="004B73A6"/>
    <w:rsid w:val="004C0AD3"/>
    <w:rsid w:val="004C0D1A"/>
    <w:rsid w:val="004C2327"/>
    <w:rsid w:val="004C4DE5"/>
    <w:rsid w:val="004C6517"/>
    <w:rsid w:val="004D0C59"/>
    <w:rsid w:val="004D42A3"/>
    <w:rsid w:val="004D4CBA"/>
    <w:rsid w:val="004D67F2"/>
    <w:rsid w:val="004D6F69"/>
    <w:rsid w:val="004E1B90"/>
    <w:rsid w:val="004E23B7"/>
    <w:rsid w:val="004E2FF1"/>
    <w:rsid w:val="004E5209"/>
    <w:rsid w:val="004E590E"/>
    <w:rsid w:val="004E5C60"/>
    <w:rsid w:val="004E6333"/>
    <w:rsid w:val="004E7137"/>
    <w:rsid w:val="004E7896"/>
    <w:rsid w:val="004E79CF"/>
    <w:rsid w:val="004E7D90"/>
    <w:rsid w:val="004F0A21"/>
    <w:rsid w:val="004F4569"/>
    <w:rsid w:val="004F5E5B"/>
    <w:rsid w:val="00500165"/>
    <w:rsid w:val="00502778"/>
    <w:rsid w:val="005027B6"/>
    <w:rsid w:val="00502FC6"/>
    <w:rsid w:val="00503829"/>
    <w:rsid w:val="0051305D"/>
    <w:rsid w:val="00521AD2"/>
    <w:rsid w:val="0052254F"/>
    <w:rsid w:val="00523D1B"/>
    <w:rsid w:val="00524281"/>
    <w:rsid w:val="00524DBE"/>
    <w:rsid w:val="00527DAD"/>
    <w:rsid w:val="005310DB"/>
    <w:rsid w:val="005373B6"/>
    <w:rsid w:val="005421A7"/>
    <w:rsid w:val="005433E7"/>
    <w:rsid w:val="00543897"/>
    <w:rsid w:val="00544162"/>
    <w:rsid w:val="00550625"/>
    <w:rsid w:val="00552538"/>
    <w:rsid w:val="005528E7"/>
    <w:rsid w:val="005529E7"/>
    <w:rsid w:val="005530E2"/>
    <w:rsid w:val="00554327"/>
    <w:rsid w:val="00554DC0"/>
    <w:rsid w:val="0055628A"/>
    <w:rsid w:val="00561180"/>
    <w:rsid w:val="0056141E"/>
    <w:rsid w:val="00561FC8"/>
    <w:rsid w:val="00565A2C"/>
    <w:rsid w:val="00566A61"/>
    <w:rsid w:val="00570030"/>
    <w:rsid w:val="00570DE6"/>
    <w:rsid w:val="00571E17"/>
    <w:rsid w:val="00572F35"/>
    <w:rsid w:val="00577D95"/>
    <w:rsid w:val="00580F99"/>
    <w:rsid w:val="0058218A"/>
    <w:rsid w:val="00582ED9"/>
    <w:rsid w:val="00583569"/>
    <w:rsid w:val="00586F92"/>
    <w:rsid w:val="005871EF"/>
    <w:rsid w:val="0058742D"/>
    <w:rsid w:val="0058795E"/>
    <w:rsid w:val="00591A8F"/>
    <w:rsid w:val="005958C7"/>
    <w:rsid w:val="0059631C"/>
    <w:rsid w:val="00596790"/>
    <w:rsid w:val="005A15F3"/>
    <w:rsid w:val="005A214F"/>
    <w:rsid w:val="005A39B3"/>
    <w:rsid w:val="005A3FB7"/>
    <w:rsid w:val="005A4495"/>
    <w:rsid w:val="005B046B"/>
    <w:rsid w:val="005B336D"/>
    <w:rsid w:val="005B337F"/>
    <w:rsid w:val="005B396D"/>
    <w:rsid w:val="005B3CCC"/>
    <w:rsid w:val="005B5199"/>
    <w:rsid w:val="005B526F"/>
    <w:rsid w:val="005B5494"/>
    <w:rsid w:val="005C0419"/>
    <w:rsid w:val="005C0AE3"/>
    <w:rsid w:val="005C0DCD"/>
    <w:rsid w:val="005C0F07"/>
    <w:rsid w:val="005C17A5"/>
    <w:rsid w:val="005C1EB1"/>
    <w:rsid w:val="005C2420"/>
    <w:rsid w:val="005C33A3"/>
    <w:rsid w:val="005C6143"/>
    <w:rsid w:val="005D207B"/>
    <w:rsid w:val="005D2D55"/>
    <w:rsid w:val="005D4855"/>
    <w:rsid w:val="005D57AF"/>
    <w:rsid w:val="005D61F1"/>
    <w:rsid w:val="005D733A"/>
    <w:rsid w:val="005D7459"/>
    <w:rsid w:val="005E3454"/>
    <w:rsid w:val="005E725B"/>
    <w:rsid w:val="005E75F9"/>
    <w:rsid w:val="005F0FA0"/>
    <w:rsid w:val="005F333E"/>
    <w:rsid w:val="00602928"/>
    <w:rsid w:val="00602F7B"/>
    <w:rsid w:val="00607CFB"/>
    <w:rsid w:val="00607FFD"/>
    <w:rsid w:val="00620BFE"/>
    <w:rsid w:val="00620ECE"/>
    <w:rsid w:val="00622877"/>
    <w:rsid w:val="00622974"/>
    <w:rsid w:val="006246D5"/>
    <w:rsid w:val="00625502"/>
    <w:rsid w:val="00626515"/>
    <w:rsid w:val="006306CC"/>
    <w:rsid w:val="00634347"/>
    <w:rsid w:val="00640484"/>
    <w:rsid w:val="00640790"/>
    <w:rsid w:val="006431B4"/>
    <w:rsid w:val="006452BA"/>
    <w:rsid w:val="006456C0"/>
    <w:rsid w:val="006463BA"/>
    <w:rsid w:val="00647160"/>
    <w:rsid w:val="00647C93"/>
    <w:rsid w:val="0065069C"/>
    <w:rsid w:val="00652489"/>
    <w:rsid w:val="00655C95"/>
    <w:rsid w:val="00655F40"/>
    <w:rsid w:val="00662150"/>
    <w:rsid w:val="006626FC"/>
    <w:rsid w:val="00667C56"/>
    <w:rsid w:val="00667E98"/>
    <w:rsid w:val="006701EF"/>
    <w:rsid w:val="00670472"/>
    <w:rsid w:val="00670C53"/>
    <w:rsid w:val="00672269"/>
    <w:rsid w:val="00675A0B"/>
    <w:rsid w:val="006802DA"/>
    <w:rsid w:val="006855C4"/>
    <w:rsid w:val="006859ED"/>
    <w:rsid w:val="0068609D"/>
    <w:rsid w:val="006875BD"/>
    <w:rsid w:val="006875F8"/>
    <w:rsid w:val="00695839"/>
    <w:rsid w:val="0069647D"/>
    <w:rsid w:val="00696AC1"/>
    <w:rsid w:val="0069706D"/>
    <w:rsid w:val="006A07F8"/>
    <w:rsid w:val="006A22E1"/>
    <w:rsid w:val="006A3DF5"/>
    <w:rsid w:val="006A4BB0"/>
    <w:rsid w:val="006A6E15"/>
    <w:rsid w:val="006B0EF7"/>
    <w:rsid w:val="006B2ABE"/>
    <w:rsid w:val="006B3BCC"/>
    <w:rsid w:val="006B619F"/>
    <w:rsid w:val="006C19BD"/>
    <w:rsid w:val="006C3261"/>
    <w:rsid w:val="006C478A"/>
    <w:rsid w:val="006C49DC"/>
    <w:rsid w:val="006C63E4"/>
    <w:rsid w:val="006D2FA5"/>
    <w:rsid w:val="006D32EF"/>
    <w:rsid w:val="006D47FB"/>
    <w:rsid w:val="006D582F"/>
    <w:rsid w:val="006E184C"/>
    <w:rsid w:val="006E2C87"/>
    <w:rsid w:val="006E32E6"/>
    <w:rsid w:val="006E6B7A"/>
    <w:rsid w:val="006E6EEE"/>
    <w:rsid w:val="006E6FC2"/>
    <w:rsid w:val="006F0B06"/>
    <w:rsid w:val="006F1148"/>
    <w:rsid w:val="006F11F1"/>
    <w:rsid w:val="006F2C03"/>
    <w:rsid w:val="006F324E"/>
    <w:rsid w:val="006F43B2"/>
    <w:rsid w:val="00700C22"/>
    <w:rsid w:val="00700D7A"/>
    <w:rsid w:val="00702765"/>
    <w:rsid w:val="007039AF"/>
    <w:rsid w:val="0070431F"/>
    <w:rsid w:val="007043A2"/>
    <w:rsid w:val="00704A34"/>
    <w:rsid w:val="00704B01"/>
    <w:rsid w:val="00705608"/>
    <w:rsid w:val="007139FC"/>
    <w:rsid w:val="00714BE6"/>
    <w:rsid w:val="00715A48"/>
    <w:rsid w:val="00715AED"/>
    <w:rsid w:val="00716974"/>
    <w:rsid w:val="00717B7C"/>
    <w:rsid w:val="0072218C"/>
    <w:rsid w:val="00722BB3"/>
    <w:rsid w:val="00723AAB"/>
    <w:rsid w:val="00724BDA"/>
    <w:rsid w:val="007271F8"/>
    <w:rsid w:val="00730283"/>
    <w:rsid w:val="00730AAC"/>
    <w:rsid w:val="00731145"/>
    <w:rsid w:val="0073446C"/>
    <w:rsid w:val="00734CD1"/>
    <w:rsid w:val="00735654"/>
    <w:rsid w:val="00737E91"/>
    <w:rsid w:val="00741863"/>
    <w:rsid w:val="007444A9"/>
    <w:rsid w:val="00744806"/>
    <w:rsid w:val="00744DF9"/>
    <w:rsid w:val="00747552"/>
    <w:rsid w:val="00750901"/>
    <w:rsid w:val="00753B89"/>
    <w:rsid w:val="0075535A"/>
    <w:rsid w:val="007562D2"/>
    <w:rsid w:val="00757FC5"/>
    <w:rsid w:val="00760685"/>
    <w:rsid w:val="00761806"/>
    <w:rsid w:val="00763555"/>
    <w:rsid w:val="00764836"/>
    <w:rsid w:val="00765160"/>
    <w:rsid w:val="00767950"/>
    <w:rsid w:val="007709A8"/>
    <w:rsid w:val="00775DC8"/>
    <w:rsid w:val="00775EEC"/>
    <w:rsid w:val="00775F38"/>
    <w:rsid w:val="00781050"/>
    <w:rsid w:val="00782C25"/>
    <w:rsid w:val="007849CD"/>
    <w:rsid w:val="007864BB"/>
    <w:rsid w:val="007869E2"/>
    <w:rsid w:val="00795473"/>
    <w:rsid w:val="007979D5"/>
    <w:rsid w:val="007A7EFB"/>
    <w:rsid w:val="007B34E6"/>
    <w:rsid w:val="007B43E4"/>
    <w:rsid w:val="007B5955"/>
    <w:rsid w:val="007B5967"/>
    <w:rsid w:val="007C20D8"/>
    <w:rsid w:val="007C2AF5"/>
    <w:rsid w:val="007C4EEA"/>
    <w:rsid w:val="007D15EA"/>
    <w:rsid w:val="007D1684"/>
    <w:rsid w:val="007D252F"/>
    <w:rsid w:val="007D5982"/>
    <w:rsid w:val="007D5E0D"/>
    <w:rsid w:val="007D6A7D"/>
    <w:rsid w:val="007D70DE"/>
    <w:rsid w:val="007E2E73"/>
    <w:rsid w:val="007E3BE7"/>
    <w:rsid w:val="007E3C74"/>
    <w:rsid w:val="007E4599"/>
    <w:rsid w:val="007E47E9"/>
    <w:rsid w:val="007E5AD9"/>
    <w:rsid w:val="007E68A3"/>
    <w:rsid w:val="007F1D73"/>
    <w:rsid w:val="007F2F7A"/>
    <w:rsid w:val="007F679B"/>
    <w:rsid w:val="007F791B"/>
    <w:rsid w:val="00802BC3"/>
    <w:rsid w:val="00803D0B"/>
    <w:rsid w:val="00804065"/>
    <w:rsid w:val="00805185"/>
    <w:rsid w:val="008106C7"/>
    <w:rsid w:val="00810B7F"/>
    <w:rsid w:val="00810F66"/>
    <w:rsid w:val="0081124A"/>
    <w:rsid w:val="008120DF"/>
    <w:rsid w:val="0081320D"/>
    <w:rsid w:val="0081596D"/>
    <w:rsid w:val="00815AA9"/>
    <w:rsid w:val="00817C0D"/>
    <w:rsid w:val="0082154E"/>
    <w:rsid w:val="00824AA5"/>
    <w:rsid w:val="00824F7C"/>
    <w:rsid w:val="00826FF1"/>
    <w:rsid w:val="00830235"/>
    <w:rsid w:val="00833A3F"/>
    <w:rsid w:val="0083563A"/>
    <w:rsid w:val="00840241"/>
    <w:rsid w:val="00842322"/>
    <w:rsid w:val="00842BDC"/>
    <w:rsid w:val="00843A04"/>
    <w:rsid w:val="00846FD2"/>
    <w:rsid w:val="008515C1"/>
    <w:rsid w:val="008528AE"/>
    <w:rsid w:val="0085367C"/>
    <w:rsid w:val="00853FE1"/>
    <w:rsid w:val="008559E7"/>
    <w:rsid w:val="00855EC3"/>
    <w:rsid w:val="008611AB"/>
    <w:rsid w:val="00866761"/>
    <w:rsid w:val="00867128"/>
    <w:rsid w:val="00870288"/>
    <w:rsid w:val="0087078F"/>
    <w:rsid w:val="00871685"/>
    <w:rsid w:val="00871C04"/>
    <w:rsid w:val="00873F40"/>
    <w:rsid w:val="008749F7"/>
    <w:rsid w:val="008752FB"/>
    <w:rsid w:val="008759BE"/>
    <w:rsid w:val="00876F10"/>
    <w:rsid w:val="00880E88"/>
    <w:rsid w:val="00881545"/>
    <w:rsid w:val="00881E67"/>
    <w:rsid w:val="008849EC"/>
    <w:rsid w:val="00884B38"/>
    <w:rsid w:val="008861F5"/>
    <w:rsid w:val="00887A69"/>
    <w:rsid w:val="00891CFE"/>
    <w:rsid w:val="00892235"/>
    <w:rsid w:val="00897C33"/>
    <w:rsid w:val="008A0E0C"/>
    <w:rsid w:val="008A423F"/>
    <w:rsid w:val="008A57D1"/>
    <w:rsid w:val="008A669E"/>
    <w:rsid w:val="008A6848"/>
    <w:rsid w:val="008A7498"/>
    <w:rsid w:val="008B006E"/>
    <w:rsid w:val="008B5AD2"/>
    <w:rsid w:val="008B6347"/>
    <w:rsid w:val="008B6D58"/>
    <w:rsid w:val="008C1298"/>
    <w:rsid w:val="008C369B"/>
    <w:rsid w:val="008C73FF"/>
    <w:rsid w:val="008C788C"/>
    <w:rsid w:val="008C7D37"/>
    <w:rsid w:val="008D04F3"/>
    <w:rsid w:val="008D2824"/>
    <w:rsid w:val="008D302C"/>
    <w:rsid w:val="008D38FE"/>
    <w:rsid w:val="008D442F"/>
    <w:rsid w:val="008D4E1C"/>
    <w:rsid w:val="008D6CA4"/>
    <w:rsid w:val="008D6E94"/>
    <w:rsid w:val="008D7D5E"/>
    <w:rsid w:val="008E0967"/>
    <w:rsid w:val="008E16F9"/>
    <w:rsid w:val="008E1C9D"/>
    <w:rsid w:val="008E3793"/>
    <w:rsid w:val="008E3F45"/>
    <w:rsid w:val="008E6660"/>
    <w:rsid w:val="008F158C"/>
    <w:rsid w:val="008F1DC7"/>
    <w:rsid w:val="008F37AC"/>
    <w:rsid w:val="008F4E80"/>
    <w:rsid w:val="008F723C"/>
    <w:rsid w:val="00900914"/>
    <w:rsid w:val="009010BA"/>
    <w:rsid w:val="00902461"/>
    <w:rsid w:val="00903D8C"/>
    <w:rsid w:val="00904588"/>
    <w:rsid w:val="00907091"/>
    <w:rsid w:val="00907278"/>
    <w:rsid w:val="0091713A"/>
    <w:rsid w:val="00917BB6"/>
    <w:rsid w:val="00920643"/>
    <w:rsid w:val="00921DAC"/>
    <w:rsid w:val="00922AEC"/>
    <w:rsid w:val="00923125"/>
    <w:rsid w:val="0092418E"/>
    <w:rsid w:val="0092572D"/>
    <w:rsid w:val="009264C4"/>
    <w:rsid w:val="0093079D"/>
    <w:rsid w:val="009319F9"/>
    <w:rsid w:val="00932332"/>
    <w:rsid w:val="00933BA6"/>
    <w:rsid w:val="0094413A"/>
    <w:rsid w:val="0094546F"/>
    <w:rsid w:val="00947E9D"/>
    <w:rsid w:val="00950796"/>
    <w:rsid w:val="0095114D"/>
    <w:rsid w:val="00956FB0"/>
    <w:rsid w:val="00972539"/>
    <w:rsid w:val="00973A7E"/>
    <w:rsid w:val="009772B4"/>
    <w:rsid w:val="00982F6B"/>
    <w:rsid w:val="0098550B"/>
    <w:rsid w:val="00985918"/>
    <w:rsid w:val="00986076"/>
    <w:rsid w:val="00987E73"/>
    <w:rsid w:val="009907C7"/>
    <w:rsid w:val="00994D98"/>
    <w:rsid w:val="009952C8"/>
    <w:rsid w:val="0099618B"/>
    <w:rsid w:val="009A2A47"/>
    <w:rsid w:val="009A5A70"/>
    <w:rsid w:val="009B1BA3"/>
    <w:rsid w:val="009B34F2"/>
    <w:rsid w:val="009B4FEE"/>
    <w:rsid w:val="009B54C8"/>
    <w:rsid w:val="009B5752"/>
    <w:rsid w:val="009B6BE9"/>
    <w:rsid w:val="009C66CA"/>
    <w:rsid w:val="009D03DB"/>
    <w:rsid w:val="009D1688"/>
    <w:rsid w:val="009D412F"/>
    <w:rsid w:val="009D4B42"/>
    <w:rsid w:val="009D7ABB"/>
    <w:rsid w:val="009E2940"/>
    <w:rsid w:val="009E3D75"/>
    <w:rsid w:val="009E5A24"/>
    <w:rsid w:val="009E7B5F"/>
    <w:rsid w:val="009E7D25"/>
    <w:rsid w:val="009F1FA3"/>
    <w:rsid w:val="009F2F70"/>
    <w:rsid w:val="009F33BE"/>
    <w:rsid w:val="009F3D4A"/>
    <w:rsid w:val="009F4B3B"/>
    <w:rsid w:val="009F5581"/>
    <w:rsid w:val="009F633D"/>
    <w:rsid w:val="00A001FF"/>
    <w:rsid w:val="00A03DA4"/>
    <w:rsid w:val="00A046CA"/>
    <w:rsid w:val="00A05F80"/>
    <w:rsid w:val="00A07053"/>
    <w:rsid w:val="00A07110"/>
    <w:rsid w:val="00A10B74"/>
    <w:rsid w:val="00A10CD8"/>
    <w:rsid w:val="00A10E2F"/>
    <w:rsid w:val="00A10F5D"/>
    <w:rsid w:val="00A12700"/>
    <w:rsid w:val="00A1271B"/>
    <w:rsid w:val="00A1439D"/>
    <w:rsid w:val="00A21030"/>
    <w:rsid w:val="00A213C6"/>
    <w:rsid w:val="00A26600"/>
    <w:rsid w:val="00A27306"/>
    <w:rsid w:val="00A30728"/>
    <w:rsid w:val="00A30842"/>
    <w:rsid w:val="00A40111"/>
    <w:rsid w:val="00A423A2"/>
    <w:rsid w:val="00A425D6"/>
    <w:rsid w:val="00A435D8"/>
    <w:rsid w:val="00A447B8"/>
    <w:rsid w:val="00A456D7"/>
    <w:rsid w:val="00A551D1"/>
    <w:rsid w:val="00A55DCE"/>
    <w:rsid w:val="00A60D8A"/>
    <w:rsid w:val="00A60DCB"/>
    <w:rsid w:val="00A63221"/>
    <w:rsid w:val="00A63B0E"/>
    <w:rsid w:val="00A63C19"/>
    <w:rsid w:val="00A651D0"/>
    <w:rsid w:val="00A67D7B"/>
    <w:rsid w:val="00A70E95"/>
    <w:rsid w:val="00A738A5"/>
    <w:rsid w:val="00A81EAC"/>
    <w:rsid w:val="00A821AC"/>
    <w:rsid w:val="00A83698"/>
    <w:rsid w:val="00A8479E"/>
    <w:rsid w:val="00A9168F"/>
    <w:rsid w:val="00A93E2E"/>
    <w:rsid w:val="00A958DA"/>
    <w:rsid w:val="00A960EB"/>
    <w:rsid w:val="00A962B4"/>
    <w:rsid w:val="00A9653A"/>
    <w:rsid w:val="00A97356"/>
    <w:rsid w:val="00AA0524"/>
    <w:rsid w:val="00AA4B92"/>
    <w:rsid w:val="00AB3B16"/>
    <w:rsid w:val="00AB46C2"/>
    <w:rsid w:val="00AC0B16"/>
    <w:rsid w:val="00AC3A74"/>
    <w:rsid w:val="00AC6A52"/>
    <w:rsid w:val="00AD14E6"/>
    <w:rsid w:val="00AD2DE5"/>
    <w:rsid w:val="00AD4C6A"/>
    <w:rsid w:val="00AD5B9F"/>
    <w:rsid w:val="00AD5E15"/>
    <w:rsid w:val="00AD69DB"/>
    <w:rsid w:val="00AD6FE2"/>
    <w:rsid w:val="00AE07C4"/>
    <w:rsid w:val="00AE2D45"/>
    <w:rsid w:val="00AE47A9"/>
    <w:rsid w:val="00AE4F4A"/>
    <w:rsid w:val="00AE6358"/>
    <w:rsid w:val="00AE72EC"/>
    <w:rsid w:val="00AF0020"/>
    <w:rsid w:val="00AF0A69"/>
    <w:rsid w:val="00AF16A5"/>
    <w:rsid w:val="00AF2AEB"/>
    <w:rsid w:val="00AF3082"/>
    <w:rsid w:val="00AF5527"/>
    <w:rsid w:val="00AF7761"/>
    <w:rsid w:val="00B05A23"/>
    <w:rsid w:val="00B114A9"/>
    <w:rsid w:val="00B11733"/>
    <w:rsid w:val="00B11CDD"/>
    <w:rsid w:val="00B122A4"/>
    <w:rsid w:val="00B12DAD"/>
    <w:rsid w:val="00B13436"/>
    <w:rsid w:val="00B147B7"/>
    <w:rsid w:val="00B1726D"/>
    <w:rsid w:val="00B17F88"/>
    <w:rsid w:val="00B211EA"/>
    <w:rsid w:val="00B21FFA"/>
    <w:rsid w:val="00B24732"/>
    <w:rsid w:val="00B277A4"/>
    <w:rsid w:val="00B30D2D"/>
    <w:rsid w:val="00B330DE"/>
    <w:rsid w:val="00B35520"/>
    <w:rsid w:val="00B35EDB"/>
    <w:rsid w:val="00B3627E"/>
    <w:rsid w:val="00B36BDF"/>
    <w:rsid w:val="00B37330"/>
    <w:rsid w:val="00B4030C"/>
    <w:rsid w:val="00B42A6D"/>
    <w:rsid w:val="00B42DF6"/>
    <w:rsid w:val="00B443A7"/>
    <w:rsid w:val="00B45CC1"/>
    <w:rsid w:val="00B4799E"/>
    <w:rsid w:val="00B50E90"/>
    <w:rsid w:val="00B521EE"/>
    <w:rsid w:val="00B5368D"/>
    <w:rsid w:val="00B53C44"/>
    <w:rsid w:val="00B56CA2"/>
    <w:rsid w:val="00B579F6"/>
    <w:rsid w:val="00B636DA"/>
    <w:rsid w:val="00B64618"/>
    <w:rsid w:val="00B647D2"/>
    <w:rsid w:val="00B65417"/>
    <w:rsid w:val="00B67215"/>
    <w:rsid w:val="00B70620"/>
    <w:rsid w:val="00B71DCB"/>
    <w:rsid w:val="00B73162"/>
    <w:rsid w:val="00B74474"/>
    <w:rsid w:val="00B7642C"/>
    <w:rsid w:val="00B76500"/>
    <w:rsid w:val="00B77F36"/>
    <w:rsid w:val="00B850EE"/>
    <w:rsid w:val="00B85D10"/>
    <w:rsid w:val="00B86C41"/>
    <w:rsid w:val="00B90868"/>
    <w:rsid w:val="00B95B8B"/>
    <w:rsid w:val="00B96309"/>
    <w:rsid w:val="00BA4A67"/>
    <w:rsid w:val="00BA5297"/>
    <w:rsid w:val="00BB0346"/>
    <w:rsid w:val="00BB12AE"/>
    <w:rsid w:val="00BB159A"/>
    <w:rsid w:val="00BB3712"/>
    <w:rsid w:val="00BB5783"/>
    <w:rsid w:val="00BC12EB"/>
    <w:rsid w:val="00BC1D1C"/>
    <w:rsid w:val="00BC20F5"/>
    <w:rsid w:val="00BC36A9"/>
    <w:rsid w:val="00BC5A69"/>
    <w:rsid w:val="00BC5D29"/>
    <w:rsid w:val="00BC6FCE"/>
    <w:rsid w:val="00BD119C"/>
    <w:rsid w:val="00BD368C"/>
    <w:rsid w:val="00BD4071"/>
    <w:rsid w:val="00BD55DF"/>
    <w:rsid w:val="00BD7068"/>
    <w:rsid w:val="00BE04A1"/>
    <w:rsid w:val="00BE05E5"/>
    <w:rsid w:val="00BE3353"/>
    <w:rsid w:val="00BE60E6"/>
    <w:rsid w:val="00BE65E1"/>
    <w:rsid w:val="00BE7C7C"/>
    <w:rsid w:val="00BF05C4"/>
    <w:rsid w:val="00BF4A4C"/>
    <w:rsid w:val="00BF67A9"/>
    <w:rsid w:val="00BF7D36"/>
    <w:rsid w:val="00C012B4"/>
    <w:rsid w:val="00C03051"/>
    <w:rsid w:val="00C04679"/>
    <w:rsid w:val="00C05405"/>
    <w:rsid w:val="00C07FFE"/>
    <w:rsid w:val="00C11A54"/>
    <w:rsid w:val="00C11B29"/>
    <w:rsid w:val="00C12E6F"/>
    <w:rsid w:val="00C14AE3"/>
    <w:rsid w:val="00C15421"/>
    <w:rsid w:val="00C15496"/>
    <w:rsid w:val="00C15AD3"/>
    <w:rsid w:val="00C16520"/>
    <w:rsid w:val="00C17A09"/>
    <w:rsid w:val="00C2093D"/>
    <w:rsid w:val="00C217A6"/>
    <w:rsid w:val="00C21A59"/>
    <w:rsid w:val="00C27CCE"/>
    <w:rsid w:val="00C30D14"/>
    <w:rsid w:val="00C3243E"/>
    <w:rsid w:val="00C33C58"/>
    <w:rsid w:val="00C4174D"/>
    <w:rsid w:val="00C41CEA"/>
    <w:rsid w:val="00C429BC"/>
    <w:rsid w:val="00C42A16"/>
    <w:rsid w:val="00C47E35"/>
    <w:rsid w:val="00C5053E"/>
    <w:rsid w:val="00C52E45"/>
    <w:rsid w:val="00C53785"/>
    <w:rsid w:val="00C54C4D"/>
    <w:rsid w:val="00C606CE"/>
    <w:rsid w:val="00C65429"/>
    <w:rsid w:val="00C7052C"/>
    <w:rsid w:val="00C71B3C"/>
    <w:rsid w:val="00C742A0"/>
    <w:rsid w:val="00C76DCB"/>
    <w:rsid w:val="00C8053C"/>
    <w:rsid w:val="00C80E86"/>
    <w:rsid w:val="00C871EB"/>
    <w:rsid w:val="00C87E8F"/>
    <w:rsid w:val="00C90375"/>
    <w:rsid w:val="00C9144E"/>
    <w:rsid w:val="00C92724"/>
    <w:rsid w:val="00C93307"/>
    <w:rsid w:val="00C937C7"/>
    <w:rsid w:val="00C9568D"/>
    <w:rsid w:val="00C961A1"/>
    <w:rsid w:val="00CA24EF"/>
    <w:rsid w:val="00CA2F7D"/>
    <w:rsid w:val="00CA4A44"/>
    <w:rsid w:val="00CA68B3"/>
    <w:rsid w:val="00CB133D"/>
    <w:rsid w:val="00CB1B83"/>
    <w:rsid w:val="00CB1EE0"/>
    <w:rsid w:val="00CB4523"/>
    <w:rsid w:val="00CB6709"/>
    <w:rsid w:val="00CC29AD"/>
    <w:rsid w:val="00CC444D"/>
    <w:rsid w:val="00CC4E03"/>
    <w:rsid w:val="00CC4E64"/>
    <w:rsid w:val="00CC5694"/>
    <w:rsid w:val="00CC621B"/>
    <w:rsid w:val="00CC7704"/>
    <w:rsid w:val="00CC78C5"/>
    <w:rsid w:val="00CD0CEE"/>
    <w:rsid w:val="00CD3D8E"/>
    <w:rsid w:val="00CD4E92"/>
    <w:rsid w:val="00CD5C1A"/>
    <w:rsid w:val="00CD659F"/>
    <w:rsid w:val="00CD6780"/>
    <w:rsid w:val="00CE35BF"/>
    <w:rsid w:val="00CE5F4B"/>
    <w:rsid w:val="00CE6A97"/>
    <w:rsid w:val="00CF1D44"/>
    <w:rsid w:val="00CF3DB2"/>
    <w:rsid w:val="00CF44CD"/>
    <w:rsid w:val="00D00147"/>
    <w:rsid w:val="00D036BF"/>
    <w:rsid w:val="00D04336"/>
    <w:rsid w:val="00D05097"/>
    <w:rsid w:val="00D0587C"/>
    <w:rsid w:val="00D134C8"/>
    <w:rsid w:val="00D17300"/>
    <w:rsid w:val="00D26ECA"/>
    <w:rsid w:val="00D30EB9"/>
    <w:rsid w:val="00D31451"/>
    <w:rsid w:val="00D33066"/>
    <w:rsid w:val="00D340B5"/>
    <w:rsid w:val="00D453BA"/>
    <w:rsid w:val="00D4565D"/>
    <w:rsid w:val="00D46576"/>
    <w:rsid w:val="00D46F3C"/>
    <w:rsid w:val="00D51C64"/>
    <w:rsid w:val="00D541A0"/>
    <w:rsid w:val="00D54961"/>
    <w:rsid w:val="00D658F0"/>
    <w:rsid w:val="00D671DA"/>
    <w:rsid w:val="00D71A4A"/>
    <w:rsid w:val="00D724B6"/>
    <w:rsid w:val="00D74320"/>
    <w:rsid w:val="00D7659B"/>
    <w:rsid w:val="00D82652"/>
    <w:rsid w:val="00D83BD2"/>
    <w:rsid w:val="00D85240"/>
    <w:rsid w:val="00D86950"/>
    <w:rsid w:val="00D86A23"/>
    <w:rsid w:val="00D9030E"/>
    <w:rsid w:val="00D91791"/>
    <w:rsid w:val="00D91F59"/>
    <w:rsid w:val="00D921DB"/>
    <w:rsid w:val="00D93009"/>
    <w:rsid w:val="00D95BF0"/>
    <w:rsid w:val="00D97122"/>
    <w:rsid w:val="00DA5174"/>
    <w:rsid w:val="00DA6775"/>
    <w:rsid w:val="00DB0ADD"/>
    <w:rsid w:val="00DB1318"/>
    <w:rsid w:val="00DB32A9"/>
    <w:rsid w:val="00DB36DD"/>
    <w:rsid w:val="00DB3FC0"/>
    <w:rsid w:val="00DB4311"/>
    <w:rsid w:val="00DB55C1"/>
    <w:rsid w:val="00DB66F9"/>
    <w:rsid w:val="00DB68C0"/>
    <w:rsid w:val="00DC05E5"/>
    <w:rsid w:val="00DC07E8"/>
    <w:rsid w:val="00DC1A23"/>
    <w:rsid w:val="00DC2991"/>
    <w:rsid w:val="00DC4CAA"/>
    <w:rsid w:val="00DC5B9C"/>
    <w:rsid w:val="00DC6272"/>
    <w:rsid w:val="00DC7889"/>
    <w:rsid w:val="00DC7E56"/>
    <w:rsid w:val="00DD0450"/>
    <w:rsid w:val="00DD0D82"/>
    <w:rsid w:val="00DD169E"/>
    <w:rsid w:val="00DD243D"/>
    <w:rsid w:val="00DD276F"/>
    <w:rsid w:val="00DD4AD8"/>
    <w:rsid w:val="00DD68C0"/>
    <w:rsid w:val="00DD7BAB"/>
    <w:rsid w:val="00DE2751"/>
    <w:rsid w:val="00DF05AE"/>
    <w:rsid w:val="00DF1C34"/>
    <w:rsid w:val="00DF1EF0"/>
    <w:rsid w:val="00DF21EF"/>
    <w:rsid w:val="00DF65E6"/>
    <w:rsid w:val="00E019B0"/>
    <w:rsid w:val="00E019C4"/>
    <w:rsid w:val="00E079FE"/>
    <w:rsid w:val="00E10227"/>
    <w:rsid w:val="00E12939"/>
    <w:rsid w:val="00E1444E"/>
    <w:rsid w:val="00E1629A"/>
    <w:rsid w:val="00E2338E"/>
    <w:rsid w:val="00E244C4"/>
    <w:rsid w:val="00E305CB"/>
    <w:rsid w:val="00E31F9C"/>
    <w:rsid w:val="00E3222A"/>
    <w:rsid w:val="00E356AC"/>
    <w:rsid w:val="00E4145E"/>
    <w:rsid w:val="00E41896"/>
    <w:rsid w:val="00E42760"/>
    <w:rsid w:val="00E43DDF"/>
    <w:rsid w:val="00E45C2B"/>
    <w:rsid w:val="00E45D18"/>
    <w:rsid w:val="00E50ABF"/>
    <w:rsid w:val="00E50F94"/>
    <w:rsid w:val="00E516A1"/>
    <w:rsid w:val="00E52FFE"/>
    <w:rsid w:val="00E54AE7"/>
    <w:rsid w:val="00E5644C"/>
    <w:rsid w:val="00E56860"/>
    <w:rsid w:val="00E618E5"/>
    <w:rsid w:val="00E63F2E"/>
    <w:rsid w:val="00E669EE"/>
    <w:rsid w:val="00E7219D"/>
    <w:rsid w:val="00E7264B"/>
    <w:rsid w:val="00E7307E"/>
    <w:rsid w:val="00E74DB3"/>
    <w:rsid w:val="00E75271"/>
    <w:rsid w:val="00E75B58"/>
    <w:rsid w:val="00E762FD"/>
    <w:rsid w:val="00E767B5"/>
    <w:rsid w:val="00E80193"/>
    <w:rsid w:val="00E82067"/>
    <w:rsid w:val="00E834DB"/>
    <w:rsid w:val="00E8389F"/>
    <w:rsid w:val="00E83E40"/>
    <w:rsid w:val="00E840F0"/>
    <w:rsid w:val="00E84F20"/>
    <w:rsid w:val="00E87624"/>
    <w:rsid w:val="00E90C0F"/>
    <w:rsid w:val="00E90DD5"/>
    <w:rsid w:val="00E93460"/>
    <w:rsid w:val="00E939C3"/>
    <w:rsid w:val="00E93D25"/>
    <w:rsid w:val="00E943FD"/>
    <w:rsid w:val="00E95EB2"/>
    <w:rsid w:val="00E96C94"/>
    <w:rsid w:val="00E977F8"/>
    <w:rsid w:val="00EA263B"/>
    <w:rsid w:val="00EA30E1"/>
    <w:rsid w:val="00EA35CE"/>
    <w:rsid w:val="00EA4F70"/>
    <w:rsid w:val="00EA5F5A"/>
    <w:rsid w:val="00EB1DBF"/>
    <w:rsid w:val="00EB3FC3"/>
    <w:rsid w:val="00EC0BAE"/>
    <w:rsid w:val="00EC17AF"/>
    <w:rsid w:val="00EC667A"/>
    <w:rsid w:val="00ED109D"/>
    <w:rsid w:val="00ED3FD7"/>
    <w:rsid w:val="00EE071C"/>
    <w:rsid w:val="00EE07CE"/>
    <w:rsid w:val="00EE3F5E"/>
    <w:rsid w:val="00EE4366"/>
    <w:rsid w:val="00EE62F1"/>
    <w:rsid w:val="00EF1DD7"/>
    <w:rsid w:val="00EF1E26"/>
    <w:rsid w:val="00EF248D"/>
    <w:rsid w:val="00EF4460"/>
    <w:rsid w:val="00EF473D"/>
    <w:rsid w:val="00F000FC"/>
    <w:rsid w:val="00F01174"/>
    <w:rsid w:val="00F01816"/>
    <w:rsid w:val="00F01D02"/>
    <w:rsid w:val="00F02380"/>
    <w:rsid w:val="00F035A5"/>
    <w:rsid w:val="00F05B0D"/>
    <w:rsid w:val="00F065C0"/>
    <w:rsid w:val="00F1019F"/>
    <w:rsid w:val="00F10CFB"/>
    <w:rsid w:val="00F112A8"/>
    <w:rsid w:val="00F11B76"/>
    <w:rsid w:val="00F153D8"/>
    <w:rsid w:val="00F170C9"/>
    <w:rsid w:val="00F2353B"/>
    <w:rsid w:val="00F23B31"/>
    <w:rsid w:val="00F2750C"/>
    <w:rsid w:val="00F279A7"/>
    <w:rsid w:val="00F30124"/>
    <w:rsid w:val="00F31EB5"/>
    <w:rsid w:val="00F34612"/>
    <w:rsid w:val="00F35DB4"/>
    <w:rsid w:val="00F379BB"/>
    <w:rsid w:val="00F40146"/>
    <w:rsid w:val="00F4113F"/>
    <w:rsid w:val="00F42240"/>
    <w:rsid w:val="00F426E0"/>
    <w:rsid w:val="00F43A0B"/>
    <w:rsid w:val="00F44406"/>
    <w:rsid w:val="00F50F0C"/>
    <w:rsid w:val="00F51176"/>
    <w:rsid w:val="00F51A6D"/>
    <w:rsid w:val="00F535C2"/>
    <w:rsid w:val="00F539EC"/>
    <w:rsid w:val="00F53D7B"/>
    <w:rsid w:val="00F54C81"/>
    <w:rsid w:val="00F56455"/>
    <w:rsid w:val="00F60C3C"/>
    <w:rsid w:val="00F61284"/>
    <w:rsid w:val="00F64C63"/>
    <w:rsid w:val="00F6557F"/>
    <w:rsid w:val="00F6577D"/>
    <w:rsid w:val="00F66A03"/>
    <w:rsid w:val="00F67CD2"/>
    <w:rsid w:val="00F71572"/>
    <w:rsid w:val="00F72284"/>
    <w:rsid w:val="00F736F9"/>
    <w:rsid w:val="00F80DC2"/>
    <w:rsid w:val="00F81BAC"/>
    <w:rsid w:val="00F87E56"/>
    <w:rsid w:val="00F9108F"/>
    <w:rsid w:val="00F94032"/>
    <w:rsid w:val="00F959A8"/>
    <w:rsid w:val="00F974A2"/>
    <w:rsid w:val="00FA0F66"/>
    <w:rsid w:val="00FA110D"/>
    <w:rsid w:val="00FA11C8"/>
    <w:rsid w:val="00FA3D0B"/>
    <w:rsid w:val="00FA7585"/>
    <w:rsid w:val="00FB28A4"/>
    <w:rsid w:val="00FB3310"/>
    <w:rsid w:val="00FC0624"/>
    <w:rsid w:val="00FC2025"/>
    <w:rsid w:val="00FC407A"/>
    <w:rsid w:val="00FC4FFD"/>
    <w:rsid w:val="00FC64AD"/>
    <w:rsid w:val="00FD07C1"/>
    <w:rsid w:val="00FD1969"/>
    <w:rsid w:val="00FD238D"/>
    <w:rsid w:val="00FD4228"/>
    <w:rsid w:val="00FD57E4"/>
    <w:rsid w:val="00FD5963"/>
    <w:rsid w:val="00FD69B9"/>
    <w:rsid w:val="00FD77D2"/>
    <w:rsid w:val="00FE25EB"/>
    <w:rsid w:val="00FE3079"/>
    <w:rsid w:val="00FE3AE5"/>
    <w:rsid w:val="00FE4607"/>
    <w:rsid w:val="00FE4A91"/>
    <w:rsid w:val="00FE4CED"/>
    <w:rsid w:val="00FE5574"/>
    <w:rsid w:val="00FF18C2"/>
    <w:rsid w:val="00FF4AA6"/>
    <w:rsid w:val="0D4B280C"/>
    <w:rsid w:val="0E330C5D"/>
    <w:rsid w:val="14784E90"/>
    <w:rsid w:val="15BE1AC7"/>
    <w:rsid w:val="18DB2CF7"/>
    <w:rsid w:val="1B1D2E24"/>
    <w:rsid w:val="25BE71D5"/>
    <w:rsid w:val="29417969"/>
    <w:rsid w:val="2F0229BF"/>
    <w:rsid w:val="3B307047"/>
    <w:rsid w:val="3F70041E"/>
    <w:rsid w:val="3F732E6A"/>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
    <w:pPr>
      <w:widowControl w:val="0"/>
      <w:spacing w:after="240" w:line="520" w:lineRule="exact"/>
      <w:jc w:val="center"/>
      <w:outlineLvl w:val="0"/>
    </w:pPr>
    <w:rPr>
      <w:rFonts w:ascii="黑体" w:eastAsia="黑体" w:hAnsi="宋体"/>
      <w:b/>
      <w:color w:val="000000"/>
      <w:kern w:val="44"/>
      <w:sz w:val="44"/>
      <w:szCs w:val="24"/>
      <w:lang w:val="en-US" w:eastAsia="zh-CN" w:bidi="ar-SA"/>
    </w:rPr>
  </w:style>
  <w:style w:type="paragraph" w:styleId="Heading2">
    <w:name w:val="heading 2"/>
    <w:basedOn w:val="Normal"/>
    <w:next w:val="Normal"/>
    <w:link w:val="2"/>
    <w:pPr>
      <w:widowControl w:val="0"/>
      <w:tabs>
        <w:tab w:val="left" w:pos="900"/>
        <w:tab w:val="left" w:pos="1080"/>
        <w:tab w:val="left" w:pos="2180"/>
      </w:tabs>
      <w:spacing w:before="120" w:after="120" w:line="520" w:lineRule="exact"/>
      <w:jc w:val="center"/>
      <w:outlineLvl w:val="1"/>
    </w:pPr>
    <w:rPr>
      <w:rFonts w:ascii="宋体" w:hAnsi="宋体"/>
      <w:b/>
      <w:bCs/>
      <w:color w:val="000000"/>
      <w:kern w:val="2"/>
      <w:sz w:val="30"/>
      <w:szCs w:val="28"/>
      <w:lang w:val="en-US" w:eastAsia="zh-CN" w:bidi="ar-SA"/>
    </w:rPr>
  </w:style>
  <w:style w:type="paragraph" w:styleId="Heading3">
    <w:name w:val="heading 3"/>
    <w:next w:val="Normal"/>
    <w:link w:val="3"/>
    <w:pPr>
      <w:widowControl w:val="0"/>
      <w:adjustRightInd w:val="0"/>
      <w:snapToGrid w:val="0"/>
      <w:spacing w:before="60" w:after="60"/>
      <w:ind w:firstLine="519" w:firstLineChars="200"/>
      <w:outlineLvl w:val="2"/>
    </w:pPr>
    <w:rPr>
      <w:rFonts w:ascii="宋体" w:hAnsi="宋体"/>
      <w:b/>
      <w:bCs/>
      <w:color w:val="000000"/>
      <w:sz w:val="28"/>
      <w:szCs w:val="30"/>
      <w:lang w:val="en-US" w:eastAsia="zh-CN" w:bidi="ar-SA"/>
    </w:rPr>
  </w:style>
  <w:style w:type="paragraph" w:styleId="Heading4">
    <w:name w:val="heading 4"/>
    <w:basedOn w:val="Normal"/>
    <w:next w:val="Normal"/>
    <w:link w:val="4"/>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pPr>
      <w:keepNext/>
      <w:keepLines/>
      <w:spacing w:before="280" w:after="290" w:line="376" w:lineRule="auto"/>
      <w:outlineLvl w:val="4"/>
    </w:pPr>
    <w:rPr>
      <w:b/>
      <w:bCs/>
      <w:sz w:val="28"/>
      <w:szCs w:val="28"/>
    </w:rPr>
  </w:style>
  <w:style w:type="paragraph" w:styleId="Heading6">
    <w:name w:val="heading 6"/>
    <w:next w:val="Normal"/>
    <w:link w:val="6"/>
    <w:pPr>
      <w:widowControl w:val="0"/>
      <w:spacing w:before="60" w:after="60" w:line="520" w:lineRule="exact"/>
      <w:ind w:firstLine="517" w:firstLineChars="200"/>
      <w:outlineLvl w:val="5"/>
    </w:pPr>
    <w:rPr>
      <w:rFonts w:eastAsia="黑体"/>
      <w:sz w:val="28"/>
      <w:szCs w:val="28"/>
      <w:lang w:val="en-US" w:eastAsia="zh-CN" w:bidi="ar-SA"/>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character" w:customStyle="1" w:styleId="1">
    <w:name w:val="标题 1 字符"/>
    <w:link w:val="Heading1"/>
    <w:rPr>
      <w:rFonts w:ascii="黑体" w:eastAsia="黑体" w:hAnsi="宋体"/>
      <w:b/>
      <w:color w:val="000000"/>
      <w:kern w:val="44"/>
      <w:sz w:val="44"/>
      <w:szCs w:val="24"/>
      <w:lang w:val="en-US" w:eastAsia="zh-CN" w:bidi="ar-SA"/>
    </w:rPr>
  </w:style>
  <w:style w:type="character" w:customStyle="1" w:styleId="2">
    <w:name w:val="标题 2 字符"/>
    <w:link w:val="Heading2"/>
    <w:rPr>
      <w:rFonts w:ascii="宋体" w:hAnsi="宋体"/>
      <w:b/>
      <w:bCs/>
      <w:color w:val="000000"/>
      <w:kern w:val="2"/>
      <w:sz w:val="30"/>
      <w:szCs w:val="28"/>
      <w:lang w:val="en-US" w:eastAsia="zh-CN" w:bidi="ar-SA"/>
    </w:rPr>
  </w:style>
  <w:style w:type="character" w:customStyle="1" w:styleId="3">
    <w:name w:val="标题 3 字符"/>
    <w:link w:val="Heading3"/>
    <w:rPr>
      <w:rFonts w:ascii="宋体" w:hAnsi="宋体"/>
      <w:b/>
      <w:bCs/>
      <w:color w:val="000000"/>
      <w:sz w:val="28"/>
      <w:szCs w:val="30"/>
      <w:lang w:val="en-US" w:eastAsia="zh-CN" w:bidi="ar-SA"/>
    </w:rPr>
  </w:style>
  <w:style w:type="character" w:customStyle="1" w:styleId="4">
    <w:name w:val="标题 4 字符"/>
    <w:aliases w:val="（一）、 字符"/>
    <w:link w:val="Heading4"/>
    <w:semiHidden/>
    <w:rPr>
      <w:rFonts w:ascii="Cambria" w:eastAsia="宋体" w:hAnsi="Cambria" w:cs="Times New Roman"/>
      <w:b/>
      <w:bCs/>
      <w:kern w:val="2"/>
      <w:sz w:val="28"/>
      <w:szCs w:val="28"/>
    </w:rPr>
  </w:style>
  <w:style w:type="character" w:customStyle="1" w:styleId="5">
    <w:name w:val="标题 5 字符"/>
    <w:link w:val="Heading5"/>
    <w:semiHidden/>
    <w:rPr>
      <w:b/>
      <w:bCs/>
      <w:kern w:val="2"/>
      <w:sz w:val="28"/>
      <w:szCs w:val="28"/>
    </w:rPr>
  </w:style>
  <w:style w:type="character" w:customStyle="1" w:styleId="6">
    <w:name w:val="标题 6 字符"/>
    <w:link w:val="Heading6"/>
    <w:rPr>
      <w:rFonts w:eastAsia="黑体"/>
      <w:sz w:val="28"/>
      <w:szCs w:val="28"/>
      <w:lang w:val="en-US" w:eastAsia="zh-CN" w:bidi="ar-SA"/>
    </w:rPr>
  </w:style>
  <w:style w:type="paragraph" w:styleId="TOC7">
    <w:name w:val="toc 7"/>
    <w:basedOn w:val="Normal"/>
    <w:next w:val="Normal"/>
    <w:pPr>
      <w:ind w:left="1260"/>
      <w:jc w:val="left"/>
    </w:pPr>
    <w:rPr>
      <w:rFonts w:ascii="Calibri" w:hAnsi="Calibri"/>
      <w:sz w:val="18"/>
      <w:szCs w:val="18"/>
    </w:rPr>
  </w:style>
  <w:style w:type="paragraph" w:styleId="NormalIndent">
    <w:name w:val="Normal Indent"/>
    <w:basedOn w:val="Normal"/>
    <w:link w:val="a"/>
    <w:pPr>
      <w:ind w:firstLine="420"/>
    </w:pPr>
    <w:rPr>
      <w:szCs w:val="20"/>
    </w:rPr>
  </w:style>
  <w:style w:type="character" w:customStyle="1" w:styleId="a">
    <w:name w:val="正文缩进 字符"/>
    <w:link w:val="NormalIndent"/>
    <w:rPr>
      <w:kern w:val="2"/>
      <w:sz w:val="21"/>
    </w:rPr>
  </w:style>
  <w:style w:type="paragraph" w:styleId="DocumentMap">
    <w:name w:val="Document Map"/>
    <w:basedOn w:val="Normal"/>
    <w:link w:val="a0"/>
    <w:rPr>
      <w:rFonts w:ascii="宋体"/>
      <w:sz w:val="18"/>
      <w:szCs w:val="18"/>
    </w:rPr>
  </w:style>
  <w:style w:type="character" w:customStyle="1" w:styleId="a0">
    <w:name w:val="文档结构图 字符"/>
    <w:link w:val="DocumentMap"/>
    <w:rPr>
      <w:rFonts w:ascii="宋体"/>
      <w:kern w:val="2"/>
      <w:sz w:val="18"/>
      <w:szCs w:val="18"/>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link w:val="a1"/>
    <w:pPr>
      <w:spacing w:after="120"/>
    </w:pPr>
  </w:style>
  <w:style w:type="character" w:customStyle="1" w:styleId="a1">
    <w:name w:val="正文文本 字符"/>
    <w:link w:val="BodyText"/>
    <w:rPr>
      <w:kern w:val="2"/>
      <w:sz w:val="21"/>
      <w:szCs w:val="24"/>
    </w:rPr>
  </w:style>
  <w:style w:type="paragraph" w:styleId="BodyTextIndent">
    <w:name w:val="Body Text Indent"/>
    <w:basedOn w:val="Normal"/>
    <w:link w:val="a2"/>
    <w:pPr>
      <w:spacing w:after="120"/>
      <w:ind w:left="420" w:leftChars="200"/>
    </w:pPr>
  </w:style>
  <w:style w:type="character" w:customStyle="1" w:styleId="a2">
    <w:name w:val="正文文本缩进 字符"/>
    <w:link w:val="BodyTextIndent"/>
    <w:rPr>
      <w:kern w:val="2"/>
      <w:sz w:val="21"/>
      <w:szCs w:val="24"/>
    </w:rPr>
  </w:style>
  <w:style w:type="paragraph" w:styleId="TOC5">
    <w:name w:val="toc 5"/>
    <w:basedOn w:val="Normal"/>
    <w:next w:val="Normal"/>
    <w:pPr>
      <w:ind w:left="840"/>
      <w:jc w:val="left"/>
    </w:pPr>
    <w:rPr>
      <w:rFonts w:ascii="Calibri" w:hAnsi="Calibri"/>
      <w:sz w:val="18"/>
      <w:szCs w:val="18"/>
    </w:rPr>
  </w:style>
  <w:style w:type="paragraph" w:styleId="TOC3">
    <w:name w:val="toc 3"/>
    <w:basedOn w:val="Normal"/>
    <w:next w:val="Normal"/>
    <w:pPr>
      <w:ind w:left="420"/>
      <w:jc w:val="left"/>
    </w:pPr>
    <w:rPr>
      <w:rFonts w:ascii="Calibri" w:hAnsi="Calibri"/>
      <w:i/>
      <w:iCs/>
      <w:sz w:val="20"/>
      <w:szCs w:val="20"/>
    </w:rPr>
  </w:style>
  <w:style w:type="paragraph" w:styleId="PlainText">
    <w:name w:val="Plain Text"/>
    <w:basedOn w:val="Normal"/>
    <w:link w:val="a3"/>
    <w:rPr>
      <w:rFonts w:ascii="宋体" w:hAnsi="Courier New" w:hint="eastAsia"/>
      <w:szCs w:val="21"/>
    </w:rPr>
  </w:style>
  <w:style w:type="character" w:customStyle="1" w:styleId="a3">
    <w:name w:val="纯文本 字符"/>
    <w:aliases w:val="Body Text 2 字符,普通文字 Char Char Char 字符,普通文字 Char 字符,普通文字 字符,正文缩进两字符 Char Char 字符,正文缩进两字符 Char1 字符,正文缩进两字符 字符,纯文本 Char Char 字符,纯文本 Char1 字符"/>
    <w:link w:val="PlainText"/>
    <w:rPr>
      <w:rFonts w:ascii="宋体" w:hAnsi="Courier New"/>
      <w:kern w:val="2"/>
      <w:sz w:val="21"/>
      <w:szCs w:val="21"/>
    </w:rPr>
  </w:style>
  <w:style w:type="paragraph" w:styleId="TOC8">
    <w:name w:val="toc 8"/>
    <w:basedOn w:val="Normal"/>
    <w:next w:val="Normal"/>
    <w:pPr>
      <w:ind w:left="1470"/>
      <w:jc w:val="left"/>
    </w:pPr>
    <w:rPr>
      <w:rFonts w:ascii="Calibri" w:hAnsi="Calibri"/>
      <w:sz w:val="18"/>
      <w:szCs w:val="18"/>
    </w:rPr>
  </w:style>
  <w:style w:type="paragraph" w:styleId="Date">
    <w:name w:val="Date"/>
    <w:basedOn w:val="Normal"/>
    <w:next w:val="Normal"/>
    <w:pPr>
      <w:ind w:left="100" w:leftChars="2500"/>
    </w:pPr>
  </w:style>
  <w:style w:type="paragraph" w:styleId="BodyTextIndent2">
    <w:name w:val="Body Text Indent 2"/>
    <w:basedOn w:val="Normal"/>
    <w:link w:val="20"/>
    <w:pPr>
      <w:spacing w:line="500" w:lineRule="exact"/>
      <w:ind w:firstLine="560"/>
    </w:pPr>
    <w:rPr>
      <w:color w:val="000000"/>
      <w:sz w:val="28"/>
      <w:szCs w:val="28"/>
    </w:rPr>
  </w:style>
  <w:style w:type="character" w:customStyle="1" w:styleId="20">
    <w:name w:val="正文文本缩进 2 字符"/>
    <w:link w:val="BodyTextIndent2"/>
    <w:rPr>
      <w:color w:val="000000"/>
      <w:kern w:val="2"/>
      <w:sz w:val="28"/>
      <w:szCs w:val="28"/>
    </w:rPr>
  </w:style>
  <w:style w:type="paragraph" w:styleId="BalloonText">
    <w:name w:val="Balloon Text"/>
    <w:basedOn w:val="Normal"/>
    <w:link w:val="a4"/>
    <w:rPr>
      <w:sz w:val="18"/>
      <w:szCs w:val="18"/>
    </w:rPr>
  </w:style>
  <w:style w:type="character" w:customStyle="1" w:styleId="a4">
    <w:name w:val="批注框文本 字符"/>
    <w:link w:val="BalloonText"/>
    <w:rPr>
      <w:kern w:val="2"/>
      <w:sz w:val="18"/>
      <w:szCs w:val="18"/>
    </w:rPr>
  </w:style>
  <w:style w:type="paragraph" w:styleId="Footer">
    <w:name w:val="footer"/>
    <w:basedOn w:val="Normal"/>
    <w:link w:val="a5"/>
    <w:pPr>
      <w:tabs>
        <w:tab w:val="center" w:pos="4153"/>
        <w:tab w:val="right" w:pos="8306"/>
      </w:tabs>
      <w:snapToGrid w:val="0"/>
      <w:jc w:val="center"/>
    </w:pPr>
    <w:rPr>
      <w:szCs w:val="21"/>
    </w:rPr>
  </w:style>
  <w:style w:type="character" w:customStyle="1" w:styleId="a5">
    <w:name w:val="页脚 字符"/>
    <w:link w:val="Footer"/>
    <w:uiPriority w:val="99"/>
    <w:rPr>
      <w:kern w:val="2"/>
      <w:sz w:val="21"/>
      <w:szCs w:val="21"/>
    </w:rPr>
  </w:style>
  <w:style w:type="paragraph" w:styleId="Header">
    <w:name w:val="header"/>
    <w:basedOn w:val="Normal"/>
    <w:link w:val="a6"/>
    <w:pPr>
      <w:pBdr>
        <w:bottom w:val="single" w:sz="6" w:space="1" w:color="auto"/>
      </w:pBdr>
      <w:tabs>
        <w:tab w:val="center" w:pos="4153"/>
        <w:tab w:val="right" w:pos="8306"/>
      </w:tabs>
      <w:snapToGrid w:val="0"/>
      <w:jc w:val="center"/>
    </w:pPr>
    <w:rPr>
      <w:sz w:val="18"/>
      <w:szCs w:val="18"/>
    </w:rPr>
  </w:style>
  <w:style w:type="character" w:customStyle="1" w:styleId="a6">
    <w:name w:val="页眉 字符"/>
    <w:aliases w:val="even 字符"/>
    <w:link w:val="Header"/>
    <w:rPr>
      <w:kern w:val="2"/>
      <w:sz w:val="18"/>
      <w:szCs w:val="18"/>
    </w:rPr>
  </w:style>
  <w:style w:type="paragraph" w:styleId="TOC1">
    <w:name w:val="toc 1"/>
    <w:basedOn w:val="Normal"/>
    <w:next w:val="Normal"/>
    <w:pPr>
      <w:tabs>
        <w:tab w:val="right" w:leader="dot" w:pos="9060"/>
      </w:tabs>
      <w:spacing w:before="120" w:after="120" w:line="360" w:lineRule="auto"/>
      <w:ind w:firstLine="281" w:firstLineChars="100"/>
      <w:jc w:val="left"/>
    </w:pPr>
    <w:rPr>
      <w:rFonts w:ascii="宋体" w:hAnsi="宋体"/>
      <w:b/>
      <w:bCs/>
      <w:caps/>
      <w:sz w:val="24"/>
    </w:rPr>
  </w:style>
  <w:style w:type="paragraph" w:styleId="TOC4">
    <w:name w:val="toc 4"/>
    <w:basedOn w:val="Normal"/>
    <w:next w:val="Normal"/>
    <w:pPr>
      <w:ind w:left="630"/>
      <w:jc w:val="left"/>
    </w:pPr>
    <w:rPr>
      <w:rFonts w:ascii="Calibri" w:hAnsi="Calibri"/>
      <w:sz w:val="18"/>
      <w:szCs w:val="18"/>
    </w:rPr>
  </w:style>
  <w:style w:type="paragraph" w:styleId="TOC6">
    <w:name w:val="toc 6"/>
    <w:basedOn w:val="Normal"/>
    <w:next w:val="Normal"/>
    <w:pPr>
      <w:ind w:left="1050"/>
      <w:jc w:val="left"/>
    </w:pPr>
    <w:rPr>
      <w:rFonts w:ascii="Calibri" w:hAnsi="Calibri"/>
      <w:sz w:val="18"/>
      <w:szCs w:val="18"/>
    </w:rPr>
  </w:style>
  <w:style w:type="paragraph" w:styleId="BodyTextIndent3">
    <w:name w:val="Body Text Indent 3"/>
    <w:basedOn w:val="Normal"/>
    <w:link w:val="30"/>
    <w:pPr>
      <w:spacing w:after="120" w:line="480" w:lineRule="exact"/>
      <w:ind w:left="420" w:firstLine="200" w:firstLineChars="200"/>
    </w:pPr>
    <w:rPr>
      <w:rFonts w:ascii="Abadi MT Condensed Light" w:hAnsi="Abadi MT Condensed Light"/>
      <w:sz w:val="16"/>
      <w:szCs w:val="16"/>
    </w:rPr>
  </w:style>
  <w:style w:type="character" w:customStyle="1" w:styleId="30">
    <w:name w:val="正文文本缩进 3 字符"/>
    <w:link w:val="BodyTextIndent3"/>
    <w:rPr>
      <w:rFonts w:ascii="Abadi MT Condensed Light" w:hAnsi="Abadi MT Condensed Light"/>
      <w:kern w:val="2"/>
      <w:sz w:val="16"/>
      <w:szCs w:val="16"/>
    </w:rPr>
  </w:style>
  <w:style w:type="paragraph" w:styleId="TOC2">
    <w:name w:val="toc 2"/>
    <w:basedOn w:val="Normal"/>
    <w:next w:val="Normal"/>
    <w:pPr>
      <w:ind w:left="210"/>
      <w:jc w:val="left"/>
    </w:pPr>
    <w:rPr>
      <w:rFonts w:ascii="Calibri" w:hAnsi="Calibri"/>
      <w:smallCaps/>
      <w:sz w:val="20"/>
      <w:szCs w:val="20"/>
    </w:rPr>
  </w:style>
  <w:style w:type="paragraph" w:styleId="TOC9">
    <w:name w:val="toc 9"/>
    <w:basedOn w:val="Normal"/>
    <w:next w:val="Normal"/>
    <w:pPr>
      <w:ind w:left="1680"/>
      <w:jc w:val="left"/>
    </w:pPr>
    <w:rPr>
      <w:rFonts w:ascii="Calibri" w:hAnsi="Calibri"/>
      <w:sz w:val="18"/>
      <w:szCs w:val="18"/>
    </w:rPr>
  </w:style>
  <w:style w:type="paragraph" w:styleId="BodyText20">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BodyTextFirstIndent">
    <w:name w:val="Body Text First Indent"/>
    <w:basedOn w:val="BodyText"/>
    <w:link w:val="a7"/>
    <w:pPr>
      <w:ind w:firstLine="420" w:firstLineChars="100"/>
    </w:pPr>
  </w:style>
  <w:style w:type="character" w:customStyle="1" w:styleId="a7">
    <w:name w:val="正文文本首行缩进 字符"/>
    <w:basedOn w:val="a1"/>
    <w:link w:val="BodyTextFirstIndent"/>
  </w:style>
  <w:style w:type="paragraph" w:styleId="BodyTextFirstIndent2">
    <w:name w:val="Body Text First Indent 2"/>
    <w:basedOn w:val="BodyTextIndent"/>
    <w:link w:val="21"/>
    <w:pPr>
      <w:ind w:firstLine="420" w:firstLineChars="200"/>
    </w:pPr>
  </w:style>
  <w:style w:type="character" w:customStyle="1" w:styleId="21">
    <w:name w:val="正文文本首行缩进 2 字符"/>
    <w:basedOn w:val="a2"/>
    <w:link w:val="BodyTextFirstIndent2"/>
  </w:style>
  <w:style w:type="character" w:styleId="PageNumber">
    <w:name w:val="page number"/>
    <w:basedOn w:val="DefaultParagraphFont"/>
  </w:style>
  <w:style w:type="character" w:styleId="Hyperlink">
    <w:name w:val="Hyperlink"/>
    <w:rPr>
      <w:color w:val="0000FF"/>
      <w:u w:val="single"/>
    </w:rPr>
  </w:style>
  <w:style w:type="character" w:customStyle="1" w:styleId="textcontents">
    <w:name w:val="textcontents"/>
    <w:basedOn w:val="DefaultParagraphFont"/>
  </w:style>
  <w:style w:type="paragraph" w:customStyle="1" w:styleId="Char0">
    <w:name w:val=" Char"/>
    <w:basedOn w:val="Normal"/>
    <w:pPr>
      <w:widowControl/>
      <w:spacing w:after="160" w:line="240" w:lineRule="exact"/>
      <w:jc w:val="left"/>
    </w:pPr>
    <w:rPr>
      <w:szCs w:val="20"/>
    </w:rPr>
  </w:style>
  <w:style w:type="paragraph" w:customStyle="1" w:styleId="a8">
    <w:name w:val="图表标题"/>
    <w:basedOn w:val="Normal"/>
    <w:link w:val="Char2"/>
    <w:pPr>
      <w:snapToGrid w:val="0"/>
      <w:jc w:val="center"/>
    </w:pPr>
    <w:rPr>
      <w:rFonts w:ascii="黑体" w:eastAsia="黑体" w:hAnsi="黑体"/>
      <w:bCs/>
      <w:sz w:val="24"/>
      <w:szCs w:val="28"/>
    </w:rPr>
  </w:style>
  <w:style w:type="character" w:customStyle="1" w:styleId="Char2">
    <w:name w:val="图表标题 Char"/>
    <w:link w:val="a8"/>
    <w:rPr>
      <w:rFonts w:ascii="黑体" w:eastAsia="黑体" w:hAnsi="黑体"/>
      <w:bCs/>
      <w:kern w:val="2"/>
      <w:sz w:val="24"/>
      <w:szCs w:val="28"/>
    </w:rPr>
  </w:style>
  <w:style w:type="paragraph" w:customStyle="1" w:styleId="a9">
    <w:name w:val="表格及插图"/>
    <w:basedOn w:val="TOC1"/>
    <w:link w:val="Char3"/>
    <w:pPr>
      <w:tabs>
        <w:tab w:val="right" w:leader="dot" w:pos="8891"/>
        <w:tab w:val="right" w:leader="dot" w:pos="9060"/>
      </w:tabs>
      <w:autoSpaceDE w:val="0"/>
      <w:autoSpaceDN w:val="0"/>
      <w:adjustRightInd w:val="0"/>
      <w:snapToGrid w:val="0"/>
      <w:spacing w:beforeLines="50"/>
      <w:jc w:val="center"/>
      <w:textAlignment w:val="baseline"/>
    </w:pPr>
    <w:rPr>
      <w:rFonts w:eastAsia="仿宋_GB2312"/>
      <w:b w:val="0"/>
      <w:bCs w:val="0"/>
      <w:caps w:val="0"/>
      <w:kern w:val="28"/>
      <w:sz w:val="28"/>
    </w:rPr>
  </w:style>
  <w:style w:type="character" w:customStyle="1" w:styleId="Char3">
    <w:name w:val="表格及插图 Char"/>
    <w:link w:val="a9"/>
    <w:rPr>
      <w:rFonts w:eastAsia="仿宋_GB2312"/>
      <w:b/>
      <w:bCs/>
      <w:caps/>
      <w:kern w:val="28"/>
      <w:sz w:val="28"/>
      <w:szCs w:val="24"/>
    </w:rPr>
  </w:style>
  <w:style w:type="paragraph" w:customStyle="1" w:styleId="a10">
    <w:name w:val="表格内容"/>
    <w:basedOn w:val="TOC1"/>
    <w:link w:val="Char4"/>
    <w:pPr>
      <w:tabs>
        <w:tab w:val="right" w:leader="dot" w:pos="8891"/>
        <w:tab w:val="right" w:leader="dot" w:pos="9060"/>
      </w:tabs>
      <w:autoSpaceDE w:val="0"/>
      <w:autoSpaceDN w:val="0"/>
      <w:adjustRightInd w:val="0"/>
      <w:snapToGrid w:val="0"/>
      <w:spacing w:beforeLines="50"/>
      <w:jc w:val="center"/>
      <w:textAlignment w:val="baseline"/>
    </w:pPr>
    <w:rPr>
      <w:rFonts w:eastAsia="仿宋_GB2312"/>
      <w:bCs w:val="0"/>
      <w:caps w:val="0"/>
      <w:kern w:val="28"/>
    </w:rPr>
  </w:style>
  <w:style w:type="character" w:customStyle="1" w:styleId="Char4">
    <w:name w:val="表格内容 Char"/>
    <w:link w:val="a10"/>
    <w:rPr>
      <w:rFonts w:eastAsia="仿宋_GB2312"/>
      <w:bCs/>
      <w:caps/>
      <w:kern w:val="28"/>
      <w:sz w:val="21"/>
      <w:szCs w:val="24"/>
    </w:rPr>
  </w:style>
  <w:style w:type="paragraph" w:customStyle="1" w:styleId="10">
    <w:name w:val="表格1"/>
    <w:pPr>
      <w:widowControl w:val="0"/>
      <w:snapToGrid w:val="0"/>
      <w:spacing w:line="320" w:lineRule="exact"/>
      <w:jc w:val="both"/>
    </w:pPr>
    <w:rPr>
      <w:rFonts w:ascii="Arial Unicode MS" w:hAnsi="Arial Unicode MS"/>
      <w:color w:val="000000"/>
      <w:spacing w:val="-4"/>
      <w:kern w:val="2"/>
      <w:sz w:val="21"/>
      <w:szCs w:val="21"/>
      <w:lang w:val="en-US" w:eastAsia="zh-CN" w:bidi="ar-SA"/>
    </w:rPr>
  </w:style>
  <w:style w:type="paragraph" w:customStyle="1" w:styleId="a11">
    <w:name w:val="表头"/>
    <w:pPr>
      <w:wordWrap w:val="0"/>
      <w:spacing w:line="480" w:lineRule="exact"/>
      <w:ind w:firstLine="560" w:firstLineChars="200"/>
      <w:jc w:val="center"/>
    </w:pPr>
    <w:rPr>
      <w:rFonts w:ascii="宋体" w:hAnsi="宋体"/>
      <w:color w:val="000000"/>
      <w:sz w:val="28"/>
      <w:szCs w:val="28"/>
      <w:lang w:val="en-US" w:eastAsia="zh-CN" w:bidi="ar-SA"/>
    </w:rPr>
  </w:style>
  <w:style w:type="paragraph" w:customStyle="1" w:styleId="0">
    <w:name w:val="0"/>
    <w:basedOn w:val="Normal"/>
    <w:pPr>
      <w:widowControl/>
      <w:snapToGrid w:val="0"/>
    </w:pPr>
    <w:rPr>
      <w:rFonts w:ascii="宋体" w:hAnsi="宋体" w:cs="宋体"/>
      <w:kern w:val="0"/>
      <w:sz w:val="24"/>
    </w:rPr>
  </w:style>
  <w:style w:type="paragraph" w:customStyle="1" w:styleId="a12">
    <w:name w:val="表格中字"/>
    <w:basedOn w:val="Normal"/>
    <w:pPr>
      <w:spacing w:line="300" w:lineRule="exact"/>
    </w:pPr>
    <w:rPr>
      <w:rFonts w:ascii="仿宋_GB2312" w:eastAsia="仿宋_GB2312" w:hAnsi="仿宋_GB2312"/>
      <w:szCs w:val="28"/>
    </w:rPr>
  </w:style>
  <w:style w:type="paragraph" w:customStyle="1" w:styleId="a13">
    <w:name w:val="框图"/>
    <w:link w:val="Char11"/>
    <w:pPr>
      <w:spacing w:line="320" w:lineRule="exact"/>
      <w:jc w:val="center"/>
    </w:pPr>
    <w:rPr>
      <w:sz w:val="24"/>
      <w:lang w:val="en-US" w:eastAsia="zh-CN" w:bidi="ar-SA"/>
    </w:rPr>
  </w:style>
  <w:style w:type="character" w:customStyle="1" w:styleId="Char11">
    <w:name w:val="框图 Char1"/>
    <w:link w:val="a13"/>
    <w:rPr>
      <w:sz w:val="24"/>
      <w:lang w:val="en-US" w:eastAsia="zh-CN" w:bidi="ar-SA"/>
    </w:rPr>
  </w:style>
  <w:style w:type="paragraph" w:customStyle="1" w:styleId="a14">
    <w:name w:val="图标"/>
    <w:next w:val="Normal"/>
    <w:pPr>
      <w:spacing w:line="360" w:lineRule="exact"/>
      <w:jc w:val="center"/>
    </w:pPr>
    <w:rPr>
      <w:rFonts w:eastAsia="黑体"/>
      <w:sz w:val="24"/>
      <w:lang w:val="en-US" w:eastAsia="zh-CN" w:bidi="ar-SA"/>
    </w:rPr>
  </w:style>
  <w:style w:type="paragraph" w:customStyle="1" w:styleId="a15">
    <w:name w:val="框图中文字"/>
    <w:basedOn w:val="Normal"/>
    <w:semiHidden/>
    <w:pPr>
      <w:spacing w:line="260" w:lineRule="exact"/>
      <w:ind w:firstLine="200" w:firstLineChars="200"/>
      <w:jc w:val="center"/>
    </w:pPr>
    <w:rPr>
      <w:rFonts w:ascii="仿宋_GB2312" w:eastAsia="仿宋_GB2312" w:hAnsi="仿宋_GB2312"/>
    </w:rPr>
  </w:style>
  <w:style w:type="paragraph" w:customStyle="1" w:styleId="22">
    <w:name w:val="样式 样式 标题 2 + 首行缩进:  2 字符 + 宋体"/>
    <w:basedOn w:val="Normal"/>
    <w:link w:val="22Char"/>
    <w:semiHidden/>
    <w:pPr>
      <w:ind w:firstLine="507" w:firstLineChars="200"/>
      <w:jc w:val="left"/>
      <w:outlineLvl w:val="1"/>
    </w:pPr>
    <w:rPr>
      <w:rFonts w:ascii="黑体" w:eastAsia="黑体" w:hAnsi="宋体"/>
      <w:b/>
      <w:bCs/>
      <w:kern w:val="44"/>
      <w:sz w:val="32"/>
      <w:szCs w:val="28"/>
    </w:rPr>
  </w:style>
  <w:style w:type="character" w:customStyle="1" w:styleId="22Char">
    <w:name w:val="样式 样式 标题 2 + 首行缩进:  2 字符 + 宋体 Char"/>
    <w:link w:val="22"/>
    <w:semiHidden/>
    <w:rPr>
      <w:rFonts w:ascii="黑体" w:eastAsia="黑体" w:hAnsi="宋体"/>
      <w:b/>
      <w:bCs/>
      <w:kern w:val="44"/>
      <w:sz w:val="32"/>
      <w:szCs w:val="28"/>
    </w:rPr>
  </w:style>
  <w:style w:type="paragraph" w:customStyle="1" w:styleId="a16">
    <w:name w:val="图表"/>
    <w:basedOn w:val="Normal"/>
    <w:link w:val="Char5"/>
    <w:pPr>
      <w:spacing w:line="320" w:lineRule="exact"/>
      <w:jc w:val="center"/>
    </w:pPr>
    <w:rPr>
      <w:rFonts w:ascii="宋体" w:hAnsi="宋体"/>
      <w:bCs/>
      <w:kern w:val="0"/>
      <w:szCs w:val="21"/>
    </w:rPr>
  </w:style>
  <w:style w:type="character" w:customStyle="1" w:styleId="Char5">
    <w:name w:val="图表 Char"/>
    <w:link w:val="a16"/>
    <w:rPr>
      <w:rFonts w:ascii="宋体" w:hAnsi="宋体"/>
      <w:bCs/>
      <w:sz w:val="21"/>
      <w:szCs w:val="21"/>
    </w:rPr>
  </w:style>
  <w:style w:type="paragraph" w:customStyle="1" w:styleId="41">
    <w:name w:val="正文4#自动序号"/>
    <w:basedOn w:val="Normal"/>
    <w:pPr>
      <w:numPr>
        <w:ilvl w:val="0"/>
        <w:numId w:val="1"/>
      </w:numPr>
      <w:tabs>
        <w:tab w:val="left" w:pos="5020"/>
      </w:tabs>
      <w:adjustRightInd w:val="0"/>
      <w:snapToGrid w:val="0"/>
      <w:jc w:val="left"/>
    </w:pPr>
    <w:rPr>
      <w:rFonts w:eastAsia="仿宋_GB2312"/>
      <w:snapToGrid w:val="0"/>
      <w:kern w:val="0"/>
      <w:sz w:val="28"/>
      <w:szCs w:val="20"/>
    </w:rPr>
  </w:style>
  <w:style w:type="paragraph" w:customStyle="1" w:styleId="a17">
    <w:name w:val="二级目录"/>
    <w:basedOn w:val="Normal"/>
    <w:next w:val="Normal"/>
    <w:link w:val="Char6"/>
    <w:qFormat/>
    <w:pPr>
      <w:spacing w:before="360" w:after="180" w:line="360" w:lineRule="auto"/>
      <w:ind w:left="210" w:right="210" w:leftChars="100" w:rightChars="100"/>
      <w:jc w:val="left"/>
      <w:outlineLvl w:val="0"/>
    </w:pPr>
    <w:rPr>
      <w:rFonts w:ascii="Arial" w:eastAsia="黑体" w:hAnsi="Arial" w:cs="Arial"/>
      <w:bCs/>
      <w:sz w:val="30"/>
      <w:szCs w:val="32"/>
    </w:rPr>
  </w:style>
  <w:style w:type="character" w:customStyle="1" w:styleId="Char6">
    <w:name w:val="二级目录 Char"/>
    <w:link w:val="a17"/>
    <w:rPr>
      <w:rFonts w:ascii="Arial" w:eastAsia="黑体" w:hAnsi="Arial" w:cs="Arial"/>
      <w:bCs/>
      <w:kern w:val="2"/>
      <w:sz w:val="30"/>
      <w:szCs w:val="32"/>
    </w:rPr>
  </w:style>
  <w:style w:type="paragraph" w:customStyle="1" w:styleId="a18">
    <w:name w:val="正文文稿"/>
    <w:basedOn w:val="Normal"/>
    <w:link w:val="Char20"/>
    <w:pPr>
      <w:adjustRightInd w:val="0"/>
      <w:spacing w:line="480" w:lineRule="exact"/>
      <w:ind w:firstLine="200"/>
      <w:textAlignment w:val="baseline"/>
    </w:pPr>
    <w:rPr>
      <w:rFonts w:ascii="仿宋_GB2312" w:eastAsia="仿宋_GB2312"/>
      <w:kern w:val="28"/>
      <w:sz w:val="28"/>
      <w:szCs w:val="20"/>
    </w:rPr>
  </w:style>
  <w:style w:type="character" w:customStyle="1" w:styleId="Char20">
    <w:name w:val="正文文稿 Char2"/>
    <w:link w:val="a18"/>
    <w:rPr>
      <w:rFonts w:ascii="仿宋_GB2312" w:eastAsia="仿宋_GB2312"/>
      <w:kern w:val="28"/>
      <w:sz w:val="28"/>
    </w:rPr>
  </w:style>
  <w:style w:type="paragraph" w:customStyle="1" w:styleId="a19">
    <w:name w:val="投标书正文"/>
    <w:basedOn w:val="Normal"/>
    <w:rPr>
      <w:rFonts w:ascii="黑体" w:eastAsia="黑体" w:hAnsi="宋体"/>
      <w:spacing w:val="12"/>
      <w:sz w:val="28"/>
      <w:szCs w:val="28"/>
    </w:rPr>
  </w:style>
  <w:style w:type="character" w:customStyle="1" w:styleId="Char21">
    <w:name w:val="图表 Char2"/>
    <w:rPr>
      <w:rFonts w:ascii="宋体" w:eastAsia="宋体" w:hAnsi="宋体"/>
      <w:kern w:val="21"/>
      <w:sz w:val="21"/>
      <w:szCs w:val="24"/>
      <w:lang w:val="en-US" w:eastAsia="zh-CN" w:bidi="ar-SA"/>
    </w:rPr>
  </w:style>
  <w:style w:type="paragraph" w:customStyle="1" w:styleId="Char22">
    <w:name w:val="表内文字 Char2"/>
    <w:basedOn w:val="Normal"/>
    <w:link w:val="Char2Char"/>
    <w:semiHidden/>
    <w:pPr>
      <w:topLinePunct/>
      <w:spacing w:line="320" w:lineRule="exact"/>
      <w:jc w:val="center"/>
    </w:pPr>
    <w:rPr>
      <w:rFonts w:ascii="仿宋_GB2312"/>
      <w:szCs w:val="28"/>
    </w:rPr>
  </w:style>
  <w:style w:type="character" w:customStyle="1" w:styleId="Char2Char">
    <w:name w:val="表内文字 Char2 Char"/>
    <w:link w:val="Char22"/>
    <w:semiHidden/>
    <w:rPr>
      <w:rFonts w:ascii="仿宋_GB2312"/>
      <w:kern w:val="2"/>
      <w:sz w:val="21"/>
      <w:szCs w:val="28"/>
    </w:rPr>
  </w:style>
  <w:style w:type="character" w:customStyle="1" w:styleId="CharChar1">
    <w:name w:val="图表 Char Char"/>
    <w:semiHidden/>
    <w:rPr>
      <w:rFonts w:ascii="仿宋_GB2312" w:eastAsia="仿宋_GB2312"/>
      <w:bCs/>
      <w:kern w:val="21"/>
      <w:sz w:val="21"/>
      <w:szCs w:val="21"/>
      <w:lang w:val="en-US" w:eastAsia="zh-CN" w:bidi="ar-SA"/>
    </w:rPr>
  </w:style>
  <w:style w:type="paragraph" w:customStyle="1" w:styleId="xl25">
    <w:name w:val="xl25"/>
    <w:basedOn w:val="Normal"/>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4"/>
    </w:rPr>
  </w:style>
  <w:style w:type="paragraph" w:customStyle="1" w:styleId="a20">
    <w:name w:val="表格"/>
    <w:basedOn w:val="Normal"/>
    <w:pPr>
      <w:spacing w:line="260" w:lineRule="atLeast"/>
      <w:jc w:val="center"/>
      <w:outlineLvl w:val="0"/>
    </w:pPr>
    <w:rPr>
      <w:rFonts w:eastAsia="仿宋_GB2312"/>
      <w:szCs w:val="20"/>
    </w:rPr>
  </w:style>
  <w:style w:type="paragraph" w:customStyle="1" w:styleId="11">
    <w:name w:val="样式1"/>
    <w:basedOn w:val="Normal"/>
    <w:pPr>
      <w:ind w:left="840" w:firstLine="200" w:leftChars="100" w:rightChars="100" w:firstLineChars="200"/>
      <w:jc w:val="left"/>
    </w:pPr>
    <w:rPr>
      <w:rFonts w:eastAsia="仿宋_GB2312"/>
      <w:sz w:val="28"/>
      <w:szCs w:val="20"/>
    </w:rPr>
  </w:style>
  <w:style w:type="paragraph" w:customStyle="1" w:styleId="220505">
    <w:name w:val="样式 样式 正文文本缩进 + 小四 首行缩进:  2 字符 + 首行缩进:  2 字符 段前: 0.5 行 段后: 0.5 行"/>
    <w:basedOn w:val="Normal"/>
    <w:pPr>
      <w:spacing w:before="156" w:beforeLines="50" w:after="156" w:afterLines="50" w:line="360" w:lineRule="auto"/>
      <w:ind w:firstLine="480" w:firstLineChars="200"/>
    </w:pPr>
    <w:rPr>
      <w:rFonts w:ascii="宋体" w:hAnsi="宋体" w:cs="宋体"/>
      <w:kern w:val="0"/>
      <w:sz w:val="24"/>
      <w:szCs w:val="20"/>
    </w:rPr>
  </w:style>
  <w:style w:type="paragraph" w:customStyle="1" w:styleId="a21">
    <w:name w:val="三级标题"/>
    <w:basedOn w:val="Heading3"/>
    <w:link w:val="Char7"/>
    <w:pPr>
      <w:keepNext/>
      <w:keepLines/>
      <w:adjustRightInd/>
      <w:snapToGrid/>
      <w:spacing w:before="0" w:after="0" w:line="500" w:lineRule="exact"/>
      <w:ind w:firstLine="602"/>
      <w:jc w:val="both"/>
    </w:pPr>
    <w:rPr>
      <w:rFonts w:ascii="仿宋_GB2312" w:eastAsia="仿宋_GB2312" w:hAnsi="Times New Roman" w:cs="宋体"/>
      <w:color w:val="auto"/>
      <w:kern w:val="2"/>
      <w:sz w:val="30"/>
    </w:rPr>
  </w:style>
  <w:style w:type="character" w:customStyle="1" w:styleId="Char7">
    <w:name w:val="三级标题 Char"/>
    <w:link w:val="a21"/>
    <w:rPr>
      <w:rFonts w:ascii="仿宋_GB2312" w:eastAsia="仿宋_GB2312" w:cs="宋体"/>
      <w:b/>
      <w:bCs/>
      <w:kern w:val="2"/>
      <w:sz w:val="30"/>
      <w:szCs w:val="30"/>
    </w:rPr>
  </w:style>
  <w:style w:type="paragraph" w:customStyle="1" w:styleId="23">
    <w:name w:val="表格2"/>
    <w:basedOn w:val="Normal"/>
    <w:pPr>
      <w:spacing w:line="400" w:lineRule="exact"/>
      <w:ind w:right="-308" w:rightChars="-100"/>
      <w:jc w:val="left"/>
    </w:pPr>
    <w:rPr>
      <w:spacing w:val="4"/>
      <w:sz w:val="24"/>
      <w:szCs w:val="20"/>
    </w:rPr>
  </w:style>
  <w:style w:type="paragraph" w:styleId="TOCHeading">
    <w:name w:val="TOC Heading"/>
    <w:basedOn w:val="Heading1"/>
    <w:next w:val="Normal"/>
    <w:uiPriority w:val="39"/>
    <w:qFormat/>
    <w:pPr>
      <w:keepNext/>
      <w:keepLines/>
      <w:widowControl/>
      <w:spacing w:before="480" w:after="0" w:line="276" w:lineRule="auto"/>
      <w:jc w:val="left"/>
      <w:outlineLvl w:val="9"/>
    </w:pPr>
    <w:rPr>
      <w:rFonts w:ascii="Cambria" w:eastAsia="宋体" w:hAnsi="Cambria" w:cs="Times New Roman"/>
      <w:bCs/>
      <w:color w:val="365F91"/>
      <w:kern w:val="0"/>
      <w:sz w:val="28"/>
      <w:szCs w:val="28"/>
    </w:rPr>
  </w:style>
  <w:style w:type="paragraph" w:customStyle="1" w:styleId="24">
    <w:name w:val="样式2"/>
    <w:basedOn w:val="Normal"/>
    <w:link w:val="2Char"/>
    <w:qFormat/>
    <w:rPr>
      <w:rFonts w:ascii="黑体" w:eastAsia="黑体"/>
      <w:sz w:val="28"/>
      <w:szCs w:val="28"/>
    </w:rPr>
  </w:style>
  <w:style w:type="character" w:customStyle="1" w:styleId="2Char">
    <w:name w:val="样式2 Char"/>
    <w:link w:val="24"/>
    <w:rPr>
      <w:rFonts w:ascii="黑体" w:eastAsia="黑体"/>
      <w:kern w:val="2"/>
      <w:sz w:val="28"/>
      <w:szCs w:val="28"/>
    </w:rPr>
  </w:style>
  <w:style w:type="paragraph" w:customStyle="1" w:styleId="a22">
    <w:name w:val="列出段落"/>
    <w:basedOn w:val="Normal"/>
    <w:uiPriority w:val="99"/>
    <w:qFormat/>
    <w:pPr>
      <w:ind w:firstLine="420" w:firstLineChars="200"/>
    </w:p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eader" Target="header76.xml" /><Relationship Id="rId155" Type="http://schemas.openxmlformats.org/officeDocument/2006/relationships/header" Target="header77.xml" /><Relationship Id="rId156" Type="http://schemas.openxmlformats.org/officeDocument/2006/relationships/footer" Target="footer76.xml" /><Relationship Id="rId157" Type="http://schemas.openxmlformats.org/officeDocument/2006/relationships/footer" Target="footer77.xml" /><Relationship Id="rId158" Type="http://schemas.openxmlformats.org/officeDocument/2006/relationships/header" Target="header78.xml" /><Relationship Id="rId159" Type="http://schemas.openxmlformats.org/officeDocument/2006/relationships/footer" Target="footer78.xml" /><Relationship Id="rId16" Type="http://schemas.openxmlformats.org/officeDocument/2006/relationships/header" Target="header7.xml" /><Relationship Id="rId160" Type="http://schemas.openxmlformats.org/officeDocument/2006/relationships/header" Target="header79.xml" /><Relationship Id="rId161" Type="http://schemas.openxmlformats.org/officeDocument/2006/relationships/header" Target="header80.xml" /><Relationship Id="rId162" Type="http://schemas.openxmlformats.org/officeDocument/2006/relationships/footer" Target="footer79.xml" /><Relationship Id="rId163" Type="http://schemas.openxmlformats.org/officeDocument/2006/relationships/footer" Target="footer80.xml" /><Relationship Id="rId164" Type="http://schemas.openxmlformats.org/officeDocument/2006/relationships/header" Target="header81.xml" /><Relationship Id="rId165" Type="http://schemas.openxmlformats.org/officeDocument/2006/relationships/footer" Target="footer81.xml" /><Relationship Id="rId166" Type="http://schemas.openxmlformats.org/officeDocument/2006/relationships/header" Target="header82.xml" /><Relationship Id="rId167" Type="http://schemas.openxmlformats.org/officeDocument/2006/relationships/header" Target="header83.xml" /><Relationship Id="rId168" Type="http://schemas.openxmlformats.org/officeDocument/2006/relationships/footer" Target="footer82.xml" /><Relationship Id="rId169" Type="http://schemas.openxmlformats.org/officeDocument/2006/relationships/footer" Target="footer83.xml" /><Relationship Id="rId17" Type="http://schemas.openxmlformats.org/officeDocument/2006/relationships/header" Target="header8.xml" /><Relationship Id="rId170" Type="http://schemas.openxmlformats.org/officeDocument/2006/relationships/header" Target="header84.xml" /><Relationship Id="rId171" Type="http://schemas.openxmlformats.org/officeDocument/2006/relationships/footer" Target="footer84.xml" /><Relationship Id="rId172" Type="http://schemas.openxmlformats.org/officeDocument/2006/relationships/image" Target="media/image1.png" /><Relationship Id="rId173" Type="http://schemas.openxmlformats.org/officeDocument/2006/relationships/header" Target="header85.xml" /><Relationship Id="rId174" Type="http://schemas.openxmlformats.org/officeDocument/2006/relationships/header" Target="header86.xml" /><Relationship Id="rId175" Type="http://schemas.openxmlformats.org/officeDocument/2006/relationships/footer" Target="footer85.xml" /><Relationship Id="rId176" Type="http://schemas.openxmlformats.org/officeDocument/2006/relationships/footer" Target="footer86.xml" /><Relationship Id="rId177" Type="http://schemas.openxmlformats.org/officeDocument/2006/relationships/header" Target="header87.xml" /><Relationship Id="rId178" Type="http://schemas.openxmlformats.org/officeDocument/2006/relationships/footer" Target="footer87.xml" /><Relationship Id="rId179" Type="http://schemas.openxmlformats.org/officeDocument/2006/relationships/header" Target="header88.xml" /><Relationship Id="rId18" Type="http://schemas.openxmlformats.org/officeDocument/2006/relationships/footer" Target="footer7.xml" /><Relationship Id="rId180" Type="http://schemas.openxmlformats.org/officeDocument/2006/relationships/header" Target="header89.xml" /><Relationship Id="rId181" Type="http://schemas.openxmlformats.org/officeDocument/2006/relationships/footer" Target="footer88.xml" /><Relationship Id="rId182" Type="http://schemas.openxmlformats.org/officeDocument/2006/relationships/footer" Target="footer89.xml" /><Relationship Id="rId183" Type="http://schemas.openxmlformats.org/officeDocument/2006/relationships/header" Target="header90.xml" /><Relationship Id="rId184" Type="http://schemas.openxmlformats.org/officeDocument/2006/relationships/footer" Target="footer90.xml" /><Relationship Id="rId185" Type="http://schemas.openxmlformats.org/officeDocument/2006/relationships/hyperlink" Target="https://d.book118.com/525024221200011033" TargetMode="External" /><Relationship Id="rId186" Type="http://schemas.openxmlformats.org/officeDocument/2006/relationships/header" Target="header91.xml" /><Relationship Id="rId187" Type="http://schemas.openxmlformats.org/officeDocument/2006/relationships/header" Target="header92.xml" /><Relationship Id="rId188" Type="http://schemas.openxmlformats.org/officeDocument/2006/relationships/footer" Target="footer91.xml" /><Relationship Id="rId189" Type="http://schemas.openxmlformats.org/officeDocument/2006/relationships/footer" Target="footer92.xml" /><Relationship Id="rId19" Type="http://schemas.openxmlformats.org/officeDocument/2006/relationships/footer" Target="footer8.xml" /><Relationship Id="rId190" Type="http://schemas.openxmlformats.org/officeDocument/2006/relationships/header" Target="header93.xml" /><Relationship Id="rId191" Type="http://schemas.openxmlformats.org/officeDocument/2006/relationships/footer" Target="footer93.xml" /><Relationship Id="rId192" Type="http://schemas.openxmlformats.org/officeDocument/2006/relationships/theme" Target="theme/theme1.xml" /><Relationship Id="rId193" Type="http://schemas.openxmlformats.org/officeDocument/2006/relationships/numbering" Target="numbering.xml" /><Relationship Id="rId194"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3755</Words>
  <Characters>21404</Characters>
  <Application>Microsoft Office Word</Application>
  <DocSecurity>0</DocSecurity>
  <Lines>178</Lines>
  <Paragraphs>50</Paragraphs>
  <ScaleCrop>false</ScaleCrop>
  <Company>微软中国</Company>
  <LinksUpToDate>false</LinksUpToDate>
  <CharactersWithSpaces>25109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合肥至福州铁路客运专线（闽赣段）土建工程HFMG-2标</dc:title>
  <dc:creator>张 新;袁晶;李强</dc:creator>
  <cp:lastModifiedBy>张新</cp:lastModifiedBy>
  <cp:revision>13</cp:revision>
  <cp:lastPrinted>2019-07-11T11:56:00Z</cp:lastPrinted>
  <dcterms:created xsi:type="dcterms:W3CDTF">2011-10-26T10:36:00Z</dcterms:created>
  <dcterms:modified xsi:type="dcterms:W3CDTF">2023-12-23T06:04:00Z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57C125B258AA425AB62E6421A472427F_13</vt:lpwstr>
  </property>
  <property fmtid="{D5CDD505-2E9C-101B-9397-08002B2CF9AE}" pid="3" name="KSOProductBuildVer">
    <vt:lpwstr>2052-12.1.0.16120</vt:lpwstr>
  </property>
</Properties>
</file>