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10160000</wp:posOffset>
            </wp:positionH>
            <wp:positionV relativeFrom="topMargin">
              <wp:posOffset>11861800</wp:posOffset>
            </wp:positionV>
            <wp:extent cx="482600" cy="482600"/>
            <wp:effectExtent l="0" t="0" r="0" b="0"/>
            <wp:wrapNone/>
            <wp:docPr id="100046" name="图片 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6" name="图片 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12573000</wp:posOffset>
            </wp:positionH>
            <wp:positionV relativeFrom="topMargin">
              <wp:posOffset>11544300</wp:posOffset>
            </wp:positionV>
            <wp:extent cx="368300" cy="393700"/>
            <wp:effectExtent l="0" t="0" r="12700" b="6350"/>
            <wp:wrapNone/>
            <wp:docPr id="100259" name="图片 10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9" name="图片 100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五</w:t>
      </w:r>
      <w:r>
        <w:rPr>
          <w:rFonts w:ascii="Times New Roman" w:eastAsia="宋体" w:hAnsi="Times New Roman" w:cs="Times New Roman"/>
          <w:b/>
          <w:sz w:val="32"/>
          <w:szCs w:val="32"/>
        </w:rPr>
        <w:t>年（201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9</w:t>
      </w:r>
      <w:r>
        <w:rPr>
          <w:rFonts w:ascii="Times New Roman" w:eastAsia="宋体" w:hAnsi="Times New Roman" w:cs="Times New Roman"/>
          <w:b/>
          <w:sz w:val="32"/>
          <w:szCs w:val="32"/>
        </w:rPr>
        <w:t>-202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3</w:t>
      </w:r>
      <w:r>
        <w:rPr>
          <w:rFonts w:ascii="Times New Roman" w:eastAsia="宋体" w:hAnsi="Times New Roman" w:cs="Times New Roman"/>
          <w:b/>
          <w:sz w:val="32"/>
          <w:szCs w:val="32"/>
        </w:rPr>
        <w:t>）年高考真题分项汇编</w:t>
      </w:r>
    </w:p>
    <w:p>
      <w:pPr>
        <w:spacing w:line="360" w:lineRule="auto"/>
        <w:jc w:val="center"/>
        <w:rPr>
          <w:rFonts w:ascii="Times New Roman" w:eastAsia="华文行楷" w:hAnsi="Times New Roman" w:cs="Times New Roman"/>
          <w:b/>
          <w:sz w:val="44"/>
          <w:szCs w:val="44"/>
        </w:rPr>
      </w:pPr>
      <w:r>
        <w:rPr>
          <w:rFonts w:ascii="Times New Roman" w:eastAsia="华文行楷" w:hAnsi="Times New Roman" w:cs="Times New Roman" w:hint="eastAsia"/>
          <w:b/>
          <w:sz w:val="44"/>
          <w:szCs w:val="44"/>
        </w:rPr>
        <w:t>专题03  唐宋元变革</w:t>
      </w:r>
    </w:p>
    <w:p>
      <w:pPr>
        <w:spacing w:line="360" w:lineRule="auto"/>
        <w:jc w:val="left"/>
        <w:rPr>
          <w:rFonts w:ascii="Times New Roman" w:hAnsi="Times New Roman"/>
          <w:b/>
          <w:bCs/>
          <w:color w:val="0000FF"/>
          <w:szCs w:val="21"/>
        </w:rPr>
      </w:pPr>
      <w:r>
        <w:rPr>
          <w:rFonts w:ascii="Times New Roman" w:hAnsi="Times New Roman"/>
        </w:rPr>
        <w:drawing>
          <wp:inline distT="0" distB="0" distL="0" distR="0">
            <wp:extent cx="1533525" cy="3238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Description w:val="{&quot;styleId&quot;:2}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552"/>
        <w:gridCol w:w="1276"/>
        <w:gridCol w:w="955"/>
        <w:gridCol w:w="602"/>
        <w:gridCol w:w="305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top w:val="single" w:sz="8" w:space="0" w:color="4684D3"/>
              <w:left w:val="single" w:sz="8" w:space="0" w:color="4684D3"/>
              <w:bottom w:val="single" w:sz="24" w:space="0" w:color="DDDDDD"/>
              <w:right w:val="single" w:sz="8" w:space="0" w:color="DDDDDD"/>
            </w:tcBorders>
            <w:shd w:val="clear" w:color="auto" w:fill="4684D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命题点</w:t>
            </w:r>
          </w:p>
        </w:tc>
        <w:tc>
          <w:tcPr>
            <w:tcW w:w="1280" w:type="pct"/>
            <w:tcBorders>
              <w:top w:val="single" w:sz="8" w:space="0" w:color="4684D3"/>
              <w:left w:val="single" w:sz="8" w:space="0" w:color="DDDDDD"/>
              <w:bottom w:val="single" w:sz="24" w:space="0" w:color="DDDDDD"/>
              <w:right w:val="single" w:sz="8" w:space="0" w:color="DDDDDD"/>
            </w:tcBorders>
            <w:shd w:val="clear" w:color="auto" w:fill="4684D3"/>
            <w:vAlign w:val="center"/>
          </w:tcPr>
          <w:p>
            <w:pPr>
              <w:spacing w:line="360" w:lineRule="auto"/>
              <w:ind w:firstLine="376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真题分布</w:t>
            </w:r>
          </w:p>
        </w:tc>
        <w:tc>
          <w:tcPr>
            <w:tcW w:w="640" w:type="pct"/>
            <w:tcBorders>
              <w:top w:val="single" w:sz="8" w:space="0" w:color="4684D3"/>
              <w:left w:val="single" w:sz="8" w:space="0" w:color="DDDDDD"/>
              <w:bottom w:val="single" w:sz="24" w:space="0" w:color="DDDDDD"/>
              <w:right w:val="single" w:sz="8" w:space="0" w:color="DDDDDD"/>
            </w:tcBorders>
            <w:shd w:val="clear" w:color="auto" w:fill="4684D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频次</w:t>
            </w:r>
          </w:p>
        </w:tc>
        <w:tc>
          <w:tcPr>
            <w:tcW w:w="479" w:type="pct"/>
            <w:tcBorders>
              <w:top w:val="single" w:sz="8" w:space="0" w:color="4684D3"/>
              <w:left w:val="single" w:sz="8" w:space="0" w:color="DDDDDD"/>
              <w:bottom w:val="single" w:sz="24" w:space="0" w:color="DDDDDD"/>
              <w:right w:val="single" w:sz="8" w:space="0" w:color="DDDDDD"/>
            </w:tcBorders>
            <w:shd w:val="clear" w:color="auto" w:fill="4684D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题型</w:t>
            </w:r>
          </w:p>
        </w:tc>
        <w:tc>
          <w:tcPr>
            <w:tcW w:w="302" w:type="pct"/>
            <w:tcBorders>
              <w:top w:val="single" w:sz="8" w:space="0" w:color="4684D3"/>
              <w:left w:val="single" w:sz="8" w:space="0" w:color="DDDDDD"/>
              <w:bottom w:val="single" w:sz="24" w:space="0" w:color="DDDDDD"/>
              <w:right w:val="single" w:sz="8" w:space="0" w:color="DDDDDD"/>
            </w:tcBorders>
            <w:shd w:val="clear" w:color="auto" w:fill="4684D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分值</w:t>
            </w:r>
          </w:p>
        </w:tc>
        <w:tc>
          <w:tcPr>
            <w:tcW w:w="1534" w:type="pct"/>
            <w:tcBorders>
              <w:top w:val="single" w:sz="8" w:space="0" w:color="4684D3"/>
              <w:left w:val="single" w:sz="8" w:space="0" w:color="DDDDDD"/>
              <w:bottom w:val="single" w:sz="24" w:space="0" w:color="DDDDDD"/>
              <w:right w:val="single" w:sz="8" w:space="0" w:color="4684D3"/>
            </w:tcBorders>
            <w:shd w:val="clear" w:color="auto" w:fill="4684D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考查内容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vMerge w:val="restart"/>
            <w:tcBorders>
              <w:top w:val="single" w:sz="24" w:space="0" w:color="DDDDDD"/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隋唐的统一</w:t>
            </w:r>
          </w:p>
        </w:tc>
        <w:tc>
          <w:tcPr>
            <w:tcW w:w="1280" w:type="pct"/>
            <w:tcBorders>
              <w:top w:val="single" w:sz="24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2023山东卷·第3题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2021重庆卷·第3题</w:t>
            </w:r>
          </w:p>
        </w:tc>
        <w:tc>
          <w:tcPr>
            <w:tcW w:w="640" w:type="pct"/>
            <w:vMerge w:val="restart"/>
            <w:tcBorders>
              <w:top w:val="single" w:sz="24" w:space="0" w:color="DDDDDD"/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 w:hint="eastAsia"/>
                <w:color w:val="000000"/>
              </w:rPr>
              <w:t>年3考</w:t>
            </w:r>
          </w:p>
        </w:tc>
        <w:tc>
          <w:tcPr>
            <w:tcW w:w="479" w:type="pct"/>
            <w:tcBorders>
              <w:top w:val="single" w:sz="24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24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24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西汉至隋京畿区域变化的原因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隋朝均田制的实施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vMerge/>
            <w:tcBorders>
              <w:left w:val="single" w:sz="8" w:space="0" w:color="4684D3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80" w:type="pct"/>
            <w:tcBorders>
              <w:top w:val="single" w:sz="24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2023年山东卷·第16题</w:t>
            </w:r>
          </w:p>
        </w:tc>
        <w:tc>
          <w:tcPr>
            <w:tcW w:w="640" w:type="pct"/>
            <w:vMerge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24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材料分析题</w:t>
            </w:r>
          </w:p>
        </w:tc>
        <w:tc>
          <w:tcPr>
            <w:tcW w:w="302" w:type="pct"/>
            <w:tcBorders>
              <w:top w:val="single" w:sz="24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13分</w:t>
            </w:r>
          </w:p>
        </w:tc>
        <w:tc>
          <w:tcPr>
            <w:tcW w:w="1534" w:type="pct"/>
            <w:tcBorders>
              <w:top w:val="single" w:sz="24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1、隋朝地方行政制度的调整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vMerge w:val="restart"/>
            <w:tcBorders>
              <w:top w:val="single" w:sz="8" w:space="0" w:color="DDDDDD"/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唐前期的鼎盛局面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2023湖北卷·第3题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2023北京卷·第3题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2022河北卷·第3题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2022辽宁卷·第3题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2022全国甲卷·第2题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2022浙江卷·第5题</w:t>
            </w:r>
          </w:p>
        </w:tc>
        <w:tc>
          <w:tcPr>
            <w:tcW w:w="640" w:type="pct"/>
            <w:vMerge w:val="restart"/>
            <w:tcBorders>
              <w:top w:val="single" w:sz="8" w:space="0" w:color="DDDDDD"/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 w:hint="eastAsia"/>
                <w:color w:val="000000"/>
              </w:rPr>
              <w:t>年8考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vMerge w:val="restart"/>
            <w:tcBorders>
              <w:top w:val="single" w:sz="8" w:space="0" w:color="DDDDDD"/>
              <w:left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2"/>
              </w:numPr>
              <w:spacing w:line="360" w:lineRule="auto"/>
              <w:ind w:left="360" w:hanging="36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唐朝的民族交往</w:t>
            </w:r>
          </w:p>
          <w:p>
            <w:pPr>
              <w:numPr>
                <w:ilvl w:val="0"/>
                <w:numId w:val="2"/>
              </w:numPr>
              <w:spacing w:line="360" w:lineRule="auto"/>
              <w:ind w:left="360" w:hanging="36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贞观之治</w:t>
            </w:r>
          </w:p>
          <w:p>
            <w:pPr>
              <w:numPr>
                <w:ilvl w:val="0"/>
                <w:numId w:val="2"/>
              </w:numPr>
              <w:spacing w:line="360" w:lineRule="auto"/>
              <w:ind w:left="360" w:hanging="36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唐朝手工业的发展</w:t>
            </w:r>
          </w:p>
          <w:p>
            <w:pPr>
              <w:numPr>
                <w:ilvl w:val="0"/>
                <w:numId w:val="2"/>
              </w:numPr>
              <w:spacing w:line="360" w:lineRule="auto"/>
              <w:ind w:left="360" w:hanging="36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唐朝中央与地方的关系</w:t>
            </w:r>
          </w:p>
          <w:p>
            <w:pPr>
              <w:numPr>
                <w:ilvl w:val="0"/>
                <w:numId w:val="2"/>
              </w:numPr>
              <w:spacing w:line="360" w:lineRule="auto"/>
              <w:ind w:left="360" w:hanging="36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隋唐商业的发展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vMerge/>
            <w:tcBorders>
              <w:left w:val="single" w:sz="8" w:space="0" w:color="4684D3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2022辽宁卷·第20题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2022北京卷·第16题</w:t>
            </w:r>
          </w:p>
        </w:tc>
        <w:tc>
          <w:tcPr>
            <w:tcW w:w="640" w:type="pct"/>
            <w:vMerge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论述题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12分</w:t>
            </w:r>
          </w:p>
        </w:tc>
        <w:tc>
          <w:tcPr>
            <w:tcW w:w="1534" w:type="pct"/>
            <w:vMerge/>
            <w:tcBorders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spacing w:line="360" w:lineRule="auto"/>
              <w:ind w:left="360" w:hanging="36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top w:val="single" w:sz="8" w:space="0" w:color="DDDDDD"/>
              <w:left w:val="single" w:sz="8" w:space="0" w:color="4684D3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九品中正制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2021辽宁卷·第2题</w:t>
            </w:r>
          </w:p>
        </w:tc>
        <w:tc>
          <w:tcPr>
            <w:tcW w:w="64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 w:hint="eastAsia"/>
                <w:color w:val="000000"/>
              </w:rPr>
              <w:t>年1考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1、九品中正制的实质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top w:val="single" w:sz="8" w:space="0" w:color="DDDDDD"/>
              <w:left w:val="single" w:sz="8" w:space="0" w:color="4684D3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隋唐科举制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2022湖南卷·第2题</w:t>
            </w:r>
          </w:p>
        </w:tc>
        <w:tc>
          <w:tcPr>
            <w:tcW w:w="64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 w:hint="eastAsia"/>
                <w:color w:val="000000"/>
              </w:rPr>
              <w:t>年1考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pStyle w:val="ListParagraph"/>
              <w:spacing w:line="360" w:lineRule="auto"/>
              <w:ind w:firstLine="0" w:firstLineChars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1、科举制的影响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top w:val="single" w:sz="8" w:space="0" w:color="DDDDDD"/>
              <w:left w:val="single" w:sz="8" w:space="0" w:color="4684D3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三省六部制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2022广东卷·第2题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2022浙江卷·第5题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2020浙江卷·第4题</w:t>
            </w:r>
          </w:p>
        </w:tc>
        <w:tc>
          <w:tcPr>
            <w:tcW w:w="64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 w:hint="eastAsia"/>
                <w:color w:val="000000"/>
              </w:rPr>
              <w:t>年3考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3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三省六部制的特点</w:t>
            </w:r>
          </w:p>
        </w:tc>
      </w:tr>
    </w:tbl>
    <w:p>
      <w:pPr>
        <w:sectPr>
          <w:headerReference w:type="default" r:id="rId9"/>
          <w:footerReference w:type="even" r:id="rId10"/>
          <w:footerReference w:type="default" r:id="rId11"/>
          <w:footerReference w:type="first" r:id="rId12"/>
          <w:pgSz w:w="11906" w:h="16838"/>
          <w:pgMar w:top="1417" w:right="1077" w:bottom="1417" w:left="1077" w:header="708" w:footer="708" w:gutter="0"/>
          <w:cols w:num="1" w:space="708"/>
        </w:sectPr>
      </w:pPr>
    </w:p>
    <w:tbl>
      <w:tblPr>
        <w:tblStyle w:val="TableGrid0"/>
        <w:tblDescription w:val="{&quot;styleId&quot;:2}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552"/>
        <w:gridCol w:w="1276"/>
        <w:gridCol w:w="955"/>
        <w:gridCol w:w="602"/>
        <w:gridCol w:w="305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top w:val="single" w:sz="8" w:space="0" w:color="DDDDDD"/>
              <w:left w:val="single" w:sz="8" w:space="0" w:color="4684D3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魏晋-隋唐时期的文学艺术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2023全国乙卷·第2题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2022江苏卷·第3题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2022全国乙卷·第2题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2020天津卷·第2题</w:t>
            </w:r>
          </w:p>
        </w:tc>
        <w:tc>
          <w:tcPr>
            <w:tcW w:w="64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 w:hint="eastAsia"/>
                <w:color w:val="000000"/>
              </w:rPr>
              <w:t>年4考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经济、政治决定文化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隋唐时期的书法艺术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top w:val="single" w:sz="8" w:space="0" w:color="DDDDDD"/>
              <w:left w:val="single" w:sz="8" w:space="0" w:color="4684D3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宋初专制集权的加强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2023湖南卷·第4题</w:t>
            </w:r>
          </w:p>
        </w:tc>
        <w:tc>
          <w:tcPr>
            <w:tcW w:w="64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5年1考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士大夫政治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top w:val="single" w:sz="8" w:space="0" w:color="DDDDDD"/>
              <w:left w:val="single" w:sz="8" w:space="0" w:color="4684D3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王安石变法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2020北京卷·第5题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2020山东卷·第4题</w:t>
            </w:r>
          </w:p>
        </w:tc>
        <w:tc>
          <w:tcPr>
            <w:tcW w:w="64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5年2考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6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王安石变法的措施</w:t>
            </w:r>
          </w:p>
          <w:p>
            <w:pPr>
              <w:numPr>
                <w:ilvl w:val="0"/>
                <w:numId w:val="6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王安石变法的特点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top w:val="single" w:sz="8" w:space="0" w:color="DDDDDD"/>
              <w:left w:val="single" w:sz="8" w:space="0" w:color="4684D3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辽夏金元的统治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2022天津卷·第4题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2022辽宁卷·第4题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2022海南卷·第4题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2021海南卷·第5题</w:t>
            </w:r>
          </w:p>
        </w:tc>
        <w:tc>
          <w:tcPr>
            <w:tcW w:w="64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5年4考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少数民族的统治特点</w:t>
            </w:r>
          </w:p>
          <w:p>
            <w:pPr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金朝加强君主专制的措施</w:t>
            </w:r>
          </w:p>
          <w:p>
            <w:pPr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文化认同</w:t>
            </w:r>
          </w:p>
          <w:p>
            <w:pPr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元朝的民族关系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vMerge w:val="restart"/>
            <w:tcBorders>
              <w:top w:val="single" w:sz="8" w:space="0" w:color="DDDDDD"/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行省制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2022江苏卷·第4题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2022浙江卷·第7题</w:t>
            </w:r>
          </w:p>
        </w:tc>
        <w:tc>
          <w:tcPr>
            <w:tcW w:w="640" w:type="pct"/>
            <w:vMerge w:val="restart"/>
            <w:tcBorders>
              <w:top w:val="single" w:sz="8" w:space="0" w:color="DDDDDD"/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5年3考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1、行省制的特点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vMerge/>
            <w:tcBorders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2020天津卷·第16题</w:t>
            </w:r>
          </w:p>
        </w:tc>
        <w:tc>
          <w:tcPr>
            <w:tcW w:w="640" w:type="pct"/>
            <w:vMerge/>
            <w:tcBorders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材料分析题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12分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1、唐宋元中央与地方关系的调整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宋元时期农业和手工业的发展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2023湖北卷·第4题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2022重庆卷·第6题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2022辽宁卷·第5题</w:t>
            </w:r>
          </w:p>
        </w:tc>
        <w:tc>
          <w:tcPr>
            <w:tcW w:w="640" w:type="pct"/>
            <w:tcBorders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5年3考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8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土地兼并</w:t>
            </w:r>
          </w:p>
          <w:p>
            <w:pPr>
              <w:numPr>
                <w:ilvl w:val="0"/>
                <w:numId w:val="8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国家统一对农业的影响</w:t>
            </w:r>
          </w:p>
          <w:p>
            <w:pPr>
              <w:numPr>
                <w:ilvl w:val="0"/>
                <w:numId w:val="8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宋词中诗句和景象对应情况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宋元时期商业的发展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2023全国甲卷·第3题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2022河北卷·第4题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2022天津卷·第3题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2022重庆卷·第4题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2022全国甲卷·第3题</w:t>
            </w:r>
          </w:p>
        </w:tc>
        <w:tc>
          <w:tcPr>
            <w:tcW w:w="640" w:type="pct"/>
            <w:tcBorders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5年7考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9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北宋时期商业发展的表现</w:t>
            </w:r>
          </w:p>
          <w:p>
            <w:pPr>
              <w:numPr>
                <w:ilvl w:val="0"/>
                <w:numId w:val="9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南宋商业繁荣的表现</w:t>
            </w:r>
          </w:p>
          <w:p>
            <w:pPr>
              <w:numPr>
                <w:ilvl w:val="0"/>
                <w:numId w:val="9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北宋商业发展对社会的影响</w:t>
            </w:r>
          </w:p>
        </w:tc>
      </w:tr>
    </w:tbl>
    <w:p>
      <w:pPr>
        <w:sectPr>
          <w:headerReference w:type="default" r:id="rId13"/>
          <w:footerReference w:type="even" r:id="rId14"/>
          <w:footerReference w:type="default" r:id="rId15"/>
          <w:footerReference w:type="first" r:id="rId16"/>
          <w:type w:val="nextPage"/>
          <w:pgSz w:w="11906" w:h="16838"/>
          <w:pgMar w:top="1417" w:right="1077" w:bottom="1417" w:left="1077" w:header="708" w:footer="708" w:gutter="0"/>
          <w:pgNumType w:start="2"/>
          <w:cols w:num="1" w:space="708"/>
          <w:titlePg w:val="0"/>
        </w:sectPr>
      </w:pPr>
    </w:p>
    <w:tbl>
      <w:tblPr>
        <w:tblStyle w:val="TableGrid1"/>
        <w:tblDescription w:val="{&quot;styleId&quot;:2}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552"/>
        <w:gridCol w:w="1276"/>
        <w:gridCol w:w="955"/>
        <w:gridCol w:w="602"/>
        <w:gridCol w:w="305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vMerge w:val="restart"/>
            <w:tcBorders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/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2020浙江卷·第5题</w:t>
            </w:r>
          </w:p>
        </w:tc>
        <w:tc>
          <w:tcPr>
            <w:tcW w:w="640" w:type="pct"/>
            <w:vMerge w:val="restart"/>
            <w:tcBorders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/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/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/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/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vMerge/>
            <w:tcBorders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2023北京卷·第20题</w:t>
            </w:r>
          </w:p>
        </w:tc>
        <w:tc>
          <w:tcPr>
            <w:tcW w:w="640" w:type="pct"/>
            <w:vMerge/>
            <w:tcBorders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材料分析题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12分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1、柑橘与《橘录》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宋元时期经济重心南移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2022山东卷·第3题</w:t>
            </w:r>
          </w:p>
        </w:tc>
        <w:tc>
          <w:tcPr>
            <w:tcW w:w="640" w:type="pct"/>
            <w:tcBorders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5年1考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10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经济重心南移的表现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宋金元社会的变化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2023全国乙卷·第3题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2021河北卷·第4题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2021全国甲卷·第3题</w:t>
            </w:r>
          </w:p>
        </w:tc>
        <w:tc>
          <w:tcPr>
            <w:tcW w:w="640" w:type="pct"/>
            <w:tcBorders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5年3考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11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宋金元时期社会环境的放松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left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理学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2022重庆卷·第5题</w:t>
            </w:r>
          </w:p>
        </w:tc>
        <w:tc>
          <w:tcPr>
            <w:tcW w:w="640" w:type="pct"/>
            <w:tcBorders>
              <w:left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5年1考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12"/>
              </w:num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朱熹的主张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pct"/>
            <w:tcBorders>
              <w:left w:val="single" w:sz="8" w:space="0" w:color="4684D3"/>
              <w:bottom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宋元文学艺术</w:t>
            </w:r>
          </w:p>
        </w:tc>
        <w:tc>
          <w:tcPr>
            <w:tcW w:w="1280" w:type="pct"/>
            <w:tcBorders>
              <w:top w:val="single" w:sz="8" w:space="0" w:color="DDDDDD"/>
              <w:left w:val="single" w:sz="8" w:space="0" w:color="DDDDDD"/>
              <w:bottom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2020浙江卷·第25题</w:t>
            </w:r>
          </w:p>
        </w:tc>
        <w:tc>
          <w:tcPr>
            <w:tcW w:w="640" w:type="pct"/>
            <w:tcBorders>
              <w:left w:val="single" w:sz="8" w:space="0" w:color="DDDDDD"/>
              <w:bottom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5年1考</w:t>
            </w:r>
          </w:p>
        </w:tc>
        <w:tc>
          <w:tcPr>
            <w:tcW w:w="479" w:type="pct"/>
            <w:tcBorders>
              <w:top w:val="single" w:sz="8" w:space="0" w:color="DDDDDD"/>
              <w:left w:val="single" w:sz="8" w:space="0" w:color="DDDDDD"/>
              <w:bottom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选择题</w:t>
            </w:r>
          </w:p>
        </w:tc>
        <w:tc>
          <w:tcPr>
            <w:tcW w:w="302" w:type="pct"/>
            <w:tcBorders>
              <w:top w:val="single" w:sz="8" w:space="0" w:color="DDDDDD"/>
              <w:left w:val="single" w:sz="8" w:space="0" w:color="DDDDDD"/>
              <w:bottom w:val="single" w:sz="8" w:space="0" w:color="4684D3"/>
              <w:right w:val="single" w:sz="8" w:space="0" w:color="DDDDDD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3分</w:t>
            </w:r>
          </w:p>
        </w:tc>
        <w:tc>
          <w:tcPr>
            <w:tcW w:w="1534" w:type="pct"/>
            <w:tcBorders>
              <w:top w:val="single" w:sz="8" w:space="0" w:color="DDDDDD"/>
              <w:left w:val="single" w:sz="8" w:space="0" w:color="DDDDDD"/>
              <w:bottom w:val="single" w:sz="8" w:space="0" w:color="4684D3"/>
              <w:right w:val="single" w:sz="8" w:space="0" w:color="4684D3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1、风俗画的史料价值</w:t>
            </w:r>
          </w:p>
        </w:tc>
      </w:tr>
    </w:tbl>
    <w:p>
      <w:pPr>
        <w:spacing w:line="360" w:lineRule="auto"/>
        <w:jc w:val="left"/>
        <w:rPr>
          <w:rFonts w:ascii="Times New Roman" w:hAnsi="Times New Roman"/>
          <w:b/>
          <w:bCs/>
          <w:color w:val="0000FF"/>
          <w:szCs w:val="21"/>
        </w:rPr>
      </w:pPr>
      <w:r>
        <w:rPr>
          <w:rFonts w:ascii="Times New Roman" w:hAnsi="Times New Roman"/>
        </w:rPr>
        <w:drawing>
          <wp:inline distT="0" distB="0" distL="0" distR="0">
            <wp:extent cx="1562100" cy="3238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b/>
          <w:bCs/>
          <w:color w:val="0000FF"/>
          <w:szCs w:val="21"/>
        </w:rPr>
      </w:pPr>
      <w:r>
        <w:rPr>
          <w:rFonts w:ascii="Times New Roman" w:hAnsi="Times New Roman"/>
        </w:rPr>
        <w:drawing>
          <wp:inline distT="0" distB="0" distL="0" distR="0">
            <wp:extent cx="1743075" cy="5048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1．“贞观之治”与“开元盛世”是对唐代两个重要时期的赞誉。一般认为，“贞观之治”更强调政治开明、社会安定；“开元盛世”更强调经济发达、文化繁荣。以下诗文能够直接反映“贞观之治”特点的是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“君臣相得”“乐闻直谏”</w:t>
      </w:r>
      <w:r>
        <w:rPr>
          <w:rFonts w:ascii="Times New Roman" w:hAnsi="Times New Roman" w:cs="Times New Roman" w:hint="eastAsia"/>
          <w:kern w:val="0"/>
          <w:sz w:val="24"/>
        </w:rPr>
        <w:t xml:space="preserve">       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“小邑犹藏万家室”“公私仓廪俱丰实”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“五尺童子，耻不言文墨”</w:t>
      </w:r>
      <w:r>
        <w:rPr>
          <w:rFonts w:ascii="Times New Roman" w:hAnsi="Times New Roman" w:cs="Times New Roman" w:hint="eastAsia"/>
          <w:kern w:val="0"/>
          <w:sz w:val="24"/>
        </w:rPr>
        <w:t xml:space="preserve">     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“商旅野次，无复盗贼，囹圄常空”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</w:t>
      </w:r>
      <w:r>
        <w:rPr>
          <w:rFonts w:ascii="宋体" w:eastAsia="宋体" w:hAnsi="宋体" w:cs="宋体" w:hint="eastAsia"/>
          <w:szCs w:val="22"/>
        </w:rPr>
        <w:t>①③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</w:t>
      </w:r>
      <w:r>
        <w:rPr>
          <w:rFonts w:ascii="宋体" w:eastAsia="宋体" w:hAnsi="宋体" w:cs="宋体" w:hint="eastAsia"/>
          <w:szCs w:val="22"/>
        </w:rPr>
        <w:t>②④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</w:t>
      </w:r>
      <w:r>
        <w:rPr>
          <w:rFonts w:ascii="宋体" w:eastAsia="宋体" w:hAnsi="宋体" w:cs="宋体" w:hint="eastAsia"/>
          <w:szCs w:val="22"/>
        </w:rPr>
        <w:t>①④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</w:t>
      </w:r>
      <w:r>
        <w:rPr>
          <w:rFonts w:ascii="宋体" w:eastAsia="宋体" w:hAnsi="宋体" w:cs="宋体" w:hint="eastAsia"/>
          <w:szCs w:val="22"/>
        </w:rPr>
        <w:t>②③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【来源】2023年高考北京历史真题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default" r:id="rId19"/>
          <w:footerReference w:type="even" r:id="rId20"/>
          <w:footerReference w:type="default" r:id="rId21"/>
          <w:footerReference w:type="first" r:id="rId22"/>
          <w:type w:val="nextPage"/>
          <w:pgSz w:w="11906" w:h="16838"/>
          <w:pgMar w:top="1417" w:right="1077" w:bottom="1417" w:left="1077" w:header="708" w:footer="708" w:gutter="0"/>
          <w:pgNumType w:start="3"/>
          <w:cols w:num="1" w:space="708"/>
          <w:titlePg w:val="0"/>
        </w:sectPr>
      </w:pPr>
      <w:r>
        <w:rPr>
          <w:rFonts w:ascii="Times New Roman" w:eastAsia="宋体" w:hAnsi="Times New Roman" w:cs="Times New Roman"/>
          <w:szCs w:val="22"/>
        </w:rPr>
        <w:t>2．下图为西汉与隋京畿区示意图。与西汉相比，隋京畿区的变动是为了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114300" distR="114300">
            <wp:extent cx="4152900" cy="1838325"/>
            <wp:effectExtent l="0" t="0" r="7620" b="5715"/>
            <wp:docPr id="2" name="图片 2" descr="@@@ca4f6353-c532-4100-9241-a2775eca8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@@@ca4f6353-c532-4100-9241-a2775eca85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A．减少制度变革阻力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B．拓宽财政收入来源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C．促进中原地区民族交融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D．缓解关中地区经济压力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【来源】2023年高考山东历史真题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3．北宋理学家张载认为：“封建者，天下之事，分得简则治之精，不简则不精，故圣人必以天下分之于人，则事无不治者。……为天下者，奚为纷纷必亲天下之事?”这表明张载主张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A．扩大地方权力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B．恢复郡国并行制度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C．健全中央机构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D．简化官员选任程序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【来源】2023年高考山东历史真题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宋仁宗下诏废郭皇后。御史中丞孔道辅、谏官范仲淹等以“后无过不可废”，跪求奏对。仁宗遣宰相吕夷简告知他们皇后应废的理由。事后，孔道辅等遭贬黜，朝廷诏令御史、谏官不得“相率请对”。这反映了宋代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A．皇帝家事不容外朝官员置疑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B．士大夫政治降低了皇帝权威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C．御史与谏官职能有混通趋势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D．宰相已沦为君主专制的工具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【来源】2023年高考湖南历史真题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5．唐代初期，太宗称：“我今为天下主，无问中国及四夷，皆养活之。不安者，我必令安；不乐者，我必令乐。”由于边远诸族聚居地生产相对落后，无法执行内地赋役标准，朝廷依据实情实施轻税政策，如建中元年（780）规定：“诸边远州有夷僚杂类之所，应输课役者，随事斟量，不必同之华夏。”上述材料集中体现了唐朝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A．采取灵活政策促进民族交往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B．重视边境民族地区的社会治理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C．调整经济政策推动区域发展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D．坚持推行因俗而治的民族政策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  <w:sectPr>
          <w:headerReference w:type="default" r:id="rId24"/>
          <w:footerReference w:type="even" r:id="rId25"/>
          <w:footerReference w:type="default" r:id="rId26"/>
          <w:footerReference w:type="first" r:id="rId27"/>
          <w:type w:val="nextPage"/>
          <w:pgSz w:w="11906" w:h="16838"/>
          <w:pgMar w:top="1417" w:right="1077" w:bottom="1417" w:left="1077" w:header="708" w:footer="708" w:gutter="0"/>
          <w:pgNumType w:start="4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【来源】2023年高考湖北历史真题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6．宋代依据有无田产，将全国户口分为主户和客户。下表是北宋宝元元年（1038）和元丰元年（1078）三路主户、客户的统计数据，表中客户比率变化反映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tbl>
      <w:tblPr>
        <w:tblStyle w:val="TableGrid2"/>
        <w:tblW w:w="1017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6" w:type="dxa"/>
          <w:bottom w:w="0" w:type="dxa"/>
          <w:right w:w="6" w:type="dxa"/>
        </w:tblCellMar>
      </w:tblPr>
      <w:tblGrid>
        <w:gridCol w:w="1001"/>
        <w:gridCol w:w="1021"/>
        <w:gridCol w:w="1022"/>
        <w:gridCol w:w="1015"/>
        <w:gridCol w:w="1022"/>
        <w:gridCol w:w="1022"/>
        <w:gridCol w:w="1016"/>
        <w:gridCol w:w="1022"/>
        <w:gridCol w:w="1022"/>
        <w:gridCol w:w="1016"/>
      </w:tblGrid>
      <w:tr>
        <w:tblPrEx>
          <w:tblW w:w="10179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623"/>
        </w:trPr>
        <w:tc>
          <w:tcPr>
            <w:tcW w:w="1001" w:type="dxa"/>
            <w:vMerge w:val="restart"/>
            <w:tcBorders>
              <w:tl2br w:val="nil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16510</wp:posOffset>
                      </wp:positionV>
                      <wp:extent cx="611505" cy="389255"/>
                      <wp:effectExtent l="0" t="0" r="17145" b="29845"/>
                      <wp:wrapNone/>
                      <wp:docPr id="19" name="直接连接符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611505" cy="38925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19" o:spid="_x0000_s1025" style="mso-wrap-distance-bottom:0;mso-wrap-distance-left:9pt;mso-wrap-distance-right:9pt;mso-wrap-distance-top:0;position:absolute;v-text-anchor:top;z-index:251660288" from="1.15pt,1.3pt" to="49.3pt,31.95pt" fillcolor="this" stroked="t" strokecolor="black" strokeweight="0.5pt"/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16510</wp:posOffset>
                      </wp:positionV>
                      <wp:extent cx="628015" cy="1263650"/>
                      <wp:effectExtent l="0" t="0" r="19685" b="31750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628015" cy="126365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17" o:spid="_x0000_s1026" style="mso-wrap-distance-bottom:0;mso-wrap-distance-left:9pt;mso-wrap-distance-right:9pt;mso-wrap-distance-top:0;position:absolute;v-text-anchor:top;z-index:251662336" from="-0.1pt,1.3pt" to="49.35pt,100.8pt" fillcolor="this" stroked="t" strokecolor="black" strokeweight="0.5pt"/>
                  </w:pict>
                </mc:Fallback>
              </mc:AlternateContent>
            </w:r>
            <w:r>
              <w:rPr>
                <w:rFonts w:hint="eastAsia"/>
              </w:rPr>
              <w:t xml:space="preserve">    政区</w:t>
            </w:r>
          </w:p>
          <w:p>
            <w:pPr>
              <w:pStyle w:val="BodyText"/>
              <w:spacing w:before="0" w:line="360" w:lineRule="auto"/>
              <w:ind w:left="0" w:firstLine="420" w:firstLineChars="200"/>
            </w:pPr>
            <w:r>
              <w:rPr>
                <w:rFonts w:hint="eastAsia"/>
              </w:rPr>
              <w:t>户</w:t>
            </w:r>
          </w:p>
          <w:p>
            <w:pPr>
              <w:pStyle w:val="BodyText"/>
              <w:spacing w:before="0" w:line="360" w:lineRule="auto"/>
            </w:pPr>
            <w:r>
              <w:t>数</w:t>
            </w:r>
            <w:r>
              <w:rPr>
                <w:rFonts w:hint="eastAsia"/>
              </w:rPr>
              <w:t xml:space="preserve">   别</w:t>
            </w:r>
          </w:p>
          <w:p>
            <w:pPr>
              <w:snapToGrid w:val="0"/>
              <w:spacing w:line="360" w:lineRule="auto"/>
              <w:ind w:firstLine="420" w:firstLineChars="200"/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26035</wp:posOffset>
                      </wp:positionV>
                      <wp:extent cx="636270" cy="476885"/>
                      <wp:effectExtent l="0" t="0" r="30480" b="18415"/>
                      <wp:wrapNone/>
                      <wp:docPr id="22" name="直接连接符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636270" cy="47688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22" o:spid="_x0000_s1027" style="mso-wrap-distance-bottom:0;mso-wrap-distance-left:9pt;mso-wrap-distance-right:9pt;mso-wrap-distance-top:0;position:absolute;v-text-anchor:top;z-index:251664384" from="-0.7pt,2.05pt" to="49.4pt,39.6pt" fillcolor="this" stroked="t" strokecolor="black" strokeweight="0.5pt"/>
                  </w:pict>
                </mc:Fallback>
              </mc:AlternateContent>
            </w:r>
            <w:r>
              <w:t>据</w:t>
            </w:r>
          </w:p>
          <w:p>
            <w:pPr>
              <w:spacing w:line="360" w:lineRule="auto"/>
            </w:pPr>
            <w:r>
              <w:t>年份</w:t>
            </w:r>
          </w:p>
        </w:tc>
        <w:tc>
          <w:tcPr>
            <w:tcW w:w="305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荆湖南路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荆湖北路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江南东路</w:t>
            </w:r>
          </w:p>
        </w:tc>
      </w:tr>
      <w:tr>
        <w:tblPrEx>
          <w:tblW w:w="10179" w:type="dxa"/>
          <w:tblInd w:w="0" w:type="dxa"/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540"/>
        </w:trPr>
        <w:tc>
          <w:tcPr>
            <w:tcW w:w="1001" w:type="dxa"/>
            <w:vMerge/>
            <w:tcBorders>
              <w:tl2br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主户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客户</w:t>
            </w:r>
          </w:p>
        </w:tc>
        <w:tc>
          <w:tcPr>
            <w:tcW w:w="10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客户比率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主户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客户</w:t>
            </w:r>
          </w:p>
        </w:tc>
        <w:tc>
          <w:tcPr>
            <w:tcW w:w="10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客户比率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主户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客户</w:t>
            </w:r>
          </w:p>
        </w:tc>
        <w:tc>
          <w:tcPr>
            <w:tcW w:w="10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客户比率</w:t>
            </w:r>
          </w:p>
        </w:tc>
      </w:tr>
      <w:tr>
        <w:tblPrEx>
          <w:tblW w:w="10179" w:type="dxa"/>
          <w:tblInd w:w="0" w:type="dxa"/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577"/>
        </w:trPr>
        <w:tc>
          <w:tcPr>
            <w:tcW w:w="10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宝元元年</w:t>
            </w:r>
          </w:p>
        </w:tc>
        <w:tc>
          <w:tcPr>
            <w:tcW w:w="102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456431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354626</w:t>
            </w:r>
          </w:p>
        </w:tc>
        <w:tc>
          <w:tcPr>
            <w:tcW w:w="10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0．437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350593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238709</w:t>
            </w:r>
          </w:p>
        </w:tc>
        <w:tc>
          <w:tcPr>
            <w:tcW w:w="10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0．405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902261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171499</w:t>
            </w:r>
          </w:p>
        </w:tc>
        <w:tc>
          <w:tcPr>
            <w:tcW w:w="10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0．160</w:t>
            </w:r>
          </w:p>
        </w:tc>
      </w:tr>
      <w:tr>
        <w:tblPrEx>
          <w:tblW w:w="10179" w:type="dxa"/>
          <w:tblInd w:w="0" w:type="dxa"/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592"/>
        </w:trPr>
        <w:tc>
          <w:tcPr>
            <w:tcW w:w="10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元丰元年</w:t>
            </w:r>
          </w:p>
        </w:tc>
        <w:tc>
          <w:tcPr>
            <w:tcW w:w="102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475677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395537</w:t>
            </w:r>
          </w:p>
        </w:tc>
        <w:tc>
          <w:tcPr>
            <w:tcW w:w="10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0．454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280000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377533</w:t>
            </w:r>
          </w:p>
        </w:tc>
        <w:tc>
          <w:tcPr>
            <w:tcW w:w="10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0．574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926225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201086</w:t>
            </w:r>
          </w:p>
        </w:tc>
        <w:tc>
          <w:tcPr>
            <w:tcW w:w="10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0．178</w:t>
            </w:r>
          </w:p>
        </w:tc>
      </w:tr>
    </w:tbl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A．土地兼并程度加深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B．地域经济差别扩大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C．商品经济发展加快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D．贫富差距逐渐缩小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【来源】2023年高考湖北历史真题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7．如表关于唐人李元谅身世的三则史料中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350"/>
        <w:gridCol w:w="2268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7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史料内容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来源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7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本骆元光，姓安氏，其先安息人也。少为宦官骆奉先所养，冒姓骆氏……贞元三年（787）……帝（唐德宗）念其勋劳，又赐姓李氏，改名元谅。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《旧唐书·李元谅传》（五代刘昫等撰）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7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公本安姓，讳元光，其先安息王之胄也。轩辕氏廿五子在四裔者，此其一焉……（唐德宗）赐姓李氏，同属籍也。改名元谅，昭诚节也……贞元癸酉岁（793）十有一月十五日，薨于良原镇之公馆，享年六十七。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《李元谅墓志》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7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公本名元光，姓骆氏，武威姑臧人。盖黄轩帝孙，降居安息，高阳王□，留宅姑臧。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贞元五年（789）《李元谅颂碑》</w:t>
            </w:r>
          </w:p>
        </w:tc>
      </w:tr>
    </w:tbl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A．《旧唐书》的记载相对客观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B．所有的信息皆可互相证实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C．墓志采用了《旧唐书》记载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D．出现较早的史料最为真实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  <w:sectPr>
          <w:headerReference w:type="default" r:id="rId28"/>
          <w:footerReference w:type="even" r:id="rId29"/>
          <w:footerReference w:type="default" r:id="rId30"/>
          <w:footerReference w:type="first" r:id="rId31"/>
          <w:type w:val="nextPage"/>
          <w:pgSz w:w="11906" w:h="16838"/>
          <w:pgMar w:top="1417" w:right="1077" w:bottom="1417" w:left="1077" w:header="708" w:footer="708" w:gutter="0"/>
          <w:pgNumType w:start="5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【来源】2023年高考新课标卷（五省）历史真题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8．民众日常生活能够反映时代特点。下列情景中，可能出现于北宋都城市民日常生活中的是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A．早晨在家喝红薯玉米粥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B．晚上去夜市听人说书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C．到指定市场用银元购物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D．出门时穿件黄色棉袍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【来源】2023年高考全国甲卷历史真题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9．唐代中后期文人间流行诗歌唱和之风，“江南”成为唱和的重要主题。杭州、苏州、湖州、宣州（今安徽宣城）等地名常在唱和诗歌中出现。这种风尚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A．得益于稳定的地方秩序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B．缘于坊市制度的崩溃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C．助推山水田园诗的兴起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D．导致经济重心的南移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【来源】2023年高考全国乙卷历史真题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10．南宋时书籍流行，文人刻书蔚然成风，如陆游、范成大、杨万里、朱熹等人在各地任官期间，都曾刊行自己或先人、名宦、师友、乡贤的著述，地方官学、民间书院等亦以刻书为己任。这有助于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A．士族阶层的出现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B．儒学正统地位的确立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C．科举制度的兴起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D．社会文化水平的提升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【来源】2023年高考全国乙卷历史真题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11．延载元年（694）八月敕：“诸户口计年将入丁、老、疾、应免课役及给侍者，皆县亲貌形状，以为定簿。一定以后，不得更貌。疑有奸欺者，听随事貌定，以付手实。”这种户籍管理办法是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A．黄籍登记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B．白籍土断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C．貌阅之法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D．诸色户计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【来源】浙江省2023年1月普通高校招生选考科目考试历史试题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 w:hint="eastAsia"/>
          <w:szCs w:val="22"/>
        </w:rPr>
        <w:t>12</w:t>
      </w:r>
      <w:r>
        <w:rPr>
          <w:rFonts w:ascii="Times New Roman" w:eastAsia="宋体" w:hAnsi="Times New Roman" w:cs="Times New Roman"/>
          <w:szCs w:val="22"/>
        </w:rPr>
        <w:t>．阅读材料，回答问题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南学与北学南北朝时期，儒学有南学与北学之分。“南北所治，章句好尚，互有不同。”南方儒士大多濡染玄风，注重探寻玄学义理；北学严守汉儒传统，注重名物训诂。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南、北儒士研习经书，偏重不同的注本（对儒家经典的注释本）。以《左传》为例，南朝流行“杜预注本”，北朝流行“服虔注本”。然而，南梁崔灵恩常引用“服虔注本”来诘难“杜预注本”，引领论辩之风。北魏有名儒“兼读杜、服，隐括（修订）两家，异同悉举”。这一时期，南北政权常互派使节，他们也往往借机相互考校儒学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default" r:id="rId32"/>
          <w:footerReference w:type="even" r:id="rId33"/>
          <w:footerReference w:type="default" r:id="rId34"/>
          <w:footerReference w:type="first" r:id="rId35"/>
          <w:type w:val="nextPage"/>
          <w:pgSz w:w="11906" w:h="16838"/>
          <w:pgMar w:top="1417" w:right="1077" w:bottom="1417" w:left="1077" w:header="708" w:footer="708" w:gutter="0"/>
          <w:pgNumType w:start="6"/>
          <w:cols w:num="1" w:space="708"/>
          <w:titlePg w:val="0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隋灭陈后，将大量士人迁至北方。隋炀帝大举征召儒生，“使相与讲论得失于东都（洛阳）之下”，胜出者多为南方儒士。其后他们大多在北方活动和授徒。唐初，“四方儒士，多抱负典籍，云会京师”。唐太宗下诏统一五经文本和注释。孔颖达兼采南北，撰成《五经正义》，高宗时颁行全国，成为官方经学定本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（1）指出南北朝时期南学与北学分立的时代背景。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（2）概述南北朝至隋唐时期儒学走向统一的过程及意义。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【来源】2023年高考北京历史真题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 w:hint="eastAsia"/>
          <w:szCs w:val="22"/>
        </w:rPr>
        <w:t>13</w:t>
      </w:r>
      <w:r>
        <w:rPr>
          <w:rFonts w:ascii="Times New Roman" w:eastAsia="宋体" w:hAnsi="Times New Roman" w:cs="Times New Roman"/>
          <w:szCs w:val="22"/>
        </w:rPr>
        <w:t>．柑橘与《橘录》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材料一</w:t>
      </w:r>
      <w:r>
        <w:rPr>
          <w:rFonts w:ascii="Times New Roman" w:eastAsia="宋体" w:hAnsi="Times New Roman" w:cs="Times New Roman" w:hint="eastAsia"/>
          <w:color w:val="0000FF"/>
          <w:szCs w:val="22"/>
        </w:rPr>
        <w:t xml:space="preserve">   </w:t>
      </w:r>
      <w:r>
        <w:rPr>
          <w:rFonts w:ascii="Times New Roman" w:eastAsia="楷体" w:hAnsi="Times New Roman" w:cs="楷体"/>
          <w:szCs w:val="22"/>
        </w:rPr>
        <w:t>中国是最早栽培柑橘类果树的国家之一。宋代，柑橘的产销扩大。南方出现了温州、苏州、荆州和福州等多个柑橘生产中心，有众多专门贩运柑橘的商人。开封的酒肆内有温柑、金橘等多个品种，临安有专门售卖柑橘的市场“柑子团”。士大夫喜爱歌咏“橙黄橘绿”，苏轼自称“能手自接果木，尤好栽橘”。南宋韩彦直总结了柑橘栽培技术，撰成世界第一部柑橘专著《橘录》。该书将柑橘类果树分为</w:t>
      </w:r>
      <w:r>
        <w:rPr>
          <w:rFonts w:ascii="Times New Roman" w:eastAsia="宋体" w:hAnsi="Times New Roman" w:cs="Times New Roman"/>
          <w:szCs w:val="22"/>
        </w:rPr>
        <w:t>3</w:t>
      </w:r>
      <w:r>
        <w:rPr>
          <w:rFonts w:ascii="Times New Roman" w:eastAsia="楷体" w:hAnsi="Times New Roman" w:cs="楷体"/>
          <w:szCs w:val="22"/>
        </w:rPr>
        <w:t>大类</w:t>
      </w:r>
      <w:r>
        <w:rPr>
          <w:rFonts w:ascii="Times New Roman" w:eastAsia="宋体" w:hAnsi="Times New Roman" w:cs="Times New Roman"/>
          <w:szCs w:val="22"/>
        </w:rPr>
        <w:t>27</w:t>
      </w:r>
      <w:r>
        <w:rPr>
          <w:rFonts w:ascii="Times New Roman" w:eastAsia="楷体" w:hAnsi="Times New Roman" w:cs="楷体"/>
          <w:szCs w:val="22"/>
        </w:rPr>
        <w:t>种，分述植株、果实、食味和产地等，并介绍了栽培、去病、浇灌、采摘、收藏和入药等各项环节。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材料二</w:t>
      </w:r>
      <w:r>
        <w:rPr>
          <w:rFonts w:ascii="Times New Roman" w:hAnsi="Times New Roman" w:cs="Times New Roman" w:hint="eastAsia"/>
          <w:kern w:val="0"/>
          <w:sz w:val="24"/>
        </w:rPr>
        <w:t xml:space="preserve">   </w:t>
      </w:r>
      <w:r>
        <w:rPr>
          <w:rFonts w:ascii="Times New Roman" w:eastAsia="宋体" w:hAnsi="Times New Roman" w:cs="Times New Roman"/>
          <w:szCs w:val="22"/>
        </w:rPr>
        <w:t>15</w:t>
      </w:r>
      <w:r>
        <w:rPr>
          <w:rFonts w:ascii="Times New Roman" w:eastAsia="楷体" w:hAnsi="Times New Roman" w:cs="楷体"/>
          <w:szCs w:val="22"/>
        </w:rPr>
        <w:t>世纪以后，中国的甜橙传入欧洲，哥伦布将其带到美洲。在甜橙基础上培育出的脐橙成为美洲重要品种。</w:t>
      </w:r>
      <w:r>
        <w:rPr>
          <w:rFonts w:ascii="Times New Roman" w:eastAsia="宋体" w:hAnsi="Times New Roman" w:cs="Times New Roman"/>
          <w:szCs w:val="22"/>
        </w:rPr>
        <w:t>18</w:t>
      </w:r>
      <w:r>
        <w:rPr>
          <w:rFonts w:ascii="Times New Roman" w:eastAsia="楷体" w:hAnsi="Times New Roman" w:cs="楷体"/>
          <w:szCs w:val="22"/>
        </w:rPr>
        <w:t>世纪，瑞典植物学家奥斯贝克在广州记录了当地柑橘品种，并把标本带回国。</w:t>
      </w:r>
      <w:r>
        <w:rPr>
          <w:rFonts w:ascii="Times New Roman" w:eastAsia="宋体" w:hAnsi="Times New Roman" w:cs="Times New Roman"/>
          <w:szCs w:val="22"/>
        </w:rPr>
        <w:t>19</w:t>
      </w:r>
      <w:r>
        <w:rPr>
          <w:rFonts w:ascii="Times New Roman" w:eastAsia="楷体" w:hAnsi="Times New Roman" w:cs="楷体"/>
          <w:szCs w:val="22"/>
        </w:rPr>
        <w:t>世纪初，英国从广州引进宽皮柑橘。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中国良种的引进，使欧美柑橘从药用、装饰转向食用为主，并形成商品化消费。西班牙在</w:t>
      </w:r>
      <w:r>
        <w:rPr>
          <w:rFonts w:ascii="Times New Roman" w:eastAsia="宋体" w:hAnsi="Times New Roman" w:cs="Times New Roman"/>
          <w:szCs w:val="22"/>
        </w:rPr>
        <w:t>18</w:t>
      </w:r>
      <w:r>
        <w:rPr>
          <w:rFonts w:ascii="Times New Roman" w:eastAsia="楷体" w:hAnsi="Times New Roman" w:cs="楷体"/>
          <w:szCs w:val="22"/>
        </w:rPr>
        <w:t>世纪末就出现了商业化柑橘种植园。</w:t>
      </w:r>
      <w:r>
        <w:rPr>
          <w:rFonts w:ascii="Times New Roman" w:eastAsia="宋体" w:hAnsi="Times New Roman" w:cs="Times New Roman"/>
          <w:szCs w:val="22"/>
        </w:rPr>
        <w:t>20</w:t>
      </w:r>
      <w:r>
        <w:rPr>
          <w:rFonts w:ascii="Times New Roman" w:eastAsia="楷体" w:hAnsi="Times New Roman" w:cs="楷体"/>
          <w:szCs w:val="22"/>
        </w:rPr>
        <w:t>世纪初，美国植物学家施永格在中国发现了宜昌橙等耐寒柑橘品种，将其引入美洲，用于改良品种。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《橘录》在欧、美、日均有流传。</w:t>
      </w:r>
      <w:r>
        <w:rPr>
          <w:rFonts w:ascii="Times New Roman" w:eastAsia="宋体" w:hAnsi="Times New Roman" w:cs="Times New Roman"/>
          <w:szCs w:val="22"/>
        </w:rPr>
        <w:t>1923</w:t>
      </w:r>
      <w:r>
        <w:rPr>
          <w:rFonts w:ascii="Times New Roman" w:eastAsia="楷体" w:hAnsi="Times New Roman" w:cs="楷体"/>
          <w:szCs w:val="22"/>
        </w:rPr>
        <w:t>年，《橘录》英文版在欧洲最具影响力的汉学杂志《通报》上发表，法国汉学家伯希和为其撰写引言。世界柑橘业权威著作《柑橘产业》也多次引用《橘录》。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（1）概述宋代柑橘产销扩大的历史条件。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（2）阅读材料，结合所学，简述中国柑橘品种和《橘录》在世界传播的影响。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【来源】2023年高考北京历史真题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 w:hint="eastAsia"/>
          <w:szCs w:val="22"/>
        </w:rPr>
        <w:t>14</w:t>
      </w:r>
      <w:r>
        <w:rPr>
          <w:rFonts w:ascii="Times New Roman" w:eastAsia="宋体" w:hAnsi="Times New Roman" w:cs="Times New Roman"/>
          <w:szCs w:val="22"/>
        </w:rPr>
        <w:t>．阅读材料，完成下列要求。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材料一</w:t>
      </w:r>
      <w:r>
        <w:rPr>
          <w:rFonts w:ascii="Times New Roman" w:hAnsi="Times New Roman" w:cs="Times New Roman" w:hint="eastAsia"/>
          <w:kern w:val="0"/>
          <w:sz w:val="24"/>
        </w:rPr>
        <w:t xml:space="preserve">   </w:t>
      </w:r>
      <w:r>
        <w:rPr>
          <w:rFonts w:ascii="Times New Roman" w:eastAsia="楷体" w:hAnsi="Times New Roman" w:cs="楷体"/>
          <w:szCs w:val="22"/>
        </w:rPr>
        <w:t>敦煌户籍残卷所见唐代均田户受田情况表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1080"/>
        <w:gridCol w:w="1080"/>
        <w:gridCol w:w="2130"/>
        <w:gridCol w:w="213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户籍年代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均田户数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受足户数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平均每户应受田亩数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平均每户未受田亩数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高宗时期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101．0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69．0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武则天时期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143．5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102．0</w:t>
            </w:r>
          </w:p>
        </w:tc>
      </w:tr>
    </w:tbl>
    <w:p>
      <w:pPr>
        <w:sectPr>
          <w:headerReference w:type="default" r:id="rId36"/>
          <w:footerReference w:type="even" r:id="rId37"/>
          <w:footerReference w:type="default" r:id="rId38"/>
          <w:footerReference w:type="first" r:id="rId39"/>
          <w:type w:val="nextPage"/>
          <w:pgSz w:w="11906" w:h="16838"/>
          <w:pgMar w:top="1417" w:right="1077" w:bottom="1417" w:left="1077" w:header="708" w:footer="708" w:gutter="0"/>
          <w:pgNumType w:start="7"/>
          <w:cols w:num="1" w:space="708"/>
          <w:titlePg w:val="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1080"/>
        <w:gridCol w:w="1080"/>
        <w:gridCol w:w="2130"/>
        <w:gridCol w:w="213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玄宗时期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148．7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106．6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代宗时期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149．3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楷体" w:hAnsi="Times New Roman" w:cs="楷体"/>
                <w:szCs w:val="22"/>
              </w:rPr>
              <w:t>89．8</w:t>
            </w:r>
          </w:p>
        </w:tc>
      </w:tr>
    </w:tbl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楷体" w:hAnsi="Times New Roman" w:cs="楷体"/>
          <w:szCs w:val="22"/>
        </w:rPr>
      </w:pPr>
      <w:r>
        <w:rPr>
          <w:rFonts w:ascii="Times New Roman" w:eastAsia="楷体" w:hAnsi="Times New Roman" w:cs="楷体"/>
          <w:szCs w:val="22"/>
        </w:rPr>
        <w:t>注：唐代上柱国按规定受勋田3000亩，表中是排除了上柱国户后的数据。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——改编自王仲荦《隋唐五代史》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材料二</w:t>
      </w:r>
      <w:r>
        <w:rPr>
          <w:rFonts w:ascii="Times New Roman" w:hAnsi="Times New Roman" w:cs="Times New Roman" w:hint="eastAsia"/>
          <w:kern w:val="0"/>
          <w:sz w:val="24"/>
        </w:rPr>
        <w:t xml:space="preserve">   </w:t>
      </w:r>
      <w:r>
        <w:rPr>
          <w:rFonts w:ascii="Times New Roman" w:eastAsia="楷体" w:hAnsi="Times New Roman" w:cs="楷体"/>
          <w:szCs w:val="22"/>
        </w:rPr>
        <w:t>白居易的《赠友》描述了两税征钱导致钱重物轻而伤农的现象，“胡（何）为秋夏税，岁岁输铜钱。钱力日已重，农力日已弹”；表达了对租庸调法的认同，“庸必算丁口，租必计桑田。不求土所无，不强人所难。量入以为出，上足下亦安”，主张“复彼租庸法，令如贞观年”。柳宗元的《答元饶州论政理书》指出，两税法实行按户等征税，富人贿赂官吏求居下等以逃税，导致“贫者愈困饿死亡而莫之省，富者愈恣横侈泰而无所忌”。他认为要避免上述现象的出现，只有“舍其产而唯丁田之间”，即恢复以身丁为本的租庸调法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 xml:space="preserve"> ——改编自付志宇《唐人诗文所见两税法变革补证》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（1）根据材料一，指出唐代均田制推行中存在的主要问题，并结合所学知识分析其原因。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（2）根据材料，结合所学知识，评析白居易、柳宗元对唐代税制改革的看法。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【来源】2023年高考湖南历史真题</w:t>
      </w:r>
    </w:p>
    <w:p>
      <w:pPr>
        <w:spacing w:line="360" w:lineRule="auto"/>
        <w:jc w:val="center"/>
        <w:rPr>
          <w:rFonts w:ascii="Times New Roman" w:hAnsi="Times New Roman"/>
          <w:b/>
          <w:bCs/>
          <w:color w:val="0000FF"/>
          <w:szCs w:val="21"/>
        </w:rPr>
      </w:pPr>
      <w:r>
        <w:rPr>
          <w:rFonts w:ascii="Times New Roman" w:hAnsi="Times New Roman"/>
        </w:rPr>
        <w:drawing>
          <wp:inline distT="0" distB="0" distL="0" distR="0">
            <wp:extent cx="1762125" cy="5334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唐德宗（779—805年在位）时，“上命玉工为带，坠坏一錡（腰带上的饰物），乃私市以补。及献，上指曰：“‘此何不相类？’工人伏罪……”。在宰相柳浑的坚持下，有司以“误伤乘舆器服”定罪。据此可知，唐代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A．三省六部制发生了变化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B．市坊制被打破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C．官私手工业技术有差异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D．法律运行合理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【来源】2022年新高考河北卷历史真题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2．南宋临安城水路沿岸建有塌房数十所，房屋达数千间。塌房主将其租赁给本地铺户及外来客商存放货物，并向承租者征收保护与管理费用。材料表明，南宋时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A．经济重心南移完成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B．都市商业繁盛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C．商旅安全有所保障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D．海外贸易发达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  <w:sectPr>
          <w:headerReference w:type="default" r:id="rId41"/>
          <w:footerReference w:type="even" r:id="rId42"/>
          <w:footerReference w:type="default" r:id="rId43"/>
          <w:footerReference w:type="first" r:id="rId44"/>
          <w:type w:val="nextPage"/>
          <w:pgSz w:w="11906" w:h="16838"/>
          <w:pgMar w:top="1417" w:right="1077" w:bottom="1417" w:left="1077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【来源】2022年新高考河北卷历史真题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3．唐代宗始设枢密使，“初不置司局，但有屋三楹，贮文书而已。其职掌惟承受表奏于内中进呈；若人主有所处分，则宣付中书门下施行而已”。据此可知，当时的枢密使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A．主要负责军事事务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B．类似皇帝秘书机构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C．地位在中书省之上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D．下属机构较为完备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【来源】2022年新高考重庆历史高考真题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北宋开封商人孙赐号，本是酒馆侍者，“诚实不欺，主人爱之，假以百千，使为脚店（小酒馆）……其货渐侈大，乃置图画于壁间，列书史于几案，为雅戏之具，皆不凡，人竞趋之。久之，遂开正店，建楼，渐倾中都”。材料有助于说明北宋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A．士人阶层壮大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B．心学思想盛行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C．坊市制度流行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D．抑商政策加强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【来源】2022年新高考重庆历史高考真题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5．朱熹说：“天下之物莫不有理，而其精蕴则已具于圣贤之书，故必由是以求之。”以下与这句话核心观点最接近的是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A．“宇宙便是吾心，吾心便是宇宙。”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B．“饮食者，天理也；要求美味，人欲也。”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C．“如麻麦稻梁，甚时种，甚时收；地之肥，地之硗，厚薄不同，此宜植某物，亦皆有理。”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D．“且如今为此学而不穷天理、明人伦、讲圣言、通世故，乃兀然存心于一草木、一器用之间，此是何学问？”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【来源】2022年新高考重庆历史高考真题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种植桑、枣树是唐宋以降施仁政的象征。宋太祖下诏“广植桑枣者”免税，“伐桑枣为薪者”治罪；西夏有“禁民伐桑枣为薪”的规定；金朝也规定“凡桑枣，民户以多植为勤”，即使户籍少的猛安谋克也须拿出十分之一的土地种植桑枣。上述现象说明两宋时期统一多民族国家的发展表现在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A．疆域拓展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B．民户管理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C．文化认同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D．政权认同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【来源】2022年新高考海南历史高考真题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7．《汉书》记载“开国承家，有法有制”，认为国家应关注礼制和法律。唐代有士人说：“礼法二事，皆王教之端。”宋代以后，儒学士人以乡约教化乡里。到了明清，乡约与法律逐渐合流。这些治理方式旨在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default" r:id="rId45"/>
          <w:footerReference w:type="even" r:id="rId46"/>
          <w:footerReference w:type="default" r:id="rId47"/>
          <w:footerReference w:type="first" r:id="rId48"/>
          <w:type w:val="nextPage"/>
          <w:pgSz w:w="11906" w:h="16838"/>
          <w:pgMar w:top="1417" w:right="1077" w:bottom="1417" w:left="1077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宋体" w:hAnsi="Times New Roman" w:cs="Times New Roman"/>
          <w:szCs w:val="22"/>
        </w:rPr>
        <w:t>A．推诚辅君，效功百姓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B．灭私徇公，坚守直道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C．守道与德，思退刑罚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D．威制天下，以案刑狱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【来源】2022年新高考海南历史高考真题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8．北宋以紫色为尊贵颜色，宋太宗曾下诏禁止民间服紫，然“冒法者众”。当时的人们以“巧制新妆，竞夸华丽”‘愈厌而好新，月异而岁殊”为荣。这种好新求奇的风尚主要得益于宋代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A．中央集权日益加强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B．社会环境相对宽松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C．海外贸易繁荣发展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D．封建等级不复存在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【来源】2022年新高考天津卷历史真题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9．辽都上京城由北部的皇城和南部的汉城组成，皇城是契丹皇帝和贵族理政、生活之地，皇城内除宫城外还有官署、孔庙和佛寺；汉城为汉人、商人、使节等居住之所。这样的都城布局体现了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A．因俗而治的统治思想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B．游牧民族的生活方式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C．儒家文化的全面影响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D．称霸中原的强盛国力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【来源】2022年新高考天津卷历史真题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10．唐人崇尚“晋贤真迹”，争相效仿以王羲之父子为代表的江左书法风格，进士及第后在雁塔题名的字迹被认为皆有“江左遗风”。这主要反映出，唐代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A．江南文化成为主流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B．科举推动行书步入盛世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C．市民文化需求强烈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D．书法艺术吸纳六朝元素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【来源】2022年新高考江苏历史高考真题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11．元朝创建行御史台“主察行省”。至元二十年，江淮行省“有欲专肆而忌廉察官者”，建议行御史台隶属行省。经重臣董文用据理力争，该图谋未能得逞。至元二十八年，行御史台不受行省节制在法令上被确认。这说明元代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A．行省长官的特权受到否定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B．地方权力的监督机制得到改善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C．地方的吏治问题得以解决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D．行省事务最终由朝廷大臣决定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【来源】2022年新高考江苏历史高考真题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12．目前考古发现的唐代瓷窑遗址有河北的定窑、河南的巩县窑、浙江的越窑、湖南的岳州窑等数十处，它们或临永济渠、江南河，或临黄河、长江、赣江、湘江、钱塘江等自然河流。这体现了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default" r:id="rId49"/>
          <w:footerReference w:type="even" r:id="rId50"/>
          <w:footerReference w:type="default" r:id="rId51"/>
          <w:footerReference w:type="first" r:id="rId52"/>
          <w:type w:val="nextPage"/>
          <w:pgSz w:w="11906" w:h="16838"/>
          <w:pgMar w:top="1417" w:right="1077" w:bottom="1417" w:left="1077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宋体" w:hAnsi="Times New Roman" w:cs="Times New Roman"/>
          <w:szCs w:val="22"/>
        </w:rPr>
        <w:t>A．南北经济差距的拉大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B．私营手工业占据主导地位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C．水运的重要经济地位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D．瓷器对外贸易规模的扩大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【来源】2022年新高考辽宁历史高考真题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13．金朝海陵王前期，宰执中女真宗室出身的大贵族占据重要地位，他们议国事、治国政。正隆元年（1156年），海陵王改革中央官制，宰执中没有宗室大贵族。这一变化反映了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A．官僚体系完善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 w:hint="eastAsia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B．宗室素质下降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C．吏治腐败严重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 w:hint="eastAsia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D．君主专制加强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【来源】2022年新高考辽宁历史高考真题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14．以诗证史是史学研究的方法之一。下表中宋人诗句与其可以反映出的历史现象对应正确的是诗句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92"/>
        <w:gridCol w:w="3390"/>
        <w:gridCol w:w="171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诗句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历史现象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碧豆密争桑荫底，绿荷杂出稻花中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土地利用率提高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尽将精好输公赋，次把斗升求市人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赋税征收货币化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日薄人家晒蚕子，雨余山客买鱼苗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雇佣劳动普遍化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夹路桑麻行不尽，始知身是太平人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人身控制的减弱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A．A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B．B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C．C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D．D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【来源】2022年新高考辽宁历史高考真题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15．北宋中期，各地知州积极修建亭台馆榭以供民众游玩，甚至将其作为一项重要政务。欧阳修《丰乐亭记》载：“夫宣上恩德，以与民共乐，刺史之事也。”范仲淹曾在名胜“严子陵钓台”边修建先贤祠堂以“咏其风”，认为这样“有大功于名教”。上述材料佐证了北宋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A．注重推行社会教化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B．放松了对经济的控制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C．鼓励文学艺术创作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D．实行崇文抑武的方针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【来源】2022年新高考北京卷历史真题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16．唐玄宗针对民间销毁铜钱用于铸造铜器的现象，下诏曰“今天下泉货益少，币帛颇轻，欲使天下流通，焉可得也”，遂禁止私造铜器，由官府统一收购冶炼出的铜铅锡，杜绝私自买卖。制定该政策的主要原因是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default" r:id="rId53"/>
          <w:footerReference w:type="even" r:id="rId54"/>
          <w:footerReference w:type="default" r:id="rId55"/>
          <w:footerReference w:type="first" r:id="rId56"/>
          <w:type w:val="nextPage"/>
          <w:pgSz w:w="11906" w:h="16838"/>
          <w:pgMar w:top="1417" w:right="1077" w:bottom="1417" w:left="1077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宋体" w:hAnsi="Times New Roman" w:cs="Times New Roman"/>
          <w:szCs w:val="22"/>
        </w:rPr>
        <w:t>A．国家财政的入不敷出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B．铸币材料严重短缺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C．铜铅锡专卖措施失效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D．铜钱流通范围有限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【来源】2022年新高考湖北历史高考真题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17．宋初《百家姓》以“赵钱孙李”为首，而唐末五代河西节度使张议潮割据敦煌时期形成的《敦煌百家姓》写本以“张王李赵”为首。二者排序不同体现了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A．地域文化观念的差异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B．崇文抑武政策的实施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C．社会流动的日渐固化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D．门第观念的历史遗留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【来源】2022年新高考湖北历史高考真题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18．目前考古发现的宋代纺织品，主要有福建福州黄昇墓的纺织品和衣物300余件，江苏金坛周璃墓的衣物50余件，江苏武进宋墓衣物残片。湖南衡阳宋墓和宁夏西夏陵区108号墓丝麻织品，赣江兰溪南宋墓棉毯，江西德安南宋周氏墓丝织衣裙，浙江台州南宋赵泊澐墓纺织品60余件等。据此我们可以推断，宋代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A．海上丝绸贸易兴盛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B．纺织业中心位于南方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C．衣料材质发生明显变化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D．南方纺织技艺已超过北方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【来源】2022年新高考山东历史高考真题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</w:t>
      </w:r>
      <w:r>
        <w:rPr>
          <w:rFonts w:ascii="Times New Roman" w:eastAsia="宋体" w:hAnsi="Times New Roman" w:cs="Times New Roman" w:hint="eastAsia"/>
          <w:szCs w:val="22"/>
        </w:rPr>
        <w:t>9</w:t>
      </w:r>
      <w:r>
        <w:rPr>
          <w:rFonts w:ascii="Times New Roman" w:eastAsia="宋体" w:hAnsi="Times New Roman" w:cs="Times New Roman"/>
          <w:szCs w:val="22"/>
        </w:rPr>
        <w:t>．阅读材料，完成下列要求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楷体" w:hAnsi="Times New Roman" w:cs="楷体"/>
          <w:szCs w:val="22"/>
        </w:rPr>
      </w:pPr>
      <w:r>
        <w:rPr>
          <w:rFonts w:ascii="Times New Roman" w:eastAsia="楷体" w:hAnsi="Times New Roman" w:cs="楷体"/>
          <w:szCs w:val="22"/>
        </w:rPr>
        <w:t>材料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114300" distR="114300">
            <wp:extent cx="2447925" cy="2724150"/>
            <wp:effectExtent l="0" t="0" r="5715" b="3810"/>
            <wp:docPr id="4" name="图片 4" descr="@@@87908230-f07c-4273-ab14-53a39ad7c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87908230-f07c-4273-ab14-53a39ad7c3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114300" distR="114300">
            <wp:extent cx="3211830" cy="2736850"/>
            <wp:effectExtent l="0" t="0" r="7620" b="6350"/>
            <wp:docPr id="5" name="图片 5" descr="@@@b6b9c0ee-d22f-4d0a-8792-9ef778906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b6b9c0ee-d22f-4d0a-8792-9ef7789060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210916" cy="273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（1）根据材料，指出两城在城市功能上的相同点和在城市布局上的不同点。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default" r:id="rId59"/>
          <w:footerReference w:type="even" r:id="rId60"/>
          <w:footerReference w:type="default" r:id="rId61"/>
          <w:footerReference w:type="first" r:id="rId62"/>
          <w:type w:val="nextPage"/>
          <w:pgSz w:w="11906" w:h="16838"/>
          <w:pgMar w:top="1417" w:right="1077" w:bottom="1417" w:left="1077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宋体" w:hAnsi="Times New Roman" w:cs="Times New Roman"/>
          <w:szCs w:val="22"/>
        </w:rPr>
        <w:t>（2）根据材料并结合所学知识，简析两城在城市布局上存在差异的主要原因。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【来源】2022年新高考海南历史高考真题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</w:t>
      </w:r>
      <w:r>
        <w:rPr>
          <w:rFonts w:ascii="Times New Roman" w:eastAsia="宋体" w:hAnsi="Times New Roman" w:cs="Times New Roman" w:hint="eastAsia"/>
          <w:szCs w:val="22"/>
        </w:rPr>
        <w:t>0</w:t>
      </w:r>
      <w:r>
        <w:rPr>
          <w:rFonts w:ascii="Times New Roman" w:eastAsia="宋体" w:hAnsi="Times New Roman" w:cs="Times New Roman"/>
          <w:szCs w:val="22"/>
        </w:rPr>
        <w:t>．绢与马</w:t>
      </w:r>
    </w:p>
    <w:p>
      <w:pPr>
        <w:shd w:val="clear" w:color="auto" w:fill="FFFFFF"/>
        <w:spacing w:line="360" w:lineRule="auto"/>
        <w:ind w:firstLine="420" w:firstLineChars="2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材料一</w:t>
      </w:r>
      <w:r>
        <w:rPr>
          <w:rFonts w:ascii="Times New Roman" w:eastAsia="楷体" w:hAnsi="Times New Roman" w:cs="楷体" w:hint="eastAsia"/>
          <w:szCs w:val="22"/>
        </w:rPr>
        <w:t xml:space="preserve">   </w:t>
      </w:r>
      <w:r>
        <w:rPr>
          <w:rFonts w:ascii="Times New Roman" w:eastAsia="楷体" w:hAnsi="Times New Roman" w:cs="楷体"/>
          <w:szCs w:val="22"/>
        </w:rPr>
        <w:t>唐与突厥互市，“以金帛市马”“以助军旅”，唐马“既杂胡种，马乃益壮。天宝后，诸军战马动以万计”，“秦、汉以来，唐马最盛”。唐代驿制“凡三十里一驿，天下凡一千六百三十有九所”，各驿站的官马多至75匹、少至8匹，“冠盖相望，邮驿继踵”。士庶也喜骑马出行，“贵贱所行，通鞍马而已”。马球蔚然成风，太宗“闻西蕃人好为打球，比亦令习”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材料二</w:t>
      </w:r>
      <w:r>
        <w:rPr>
          <w:rFonts w:ascii="Times New Roman" w:eastAsia="楷体" w:hAnsi="Times New Roman" w:cs="楷体" w:hint="eastAsia"/>
          <w:szCs w:val="22"/>
        </w:rPr>
        <w:t xml:space="preserve">   </w:t>
      </w:r>
      <w:r>
        <w:rPr>
          <w:rFonts w:ascii="Times New Roman" w:eastAsia="楷体" w:hAnsi="Times New Roman" w:cs="楷体"/>
          <w:szCs w:val="22"/>
        </w:rPr>
        <w:t>突厥、回纥与唐朝进行绢马贸易，规模巨大。回纥“每一马易四十缣（注：细绢），动至数万匹”，除自身消费外，还将多余的绢帛通过中间商人不断向西销售。突厥、回纥还开始建设据点聚积物资，突厥毗伽可汗“欲修筑城壁，造立寺观”。回纥最初“风俗朴厚”，获得唐朝厚利后，登里可汗“筑宫殿以居，妇人有粉黛文绣之饰”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以绢马贸易为例，阐述唐代农耕与游牧民族互动的影响。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【来源】2022年新高考北京卷历史真题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 w:hint="eastAsia"/>
          <w:szCs w:val="22"/>
        </w:rPr>
        <w:t>21</w:t>
      </w:r>
      <w:r>
        <w:rPr>
          <w:rFonts w:ascii="Times New Roman" w:eastAsia="宋体" w:hAnsi="Times New Roman" w:cs="Times New Roman"/>
          <w:szCs w:val="22"/>
        </w:rPr>
        <w:t>．阅读材料，回答问题。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材料一</w:t>
      </w:r>
      <w:r>
        <w:rPr>
          <w:rFonts w:ascii="Times New Roman" w:hAnsi="Times New Roman" w:cs="Times New Roman" w:hint="eastAsia"/>
          <w:kern w:val="0"/>
          <w:sz w:val="24"/>
        </w:rPr>
        <w:t xml:space="preserve">   </w:t>
      </w:r>
      <w:r>
        <w:rPr>
          <w:rFonts w:ascii="Times New Roman" w:eastAsia="楷体" w:hAnsi="Times New Roman" w:cs="楷体"/>
          <w:szCs w:val="22"/>
        </w:rPr>
        <w:t>多维视角下的隋代政区改革 高祖（文帝）受终，惟新朝政，开皇三年，遂废诸郡。油（到）于九载，麻定江表，寻以户口溢多，析置州县。炀帝嗣位，又平林州邑，更置三州。既而并省诸州，寻即改州为郡。乃置司隶刺史，分部巡查。五年，平定吐谷浑，更置四郡大凡郡一百九十，县一千二百五十五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——《隋书》卷</w:t>
      </w:r>
      <w:r>
        <w:rPr>
          <w:rFonts w:ascii="Times New Roman" w:eastAsia="宋体" w:hAnsi="Times New Roman" w:cs="Times New Roman"/>
          <w:szCs w:val="22"/>
        </w:rPr>
        <w:t>29</w:t>
      </w:r>
      <w:r>
        <w:rPr>
          <w:rFonts w:ascii="Times New Roman" w:eastAsia="楷体" w:hAnsi="Times New Roman" w:cs="楷体"/>
          <w:szCs w:val="22"/>
        </w:rPr>
        <w:t>《地理志》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114300" distR="114300">
            <wp:extent cx="3419475" cy="3048000"/>
            <wp:effectExtent l="0" t="0" r="9525" b="0"/>
            <wp:docPr id="6" name="图片 6" descr="@@@a95ea959-dd8d-43ac-af72-b9b080bd8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@@@a95ea959-dd8d-43ac-af72-b9b080bd8c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default" r:id="rId64"/>
          <w:footerReference w:type="even" r:id="rId65"/>
          <w:footerReference w:type="default" r:id="rId66"/>
          <w:footerReference w:type="first" r:id="rId67"/>
          <w:type w:val="nextPage"/>
          <w:pgSz w:w="11906" w:h="16838"/>
          <w:pgMar w:top="1417" w:right="1077" w:bottom="1417" w:left="1077" w:header="708" w:footer="708" w:gutter="0"/>
          <w:pgNumType w:start="13"/>
          <w:cols w:num="1" w:space="708"/>
          <w:titlePg w:val="0"/>
        </w:sectPr>
      </w:pPr>
      <w:r>
        <w:rPr>
          <w:rFonts w:ascii="Times New Roman" w:eastAsia="宋体" w:hAnsi="Times New Roman" w:cs="Times New Roman"/>
          <w:szCs w:val="22"/>
        </w:rPr>
        <w:t>隋代分郡图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——周振鹤《中国历代行政区划的变迁》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材料二</w:t>
      </w:r>
      <w:r>
        <w:rPr>
          <w:rFonts w:ascii="Times New Roman" w:hAnsi="Times New Roman" w:cs="Times New Roman" w:hint="eastAsia"/>
          <w:kern w:val="0"/>
          <w:sz w:val="24"/>
        </w:rPr>
        <w:t xml:space="preserve">   </w:t>
      </w:r>
      <w:r>
        <w:rPr>
          <w:rFonts w:ascii="Times New Roman" w:eastAsia="楷体" w:hAnsi="Times New Roman" w:cs="楷体"/>
          <w:szCs w:val="22"/>
        </w:rPr>
        <w:t>研究行政区划至少与</w:t>
      </w:r>
      <w:r>
        <w:rPr>
          <w:rFonts w:ascii="Times New Roman" w:eastAsia="宋体" w:hAnsi="Times New Roman" w:cs="Times New Roman"/>
          <w:szCs w:val="22"/>
        </w:rPr>
        <w:t>3</w:t>
      </w:r>
      <w:r>
        <w:rPr>
          <w:rFonts w:ascii="Times New Roman" w:eastAsia="楷体" w:hAnsi="Times New Roman" w:cs="楷体"/>
          <w:szCs w:val="22"/>
        </w:rPr>
        <w:t>三个学科有基本关系，一是历史学，二是地理学，三是政治学。行政区划不但是一种现实存在，而且是一种历史现象。行政区划本身是历史的产物，而且在历史过程中不断发生变化，没有哪一个政区不是前代的沿袭或变革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行政区划又是一种地理区域，是一种人为的空间概念，它的存在与变迁都与其他地理因素有密切的关系。行政区划既是划定于地球表面之上的，当然要与自然地理环境相关；而行政区划之中又必须有一定数量的人口，实际上包含了人文地理环境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行政区划又是中央与地方之间发生行政关系的产物，行政区划的变迁往往是政治过程造成的，也就是说，政治的需要往往是行政区划变迁的主要原因。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楷体" w:hAnsi="Times New Roman" w:cs="楷体"/>
          <w:szCs w:val="22"/>
        </w:rPr>
        <w:t>——摘自周振鹤《中国行政区划通史》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结合隋代政区改革的史实分析说明材料二的观点。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【来源】2022年新高考山东历史高考真题</w:t>
      </w:r>
    </w:p>
    <w:p>
      <w:pPr>
        <w:spacing w:line="360" w:lineRule="auto"/>
        <w:jc w:val="center"/>
        <w:rPr>
          <w:rFonts w:ascii="Times New Roman" w:hAnsi="Times New Roman"/>
          <w:b/>
          <w:bCs/>
          <w:color w:val="0000FF"/>
          <w:szCs w:val="21"/>
        </w:rPr>
      </w:pPr>
      <w:r>
        <w:rPr>
          <w:rFonts w:ascii="Times New Roman" w:hAnsi="Times New Roman"/>
        </w:rPr>
        <w:drawing>
          <wp:inline distT="0" distB="0" distL="0" distR="0">
            <wp:extent cx="1724025" cy="504825"/>
            <wp:effectExtent l="0" t="0" r="952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1．隋炀帝时，势倾当朝的左卫大将军、许国公宇文述占田违限，刑部尚书李园通“判字文述田以还民”。这主要反映了当时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A．农民经济负担减轻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B．严刑峻法思想推行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C．官员特殊权益消失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D．均田制的贯彻实施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000FF"/>
          <w:szCs w:val="22"/>
        </w:rPr>
      </w:pPr>
      <w:r>
        <w:rPr>
          <w:rFonts w:ascii="Times New Roman" w:eastAsia="宋体" w:hAnsi="Times New Roman" w:cs="Times New Roman"/>
          <w:color w:val="0000FF"/>
          <w:szCs w:val="22"/>
        </w:rPr>
        <w:t>【来源】2021年新高考重庆高考真题历史试题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元代成书的《丸经》中有“宋徽宗、金章宗皆爱捶丸”的记载。宋代捶丸活动的图像资料也有发现（图甲、图乙）。元杂剧中有民间青年男女聚会游戏首选捶丸的情景，元曲中则有官员休闲时进行捶丸的描述。这表明，宋元时期捶丸活动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114300" distR="114300">
            <wp:extent cx="3829050" cy="1714500"/>
            <wp:effectExtent l="0" t="0" r="11430" b="7620"/>
            <wp:docPr id="100003" name="图片 100003" descr="@@@50b1815f-f84d-4f1b-a80d-9ae9cef35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50b1815f-f84d-4f1b-a80d-9ae9cef356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https://d.book118.com/526125034014010054</w:t>
        </w:r>
      </w:hyperlink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default" r:id="rId71"/>
      <w:footerReference w:type="even" r:id="rId72"/>
      <w:footerReference w:type="default" r:id="rId73"/>
      <w:footerReference w:type="first" r:id="rId74"/>
      <w:type w:val="nextPage"/>
      <w:pgSz w:w="11906" w:h="16838"/>
      <w:pgMar w:top="1417" w:right="1077" w:bottom="1417" w:left="1077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资料收集整理【淘宝店铺：向阳百分百】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C496BD8"/>
    <w:multiLevelType w:val="singleLevel"/>
    <w:tmpl w:val="8C496BD8"/>
    <w:lvl w:ilvl="0">
      <w:start w:val="1"/>
      <w:numFmt w:val="decimal"/>
      <w:suff w:val="nothing"/>
      <w:lvlText w:val="%1、"/>
      <w:lvlJc w:val="left"/>
    </w:lvl>
  </w:abstractNum>
  <w:abstractNum w:abstractNumId="1">
    <w:nsid w:val="A00B9F15"/>
    <w:multiLevelType w:val="singleLevel"/>
    <w:tmpl w:val="A00B9F15"/>
    <w:lvl w:ilvl="0">
      <w:start w:val="1"/>
      <w:numFmt w:val="decimal"/>
      <w:suff w:val="nothing"/>
      <w:lvlText w:val="%1、"/>
      <w:lvlJc w:val="left"/>
    </w:lvl>
  </w:abstractNum>
  <w:abstractNum w:abstractNumId="2">
    <w:nsid w:val="A6E2AC11"/>
    <w:multiLevelType w:val="singleLevel"/>
    <w:tmpl w:val="A6E2AC11"/>
    <w:lvl w:ilvl="0">
      <w:start w:val="1"/>
      <w:numFmt w:val="decimal"/>
      <w:suff w:val="nothing"/>
      <w:lvlText w:val="%1、"/>
      <w:lvlJc w:val="left"/>
    </w:lvl>
  </w:abstractNum>
  <w:abstractNum w:abstractNumId="3">
    <w:nsid w:val="A80762A5"/>
    <w:multiLevelType w:val="singleLevel"/>
    <w:tmpl w:val="A80762A5"/>
    <w:lvl w:ilvl="0">
      <w:start w:val="1"/>
      <w:numFmt w:val="decimal"/>
      <w:suff w:val="nothing"/>
      <w:lvlText w:val="%1、"/>
      <w:lvlJc w:val="left"/>
    </w:lvl>
  </w:abstractNum>
  <w:abstractNum w:abstractNumId="4">
    <w:nsid w:val="A906DE7F"/>
    <w:multiLevelType w:val="singleLevel"/>
    <w:tmpl w:val="A906DE7F"/>
    <w:lvl w:ilvl="0">
      <w:start w:val="1"/>
      <w:numFmt w:val="decimal"/>
      <w:suff w:val="nothing"/>
      <w:lvlText w:val="%1、"/>
      <w:lvlJc w:val="left"/>
    </w:lvl>
  </w:abstractNum>
  <w:abstractNum w:abstractNumId="5">
    <w:nsid w:val="C367ABCC"/>
    <w:multiLevelType w:val="singleLevel"/>
    <w:tmpl w:val="C367ABCC"/>
    <w:lvl w:ilvl="0">
      <w:start w:val="1"/>
      <w:numFmt w:val="decimal"/>
      <w:suff w:val="nothing"/>
      <w:lvlText w:val="%1、"/>
      <w:lvlJc w:val="left"/>
    </w:lvl>
  </w:abstractNum>
  <w:abstractNum w:abstractNumId="6">
    <w:nsid w:val="E7A4F194"/>
    <w:multiLevelType w:val="singleLevel"/>
    <w:tmpl w:val="E7A4F194"/>
    <w:lvl w:ilvl="0">
      <w:start w:val="1"/>
      <w:numFmt w:val="decimal"/>
      <w:suff w:val="nothing"/>
      <w:lvlText w:val="%1、"/>
      <w:lvlJc w:val="left"/>
    </w:lvl>
  </w:abstractNum>
  <w:abstractNum w:abstractNumId="7">
    <w:nsid w:val="F74E6199"/>
    <w:multiLevelType w:val="singleLevel"/>
    <w:tmpl w:val="F74E6199"/>
    <w:lvl w:ilvl="0">
      <w:start w:val="1"/>
      <w:numFmt w:val="decimal"/>
      <w:suff w:val="nothing"/>
      <w:lvlText w:val="%1、"/>
      <w:lvlJc w:val="left"/>
    </w:lvl>
  </w:abstractNum>
  <w:abstractNum w:abstractNumId="8">
    <w:nsid w:val="00B5E7F7"/>
    <w:multiLevelType w:val="singleLevel"/>
    <w:tmpl w:val="00B5E7F7"/>
    <w:lvl w:ilvl="0">
      <w:start w:val="1"/>
      <w:numFmt w:val="decimal"/>
      <w:suff w:val="nothing"/>
      <w:lvlText w:val="%1、"/>
      <w:lvlJc w:val="left"/>
    </w:lvl>
  </w:abstractNum>
  <w:abstractNum w:abstractNumId="9">
    <w:nsid w:val="2C0DEE35"/>
    <w:multiLevelType w:val="singleLevel"/>
    <w:tmpl w:val="2C0DEE35"/>
    <w:lvl w:ilvl="0">
      <w:start w:val="1"/>
      <w:numFmt w:val="decimal"/>
      <w:suff w:val="nothing"/>
      <w:lvlText w:val="%1、"/>
      <w:lvlJc w:val="left"/>
    </w:lvl>
  </w:abstractNum>
  <w:abstractNum w:abstractNumId="10">
    <w:nsid w:val="4DB1952D"/>
    <w:multiLevelType w:val="singleLevel"/>
    <w:tmpl w:val="4DB1952D"/>
    <w:lvl w:ilvl="0">
      <w:start w:val="1"/>
      <w:numFmt w:val="decimal"/>
      <w:suff w:val="nothing"/>
      <w:lvlText w:val="%1、"/>
      <w:lvlJc w:val="left"/>
    </w:lvl>
  </w:abstractNum>
  <w:abstractNum w:abstractNumId="11">
    <w:nsid w:val="5CF974A4"/>
    <w:multiLevelType w:val="singleLevel"/>
    <w:tmpl w:val="5CF974A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4"/>
  </w:num>
  <w:num w:numId="5">
    <w:abstractNumId w:val="5"/>
  </w:num>
  <w:num w:numId="6">
    <w:abstractNumId w:val="9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88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DFE"/>
    <w:rsid w:val="00011DFE"/>
    <w:rsid w:val="00193780"/>
    <w:rsid w:val="001E2D3B"/>
    <w:rsid w:val="001E2FA8"/>
    <w:rsid w:val="00212554"/>
    <w:rsid w:val="004151FC"/>
    <w:rsid w:val="004F2380"/>
    <w:rsid w:val="00547D91"/>
    <w:rsid w:val="005D3B5D"/>
    <w:rsid w:val="0062592E"/>
    <w:rsid w:val="006B4E77"/>
    <w:rsid w:val="00743BAB"/>
    <w:rsid w:val="00783A57"/>
    <w:rsid w:val="007859B3"/>
    <w:rsid w:val="00794B1C"/>
    <w:rsid w:val="007B7D53"/>
    <w:rsid w:val="0087174D"/>
    <w:rsid w:val="008E76E4"/>
    <w:rsid w:val="009E7DC2"/>
    <w:rsid w:val="00A85543"/>
    <w:rsid w:val="00B6450F"/>
    <w:rsid w:val="00BF779F"/>
    <w:rsid w:val="00C02FC6"/>
    <w:rsid w:val="00CF6303"/>
    <w:rsid w:val="00D157FA"/>
    <w:rsid w:val="00D61377"/>
    <w:rsid w:val="00EF75DB"/>
    <w:rsid w:val="00F0242F"/>
    <w:rsid w:val="00F06CC1"/>
    <w:rsid w:val="00F22587"/>
    <w:rsid w:val="00F95D1B"/>
    <w:rsid w:val="00FB55B7"/>
    <w:rsid w:val="00FC7954"/>
    <w:rsid w:val="049059DB"/>
    <w:rsid w:val="07DF7FF3"/>
    <w:rsid w:val="0C3F2E65"/>
    <w:rsid w:val="0CDF3C0C"/>
    <w:rsid w:val="0E8A515C"/>
    <w:rsid w:val="160D111A"/>
    <w:rsid w:val="20D6110D"/>
    <w:rsid w:val="26C54244"/>
    <w:rsid w:val="29FF1BC6"/>
    <w:rsid w:val="2B0B4AD7"/>
    <w:rsid w:val="2ECA2C26"/>
    <w:rsid w:val="36C14948"/>
    <w:rsid w:val="3B0B37B1"/>
    <w:rsid w:val="3B1479D8"/>
    <w:rsid w:val="3BA71053"/>
    <w:rsid w:val="3C1B1ECF"/>
    <w:rsid w:val="3FE73DCC"/>
    <w:rsid w:val="40711654"/>
    <w:rsid w:val="48DA7B6B"/>
    <w:rsid w:val="4E217FEA"/>
    <w:rsid w:val="61286145"/>
    <w:rsid w:val="648275DD"/>
    <w:rsid w:val="67A4786A"/>
    <w:rsid w:val="6C613F7C"/>
    <w:rsid w:val="72392D56"/>
    <w:rsid w:val="74A27A5C"/>
    <w:rsid w:val="74B575F9"/>
  </w:rsids>
  <w:docVars>
    <w:docVar w:name="commondata" w:val="eyJoZGlkIjoiNmY1Y2QxZThjMmNiMzBhOGY3MTA3OWU1ZWJmZTFmNT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color w:val="0000FF"/>
      <w:kern w:val="44"/>
      <w:sz w:val="30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link w:val="a3"/>
    <w:uiPriority w:val="1"/>
    <w:qFormat/>
    <w:pPr>
      <w:spacing w:before="21"/>
      <w:ind w:left="140"/>
    </w:pPr>
    <w:rPr>
      <w:rFonts w:ascii="Calibri" w:eastAsia="宋体" w:hAnsi="Calibri" w:cs="Times New Roman"/>
    </w:rPr>
  </w:style>
  <w:style w:type="paragraph" w:styleId="TOC5">
    <w:name w:val="toc 5"/>
    <w:basedOn w:val="Normal"/>
    <w:next w:val="Normal"/>
    <w:uiPriority w:val="39"/>
    <w:semiHidden/>
    <w:unhideWhenUsed/>
    <w:qFormat/>
    <w:pPr>
      <w:ind w:left="1680" w:leftChars="800"/>
    </w:pPr>
  </w:style>
  <w:style w:type="paragraph" w:styleId="PlainText">
    <w:name w:val="Plain Text"/>
    <w:basedOn w:val="Normal"/>
    <w:link w:val="a2"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">
    <w:name w:val="纯文本 Char"/>
    <w:basedOn w:val="DefaultParagraphFont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2">
    <w:name w:val="纯文本 字符"/>
    <w:link w:val="PlainText"/>
    <w:qFormat/>
    <w:locked/>
    <w:rPr>
      <w:rFonts w:ascii="宋体" w:eastAsia="宋体" w:hAnsi="Courier New" w:cs="Courier New"/>
      <w:szCs w:val="21"/>
    </w:rPr>
  </w:style>
  <w:style w:type="paragraph" w:customStyle="1" w:styleId="10">
    <w:name w:val="样式1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character" w:customStyle="1" w:styleId="11">
    <w:name w:val="标题 1 字符"/>
    <w:basedOn w:val="DefaultParagraphFont"/>
    <w:link w:val="Heading1"/>
    <w:uiPriority w:val="9"/>
    <w:qFormat/>
    <w:rPr>
      <w:b/>
      <w:bCs/>
      <w:color w:val="0000FF"/>
      <w:kern w:val="44"/>
      <w:sz w:val="30"/>
      <w:szCs w:val="44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szCs w:val="22"/>
    </w:rPr>
  </w:style>
  <w:style w:type="character" w:customStyle="1" w:styleId="a3">
    <w:name w:val="正文文本 字符"/>
    <w:basedOn w:val="DefaultParagraphFont"/>
    <w:link w:val="BodyText"/>
    <w:uiPriority w:val="1"/>
    <w:qFormat/>
    <w:rPr>
      <w:rFonts w:ascii="Calibri" w:eastAsia="宋体" w:hAnsi="Calibri" w:cs="Times New Roman"/>
      <w:kern w:val="2"/>
      <w:sz w:val="21"/>
      <w:szCs w:val="24"/>
    </w:rPr>
  </w:style>
  <w:style w:type="table" w:customStyle="1" w:styleId="TableGrid0">
    <w:name w:val="Table Grid_0"/>
    <w:basedOn w:val="TableNormal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footer" Target="footer3.xml" /><Relationship Id="rId13" Type="http://schemas.openxmlformats.org/officeDocument/2006/relationships/header" Target="header2.xml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image" Target="media/image4.png" /><Relationship Id="rId18" Type="http://schemas.openxmlformats.org/officeDocument/2006/relationships/image" Target="media/image5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image" Target="media/image6.png" /><Relationship Id="rId24" Type="http://schemas.openxmlformats.org/officeDocument/2006/relationships/header" Target="header4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footer" Target="footer12.xml" /><Relationship Id="rId28" Type="http://schemas.openxmlformats.org/officeDocument/2006/relationships/header" Target="header5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footer" Target="footer14.xml" /><Relationship Id="rId31" Type="http://schemas.openxmlformats.org/officeDocument/2006/relationships/footer" Target="footer15.xml" /><Relationship Id="rId32" Type="http://schemas.openxmlformats.org/officeDocument/2006/relationships/header" Target="header6.xml" /><Relationship Id="rId33" Type="http://schemas.openxmlformats.org/officeDocument/2006/relationships/footer" Target="footer16.xml" /><Relationship Id="rId34" Type="http://schemas.openxmlformats.org/officeDocument/2006/relationships/footer" Target="footer17.xml" /><Relationship Id="rId35" Type="http://schemas.openxmlformats.org/officeDocument/2006/relationships/footer" Target="footer18.xml" /><Relationship Id="rId36" Type="http://schemas.openxmlformats.org/officeDocument/2006/relationships/header" Target="header7.xml" /><Relationship Id="rId37" Type="http://schemas.openxmlformats.org/officeDocument/2006/relationships/footer" Target="footer19.xml" /><Relationship Id="rId38" Type="http://schemas.openxmlformats.org/officeDocument/2006/relationships/footer" Target="footer20.xml" /><Relationship Id="rId39" Type="http://schemas.openxmlformats.org/officeDocument/2006/relationships/footer" Target="footer21.xml" /><Relationship Id="rId4" Type="http://schemas.openxmlformats.org/officeDocument/2006/relationships/customXml" Target="../customXml/item1.xml" /><Relationship Id="rId40" Type="http://schemas.openxmlformats.org/officeDocument/2006/relationships/image" Target="media/image7.png" /><Relationship Id="rId41" Type="http://schemas.openxmlformats.org/officeDocument/2006/relationships/header" Target="header8.xml" /><Relationship Id="rId42" Type="http://schemas.openxmlformats.org/officeDocument/2006/relationships/footer" Target="footer22.xml" /><Relationship Id="rId43" Type="http://schemas.openxmlformats.org/officeDocument/2006/relationships/footer" Target="footer23.xml" /><Relationship Id="rId44" Type="http://schemas.openxmlformats.org/officeDocument/2006/relationships/footer" Target="footer24.xml" /><Relationship Id="rId45" Type="http://schemas.openxmlformats.org/officeDocument/2006/relationships/header" Target="header9.xml" /><Relationship Id="rId46" Type="http://schemas.openxmlformats.org/officeDocument/2006/relationships/footer" Target="footer25.xml" /><Relationship Id="rId47" Type="http://schemas.openxmlformats.org/officeDocument/2006/relationships/footer" Target="footer26.xml" /><Relationship Id="rId48" Type="http://schemas.openxmlformats.org/officeDocument/2006/relationships/footer" Target="footer27.xml" /><Relationship Id="rId49" Type="http://schemas.openxmlformats.org/officeDocument/2006/relationships/header" Target="header10.xml" /><Relationship Id="rId5" Type="http://schemas.openxmlformats.org/officeDocument/2006/relationships/customXml" Target="../customXml/item2.xml" /><Relationship Id="rId50" Type="http://schemas.openxmlformats.org/officeDocument/2006/relationships/footer" Target="footer28.xml" /><Relationship Id="rId51" Type="http://schemas.openxmlformats.org/officeDocument/2006/relationships/footer" Target="footer29.xml" /><Relationship Id="rId52" Type="http://schemas.openxmlformats.org/officeDocument/2006/relationships/footer" Target="footer30.xml" /><Relationship Id="rId53" Type="http://schemas.openxmlformats.org/officeDocument/2006/relationships/header" Target="header11.xml" /><Relationship Id="rId54" Type="http://schemas.openxmlformats.org/officeDocument/2006/relationships/footer" Target="footer31.xml" /><Relationship Id="rId55" Type="http://schemas.openxmlformats.org/officeDocument/2006/relationships/footer" Target="footer32.xml" /><Relationship Id="rId56" Type="http://schemas.openxmlformats.org/officeDocument/2006/relationships/footer" Target="footer33.xml" /><Relationship Id="rId57" Type="http://schemas.openxmlformats.org/officeDocument/2006/relationships/image" Target="media/image8.png" /><Relationship Id="rId58" Type="http://schemas.openxmlformats.org/officeDocument/2006/relationships/image" Target="media/image9.png" /><Relationship Id="rId59" Type="http://schemas.openxmlformats.org/officeDocument/2006/relationships/header" Target="header12.xml" /><Relationship Id="rId6" Type="http://schemas.openxmlformats.org/officeDocument/2006/relationships/image" Target="media/image1.png" /><Relationship Id="rId60" Type="http://schemas.openxmlformats.org/officeDocument/2006/relationships/footer" Target="footer34.xml" /><Relationship Id="rId61" Type="http://schemas.openxmlformats.org/officeDocument/2006/relationships/footer" Target="footer35.xml" /><Relationship Id="rId62" Type="http://schemas.openxmlformats.org/officeDocument/2006/relationships/footer" Target="footer36.xml" /><Relationship Id="rId63" Type="http://schemas.openxmlformats.org/officeDocument/2006/relationships/image" Target="media/image10.png" /><Relationship Id="rId64" Type="http://schemas.openxmlformats.org/officeDocument/2006/relationships/header" Target="header13.xml" /><Relationship Id="rId65" Type="http://schemas.openxmlformats.org/officeDocument/2006/relationships/footer" Target="footer37.xml" /><Relationship Id="rId66" Type="http://schemas.openxmlformats.org/officeDocument/2006/relationships/footer" Target="footer38.xml" /><Relationship Id="rId67" Type="http://schemas.openxmlformats.org/officeDocument/2006/relationships/footer" Target="footer39.xml" /><Relationship Id="rId68" Type="http://schemas.openxmlformats.org/officeDocument/2006/relationships/image" Target="media/image11.png" /><Relationship Id="rId69" Type="http://schemas.openxmlformats.org/officeDocument/2006/relationships/image" Target="media/image12.png" /><Relationship Id="rId7" Type="http://schemas.openxmlformats.org/officeDocument/2006/relationships/image" Target="media/image2.png" /><Relationship Id="rId70" Type="http://schemas.openxmlformats.org/officeDocument/2006/relationships/hyperlink" Target="https://d.book118.com/526125034014010054" TargetMode="External" /><Relationship Id="rId71" Type="http://schemas.openxmlformats.org/officeDocument/2006/relationships/header" Target="header14.xml" /><Relationship Id="rId72" Type="http://schemas.openxmlformats.org/officeDocument/2006/relationships/footer" Target="footer40.xml" /><Relationship Id="rId73" Type="http://schemas.openxmlformats.org/officeDocument/2006/relationships/footer" Target="footer41.xml" /><Relationship Id="rId74" Type="http://schemas.openxmlformats.org/officeDocument/2006/relationships/footer" Target="footer42.xml" /><Relationship Id="rId75" Type="http://schemas.openxmlformats.org/officeDocument/2006/relationships/theme" Target="theme/theme1.xml" /><Relationship Id="rId76" Type="http://schemas.openxmlformats.org/officeDocument/2006/relationships/numbering" Target="numbering.xml" /><Relationship Id="rId77" Type="http://schemas.openxmlformats.org/officeDocument/2006/relationships/styles" Target="styles.xml" /><Relationship Id="rId8" Type="http://schemas.openxmlformats.org/officeDocument/2006/relationships/image" Target="media/image3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DE2624-6187-4F00-AAA2-B65D9F3F10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2883</Words>
  <Characters>16436</Characters>
  <Application>Microsoft Office Word</Application>
  <DocSecurity>0</DocSecurity>
  <Lines>136</Lines>
  <Paragraphs>38</Paragraphs>
  <ScaleCrop>false</ScaleCrop>
  <Company>Microsoft</Company>
  <LinksUpToDate>false</LinksUpToDate>
  <CharactersWithSpaces>19281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lyp</cp:lastModifiedBy>
  <cp:revision>46</cp:revision>
  <dcterms:created xsi:type="dcterms:W3CDTF">2019-12-27T09:30:00Z</dcterms:created>
  <dcterms:modified xsi:type="dcterms:W3CDTF">2024-03-03T02:42:32Z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16E6C018125D4D4F815E6E3721296C17_12</vt:lpwstr>
  </property>
  <property fmtid="{D5CDD505-2E9C-101B-9397-08002B2CF9AE}" pid="7" name="KSOProductBuildVer">
    <vt:lpwstr>2052-11.8.2.9022</vt:lpwstr>
  </property>
</Properties>
</file>