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60" w:line="1306" w:lineRule="exact"/>
        <w:ind w:firstLine="14"/>
      </w:pPr>
      <w:r>
        <w:rPr>
          <w:position w:val="-26"/>
        </w:rPr>
        <w:pict>
          <v:group id="_x0000_i1025" style="width:537.1pt;height:65.35pt;mso-position-horizontal-relative:char;mso-position-vertical-relative:line" coordorigin="0,0" coordsize="10741,1306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741;height:1306;position:absolute" filled="f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0781;height:134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6" w:line="218" w:lineRule="auto"/>
                      <w:ind w:left="160"/>
                      <w:outlineLvl w:val="0"/>
                      <w:rPr>
                        <w:rFonts w:ascii="KaiTi" w:eastAsia="KaiTi" w:hAnsi="KaiTi" w:cs="KaiTi"/>
                        <w:sz w:val="43"/>
                        <w:szCs w:val="43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7"/>
                        <w:sz w:val="43"/>
                        <w:szCs w:val="43"/>
                        <w14:textOutline w14:w="7968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海外高端品牌观察</w:t>
                    </w:r>
                  </w:p>
                  <w:p>
                    <w:pPr>
                      <w:spacing w:before="186" w:line="212" w:lineRule="auto"/>
                      <w:ind w:left="2218"/>
                      <w:rPr>
                        <w:rFonts w:ascii="KaiTi" w:eastAsia="KaiTi" w:hAnsi="KaiTi" w:cs="KaiTi"/>
                        <w:sz w:val="36"/>
                        <w:szCs w:val="36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1F497D"/>
                        <w:sz w:val="36"/>
                        <w:szCs w:val="36"/>
                      </w:rPr>
                      <w:t xml:space="preserve">23 </w:t>
                    </w:r>
                    <w:r>
                      <w:rPr>
                        <w:rFonts w:ascii="KaiTi" w:eastAsia="KaiTi" w:hAnsi="KaiTi" w:cs="KaiTi"/>
                        <w:color w:val="1F497D"/>
                        <w:sz w:val="36"/>
                        <w:szCs w:val="36"/>
                        <w14:textOutline w14:w="6531">
                          <w14:solidFill>
                            <w14:srgbClr w14:val="1F497D"/>
                          </w14:solidFill>
                          <w14:prstDash w14:val="solid"/>
                          <w14:round/>
                        </w14:textOutline>
                      </w:rPr>
                      <w:t>年全球奢侈品市场增速趋缓，品牌和地区表现分化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78" w:lineRule="exact"/>
      </w:pPr>
    </w:p>
    <w:p>
      <w:pPr>
        <w:spacing w:line="78" w:lineRule="exact"/>
        <w:sectPr>
          <w:headerReference w:type="default" r:id="rId5"/>
          <w:footerReference w:type="default" r:id="rId6"/>
          <w:pgSz w:w="11907" w:h="16839"/>
          <w:pgMar w:top="1715" w:right="528" w:bottom="1731" w:left="621" w:header="689" w:footer="803" w:gutter="0"/>
          <w:cols w:num="1" w:space="708" w:equalWidth="0">
            <w:col w:w="10757" w:space="0"/>
          </w:cols>
        </w:sectPr>
      </w:pPr>
    </w:p>
    <w:p>
      <w:pPr>
        <w:spacing w:before="36" w:line="217" w:lineRule="auto"/>
        <w:ind w:left="181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10"/>
          <w:sz w:val="18"/>
          <w:szCs w:val="18"/>
          <w14:textOutline w14:w="3265">
            <w14:solidFill>
              <w14:srgbClr w14:val="1F497D"/>
            </w14:solidFill>
            <w14:prstDash w14:val="solid"/>
            <w14:round/>
          </w14:textOutline>
        </w:rPr>
        <w:t>分析师：</w:t>
      </w:r>
    </w:p>
    <w:p>
      <w:pPr>
        <w:spacing w:before="214" w:line="307" w:lineRule="exact"/>
        <w:ind w:firstLine="329"/>
      </w:pPr>
      <w:r>
        <w:rPr>
          <w:position w:val="-6"/>
        </w:rPr>
        <w:drawing>
          <wp:inline distT="0" distB="0" distL="0" distR="0">
            <wp:extent cx="219075" cy="19472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3" w:line="603" w:lineRule="exact"/>
        <w:ind w:firstLine="329"/>
      </w:pPr>
      <w:r>
        <w:rPr>
          <w:position w:val="-12"/>
        </w:rPr>
        <w:drawing>
          <wp:inline distT="0" distB="0" distL="0" distR="0">
            <wp:extent cx="219075" cy="38328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38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4" w:line="220" w:lineRule="auto"/>
        <w:ind w:left="10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1"/>
          <w:sz w:val="18"/>
          <w:szCs w:val="18"/>
        </w:rPr>
        <w:t>嵇文欣</w:t>
      </w:r>
    </w:p>
    <w:p>
      <w:pPr>
        <w:pStyle w:val="BodyText"/>
        <w:spacing w:before="124" w:line="219" w:lineRule="auto"/>
        <w:ind w:left="14"/>
        <w:rPr>
          <w:sz w:val="15"/>
          <w:szCs w:val="15"/>
        </w:rPr>
      </w:pPr>
      <w:r>
        <w:rPr>
          <w:color w:val="1F497D"/>
          <w:spacing w:val="-4"/>
          <w:sz w:val="15"/>
          <w:szCs w:val="15"/>
        </w:rPr>
        <w:t>SAC</w:t>
      </w:r>
      <w:r>
        <w:rPr>
          <w:color w:val="1F497D"/>
          <w:spacing w:val="42"/>
          <w:sz w:val="15"/>
          <w:szCs w:val="15"/>
        </w:rPr>
        <w:t xml:space="preserve"> </w:t>
      </w:r>
      <w:r>
        <w:rPr>
          <w:rFonts w:ascii="KaiTi" w:eastAsia="KaiTi" w:hAnsi="KaiTi" w:cs="KaiTi"/>
          <w:color w:val="1F497D"/>
          <w:spacing w:val="-4"/>
          <w:sz w:val="15"/>
          <w:szCs w:val="15"/>
        </w:rPr>
        <w:t>执证号：</w:t>
      </w:r>
      <w:r>
        <w:rPr>
          <w:rFonts w:ascii="KaiTi" w:eastAsia="KaiTi" w:hAnsi="KaiTi" w:cs="KaiTi"/>
          <w:color w:val="1F497D"/>
          <w:spacing w:val="-4"/>
          <w:sz w:val="15"/>
          <w:szCs w:val="15"/>
        </w:rPr>
        <w:t xml:space="preserve"> </w:t>
      </w:r>
      <w:r>
        <w:rPr>
          <w:color w:val="1F497D"/>
          <w:spacing w:val="-4"/>
          <w:sz w:val="15"/>
          <w:szCs w:val="15"/>
        </w:rPr>
        <w:t>S0260520050001</w:t>
      </w:r>
    </w:p>
    <w:p>
      <w:pPr>
        <w:pStyle w:val="BodyText"/>
        <w:spacing w:before="168" w:line="317" w:lineRule="exact"/>
        <w:ind w:left="14"/>
        <w:rPr>
          <w:sz w:val="15"/>
          <w:szCs w:val="15"/>
        </w:rPr>
      </w:pPr>
      <w:r>
        <w:rPr>
          <w:color w:val="1F497D"/>
          <w:spacing w:val="-1"/>
          <w:position w:val="13"/>
          <w:sz w:val="15"/>
          <w:szCs w:val="15"/>
        </w:rPr>
        <w:t>SFC  CE.no:</w:t>
      </w:r>
      <w:r>
        <w:rPr>
          <w:color w:val="1F497D"/>
          <w:spacing w:val="36"/>
          <w:w w:val="101"/>
          <w:position w:val="13"/>
          <w:sz w:val="15"/>
          <w:szCs w:val="15"/>
        </w:rPr>
        <w:t xml:space="preserve"> </w:t>
      </w:r>
      <w:r>
        <w:rPr>
          <w:color w:val="1F497D"/>
          <w:spacing w:val="-1"/>
          <w:position w:val="13"/>
          <w:sz w:val="15"/>
          <w:szCs w:val="15"/>
        </w:rPr>
        <w:t>AOB364</w:t>
      </w:r>
    </w:p>
    <w:p>
      <w:pPr>
        <w:pStyle w:val="BodyText"/>
        <w:spacing w:line="194" w:lineRule="auto"/>
        <w:ind w:left="15"/>
      </w:pPr>
      <w:r>
        <w:rPr>
          <w:color w:val="1F497D"/>
          <w:spacing w:val="-1"/>
        </w:rPr>
        <w:t>021-38003653</w:t>
      </w:r>
    </w:p>
    <w:p>
      <w:pPr>
        <w:pStyle w:val="BodyText"/>
        <w:spacing w:before="157" w:line="196" w:lineRule="auto"/>
      </w:pPr>
      <w:r>
        <w:rPr>
          <w:color w:val="1F497D"/>
        </w:rPr>
        <w:t>jiwenxin</w:t>
      </w:r>
      <w:r>
        <w:rPr>
          <w:color w:val="1F497D"/>
          <w:spacing w:val="2"/>
        </w:rPr>
        <w:t>@</w:t>
      </w:r>
      <w:r>
        <w:rPr>
          <w:color w:val="1F497D"/>
        </w:rPr>
        <w:t>gf</w:t>
      </w:r>
      <w:r>
        <w:rPr>
          <w:color w:val="1F497D"/>
          <w:spacing w:val="2"/>
        </w:rPr>
        <w:t>.</w:t>
      </w:r>
      <w:r>
        <w:rPr>
          <w:color w:val="1F497D"/>
        </w:rPr>
        <w:t>com</w:t>
      </w:r>
      <w:r>
        <w:rPr>
          <w:color w:val="1F497D"/>
          <w:spacing w:val="2"/>
        </w:rPr>
        <w:t>.</w:t>
      </w:r>
      <w:r>
        <w:rPr>
          <w:color w:val="1F497D"/>
        </w:rPr>
        <w:t>cn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4" w:line="217" w:lineRule="auto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10"/>
          <w:sz w:val="18"/>
          <w:szCs w:val="18"/>
          <w14:textOutline w14:w="3265">
            <w14:solidFill>
              <w14:srgbClr w14:val="1F497D"/>
            </w14:solidFill>
            <w14:prstDash w14:val="solid"/>
            <w14:round/>
          </w14:textOutline>
        </w:rPr>
        <w:t>分析师：</w:t>
      </w:r>
    </w:p>
    <w:p>
      <w:pPr>
        <w:spacing w:before="214" w:line="307" w:lineRule="exact"/>
        <w:ind w:firstLine="167"/>
      </w:pPr>
      <w:r>
        <w:rPr>
          <w:position w:val="-6"/>
        </w:rPr>
        <w:drawing>
          <wp:inline distT="0" distB="0" distL="0" distR="0">
            <wp:extent cx="219075" cy="19472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3" w:line="604" w:lineRule="exact"/>
        <w:ind w:firstLine="167"/>
      </w:pPr>
      <w:r>
        <w:rPr>
          <w:position w:val="-12"/>
        </w:rPr>
        <w:drawing>
          <wp:inline distT="0" distB="0" distL="0" distR="0">
            <wp:extent cx="219075" cy="38328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38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4" w:line="222" w:lineRule="auto"/>
        <w:ind w:left="19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7"/>
          <w:sz w:val="18"/>
          <w:szCs w:val="18"/>
        </w:rPr>
        <w:t>包晗</w:t>
      </w:r>
    </w:p>
    <w:p>
      <w:pPr>
        <w:pStyle w:val="BodyText"/>
        <w:spacing w:before="122" w:line="219" w:lineRule="auto"/>
        <w:rPr>
          <w:sz w:val="15"/>
          <w:szCs w:val="15"/>
        </w:rPr>
      </w:pPr>
      <w:r>
        <w:rPr>
          <w:color w:val="1F497D"/>
          <w:spacing w:val="-4"/>
          <w:sz w:val="15"/>
          <w:szCs w:val="15"/>
        </w:rPr>
        <w:t>SAC</w:t>
      </w:r>
      <w:r>
        <w:rPr>
          <w:color w:val="1F497D"/>
          <w:spacing w:val="42"/>
          <w:sz w:val="15"/>
          <w:szCs w:val="15"/>
        </w:rPr>
        <w:t xml:space="preserve"> </w:t>
      </w:r>
      <w:r>
        <w:rPr>
          <w:rFonts w:ascii="KaiTi" w:eastAsia="KaiTi" w:hAnsi="KaiTi" w:cs="KaiTi"/>
          <w:color w:val="1F497D"/>
          <w:spacing w:val="-4"/>
          <w:sz w:val="15"/>
          <w:szCs w:val="15"/>
        </w:rPr>
        <w:t>执证号：</w:t>
      </w:r>
      <w:r>
        <w:rPr>
          <w:rFonts w:ascii="KaiTi" w:eastAsia="KaiTi" w:hAnsi="KaiTi" w:cs="KaiTi"/>
          <w:color w:val="1F497D"/>
          <w:spacing w:val="-4"/>
          <w:sz w:val="15"/>
          <w:szCs w:val="15"/>
        </w:rPr>
        <w:t xml:space="preserve"> </w:t>
      </w:r>
      <w:r>
        <w:rPr>
          <w:color w:val="1F497D"/>
          <w:spacing w:val="-4"/>
          <w:sz w:val="15"/>
          <w:szCs w:val="15"/>
        </w:rPr>
        <w:t>S0260522070001</w:t>
      </w:r>
    </w:p>
    <w:p>
      <w:pPr>
        <w:pStyle w:val="BodyText"/>
        <w:spacing w:line="430" w:lineRule="auto"/>
        <w:rPr>
          <w:sz w:val="21"/>
        </w:rPr>
      </w:pPr>
    </w:p>
    <w:p>
      <w:pPr>
        <w:pStyle w:val="BodyText"/>
        <w:spacing w:before="52" w:line="194" w:lineRule="auto"/>
      </w:pPr>
      <w:r>
        <w:rPr>
          <w:color w:val="1F497D"/>
          <w:spacing w:val="-1"/>
        </w:rPr>
        <w:t>021-38003651</w:t>
      </w:r>
    </w:p>
    <w:p>
      <w:pPr>
        <w:pStyle w:val="BodyText"/>
        <w:spacing w:before="158" w:line="196" w:lineRule="auto"/>
        <w:ind w:left="4"/>
      </w:pPr>
      <w:r>
        <w:rPr>
          <w:color w:val="1F497D"/>
          <w:spacing w:val="-1"/>
        </w:rPr>
        <w:t>baohan@gf.com.cn</w:t>
      </w:r>
    </w:p>
    <w:p>
      <w:pPr>
        <w:spacing w:line="196" w:lineRule="auto"/>
        <w:sectPr>
          <w:headerReference w:type="default" r:id="rId9"/>
          <w:footerReference w:type="default" r:id="rId10"/>
          <w:type w:val="continuous"/>
          <w:pgSz w:w="11907" w:h="16839"/>
          <w:pgMar w:top="1715" w:right="528" w:bottom="1731" w:left="621" w:header="689" w:footer="803" w:gutter="0"/>
          <w:pgNumType w:start="2"/>
          <w:cols w:num="4" w:space="708" w:equalWidth="0">
            <w:col w:w="1006" w:space="100"/>
            <w:col w:w="2519" w:space="100"/>
            <w:col w:w="842" w:space="100"/>
            <w:col w:w="6091" w:space="0"/>
          </w:cols>
        </w:sectPr>
      </w:pPr>
    </w:p>
    <w:p>
      <w:pPr>
        <w:spacing w:before="119" w:line="227" w:lineRule="auto"/>
        <w:ind w:left="123"/>
        <w:rPr>
          <w:rFonts w:ascii="KaiTi" w:eastAsia="KaiTi" w:hAnsi="KaiTi" w:cs="KaiTi"/>
          <w:sz w:val="12"/>
          <w:szCs w:val="12"/>
        </w:rPr>
      </w:pPr>
      <w:r>
        <w:rPr>
          <w:rFonts w:ascii="KaiTi" w:eastAsia="KaiTi" w:hAnsi="KaiTi" w:cs="KaiTi"/>
          <w:color w:val="1F497D"/>
          <w:spacing w:val="9"/>
          <w:sz w:val="12"/>
          <w:szCs w:val="12"/>
        </w:rPr>
        <w:t>请注意，包晗并非香港证券及期货事务监察委员会的注册持牌人，不可在香港从事受监管活动。</w:t>
      </w:r>
    </w:p>
    <w:tbl>
      <w:tblPr>
        <w:tblStyle w:val="TableNormal"/>
        <w:tblW w:w="1075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756"/>
      </w:tblGrid>
      <w:tr>
        <w:tblPrEx>
          <w:tblW w:w="1075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632"/>
        </w:trPr>
        <w:tc>
          <w:tcPr>
            <w:tcW w:w="10756" w:type="dxa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pStyle w:val="TableText"/>
              <w:spacing w:before="232" w:line="221" w:lineRule="auto"/>
              <w:ind w:left="124"/>
              <w:rPr>
                <w:sz w:val="28"/>
                <w:szCs w:val="28"/>
              </w:rPr>
            </w:pPr>
            <w:r>
              <w:rPr>
                <w:color w:val="17365D"/>
                <w:sz w:val="28"/>
                <w:szCs w:val="28"/>
                <w14:textOutline w14:w="5094">
                  <w14:solidFill>
                    <w14:srgbClr w14:val="17365D"/>
                  </w14:solidFill>
                  <w14:prstDash w14:val="solid"/>
                  <w14:round/>
                </w14:textOutline>
              </w:rPr>
              <w:t>核心观点：</w:t>
            </w:r>
          </w:p>
          <w:p>
            <w:pPr>
              <w:pStyle w:val="TableText"/>
              <w:spacing w:before="186" w:line="279" w:lineRule="auto"/>
              <w:ind w:left="544" w:right="88" w:hanging="404"/>
            </w:pPr>
            <w:r>
              <w:rPr>
                <w:rFonts w:ascii="Wingdings" w:eastAsia="Wingdings" w:hAnsi="Wingdings" w:cs="Wingdings"/>
                <w:color w:val="17365D"/>
                <w:spacing w:val="-5"/>
              </w:rPr>
              <w:t>.</w:t>
            </w:r>
            <w:r>
              <w:rPr>
                <w:rFonts w:ascii="Wingdings" w:eastAsia="Wingdings" w:hAnsi="Wingdings" w:cs="Wingdings"/>
                <w:color w:val="17365D"/>
                <w:spacing w:val="57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5"/>
              </w:rPr>
              <w:t xml:space="preserve">2023 </w:t>
            </w:r>
            <w:r>
              <w:rPr>
                <w:color w:val="1F497D"/>
                <w:spacing w:val="-5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年国际旅游复苏推动全球个人奢侈品市场继续增长，但增速有所放缓。</w:t>
            </w:r>
            <w:r>
              <w:rPr>
                <w:color w:val="1F497D"/>
                <w:spacing w:val="-32"/>
              </w:rPr>
              <w:t xml:space="preserve"> </w:t>
            </w:r>
            <w:r>
              <w:rPr>
                <w:color w:val="1F497D"/>
                <w:spacing w:val="-6"/>
              </w:rPr>
              <w:t>根据</w:t>
            </w:r>
            <w:r>
              <w:rPr>
                <w:color w:val="1F497D"/>
                <w:spacing w:val="-3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 xml:space="preserve">Bain </w:t>
            </w:r>
            <w:r>
              <w:rPr>
                <w:color w:val="1F497D"/>
                <w:spacing w:val="-6"/>
              </w:rPr>
              <w:t>数据，</w:t>
            </w:r>
            <w:r>
              <w:rPr>
                <w:color w:val="1F497D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 xml:space="preserve">2021-2022 </w:t>
            </w:r>
            <w:r>
              <w:rPr>
                <w:color w:val="1F497D"/>
                <w:spacing w:val="-6"/>
              </w:rPr>
              <w:t>年疫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3"/>
              </w:rPr>
              <w:t>后消费复苏带动全球个人奢侈品市场实现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“V </w:t>
            </w:r>
            <w:r>
              <w:rPr>
                <w:color w:val="1F497D"/>
                <w:spacing w:val="-3"/>
              </w:rPr>
              <w:t>字反弹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”</w:t>
            </w:r>
            <w:r>
              <w:rPr>
                <w:color w:val="1F497D"/>
                <w:spacing w:val="-3"/>
              </w:rPr>
              <w:t>，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2021 </w:t>
            </w:r>
            <w:r>
              <w:rPr>
                <w:color w:val="1F497D"/>
                <w:spacing w:val="-3"/>
              </w:rPr>
              <w:t>年市场规模</w:t>
            </w:r>
            <w:r>
              <w:rPr>
                <w:color w:val="1F497D"/>
                <w:spacing w:val="-4"/>
              </w:rPr>
              <w:t>同比增长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34%</w:t>
            </w:r>
            <w:r>
              <w:rPr>
                <w:color w:val="1F497D"/>
                <w:spacing w:val="-4"/>
              </w:rPr>
              <w:t>，较</w:t>
            </w:r>
            <w:r>
              <w:rPr>
                <w:color w:val="1F497D"/>
                <w:spacing w:val="-2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19 </w:t>
            </w:r>
            <w:r>
              <w:rPr>
                <w:color w:val="1F497D"/>
                <w:spacing w:val="-4"/>
              </w:rPr>
              <w:t>年增长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3%</w:t>
            </w:r>
            <w:r>
              <w:rPr>
                <w:color w:val="1F497D"/>
                <w:spacing w:val="-4"/>
              </w:rPr>
              <w:t>，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2022</w:t>
            </w:r>
            <w:r>
              <w:rPr>
                <w:rFonts w:ascii="Arial" w:eastAsia="Arial" w:hAnsi="Arial" w:cs="Arial"/>
                <w:color w:val="1F497D"/>
              </w:rPr>
              <w:t xml:space="preserve"> </w:t>
            </w:r>
            <w:r>
              <w:rPr>
                <w:color w:val="1F497D"/>
                <w:spacing w:val="-3"/>
              </w:rPr>
              <w:t>年市场规模达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3450 </w:t>
            </w:r>
            <w:r>
              <w:rPr>
                <w:color w:val="1F497D"/>
                <w:spacing w:val="-3"/>
              </w:rPr>
              <w:t>亿欧元，</w:t>
            </w:r>
            <w:r>
              <w:rPr>
                <w:color w:val="1F497D"/>
                <w:spacing w:val="-3"/>
              </w:rPr>
              <w:t xml:space="preserve"> </w:t>
            </w:r>
            <w:r>
              <w:rPr>
                <w:color w:val="1F497D"/>
                <w:spacing w:val="-3"/>
              </w:rPr>
              <w:t>同比增长</w:t>
            </w:r>
            <w:r>
              <w:rPr>
                <w:color w:val="1F497D"/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19%</w:t>
            </w:r>
            <w:r>
              <w:rPr>
                <w:color w:val="1F497D"/>
                <w:spacing w:val="-3"/>
              </w:rPr>
              <w:t>，较</w:t>
            </w:r>
            <w:r>
              <w:rPr>
                <w:color w:val="1F497D"/>
                <w:spacing w:val="-2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19 </w:t>
            </w:r>
            <w:r>
              <w:rPr>
                <w:color w:val="1F497D"/>
                <w:spacing w:val="-3"/>
              </w:rPr>
              <w:t>年增长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23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%</w:t>
            </w:r>
            <w:r>
              <w:rPr>
                <w:color w:val="1F497D"/>
                <w:spacing w:val="-4"/>
              </w:rPr>
              <w:t>。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23 </w:t>
            </w:r>
            <w:r>
              <w:rPr>
                <w:color w:val="1F497D"/>
                <w:spacing w:val="-4"/>
              </w:rPr>
              <w:t>年国际旅游市场逐步回暖，据环球旅讯公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5"/>
              </w:rPr>
              <w:t>众号，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2023 </w:t>
            </w:r>
            <w:r>
              <w:rPr>
                <w:color w:val="1F497D"/>
                <w:spacing w:val="-5"/>
              </w:rPr>
              <w:t>年全球国际旅行人数预计超</w:t>
            </w:r>
            <w:r>
              <w:rPr>
                <w:color w:val="1F497D"/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12.6 </w:t>
            </w:r>
            <w:r>
              <w:rPr>
                <w:color w:val="1F497D"/>
                <w:spacing w:val="-5"/>
              </w:rPr>
              <w:t>亿人次，恢复至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2019 </w:t>
            </w:r>
            <w:r>
              <w:rPr>
                <w:color w:val="1F497D"/>
                <w:spacing w:val="-5"/>
              </w:rPr>
              <w:t>年的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86%</w:t>
            </w:r>
            <w:r>
              <w:rPr>
                <w:color w:val="1F497D"/>
                <w:spacing w:val="-5"/>
              </w:rPr>
              <w:t>，其中休</w:t>
            </w:r>
            <w:r>
              <w:rPr>
                <w:color w:val="1F497D"/>
                <w:spacing w:val="-6"/>
              </w:rPr>
              <w:t>闲旅游总人次恢复至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>2019</w:t>
            </w:r>
            <w:r>
              <w:rPr>
                <w:rFonts w:ascii="Arial" w:eastAsia="Arial" w:hAnsi="Arial" w:cs="Arial"/>
                <w:color w:val="1F497D"/>
              </w:rPr>
              <w:t xml:space="preserve"> </w:t>
            </w:r>
            <w:r>
              <w:rPr>
                <w:color w:val="1F497D"/>
                <w:spacing w:val="-5"/>
              </w:rPr>
              <w:t>年的</w:t>
            </w:r>
            <w:r>
              <w:rPr>
                <w:color w:val="1F497D"/>
                <w:spacing w:val="-38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90%</w:t>
            </w:r>
            <w:r>
              <w:rPr>
                <w:color w:val="1F497D"/>
                <w:spacing w:val="-5"/>
              </w:rPr>
              <w:t>左右；</w:t>
            </w:r>
            <w:r>
              <w:rPr>
                <w:color w:val="1F497D"/>
                <w:spacing w:val="-5"/>
              </w:rPr>
              <w:t xml:space="preserve"> </w:t>
            </w:r>
            <w:r>
              <w:rPr>
                <w:color w:val="1F497D"/>
                <w:spacing w:val="-5"/>
              </w:rPr>
              <w:t>欧洲地区表现亮眼，</w:t>
            </w:r>
            <w:r>
              <w:rPr>
                <w:color w:val="1F497D"/>
                <w:spacing w:val="-26"/>
              </w:rPr>
              <w:t xml:space="preserve"> </w:t>
            </w:r>
            <w:r>
              <w:rPr>
                <w:color w:val="1F497D"/>
                <w:spacing w:val="-5"/>
              </w:rPr>
              <w:t>是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2023 </w:t>
            </w:r>
            <w:r>
              <w:rPr>
                <w:color w:val="1F497D"/>
                <w:spacing w:val="-5"/>
              </w:rPr>
              <w:t>年接待入境休闲游客最多的地区，接待人次较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2019 </w:t>
            </w:r>
            <w:r>
              <w:rPr>
                <w:color w:val="1F497D"/>
                <w:spacing w:val="-5"/>
              </w:rPr>
              <w:t>年下降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3%</w:t>
            </w:r>
            <w:r>
              <w:rPr>
                <w:color w:val="1F497D"/>
                <w:spacing w:val="-5"/>
              </w:rPr>
              <w:t>，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4"/>
              </w:rPr>
              <w:t>但入境休闲消费额较</w:t>
            </w:r>
            <w:r>
              <w:rPr>
                <w:color w:val="1F497D"/>
                <w:spacing w:val="-3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2019</w:t>
            </w:r>
            <w:r>
              <w:rPr>
                <w:rFonts w:ascii="Arial" w:eastAsia="Arial" w:hAnsi="Arial" w:cs="Arial"/>
                <w:color w:val="1F497D"/>
                <w:spacing w:val="16"/>
              </w:rPr>
              <w:t xml:space="preserve"> </w:t>
            </w:r>
            <w:r>
              <w:rPr>
                <w:color w:val="1F497D"/>
                <w:spacing w:val="-4"/>
              </w:rPr>
              <w:t>年增长</w:t>
            </w:r>
            <w:r>
              <w:rPr>
                <w:color w:val="1F497D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19%</w:t>
            </w:r>
            <w:r>
              <w:rPr>
                <w:color w:val="1F497D"/>
                <w:spacing w:val="-4"/>
              </w:rPr>
              <w:t>。但受全球宏观经济不确定性仍存、</w:t>
            </w:r>
            <w:r>
              <w:rPr>
                <w:color w:val="1F497D"/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2022</w:t>
            </w:r>
            <w:r>
              <w:rPr>
                <w:rFonts w:ascii="Arial" w:eastAsia="Arial" w:hAnsi="Arial" w:cs="Arial"/>
                <w:color w:val="1F497D"/>
                <w:spacing w:val="16"/>
              </w:rPr>
              <w:t xml:space="preserve"> </w:t>
            </w:r>
            <w:r>
              <w:rPr>
                <w:color w:val="1F497D"/>
                <w:spacing w:val="-4"/>
              </w:rPr>
              <w:t>年相对高基数</w:t>
            </w:r>
            <w:r>
              <w:rPr>
                <w:color w:val="1F497D"/>
                <w:spacing w:val="-5"/>
              </w:rPr>
              <w:t>影响，</w:t>
            </w:r>
            <w:r>
              <w:rPr>
                <w:color w:val="1F497D"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23</w:t>
            </w:r>
            <w:r>
              <w:rPr>
                <w:rFonts w:ascii="Arial" w:eastAsia="Arial" w:hAnsi="Arial" w:cs="Arial"/>
                <w:color w:val="1F497D"/>
                <w:spacing w:val="16"/>
              </w:rPr>
              <w:t xml:space="preserve"> </w:t>
            </w:r>
            <w:r>
              <w:rPr>
                <w:color w:val="1F497D"/>
                <w:spacing w:val="-5"/>
              </w:rPr>
              <w:t>年全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1"/>
              </w:rPr>
              <w:t>球个人奢侈品市场规模增长预计放缓，据贝恩公司公众号，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Bai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n </w:t>
            </w:r>
            <w:r>
              <w:rPr>
                <w:color w:val="1F497D"/>
                <w:spacing w:val="-2"/>
              </w:rPr>
              <w:t>预测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2023 </w:t>
            </w:r>
            <w:r>
              <w:rPr>
                <w:color w:val="1F497D"/>
                <w:spacing w:val="-2"/>
              </w:rPr>
              <w:t>年全球个人奢侈品市场规模为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3620</w:t>
            </w:r>
            <w:r>
              <w:rPr>
                <w:rFonts w:ascii="Arial" w:eastAsia="Arial" w:hAnsi="Arial" w:cs="Arial"/>
                <w:color w:val="1F497D"/>
              </w:rPr>
              <w:t xml:space="preserve"> </w:t>
            </w:r>
            <w:r>
              <w:rPr>
                <w:color w:val="1F497D"/>
                <w:spacing w:val="-1"/>
              </w:rPr>
              <w:t>亿欧元，按当前汇率计算同增</w:t>
            </w:r>
            <w:r>
              <w:rPr>
                <w:color w:val="1F497D"/>
                <w:spacing w:val="-50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4%</w:t>
            </w:r>
            <w:r>
              <w:rPr>
                <w:color w:val="1F497D"/>
                <w:spacing w:val="-1"/>
              </w:rPr>
              <w:t>，增速有所放缓，且预计</w:t>
            </w:r>
            <w:r>
              <w:rPr>
                <w:color w:val="1F497D"/>
                <w:spacing w:val="-4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2024 </w:t>
            </w:r>
            <w:r>
              <w:rPr>
                <w:color w:val="1F497D"/>
                <w:spacing w:val="-1"/>
              </w:rPr>
              <w:t>年个人奢侈</w:t>
            </w:r>
            <w:r>
              <w:rPr>
                <w:color w:val="1F497D"/>
                <w:spacing w:val="-2"/>
              </w:rPr>
              <w:t>品市场表现将趋于疲软，预测直到</w:t>
            </w:r>
            <w:r>
              <w:rPr>
                <w:color w:val="1F497D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</w:rPr>
              <w:t xml:space="preserve">2030 </w:t>
            </w:r>
            <w:r>
              <w:rPr>
                <w:color w:val="1F497D"/>
              </w:rPr>
              <w:t>年全球奢侈品市场每年都将只录得个</w:t>
            </w:r>
            <w:r>
              <w:rPr>
                <w:color w:val="1F497D"/>
                <w:spacing w:val="-1"/>
              </w:rPr>
              <w:t>位数增长。</w:t>
            </w:r>
          </w:p>
          <w:p>
            <w:pPr>
              <w:pStyle w:val="TableText"/>
              <w:spacing w:before="80" w:line="226" w:lineRule="auto"/>
              <w:ind w:left="140"/>
            </w:pPr>
            <w:r>
              <w:rPr>
                <w:rFonts w:ascii="Wingdings" w:eastAsia="Wingdings" w:hAnsi="Wingdings" w:cs="Wingdings"/>
                <w:color w:val="17365D"/>
                <w:spacing w:val="-4"/>
              </w:rPr>
              <w:t>.</w:t>
            </w:r>
            <w:r>
              <w:rPr>
                <w:rFonts w:ascii="Wingdings" w:eastAsia="Wingdings" w:hAnsi="Wingdings" w:cs="Wingdings"/>
                <w:color w:val="17365D"/>
                <w:spacing w:val="5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4"/>
              </w:rPr>
              <w:t>2023Q3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39"/>
              </w:rPr>
              <w:t xml:space="preserve"> </w:t>
            </w:r>
            <w:r>
              <w:rPr>
                <w:color w:val="1F497D"/>
                <w:spacing w:val="-4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主流奢侈品、高端化妆品公司业绩表现分化明显：</w:t>
            </w:r>
            <w:r>
              <w:rPr>
                <w:color w:val="1F497D"/>
                <w:spacing w:val="-4"/>
              </w:rPr>
              <w:t>据各公司财报</w:t>
            </w:r>
            <w:r>
              <w:rPr>
                <w:color w:val="1F497D"/>
                <w:spacing w:val="-39"/>
              </w:rPr>
              <w:t>，</w:t>
            </w:r>
            <w:r>
              <w:rPr>
                <w:color w:val="1F497D"/>
                <w:spacing w:val="-39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4"/>
              </w:rPr>
              <w:t>1</w:t>
            </w:r>
            <w:r>
              <w:rPr>
                <w:color w:val="1F497D"/>
                <w:spacing w:val="-4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）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4"/>
              </w:rPr>
              <w:t>LVMH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44"/>
              </w:rPr>
              <w:t xml:space="preserve"> </w:t>
            </w:r>
            <w:r>
              <w:rPr>
                <w:color w:val="1F497D"/>
                <w:spacing w:val="-4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集团：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23Q3</w:t>
            </w:r>
            <w:r>
              <w:rPr>
                <w:rFonts w:ascii="Arial" w:eastAsia="Arial" w:hAnsi="Arial" w:cs="Arial"/>
                <w:color w:val="1F497D"/>
                <w:spacing w:val="28"/>
                <w:w w:val="101"/>
              </w:rPr>
              <w:t xml:space="preserve"> </w:t>
            </w:r>
            <w:r>
              <w:rPr>
                <w:color w:val="1F497D"/>
                <w:spacing w:val="-4"/>
              </w:rPr>
              <w:t>销售额为</w:t>
            </w:r>
          </w:p>
          <w:p>
            <w:pPr>
              <w:pStyle w:val="TableText"/>
              <w:spacing w:before="70" w:line="276" w:lineRule="auto"/>
              <w:ind w:left="542" w:right="28" w:firstLine="23"/>
            </w:pPr>
            <w:r>
              <w:rPr>
                <w:rFonts w:ascii="Arial" w:eastAsia="Arial" w:hAnsi="Arial" w:cs="Arial"/>
                <w:color w:val="1F497D"/>
                <w:spacing w:val="-5"/>
              </w:rPr>
              <w:t>199.6</w:t>
            </w:r>
            <w:r>
              <w:rPr>
                <w:rFonts w:ascii="Arial" w:eastAsia="Arial" w:hAnsi="Arial" w:cs="Arial"/>
                <w:color w:val="1F497D"/>
                <w:spacing w:val="29"/>
              </w:rPr>
              <w:t xml:space="preserve"> </w:t>
            </w:r>
            <w:r>
              <w:rPr>
                <w:color w:val="1F497D"/>
                <w:spacing w:val="-5"/>
              </w:rPr>
              <w:t>亿欧元，</w:t>
            </w:r>
            <w:r>
              <w:rPr>
                <w:color w:val="1F497D"/>
                <w:spacing w:val="-28"/>
              </w:rPr>
              <w:t xml:space="preserve"> </w:t>
            </w:r>
            <w:r>
              <w:rPr>
                <w:color w:val="1F497D"/>
                <w:spacing w:val="-5"/>
              </w:rPr>
              <w:t>有机增速为</w:t>
            </w:r>
            <w:r>
              <w:rPr>
                <w:color w:val="1F497D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9%</w:t>
            </w:r>
            <w:r>
              <w:rPr>
                <w:color w:val="1F497D"/>
                <w:spacing w:val="-5"/>
              </w:rPr>
              <w:t>，除酒类外其余品类有机增长均为正，</w:t>
            </w:r>
            <w:r>
              <w:rPr>
                <w:color w:val="1F497D"/>
                <w:spacing w:val="-28"/>
              </w:rPr>
              <w:t xml:space="preserve"> </w:t>
            </w:r>
            <w:r>
              <w:rPr>
                <w:color w:val="1F497D"/>
                <w:spacing w:val="-5"/>
              </w:rPr>
              <w:t>精品零售增长亮眼，</w:t>
            </w:r>
            <w:r>
              <w:rPr>
                <w:color w:val="1F497D"/>
                <w:spacing w:val="-28"/>
              </w:rPr>
              <w:t xml:space="preserve"> </w:t>
            </w:r>
            <w:r>
              <w:rPr>
                <w:color w:val="1F497D"/>
                <w:spacing w:val="-5"/>
              </w:rPr>
              <w:t>有机增速达</w:t>
            </w:r>
            <w:r>
              <w:rPr>
                <w:color w:val="1F497D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26%</w:t>
            </w:r>
            <w:r>
              <w:rPr>
                <w:color w:val="1F497D"/>
                <w:spacing w:val="-5"/>
              </w:rPr>
              <w:t>。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</w:t>
            </w:r>
            <w:r>
              <w:rPr>
                <w:rFonts w:ascii="Arial" w:eastAsia="Arial" w:hAnsi="Arial" w:cs="Arial"/>
                <w:b/>
                <w:bCs/>
                <w:color w:val="1F497D"/>
              </w:rPr>
              <w:t>2</w:t>
            </w:r>
            <w:r>
              <w:rPr>
                <w:color w:val="1F497D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）</w:t>
            </w:r>
            <w:r>
              <w:rPr>
                <w:rFonts w:ascii="Arial" w:eastAsia="Arial" w:hAnsi="Arial" w:cs="Arial"/>
                <w:b/>
                <w:bCs/>
                <w:color w:val="1F497D"/>
              </w:rPr>
              <w:t>Kering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28"/>
                <w:w w:val="101"/>
              </w:rPr>
              <w:t xml:space="preserve"> </w:t>
            </w:r>
            <w:r>
              <w:rPr>
                <w:color w:val="1F497D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集团：</w:t>
            </w:r>
            <w:r>
              <w:rPr>
                <w:rFonts w:ascii="Arial" w:eastAsia="Arial" w:hAnsi="Arial" w:cs="Arial"/>
                <w:color w:val="1F497D"/>
              </w:rPr>
              <w:t xml:space="preserve">23Q3 </w:t>
            </w:r>
            <w:r>
              <w:rPr>
                <w:color w:val="1F497D"/>
              </w:rPr>
              <w:t>销售额为</w:t>
            </w:r>
            <w:r>
              <w:rPr>
                <w:color w:val="1F497D"/>
                <w:spacing w:val="-3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</w:rPr>
              <w:t xml:space="preserve">44.6 </w:t>
            </w:r>
            <w:r>
              <w:rPr>
                <w:color w:val="1F497D"/>
              </w:rPr>
              <w:t>亿欧元，可比增速为</w:t>
            </w:r>
            <w:r>
              <w:rPr>
                <w:rFonts w:ascii="Arial" w:eastAsia="Arial" w:hAnsi="Arial" w:cs="Arial"/>
                <w:color w:val="1F497D"/>
              </w:rPr>
              <w:t>-9%</w:t>
            </w:r>
            <w:r>
              <w:rPr>
                <w:color w:val="1F497D"/>
              </w:rPr>
              <w:t>，亚太地区贡献集团主要营收，日本市场可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3"/>
              </w:rPr>
              <w:t>比增速达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28%</w:t>
            </w:r>
            <w:r>
              <w:rPr>
                <w:color w:val="1F497D"/>
                <w:spacing w:val="-3"/>
              </w:rPr>
              <w:t>。品牌方面，主品牌</w:t>
            </w:r>
            <w:r>
              <w:rPr>
                <w:color w:val="1F497D"/>
                <w:spacing w:val="-40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Gucci </w:t>
            </w:r>
            <w:r>
              <w:rPr>
                <w:color w:val="1F497D"/>
                <w:spacing w:val="-3"/>
              </w:rPr>
              <w:t>稳定贡献收入主体部分。</w:t>
            </w:r>
            <w:r>
              <w:rPr>
                <w:color w:val="1F497D"/>
                <w:spacing w:val="-3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3"/>
              </w:rPr>
              <w:t>3</w:t>
            </w:r>
            <w:r>
              <w:rPr>
                <w:color w:val="1F497D"/>
                <w:spacing w:val="-3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）欧莱雅集团：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23Q3 </w:t>
            </w:r>
            <w:r>
              <w:rPr>
                <w:color w:val="1F497D"/>
                <w:spacing w:val="-3"/>
              </w:rPr>
              <w:t>销售额为</w:t>
            </w:r>
            <w:r>
              <w:rPr>
                <w:color w:val="1F497D"/>
                <w:spacing w:val="-30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100 </w:t>
            </w:r>
            <w:r>
              <w:rPr>
                <w:color w:val="1F497D"/>
                <w:spacing w:val="-3"/>
              </w:rPr>
              <w:t>亿欧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9"/>
              </w:rPr>
              <w:t>元，有机增速为</w:t>
            </w:r>
            <w:r>
              <w:rPr>
                <w:color w:val="1F497D"/>
                <w:spacing w:val="-3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9"/>
              </w:rPr>
              <w:t>11%</w:t>
            </w:r>
            <w:r>
              <w:rPr>
                <w:color w:val="1F497D"/>
                <w:spacing w:val="-9"/>
              </w:rPr>
              <w:t>，皮肤美容业务继续保持较高增速，</w:t>
            </w:r>
            <w:r>
              <w:rPr>
                <w:color w:val="1F497D"/>
                <w:spacing w:val="-61"/>
              </w:rPr>
              <w:t xml:space="preserve"> </w:t>
            </w:r>
            <w:r>
              <w:rPr>
                <w:color w:val="1F497D"/>
                <w:spacing w:val="-9"/>
              </w:rPr>
              <w:t>大众产品增速亦</w:t>
            </w:r>
            <w:r>
              <w:rPr>
                <w:color w:val="1F497D"/>
                <w:spacing w:val="-10"/>
              </w:rPr>
              <w:t>超整体增速。</w:t>
            </w:r>
            <w:r>
              <w:rPr>
                <w:color w:val="1F497D"/>
                <w:spacing w:val="-10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10"/>
              </w:rPr>
              <w:t>4</w:t>
            </w:r>
            <w:r>
              <w:rPr>
                <w:color w:val="1F497D"/>
                <w:spacing w:val="-10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）雅诗兰黛集团：</w:t>
            </w:r>
            <w:r>
              <w:rPr>
                <w:rFonts w:ascii="Arial" w:eastAsia="Arial" w:hAnsi="Arial" w:cs="Arial"/>
                <w:color w:val="1F497D"/>
                <w:spacing w:val="-10"/>
              </w:rPr>
              <w:t>23Q3</w:t>
            </w:r>
            <w:r>
              <w:rPr>
                <w:rFonts w:ascii="Arial" w:eastAsia="Arial" w:hAnsi="Arial" w:cs="Arial"/>
                <w:color w:val="1F497D"/>
              </w:rPr>
              <w:t xml:space="preserve">  </w:t>
            </w:r>
            <w:r>
              <w:rPr>
                <w:color w:val="1F497D"/>
                <w:spacing w:val="-2"/>
              </w:rPr>
              <w:t>销售额为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35.2 </w:t>
            </w:r>
            <w:r>
              <w:rPr>
                <w:color w:val="1F497D"/>
                <w:spacing w:val="-2"/>
              </w:rPr>
              <w:t>亿美元，有机增速为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-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11%</w:t>
            </w:r>
            <w:r>
              <w:rPr>
                <w:color w:val="1F497D"/>
                <w:spacing w:val="-3"/>
              </w:rPr>
              <w:t>。分地区看，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23Q3 </w:t>
            </w:r>
            <w:r>
              <w:rPr>
                <w:color w:val="1F497D"/>
                <w:spacing w:val="-3"/>
              </w:rPr>
              <w:t>仅美洲地区实现有机增长。分品类看，</w:t>
            </w:r>
            <w:r>
              <w:rPr>
                <w:color w:val="1F497D"/>
                <w:spacing w:val="-37"/>
              </w:rPr>
              <w:t xml:space="preserve"> </w:t>
            </w:r>
            <w:r>
              <w:rPr>
                <w:color w:val="1F497D"/>
                <w:spacing w:val="-3"/>
              </w:rPr>
              <w:t>香水品类表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3"/>
              </w:rPr>
              <w:t>现较好，化妆品逐步恢复，护肤品类受亚洲旅游零售影响有所承压。</w:t>
            </w:r>
            <w:r>
              <w:rPr>
                <w:color w:val="1F497D"/>
                <w:spacing w:val="-3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3"/>
              </w:rPr>
              <w:t>5</w:t>
            </w:r>
            <w:r>
              <w:rPr>
                <w:color w:val="1F497D"/>
                <w:spacing w:val="-3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）资</w:t>
            </w:r>
            <w:r>
              <w:rPr>
                <w:color w:val="1F497D"/>
                <w:spacing w:val="-4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生堂集团：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23Q3 </w:t>
            </w:r>
            <w:r>
              <w:rPr>
                <w:color w:val="1F497D"/>
                <w:spacing w:val="-4"/>
              </w:rPr>
              <w:t>销售额为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2282 </w:t>
            </w:r>
            <w:r>
              <w:rPr>
                <w:color w:val="1F497D"/>
                <w:spacing w:val="-4"/>
              </w:rPr>
              <w:t>亿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6"/>
              </w:rPr>
              <w:t>日元，可比增速为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>-2%</w:t>
            </w:r>
            <w:r>
              <w:rPr>
                <w:color w:val="1F497D"/>
                <w:spacing w:val="-6"/>
              </w:rPr>
              <w:t>，日本市场成为集团营收贡献最大市场，旗下品牌</w:t>
            </w:r>
            <w:r>
              <w:rPr>
                <w:color w:val="1F497D"/>
                <w:spacing w:val="-7"/>
              </w:rPr>
              <w:t>醉象增长态势强劲，可比增速高达</w:t>
            </w:r>
            <w:r>
              <w:rPr>
                <w:color w:val="1F497D"/>
                <w:spacing w:val="-4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7"/>
              </w:rPr>
              <w:t>60%</w:t>
            </w:r>
            <w:r>
              <w:rPr>
                <w:color w:val="1F497D"/>
                <w:spacing w:val="-7"/>
              </w:rPr>
              <w:t>。</w:t>
            </w:r>
          </w:p>
          <w:p>
            <w:pPr>
              <w:pStyle w:val="TableText"/>
              <w:spacing w:before="80" w:line="276" w:lineRule="auto"/>
              <w:ind w:left="544" w:hanging="404"/>
            </w:pPr>
            <w:r>
              <w:rPr>
                <w:rFonts w:ascii="Wingdings" w:eastAsia="Wingdings" w:hAnsi="Wingdings" w:cs="Wingdings"/>
                <w:color w:val="17365D"/>
                <w:spacing w:val="-8"/>
              </w:rPr>
              <w:t>.</w:t>
            </w:r>
            <w:r>
              <w:rPr>
                <w:rFonts w:ascii="Wingdings" w:eastAsia="Wingdings" w:hAnsi="Wingdings" w:cs="Wingdings"/>
                <w:color w:val="17365D"/>
                <w:spacing w:val="6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8"/>
              </w:rPr>
              <w:t xml:space="preserve">2023Q3 </w:t>
            </w:r>
            <w:r>
              <w:rPr>
                <w:color w:val="1F497D"/>
                <w:spacing w:val="-8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亚太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8"/>
              </w:rPr>
              <w:t>/</w:t>
            </w:r>
            <w:r>
              <w:rPr>
                <w:color w:val="1F497D"/>
                <w:spacing w:val="-8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中国市场表现：</w:t>
            </w:r>
            <w:r>
              <w:rPr>
                <w:color w:val="1F497D"/>
                <w:spacing w:val="-8"/>
              </w:rPr>
              <w:t xml:space="preserve"> </w:t>
            </w:r>
            <w:r>
              <w:rPr>
                <w:color w:val="1F497D"/>
                <w:spacing w:val="-8"/>
              </w:rPr>
              <w:t>据各公司财报</w:t>
            </w:r>
            <w:r>
              <w:rPr>
                <w:color w:val="1F497D"/>
                <w:spacing w:val="-46"/>
                <w:w w:val="99"/>
              </w:rPr>
              <w:t>，（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8"/>
              </w:rPr>
              <w:t>1</w:t>
            </w:r>
            <w:r>
              <w:rPr>
                <w:color w:val="1F497D"/>
                <w:spacing w:val="-8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）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8"/>
              </w:rPr>
              <w:t xml:space="preserve">LVMH </w:t>
            </w:r>
            <w:r>
              <w:rPr>
                <w:color w:val="1F497D"/>
                <w:spacing w:val="-8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集团：</w:t>
            </w:r>
            <w:r>
              <w:rPr>
                <w:color w:val="1F497D"/>
                <w:spacing w:val="-8"/>
              </w:rPr>
              <w:t>亚洲（除日本）地区收</w:t>
            </w:r>
            <w:r>
              <w:rPr>
                <w:color w:val="1F497D"/>
                <w:spacing w:val="-9"/>
              </w:rPr>
              <w:t>入有机增速为</w:t>
            </w:r>
            <w:r>
              <w:rPr>
                <w:color w:val="1F497D"/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9"/>
              </w:rPr>
              <w:t>11%</w:t>
            </w:r>
            <w:r>
              <w:rPr>
                <w:color w:val="1F497D"/>
                <w:spacing w:val="-9"/>
              </w:rPr>
              <w:t>，日</w:t>
            </w:r>
            <w:r>
              <w:rPr>
                <w:color w:val="1F497D"/>
                <w:spacing w:val="-9"/>
              </w:rPr>
              <w:t xml:space="preserve">  </w:t>
            </w:r>
            <w:r>
              <w:rPr>
                <w:color w:val="1F497D"/>
                <w:spacing w:val="-2"/>
              </w:rPr>
              <w:t>本地区收入有机增速达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30%</w:t>
            </w:r>
            <w:r>
              <w:rPr>
                <w:color w:val="1F497D"/>
                <w:spacing w:val="-2"/>
              </w:rPr>
              <w:t>，亚太地区增势</w:t>
            </w:r>
            <w:r>
              <w:rPr>
                <w:color w:val="1F497D"/>
                <w:spacing w:val="-3"/>
              </w:rPr>
              <w:t>优于欧美。</w:t>
            </w:r>
            <w:r>
              <w:rPr>
                <w:color w:val="1F497D"/>
                <w:spacing w:val="-3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3"/>
              </w:rPr>
              <w:t>2</w:t>
            </w:r>
            <w:r>
              <w:rPr>
                <w:color w:val="1F497D"/>
                <w:spacing w:val="-3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）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3"/>
              </w:rPr>
              <w:t xml:space="preserve">Kering </w:t>
            </w:r>
            <w:r>
              <w:rPr>
                <w:color w:val="1F497D"/>
                <w:spacing w:val="-3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集团：</w:t>
            </w:r>
            <w:r>
              <w:rPr>
                <w:color w:val="1F497D"/>
                <w:spacing w:val="-3"/>
              </w:rPr>
              <w:t>亚太（除日本）地区零售（含电商）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4"/>
              </w:rPr>
              <w:t>收入可比增速为</w:t>
            </w:r>
            <w:r>
              <w:rPr>
                <w:color w:val="1F497D"/>
                <w:spacing w:val="-30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1%</w:t>
            </w:r>
            <w:r>
              <w:rPr>
                <w:color w:val="1F497D"/>
                <w:spacing w:val="-4"/>
              </w:rPr>
              <w:t>，日本地区收入可比增速为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28%</w:t>
            </w:r>
            <w:r>
              <w:rPr>
                <w:color w:val="1F497D"/>
                <w:spacing w:val="-4"/>
              </w:rPr>
              <w:t>。</w:t>
            </w:r>
            <w:r>
              <w:rPr>
                <w:color w:val="1F497D"/>
                <w:spacing w:val="-4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4"/>
              </w:rPr>
              <w:t>3</w:t>
            </w:r>
            <w:r>
              <w:rPr>
                <w:color w:val="1F497D"/>
                <w:spacing w:val="-4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）欧</w:t>
            </w:r>
            <w:r>
              <w:rPr>
                <w:color w:val="1F497D"/>
                <w:spacing w:val="-5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莱雅集团：</w:t>
            </w:r>
            <w:r>
              <w:rPr>
                <w:color w:val="1F497D"/>
                <w:spacing w:val="-5"/>
              </w:rPr>
              <w:t>北亚地区收入有机增速为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-4.8%</w:t>
            </w:r>
            <w:r>
              <w:rPr>
                <w:color w:val="1F497D"/>
                <w:spacing w:val="-5"/>
              </w:rPr>
              <w:t>，主因</w:t>
            </w:r>
            <w:r>
              <w:rPr>
                <w:color w:val="1F497D"/>
              </w:rPr>
              <w:t xml:space="preserve">  </w:t>
            </w:r>
            <w:r>
              <w:rPr>
                <w:color w:val="1F497D"/>
                <w:spacing w:val="-7"/>
              </w:rPr>
              <w:t>旅游零售受限制代购影响。</w:t>
            </w:r>
            <w:r>
              <w:rPr>
                <w:color w:val="1F497D"/>
                <w:spacing w:val="-7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7"/>
              </w:rPr>
              <w:t>4</w:t>
            </w:r>
            <w:r>
              <w:rPr>
                <w:color w:val="1F497D"/>
                <w:spacing w:val="-7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）雅诗兰黛集团：</w:t>
            </w:r>
            <w:r>
              <w:rPr>
                <w:color w:val="1F497D"/>
                <w:spacing w:val="-7"/>
              </w:rPr>
              <w:t>亚太地区收入有机增速为</w:t>
            </w:r>
            <w:r>
              <w:rPr>
                <w:rFonts w:ascii="Arial" w:eastAsia="Arial" w:hAnsi="Arial" w:cs="Arial"/>
                <w:color w:val="1F497D"/>
                <w:spacing w:val="-7"/>
              </w:rPr>
              <w:t>-3%</w:t>
            </w:r>
            <w:r>
              <w:rPr>
                <w:color w:val="1F497D"/>
                <w:spacing w:val="-7"/>
              </w:rPr>
              <w:t>，高于集团整体增速</w:t>
            </w:r>
            <w:r>
              <w:rPr>
                <w:color w:val="1F497D"/>
                <w:spacing w:val="-40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7"/>
              </w:rPr>
              <w:t>8pp</w:t>
            </w:r>
            <w:r>
              <w:rPr>
                <w:color w:val="1F497D"/>
                <w:spacing w:val="-7"/>
              </w:rPr>
              <w:t>。</w:t>
            </w:r>
            <w:r>
              <w:rPr>
                <w:color w:val="1F497D"/>
                <w:spacing w:val="-7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7"/>
              </w:rPr>
              <w:t>5</w:t>
            </w:r>
            <w:r>
              <w:rPr>
                <w:color w:val="1F497D"/>
                <w:spacing w:val="-7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）资</w:t>
            </w:r>
            <w:r>
              <w:rPr>
                <w:color w:val="1F497D"/>
              </w:rPr>
              <w:t xml:space="preserve">  </w:t>
            </w:r>
            <w:r>
              <w:rPr>
                <w:color w:val="1F497D"/>
                <w:spacing w:val="-3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生堂集团：</w:t>
            </w:r>
            <w:r>
              <w:rPr>
                <w:color w:val="1F497D"/>
                <w:spacing w:val="-3"/>
              </w:rPr>
              <w:t>中国地区收入出现负增长，可比增速为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-9%</w:t>
            </w:r>
            <w:r>
              <w:rPr>
                <w:color w:val="1F497D"/>
                <w:spacing w:val="-3"/>
              </w:rPr>
              <w:t>，集团正从以大型促销活动为主要驱动力的增长模式转变</w:t>
            </w:r>
            <w:r>
              <w:rPr>
                <w:color w:val="1F497D"/>
                <w:spacing w:val="7"/>
              </w:rPr>
              <w:t xml:space="preserve">  </w:t>
            </w:r>
            <w:r>
              <w:rPr>
                <w:color w:val="1F497D"/>
                <w:spacing w:val="-1"/>
              </w:rPr>
              <w:t>为更加可持续的增长模式。</w:t>
            </w:r>
          </w:p>
        </w:tc>
      </w:tr>
    </w:tbl>
    <w:p>
      <w:pPr>
        <w:sectPr>
          <w:headerReference w:type="default" r:id="rId11"/>
          <w:footerReference w:type="default" r:id="rId12"/>
          <w:type w:val="continuous"/>
          <w:pgSz w:w="11907" w:h="16839"/>
          <w:pgMar w:top="1715" w:right="528" w:bottom="1731" w:left="621" w:header="689" w:footer="803" w:gutter="0"/>
          <w:pgNumType w:start="3"/>
          <w:cols w:num="1" w:space="708" w:equalWidth="0">
            <w:col w:w="10757" w:space="0"/>
          </w:cols>
        </w:sectPr>
      </w:pPr>
    </w:p>
    <w:tbl>
      <w:tblPr>
        <w:tblStyle w:val="TableNormal0"/>
        <w:tblW w:w="1075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756"/>
      </w:tblGrid>
      <w:tr>
        <w:tblPrEx>
          <w:tblW w:w="1075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632"/>
        </w:trPr>
        <w:tc>
          <w:tcPr>
            <w:tcW w:w="10756" w:type="dxa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pStyle w:val="TableText"/>
              <w:spacing w:before="76" w:line="213" w:lineRule="auto"/>
              <w:ind w:left="140"/>
            </w:pPr>
            <w:r>
              <w:rPr>
                <w:rFonts w:ascii="Wingdings" w:eastAsia="Wingdings" w:hAnsi="Wingdings" w:cs="Wingdings"/>
                <w:color w:val="17365D"/>
                <w:spacing w:val="-5"/>
              </w:rPr>
              <w:t>.</w:t>
            </w:r>
            <w:r>
              <w:rPr>
                <w:rFonts w:ascii="Wingdings" w:eastAsia="Wingdings" w:hAnsi="Wingdings" w:cs="Wingdings"/>
                <w:color w:val="17365D"/>
                <w:spacing w:val="67"/>
              </w:rPr>
              <w:t xml:space="preserve"> </w:t>
            </w:r>
            <w:r>
              <w:rPr>
                <w:color w:val="1F497D"/>
                <w:spacing w:val="-5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风险提示：</w:t>
            </w:r>
            <w:r>
              <w:rPr>
                <w:color w:val="1F497D"/>
                <w:spacing w:val="-5"/>
              </w:rPr>
              <w:t>宏观经济低迷，新品牌、新品类拓展不达预期，品牌形象风险。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335"/>
        </w:trPr>
        <w:tc>
          <w:tcPr>
            <w:tcW w:w="10756" w:type="dxa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pStyle w:val="TableText"/>
              <w:spacing w:before="48" w:line="213" w:lineRule="auto"/>
              <w:ind w:left="123"/>
              <w:rPr>
                <w:sz w:val="24"/>
                <w:szCs w:val="24"/>
              </w:rPr>
            </w:pPr>
            <w:r>
              <w:rPr>
                <w:color w:val="1F497D"/>
                <w:sz w:val="24"/>
                <w:szCs w:val="24"/>
                <w14:textOutline w14:w="4354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相关研究：</w:t>
            </w:r>
          </w:p>
        </w:tc>
      </w:tr>
    </w:tbl>
    <w:p>
      <w:pPr>
        <w:pStyle w:val="BodyText"/>
        <w:spacing w:line="35" w:lineRule="exact"/>
        <w:rPr>
          <w:sz w:val="3"/>
        </w:rPr>
      </w:pPr>
    </w:p>
    <w:p>
      <w:pPr>
        <w:spacing w:line="35" w:lineRule="exact"/>
        <w:rPr>
          <w:sz w:val="3"/>
          <w:szCs w:val="3"/>
        </w:rPr>
        <w:sectPr>
          <w:headerReference w:type="default" r:id="rId13"/>
          <w:footerReference w:type="default" r:id="rId14"/>
          <w:type w:val="nextPage"/>
          <w:pgSz w:w="11907" w:h="16839"/>
          <w:pgMar w:top="1715" w:right="528" w:bottom="1731" w:left="621" w:header="689" w:footer="803" w:gutter="0"/>
          <w:pgNumType w:start="4"/>
          <w:cols w:num="1" w:space="708" w:equalWidth="0">
            <w:col w:w="10757" w:space="0"/>
          </w:cols>
          <w:titlePg w:val="0"/>
        </w:sectPr>
      </w:pPr>
    </w:p>
    <w:p>
      <w:pPr>
        <w:pStyle w:val="BodyText"/>
        <w:spacing w:before="36" w:line="326" w:lineRule="exact"/>
        <w:ind w:left="124"/>
        <w:rPr>
          <w:rFonts w:ascii="KaiTi" w:eastAsia="KaiTi" w:hAnsi="KaiTi" w:cs="KaiTi"/>
        </w:rPr>
      </w:pPr>
      <w:r>
        <w:rPr>
          <w:rFonts w:ascii="KaiTi" w:eastAsia="KaiTi" w:hAnsi="KaiTi" w:cs="KaiTi"/>
          <w:color w:val="1F497D"/>
          <w:spacing w:val="-2"/>
          <w:position w:val="11"/>
        </w:rPr>
        <w:t>批零社服行业</w:t>
      </w:r>
      <w:r>
        <w:rPr>
          <w:color w:val="1F497D"/>
          <w:spacing w:val="-2"/>
          <w:position w:val="11"/>
        </w:rPr>
        <w:t xml:space="preserve">:11 </w:t>
      </w:r>
      <w:r>
        <w:rPr>
          <w:rFonts w:ascii="KaiTi" w:eastAsia="KaiTi" w:hAnsi="KaiTi" w:cs="KaiTi"/>
          <w:color w:val="1F497D"/>
          <w:spacing w:val="-2"/>
          <w:position w:val="11"/>
        </w:rPr>
        <w:t>月社零同比增长</w:t>
      </w:r>
      <w:r>
        <w:rPr>
          <w:rFonts w:ascii="KaiTi" w:eastAsia="KaiTi" w:hAnsi="KaiTi" w:cs="KaiTi"/>
          <w:color w:val="1F497D"/>
          <w:spacing w:val="-22"/>
          <w:position w:val="11"/>
        </w:rPr>
        <w:t xml:space="preserve"> </w:t>
      </w:r>
      <w:r>
        <w:rPr>
          <w:color w:val="1F497D"/>
          <w:spacing w:val="-2"/>
          <w:position w:val="11"/>
        </w:rPr>
        <w:t>10.1%</w:t>
      </w:r>
      <w:r>
        <w:rPr>
          <w:rFonts w:ascii="KaiTi" w:eastAsia="KaiTi" w:hAnsi="KaiTi" w:cs="KaiTi"/>
          <w:color w:val="1F497D"/>
          <w:spacing w:val="-2"/>
          <w:position w:val="11"/>
        </w:rPr>
        <w:t>，低基数下温和复苏</w:t>
      </w:r>
    </w:p>
    <w:p>
      <w:pPr>
        <w:pStyle w:val="BodyText"/>
        <w:spacing w:before="1" w:line="228" w:lineRule="auto"/>
        <w:ind w:left="124"/>
        <w:rPr>
          <w:rFonts w:ascii="KaiTi" w:eastAsia="KaiTi" w:hAnsi="KaiTi" w:cs="KaiTi"/>
        </w:rPr>
      </w:pPr>
      <w:r>
        <w:rPr>
          <w:rFonts w:ascii="KaiTi" w:eastAsia="KaiTi" w:hAnsi="KaiTi" w:cs="KaiTi"/>
          <w:color w:val="1F497D"/>
          <w:spacing w:val="-1"/>
        </w:rPr>
        <w:t>批零社服行业</w:t>
      </w:r>
      <w:r>
        <w:rPr>
          <w:rFonts w:ascii="KaiTi" w:eastAsia="KaiTi" w:hAnsi="KaiTi" w:cs="KaiTi"/>
          <w:color w:val="1F497D"/>
          <w:spacing w:val="-28"/>
        </w:rPr>
        <w:t xml:space="preserve"> </w:t>
      </w:r>
      <w:r>
        <w:rPr>
          <w:color w:val="1F497D"/>
          <w:spacing w:val="-1"/>
        </w:rPr>
        <w:t xml:space="preserve">2024 </w:t>
      </w:r>
      <w:r>
        <w:rPr>
          <w:rFonts w:ascii="KaiTi" w:eastAsia="KaiTi" w:hAnsi="KaiTi" w:cs="KaiTi"/>
          <w:color w:val="1F497D"/>
          <w:spacing w:val="-1"/>
        </w:rPr>
        <w:t>年投资策略</w:t>
      </w:r>
      <w:r>
        <w:rPr>
          <w:color w:val="1F497D"/>
          <w:spacing w:val="-1"/>
        </w:rPr>
        <w:t>:</w:t>
      </w:r>
      <w:r>
        <w:rPr>
          <w:rFonts w:ascii="KaiTi" w:eastAsia="KaiTi" w:hAnsi="KaiTi" w:cs="KaiTi"/>
          <w:color w:val="1F497D"/>
          <w:spacing w:val="-1"/>
        </w:rPr>
        <w:t>在分化中寻找动能</w:t>
      </w:r>
    </w:p>
    <w:p>
      <w:pPr>
        <w:pStyle w:val="BodyText"/>
        <w:spacing w:before="101" w:line="197" w:lineRule="auto"/>
        <w:ind w:left="124"/>
        <w:rPr>
          <w:rFonts w:ascii="KaiTi" w:eastAsia="KaiTi" w:hAnsi="KaiTi" w:cs="KaiTi"/>
        </w:rPr>
      </w:pPr>
      <w:r>
        <w:rPr>
          <w:rFonts w:ascii="KaiTi" w:eastAsia="KaiTi" w:hAnsi="KaiTi" w:cs="KaiTi"/>
          <w:color w:val="1F497D"/>
        </w:rPr>
        <w:t>批零社服行业</w:t>
      </w:r>
      <w:r>
        <w:rPr>
          <w:color w:val="1F497D"/>
        </w:rPr>
        <w:t>:</w:t>
      </w:r>
      <w:r>
        <w:rPr>
          <w:rFonts w:ascii="KaiTi" w:eastAsia="KaiTi" w:hAnsi="KaiTi" w:cs="KaiTi"/>
          <w:color w:val="1F497D"/>
        </w:rPr>
        <w:t>社零超预期，关注底部改善细</w:t>
      </w:r>
      <w:r>
        <w:rPr>
          <w:rFonts w:ascii="KaiTi" w:eastAsia="KaiTi" w:hAnsi="KaiTi" w:cs="KaiTi"/>
          <w:color w:val="1F497D"/>
          <w:spacing w:val="-1"/>
        </w:rPr>
        <w:t>分赛道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60" w:line="194" w:lineRule="auto"/>
      </w:pPr>
      <w:r>
        <w:rPr>
          <w:color w:val="1F497D"/>
        </w:rPr>
        <w:t>2023-12-16</w:t>
      </w:r>
    </w:p>
    <w:p>
      <w:pPr>
        <w:pStyle w:val="BodyText"/>
        <w:spacing w:before="159" w:line="194" w:lineRule="auto"/>
      </w:pPr>
      <w:r>
        <w:rPr>
          <w:color w:val="1F497D"/>
          <w:spacing w:val="-1"/>
        </w:rPr>
        <w:t>2023-12-03</w:t>
      </w:r>
    </w:p>
    <w:p>
      <w:pPr>
        <w:pStyle w:val="BodyText"/>
        <w:spacing w:before="156" w:line="194" w:lineRule="auto"/>
      </w:pPr>
      <w:r>
        <w:rPr>
          <w:color w:val="1F497D"/>
        </w:rPr>
        <w:t>2023-11-15</w:t>
      </w:r>
    </w:p>
    <w:p>
      <w:pPr>
        <w:spacing w:line="194" w:lineRule="auto"/>
        <w:sectPr>
          <w:headerReference w:type="default" r:id="rId15"/>
          <w:footerReference w:type="default" r:id="rId16"/>
          <w:type w:val="continuous"/>
          <w:pgSz w:w="11907" w:h="16839"/>
          <w:pgMar w:top="1715" w:right="528" w:bottom="1731" w:left="621" w:header="689" w:footer="803" w:gutter="0"/>
          <w:pgNumType w:start="5"/>
          <w:cols w:num="2" w:space="708" w:equalWidth="0">
            <w:col w:w="9633" w:space="100"/>
            <w:col w:w="1025" w:space="0"/>
          </w:cols>
        </w:sectPr>
      </w:pPr>
    </w:p>
    <w:p>
      <w:pPr>
        <w:pStyle w:val="BodyText"/>
        <w:spacing w:line="329" w:lineRule="auto"/>
        <w:rPr>
          <w:sz w:val="21"/>
        </w:rPr>
      </w:pPr>
    </w:p>
    <w:p>
      <w:pPr>
        <w:spacing w:before="68" w:line="218" w:lineRule="auto"/>
        <w:ind w:left="102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重点公司估值和财务分析表</w:t>
      </w:r>
    </w:p>
    <w:p>
      <w:pPr>
        <w:spacing w:line="19" w:lineRule="exact"/>
      </w:pPr>
    </w:p>
    <w:tbl>
      <w:tblPr>
        <w:tblStyle w:val="TableNormal1"/>
        <w:tblW w:w="1075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80"/>
        <w:gridCol w:w="1045"/>
        <w:gridCol w:w="528"/>
        <w:gridCol w:w="638"/>
        <w:gridCol w:w="900"/>
        <w:gridCol w:w="433"/>
        <w:gridCol w:w="818"/>
        <w:gridCol w:w="683"/>
        <w:gridCol w:w="697"/>
        <w:gridCol w:w="697"/>
        <w:gridCol w:w="698"/>
        <w:gridCol w:w="699"/>
        <w:gridCol w:w="663"/>
        <w:gridCol w:w="600"/>
        <w:gridCol w:w="577"/>
      </w:tblGrid>
      <w:tr>
        <w:tblPrEx>
          <w:tblW w:w="1075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47"/>
        </w:trPr>
        <w:tc>
          <w:tcPr>
            <w:tcW w:w="1080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50" w:line="216" w:lineRule="auto"/>
              <w:ind w:left="280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股票简称</w:t>
            </w:r>
          </w:p>
        </w:tc>
        <w:tc>
          <w:tcPr>
            <w:tcW w:w="1045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50" w:line="216" w:lineRule="auto"/>
              <w:ind w:left="244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股票代码</w:t>
            </w:r>
          </w:p>
        </w:tc>
        <w:tc>
          <w:tcPr>
            <w:tcW w:w="528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50" w:line="218" w:lineRule="auto"/>
              <w:ind w:left="104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货币</w:t>
            </w:r>
          </w:p>
        </w:tc>
        <w:tc>
          <w:tcPr>
            <w:tcW w:w="638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87" w:line="326" w:lineRule="exact"/>
              <w:ind w:left="182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position w:val="1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最新</w:t>
            </w:r>
          </w:p>
          <w:p>
            <w:pPr>
              <w:pStyle w:val="TableText"/>
              <w:spacing w:line="224" w:lineRule="auto"/>
              <w:ind w:left="102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收盘价</w:t>
            </w:r>
          </w:p>
        </w:tc>
        <w:tc>
          <w:tcPr>
            <w:tcW w:w="900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86" w:line="215" w:lineRule="auto"/>
              <w:ind w:left="312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最近</w:t>
            </w:r>
          </w:p>
          <w:p>
            <w:pPr>
              <w:pStyle w:val="TableText"/>
              <w:spacing w:before="139" w:line="218" w:lineRule="auto"/>
              <w:ind w:left="142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报告日期</w:t>
            </w:r>
          </w:p>
        </w:tc>
        <w:tc>
          <w:tcPr>
            <w:tcW w:w="433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50" w:line="216" w:lineRule="auto"/>
              <w:ind w:left="41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评级</w:t>
            </w:r>
          </w:p>
        </w:tc>
        <w:tc>
          <w:tcPr>
            <w:tcW w:w="818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87" w:line="326" w:lineRule="exact"/>
              <w:ind w:left="72"/>
              <w:rPr>
                <w:sz w:val="16"/>
                <w:szCs w:val="16"/>
              </w:rPr>
            </w:pPr>
            <w:r>
              <w:rPr>
                <w:color w:val="1F497D"/>
                <w:position w:val="1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合理价值</w:t>
            </w:r>
          </w:p>
          <w:p>
            <w:pPr>
              <w:pStyle w:val="TableText"/>
              <w:spacing w:line="239" w:lineRule="auto"/>
              <w:ind w:left="50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（元</w:t>
            </w:r>
            <w:r>
              <w:rPr>
                <w:rFonts w:ascii="Arial" w:eastAsia="Arial" w:hAnsi="Arial" w:cs="Arial"/>
                <w:b/>
                <w:bCs/>
                <w:color w:val="1F497D"/>
                <w:sz w:val="16"/>
                <w:szCs w:val="16"/>
              </w:rPr>
              <w:t>/</w:t>
            </w:r>
            <w:r>
              <w:rPr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股）</w:t>
            </w:r>
          </w:p>
        </w:tc>
        <w:tc>
          <w:tcPr>
            <w:tcW w:w="1380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87" w:line="213" w:lineRule="auto"/>
              <w:ind w:left="4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2"/>
                <w:sz w:val="16"/>
                <w:szCs w:val="16"/>
              </w:rPr>
              <w:t>EPS(</w:t>
            </w:r>
            <w:r>
              <w:rPr>
                <w:color w:val="1F497D"/>
                <w:spacing w:val="-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元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2"/>
                <w:sz w:val="16"/>
                <w:szCs w:val="16"/>
              </w:rPr>
              <w:t>)</w:t>
            </w:r>
          </w:p>
        </w:tc>
        <w:tc>
          <w:tcPr>
            <w:tcW w:w="1395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spacing w:before="108" w:line="197" w:lineRule="auto"/>
              <w:ind w:left="5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2"/>
                <w:sz w:val="16"/>
                <w:szCs w:val="16"/>
              </w:rPr>
              <w:t>PE(x)</w:t>
            </w:r>
          </w:p>
        </w:tc>
        <w:tc>
          <w:tcPr>
            <w:tcW w:w="1362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spacing w:before="108" w:line="197" w:lineRule="auto"/>
              <w:ind w:left="18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2"/>
                <w:sz w:val="16"/>
                <w:szCs w:val="16"/>
              </w:rPr>
              <w:t>EV/EBITDA(x)</w:t>
            </w:r>
          </w:p>
        </w:tc>
        <w:tc>
          <w:tcPr>
            <w:tcW w:w="1177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spacing w:before="108" w:line="197" w:lineRule="auto"/>
              <w:ind w:left="3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2"/>
                <w:sz w:val="16"/>
                <w:szCs w:val="16"/>
              </w:rPr>
              <w:t>ROE(%)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319"/>
        </w:trPr>
        <w:tc>
          <w:tcPr>
            <w:tcW w:w="1080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5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8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8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3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3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5" w:lineRule="auto"/>
              <w:ind w:left="10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697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5" w:lineRule="auto"/>
              <w:ind w:left="12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697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5" w:lineRule="auto"/>
              <w:ind w:left="12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698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5" w:lineRule="auto"/>
              <w:ind w:left="12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699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5" w:lineRule="auto"/>
              <w:ind w:left="12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663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5" w:lineRule="auto"/>
              <w:ind w:left="12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600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5" w:lineRule="auto"/>
              <w:ind w:left="8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577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5" w:lineRule="auto"/>
              <w:ind w:left="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319"/>
        </w:trPr>
        <w:tc>
          <w:tcPr>
            <w:tcW w:w="1080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8" w:line="218" w:lineRule="auto"/>
              <w:ind w:left="296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中国中免</w:t>
            </w:r>
          </w:p>
        </w:tc>
        <w:tc>
          <w:tcPr>
            <w:tcW w:w="1045" w:type="dxa"/>
            <w:tcBorders>
              <w:top w:val="single" w:sz="6" w:space="0" w:color="000000"/>
            </w:tcBorders>
            <w:vAlign w:val="top"/>
          </w:tcPr>
          <w:p>
            <w:pPr>
              <w:spacing w:before="96" w:line="197" w:lineRule="auto"/>
              <w:ind w:left="16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601888.SH</w:t>
            </w:r>
          </w:p>
        </w:tc>
        <w:tc>
          <w:tcPr>
            <w:tcW w:w="528" w:type="dxa"/>
            <w:tcBorders>
              <w:top w:val="single" w:sz="6" w:space="0" w:color="000000"/>
            </w:tcBorders>
            <w:vAlign w:val="top"/>
          </w:tcPr>
          <w:p>
            <w:pPr>
              <w:spacing w:before="96" w:line="197" w:lineRule="auto"/>
              <w:ind w:left="9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638" w:type="dxa"/>
            <w:tcBorders>
              <w:top w:val="single" w:sz="6" w:space="0" w:color="000000"/>
            </w:tcBorders>
            <w:vAlign w:val="top"/>
          </w:tcPr>
          <w:p>
            <w:pPr>
              <w:spacing w:before="98" w:line="195" w:lineRule="auto"/>
              <w:ind w:left="13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79.61</w:t>
            </w:r>
          </w:p>
        </w:tc>
        <w:tc>
          <w:tcPr>
            <w:tcW w:w="900" w:type="dxa"/>
            <w:tcBorders>
              <w:top w:val="single" w:sz="6" w:space="0" w:color="000000"/>
            </w:tcBorders>
            <w:vAlign w:val="top"/>
          </w:tcPr>
          <w:p>
            <w:pPr>
              <w:spacing w:before="96" w:line="197" w:lineRule="auto"/>
              <w:ind w:left="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2023/08/25</w:t>
            </w:r>
          </w:p>
        </w:tc>
        <w:tc>
          <w:tcPr>
            <w:tcW w:w="433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8" w:line="226" w:lineRule="auto"/>
              <w:ind w:left="5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18" w:type="dxa"/>
            <w:tcBorders>
              <w:top w:val="single" w:sz="6" w:space="0" w:color="000000"/>
            </w:tcBorders>
            <w:vAlign w:val="top"/>
          </w:tcPr>
          <w:p>
            <w:pPr>
              <w:spacing w:before="98" w:line="195" w:lineRule="auto"/>
              <w:ind w:left="16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122.20</w:t>
            </w:r>
          </w:p>
        </w:tc>
        <w:tc>
          <w:tcPr>
            <w:tcW w:w="683" w:type="dxa"/>
            <w:tcBorders>
              <w:top w:val="single" w:sz="6" w:space="0" w:color="000000"/>
            </w:tcBorders>
            <w:vAlign w:val="top"/>
          </w:tcPr>
          <w:p>
            <w:pPr>
              <w:spacing w:before="98" w:line="195" w:lineRule="auto"/>
              <w:ind w:left="18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3.49</w:t>
            </w:r>
          </w:p>
        </w:tc>
        <w:tc>
          <w:tcPr>
            <w:tcW w:w="697" w:type="dxa"/>
            <w:tcBorders>
              <w:top w:val="single" w:sz="6" w:space="0" w:color="000000"/>
            </w:tcBorders>
            <w:vAlign w:val="top"/>
          </w:tcPr>
          <w:p>
            <w:pPr>
              <w:spacing w:before="98" w:line="195" w:lineRule="auto"/>
              <w:ind w:left="2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5.08</w:t>
            </w:r>
          </w:p>
        </w:tc>
        <w:tc>
          <w:tcPr>
            <w:tcW w:w="697" w:type="dxa"/>
            <w:tcBorders>
              <w:top w:val="single" w:sz="6" w:space="0" w:color="000000"/>
            </w:tcBorders>
            <w:vAlign w:val="top"/>
          </w:tcPr>
          <w:p>
            <w:pPr>
              <w:spacing w:before="98" w:line="195" w:lineRule="auto"/>
              <w:ind w:left="15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22.81</w:t>
            </w:r>
          </w:p>
        </w:tc>
        <w:tc>
          <w:tcPr>
            <w:tcW w:w="698" w:type="dxa"/>
            <w:tcBorders>
              <w:top w:val="single" w:sz="6" w:space="0" w:color="000000"/>
            </w:tcBorders>
            <w:vAlign w:val="top"/>
          </w:tcPr>
          <w:p>
            <w:pPr>
              <w:spacing w:before="98" w:line="195" w:lineRule="auto"/>
              <w:ind w:left="16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15.67</w:t>
            </w:r>
          </w:p>
        </w:tc>
        <w:tc>
          <w:tcPr>
            <w:tcW w:w="699" w:type="dxa"/>
            <w:tcBorders>
              <w:top w:val="single" w:sz="6" w:space="0" w:color="000000"/>
            </w:tcBorders>
            <w:vAlign w:val="top"/>
          </w:tcPr>
          <w:p>
            <w:pPr>
              <w:spacing w:before="98" w:line="195" w:lineRule="auto"/>
              <w:ind w:left="16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12.91</w:t>
            </w:r>
          </w:p>
        </w:tc>
        <w:tc>
          <w:tcPr>
            <w:tcW w:w="663" w:type="dxa"/>
            <w:tcBorders>
              <w:top w:val="single" w:sz="6" w:space="0" w:color="000000"/>
            </w:tcBorders>
            <w:vAlign w:val="top"/>
          </w:tcPr>
          <w:p>
            <w:pPr>
              <w:spacing w:before="98" w:line="195" w:lineRule="auto"/>
              <w:ind w:left="2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9.65</w:t>
            </w:r>
          </w:p>
        </w:tc>
        <w:tc>
          <w:tcPr>
            <w:tcW w:w="600" w:type="dxa"/>
            <w:tcBorders>
              <w:top w:val="single" w:sz="6" w:space="0" w:color="000000"/>
            </w:tcBorders>
            <w:vAlign w:val="top"/>
          </w:tcPr>
          <w:p>
            <w:pPr>
              <w:spacing w:before="98" w:line="195" w:lineRule="auto"/>
              <w:ind w:left="1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13.10</w:t>
            </w:r>
          </w:p>
        </w:tc>
        <w:tc>
          <w:tcPr>
            <w:tcW w:w="577" w:type="dxa"/>
            <w:tcBorders>
              <w:top w:val="single" w:sz="6" w:space="0" w:color="000000"/>
            </w:tcBorders>
            <w:vAlign w:val="top"/>
          </w:tcPr>
          <w:p>
            <w:pPr>
              <w:spacing w:before="98" w:line="195" w:lineRule="auto"/>
              <w:ind w:left="1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16.10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330"/>
        </w:trPr>
        <w:tc>
          <w:tcPr>
            <w:tcW w:w="1080" w:type="dxa"/>
            <w:vAlign w:val="top"/>
          </w:tcPr>
          <w:p>
            <w:pPr>
              <w:pStyle w:val="TableText"/>
              <w:spacing w:before="85" w:line="223" w:lineRule="auto"/>
              <w:ind w:left="280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青松股份</w:t>
            </w:r>
          </w:p>
        </w:tc>
        <w:tc>
          <w:tcPr>
            <w:tcW w:w="1045" w:type="dxa"/>
            <w:vAlign w:val="top"/>
          </w:tcPr>
          <w:p>
            <w:pPr>
              <w:spacing w:before="104" w:line="197" w:lineRule="auto"/>
              <w:ind w:left="1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300132.SZ</w:t>
            </w:r>
          </w:p>
        </w:tc>
        <w:tc>
          <w:tcPr>
            <w:tcW w:w="528" w:type="dxa"/>
            <w:vAlign w:val="top"/>
          </w:tcPr>
          <w:p>
            <w:pPr>
              <w:spacing w:before="104" w:line="197" w:lineRule="auto"/>
              <w:ind w:left="9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638" w:type="dxa"/>
            <w:vAlign w:val="top"/>
          </w:tcPr>
          <w:p>
            <w:pPr>
              <w:spacing w:before="105" w:line="195" w:lineRule="auto"/>
              <w:ind w:left="18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5.21</w:t>
            </w:r>
          </w:p>
        </w:tc>
        <w:tc>
          <w:tcPr>
            <w:tcW w:w="900" w:type="dxa"/>
            <w:vAlign w:val="top"/>
          </w:tcPr>
          <w:p>
            <w:pPr>
              <w:spacing w:before="104" w:line="197" w:lineRule="auto"/>
              <w:ind w:left="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2023/01/31</w:t>
            </w:r>
          </w:p>
        </w:tc>
        <w:tc>
          <w:tcPr>
            <w:tcW w:w="433" w:type="dxa"/>
            <w:vAlign w:val="top"/>
          </w:tcPr>
          <w:p>
            <w:pPr>
              <w:pStyle w:val="TableText"/>
              <w:spacing w:before="86" w:line="220" w:lineRule="auto"/>
              <w:ind w:left="4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增持</w:t>
            </w:r>
          </w:p>
        </w:tc>
        <w:tc>
          <w:tcPr>
            <w:tcW w:w="818" w:type="dxa"/>
            <w:vAlign w:val="top"/>
          </w:tcPr>
          <w:p>
            <w:pPr>
              <w:spacing w:before="105" w:line="195" w:lineRule="auto"/>
              <w:ind w:left="24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8.75</w:t>
            </w:r>
          </w:p>
        </w:tc>
        <w:tc>
          <w:tcPr>
            <w:tcW w:w="683" w:type="dxa"/>
            <w:vAlign w:val="top"/>
          </w:tcPr>
          <w:p>
            <w:pPr>
              <w:spacing w:before="105" w:line="195" w:lineRule="auto"/>
              <w:ind w:left="18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0.25</w:t>
            </w:r>
          </w:p>
        </w:tc>
        <w:tc>
          <w:tcPr>
            <w:tcW w:w="697" w:type="dxa"/>
            <w:vAlign w:val="top"/>
          </w:tcPr>
          <w:p>
            <w:pPr>
              <w:spacing w:before="105" w:line="195" w:lineRule="auto"/>
              <w:ind w:left="2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0.45</w:t>
            </w:r>
          </w:p>
        </w:tc>
        <w:tc>
          <w:tcPr>
            <w:tcW w:w="697" w:type="dxa"/>
            <w:vAlign w:val="top"/>
          </w:tcPr>
          <w:p>
            <w:pPr>
              <w:spacing w:before="105" w:line="195" w:lineRule="auto"/>
              <w:ind w:left="15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20.84</w:t>
            </w:r>
          </w:p>
        </w:tc>
        <w:tc>
          <w:tcPr>
            <w:tcW w:w="698" w:type="dxa"/>
            <w:vAlign w:val="top"/>
          </w:tcPr>
          <w:p>
            <w:pPr>
              <w:spacing w:before="105" w:line="195" w:lineRule="auto"/>
              <w:ind w:left="16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11.58</w:t>
            </w:r>
          </w:p>
        </w:tc>
        <w:tc>
          <w:tcPr>
            <w:tcW w:w="699" w:type="dxa"/>
            <w:vAlign w:val="top"/>
          </w:tcPr>
          <w:p>
            <w:pPr>
              <w:spacing w:before="105" w:line="195" w:lineRule="auto"/>
              <w:ind w:left="16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13.66</w:t>
            </w:r>
          </w:p>
        </w:tc>
        <w:tc>
          <w:tcPr>
            <w:tcW w:w="663" w:type="dxa"/>
            <w:vAlign w:val="top"/>
          </w:tcPr>
          <w:p>
            <w:pPr>
              <w:spacing w:before="105" w:line="195" w:lineRule="auto"/>
              <w:ind w:left="2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9.35</w:t>
            </w:r>
          </w:p>
        </w:tc>
        <w:tc>
          <w:tcPr>
            <w:tcW w:w="600" w:type="dxa"/>
            <w:vAlign w:val="top"/>
          </w:tcPr>
          <w:p>
            <w:pPr>
              <w:spacing w:before="105" w:line="195" w:lineRule="auto"/>
              <w:ind w:left="1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8.40</w:t>
            </w:r>
          </w:p>
        </w:tc>
        <w:tc>
          <w:tcPr>
            <w:tcW w:w="577" w:type="dxa"/>
            <w:vAlign w:val="top"/>
          </w:tcPr>
          <w:p>
            <w:pPr>
              <w:spacing w:before="105" w:line="195" w:lineRule="auto"/>
              <w:ind w:left="1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13.10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324"/>
        </w:trPr>
        <w:tc>
          <w:tcPr>
            <w:tcW w:w="1080" w:type="dxa"/>
            <w:vAlign w:val="top"/>
          </w:tcPr>
          <w:p>
            <w:pPr>
              <w:pStyle w:val="TableText"/>
              <w:spacing w:before="81" w:line="220" w:lineRule="auto"/>
              <w:ind w:left="36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周大福</w:t>
            </w:r>
          </w:p>
        </w:tc>
        <w:tc>
          <w:tcPr>
            <w:tcW w:w="1045" w:type="dxa"/>
            <w:vAlign w:val="top"/>
          </w:tcPr>
          <w:p>
            <w:pPr>
              <w:spacing w:before="102" w:line="195" w:lineRule="auto"/>
              <w:ind w:left="2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01929.HK</w:t>
            </w:r>
          </w:p>
        </w:tc>
        <w:tc>
          <w:tcPr>
            <w:tcW w:w="528" w:type="dxa"/>
            <w:vAlign w:val="top"/>
          </w:tcPr>
          <w:p>
            <w:pPr>
              <w:spacing w:before="102" w:line="194" w:lineRule="auto"/>
              <w:ind w:left="10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HKD</w:t>
            </w:r>
          </w:p>
        </w:tc>
        <w:tc>
          <w:tcPr>
            <w:tcW w:w="638" w:type="dxa"/>
            <w:vAlign w:val="top"/>
          </w:tcPr>
          <w:p>
            <w:pPr>
              <w:spacing w:before="102" w:line="195" w:lineRule="auto"/>
              <w:ind w:left="14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11.10</w:t>
            </w:r>
          </w:p>
        </w:tc>
        <w:tc>
          <w:tcPr>
            <w:tcW w:w="900" w:type="dxa"/>
            <w:vAlign w:val="top"/>
          </w:tcPr>
          <w:p>
            <w:pPr>
              <w:spacing w:before="100" w:line="197" w:lineRule="auto"/>
              <w:ind w:left="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2023/10/16</w:t>
            </w:r>
          </w:p>
        </w:tc>
        <w:tc>
          <w:tcPr>
            <w:tcW w:w="433" w:type="dxa"/>
            <w:vAlign w:val="top"/>
          </w:tcPr>
          <w:p>
            <w:pPr>
              <w:pStyle w:val="TableText"/>
              <w:spacing w:before="82" w:line="226" w:lineRule="auto"/>
              <w:ind w:left="5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18" w:type="dxa"/>
            <w:vAlign w:val="top"/>
          </w:tcPr>
          <w:p>
            <w:pPr>
              <w:spacing w:before="102" w:line="195" w:lineRule="auto"/>
              <w:ind w:left="2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18.62</w:t>
            </w:r>
          </w:p>
        </w:tc>
        <w:tc>
          <w:tcPr>
            <w:tcW w:w="683" w:type="dxa"/>
            <w:vAlign w:val="top"/>
          </w:tcPr>
          <w:p>
            <w:pPr>
              <w:spacing w:before="102" w:line="195" w:lineRule="auto"/>
              <w:ind w:left="18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0.74</w:t>
            </w:r>
          </w:p>
        </w:tc>
        <w:tc>
          <w:tcPr>
            <w:tcW w:w="697" w:type="dxa"/>
            <w:vAlign w:val="top"/>
          </w:tcPr>
          <w:p>
            <w:pPr>
              <w:spacing w:before="102" w:line="195" w:lineRule="auto"/>
              <w:ind w:left="2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0.87</w:t>
            </w:r>
          </w:p>
        </w:tc>
        <w:tc>
          <w:tcPr>
            <w:tcW w:w="697" w:type="dxa"/>
            <w:vAlign w:val="top"/>
          </w:tcPr>
          <w:p>
            <w:pPr>
              <w:spacing w:before="102" w:line="195" w:lineRule="auto"/>
              <w:ind w:left="16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15.00</w:t>
            </w:r>
          </w:p>
        </w:tc>
        <w:tc>
          <w:tcPr>
            <w:tcW w:w="698" w:type="dxa"/>
            <w:vAlign w:val="top"/>
          </w:tcPr>
          <w:p>
            <w:pPr>
              <w:spacing w:before="102" w:line="195" w:lineRule="auto"/>
              <w:ind w:left="16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12.76</w:t>
            </w:r>
          </w:p>
        </w:tc>
        <w:tc>
          <w:tcPr>
            <w:tcW w:w="699" w:type="dxa"/>
            <w:vAlign w:val="top"/>
          </w:tcPr>
          <w:p>
            <w:pPr>
              <w:spacing w:before="102" w:line="195" w:lineRule="auto"/>
              <w:ind w:left="2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8.52</w:t>
            </w:r>
          </w:p>
        </w:tc>
        <w:tc>
          <w:tcPr>
            <w:tcW w:w="663" w:type="dxa"/>
            <w:vAlign w:val="top"/>
          </w:tcPr>
          <w:p>
            <w:pPr>
              <w:spacing w:before="102" w:line="195" w:lineRule="auto"/>
              <w:ind w:left="2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7.53</w:t>
            </w:r>
          </w:p>
        </w:tc>
        <w:tc>
          <w:tcPr>
            <w:tcW w:w="600" w:type="dxa"/>
            <w:vAlign w:val="top"/>
          </w:tcPr>
          <w:p>
            <w:pPr>
              <w:spacing w:before="102" w:line="195" w:lineRule="auto"/>
              <w:ind w:left="1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18.69</w:t>
            </w:r>
          </w:p>
        </w:tc>
        <w:tc>
          <w:tcPr>
            <w:tcW w:w="577" w:type="dxa"/>
            <w:vAlign w:val="top"/>
          </w:tcPr>
          <w:p>
            <w:pPr>
              <w:spacing w:before="102" w:line="195" w:lineRule="auto"/>
              <w:ind w:left="1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17.87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321"/>
        </w:trPr>
        <w:tc>
          <w:tcPr>
            <w:tcW w:w="1080" w:type="dxa"/>
            <w:vAlign w:val="top"/>
          </w:tcPr>
          <w:p>
            <w:pPr>
              <w:pStyle w:val="TableText"/>
              <w:spacing w:before="84" w:line="226" w:lineRule="auto"/>
              <w:ind w:left="281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迪阿股份</w:t>
            </w:r>
          </w:p>
        </w:tc>
        <w:tc>
          <w:tcPr>
            <w:tcW w:w="1045" w:type="dxa"/>
            <w:vAlign w:val="top"/>
          </w:tcPr>
          <w:p>
            <w:pPr>
              <w:spacing w:before="102" w:line="197" w:lineRule="auto"/>
              <w:ind w:left="1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301177.SZ</w:t>
            </w:r>
          </w:p>
        </w:tc>
        <w:tc>
          <w:tcPr>
            <w:tcW w:w="528" w:type="dxa"/>
            <w:vAlign w:val="top"/>
          </w:tcPr>
          <w:p>
            <w:pPr>
              <w:spacing w:before="102" w:line="197" w:lineRule="auto"/>
              <w:ind w:left="9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638" w:type="dxa"/>
            <w:vAlign w:val="top"/>
          </w:tcPr>
          <w:p>
            <w:pPr>
              <w:spacing w:before="104" w:line="195" w:lineRule="auto"/>
              <w:ind w:left="13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28.66</w:t>
            </w:r>
          </w:p>
        </w:tc>
        <w:tc>
          <w:tcPr>
            <w:tcW w:w="900" w:type="dxa"/>
            <w:vAlign w:val="top"/>
          </w:tcPr>
          <w:p>
            <w:pPr>
              <w:spacing w:before="102" w:line="197" w:lineRule="auto"/>
              <w:ind w:left="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2023/05/07</w:t>
            </w:r>
          </w:p>
        </w:tc>
        <w:tc>
          <w:tcPr>
            <w:tcW w:w="433" w:type="dxa"/>
            <w:vAlign w:val="top"/>
          </w:tcPr>
          <w:p>
            <w:pPr>
              <w:pStyle w:val="TableText"/>
              <w:spacing w:before="84" w:line="226" w:lineRule="auto"/>
              <w:ind w:left="5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18" w:type="dxa"/>
            <w:vAlign w:val="top"/>
          </w:tcPr>
          <w:p>
            <w:pPr>
              <w:spacing w:before="104" w:line="195" w:lineRule="auto"/>
              <w:ind w:left="19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50.31</w:t>
            </w:r>
          </w:p>
        </w:tc>
        <w:tc>
          <w:tcPr>
            <w:tcW w:w="683" w:type="dxa"/>
            <w:vAlign w:val="top"/>
          </w:tcPr>
          <w:p>
            <w:pPr>
              <w:spacing w:before="104" w:line="195" w:lineRule="auto"/>
              <w:ind w:left="18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2.01</w:t>
            </w:r>
          </w:p>
        </w:tc>
        <w:tc>
          <w:tcPr>
            <w:tcW w:w="697" w:type="dxa"/>
            <w:vAlign w:val="top"/>
          </w:tcPr>
          <w:p>
            <w:pPr>
              <w:spacing w:before="104" w:line="195" w:lineRule="auto"/>
              <w:ind w:left="2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2.41</w:t>
            </w:r>
          </w:p>
        </w:tc>
        <w:tc>
          <w:tcPr>
            <w:tcW w:w="697" w:type="dxa"/>
            <w:vAlign w:val="top"/>
          </w:tcPr>
          <w:p>
            <w:pPr>
              <w:spacing w:before="104" w:line="195" w:lineRule="auto"/>
              <w:ind w:left="16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14.26</w:t>
            </w:r>
          </w:p>
        </w:tc>
        <w:tc>
          <w:tcPr>
            <w:tcW w:w="698" w:type="dxa"/>
            <w:vAlign w:val="top"/>
          </w:tcPr>
          <w:p>
            <w:pPr>
              <w:spacing w:before="104" w:line="195" w:lineRule="auto"/>
              <w:ind w:left="16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11.89</w:t>
            </w:r>
          </w:p>
        </w:tc>
        <w:tc>
          <w:tcPr>
            <w:tcW w:w="699" w:type="dxa"/>
            <w:vAlign w:val="top"/>
          </w:tcPr>
          <w:p>
            <w:pPr>
              <w:spacing w:before="104" w:line="195" w:lineRule="auto"/>
              <w:ind w:left="2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8.21</w:t>
            </w:r>
          </w:p>
        </w:tc>
        <w:tc>
          <w:tcPr>
            <w:tcW w:w="663" w:type="dxa"/>
            <w:vAlign w:val="top"/>
          </w:tcPr>
          <w:p>
            <w:pPr>
              <w:spacing w:before="104" w:line="195" w:lineRule="auto"/>
              <w:ind w:left="2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7.13</w:t>
            </w:r>
          </w:p>
        </w:tc>
        <w:tc>
          <w:tcPr>
            <w:tcW w:w="600" w:type="dxa"/>
            <w:vAlign w:val="top"/>
          </w:tcPr>
          <w:p>
            <w:pPr>
              <w:spacing w:before="104" w:line="195" w:lineRule="auto"/>
              <w:ind w:left="1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10.60</w:t>
            </w:r>
          </w:p>
        </w:tc>
        <w:tc>
          <w:tcPr>
            <w:tcW w:w="577" w:type="dxa"/>
            <w:vAlign w:val="top"/>
          </w:tcPr>
          <w:p>
            <w:pPr>
              <w:spacing w:before="104" w:line="195" w:lineRule="auto"/>
              <w:ind w:left="1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11.20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330"/>
        </w:trPr>
        <w:tc>
          <w:tcPr>
            <w:tcW w:w="1080" w:type="dxa"/>
            <w:vAlign w:val="top"/>
          </w:tcPr>
          <w:p>
            <w:pPr>
              <w:pStyle w:val="TableText"/>
              <w:spacing w:before="89" w:line="218" w:lineRule="auto"/>
              <w:ind w:left="363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老凤祥</w:t>
            </w:r>
          </w:p>
        </w:tc>
        <w:tc>
          <w:tcPr>
            <w:tcW w:w="1045" w:type="dxa"/>
            <w:vAlign w:val="top"/>
          </w:tcPr>
          <w:p>
            <w:pPr>
              <w:spacing w:before="108" w:line="197" w:lineRule="auto"/>
              <w:ind w:left="16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600612.SH</w:t>
            </w:r>
          </w:p>
        </w:tc>
        <w:tc>
          <w:tcPr>
            <w:tcW w:w="528" w:type="dxa"/>
            <w:vAlign w:val="top"/>
          </w:tcPr>
          <w:p>
            <w:pPr>
              <w:spacing w:before="108" w:line="197" w:lineRule="auto"/>
              <w:ind w:left="9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638" w:type="dxa"/>
            <w:vAlign w:val="top"/>
          </w:tcPr>
          <w:p>
            <w:pPr>
              <w:spacing w:before="109" w:line="195" w:lineRule="auto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68.40</w:t>
            </w:r>
          </w:p>
        </w:tc>
        <w:tc>
          <w:tcPr>
            <w:tcW w:w="900" w:type="dxa"/>
            <w:vAlign w:val="top"/>
          </w:tcPr>
          <w:p>
            <w:pPr>
              <w:spacing w:before="108" w:line="197" w:lineRule="auto"/>
              <w:ind w:left="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2023/10/27</w:t>
            </w:r>
          </w:p>
        </w:tc>
        <w:tc>
          <w:tcPr>
            <w:tcW w:w="433" w:type="dxa"/>
            <w:vAlign w:val="top"/>
          </w:tcPr>
          <w:p>
            <w:pPr>
              <w:pStyle w:val="TableText"/>
              <w:spacing w:before="90" w:line="226" w:lineRule="auto"/>
              <w:ind w:left="5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18" w:type="dxa"/>
            <w:vAlign w:val="top"/>
          </w:tcPr>
          <w:p>
            <w:pPr>
              <w:spacing w:before="109" w:line="195" w:lineRule="auto"/>
              <w:ind w:left="19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84.63</w:t>
            </w:r>
          </w:p>
        </w:tc>
        <w:tc>
          <w:tcPr>
            <w:tcW w:w="683" w:type="dxa"/>
            <w:vAlign w:val="top"/>
          </w:tcPr>
          <w:p>
            <w:pPr>
              <w:spacing w:before="110" w:line="194" w:lineRule="auto"/>
              <w:ind w:left="18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4.44</w:t>
            </w:r>
          </w:p>
        </w:tc>
        <w:tc>
          <w:tcPr>
            <w:tcW w:w="697" w:type="dxa"/>
            <w:vAlign w:val="top"/>
          </w:tcPr>
          <w:p>
            <w:pPr>
              <w:spacing w:before="109" w:line="195" w:lineRule="auto"/>
              <w:ind w:left="2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5.15</w:t>
            </w:r>
          </w:p>
        </w:tc>
        <w:tc>
          <w:tcPr>
            <w:tcW w:w="697" w:type="dxa"/>
            <w:vAlign w:val="top"/>
          </w:tcPr>
          <w:p>
            <w:pPr>
              <w:spacing w:before="109" w:line="195" w:lineRule="auto"/>
              <w:ind w:left="16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15.41</w:t>
            </w:r>
          </w:p>
        </w:tc>
        <w:tc>
          <w:tcPr>
            <w:tcW w:w="698" w:type="dxa"/>
            <w:vAlign w:val="top"/>
          </w:tcPr>
          <w:p>
            <w:pPr>
              <w:spacing w:before="109" w:line="195" w:lineRule="auto"/>
              <w:ind w:left="16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13.28</w:t>
            </w:r>
          </w:p>
        </w:tc>
        <w:tc>
          <w:tcPr>
            <w:tcW w:w="699" w:type="dxa"/>
            <w:vAlign w:val="top"/>
          </w:tcPr>
          <w:p>
            <w:pPr>
              <w:spacing w:before="109" w:line="195" w:lineRule="auto"/>
              <w:ind w:left="2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7.73</w:t>
            </w:r>
          </w:p>
        </w:tc>
        <w:tc>
          <w:tcPr>
            <w:tcW w:w="663" w:type="dxa"/>
            <w:vAlign w:val="top"/>
          </w:tcPr>
          <w:p>
            <w:pPr>
              <w:spacing w:before="109" w:line="195" w:lineRule="auto"/>
              <w:ind w:left="2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6.90</w:t>
            </w:r>
          </w:p>
        </w:tc>
        <w:tc>
          <w:tcPr>
            <w:tcW w:w="600" w:type="dxa"/>
            <w:vAlign w:val="top"/>
          </w:tcPr>
          <w:p>
            <w:pPr>
              <w:spacing w:before="109" w:line="195" w:lineRule="auto"/>
              <w:ind w:left="1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18.60</w:t>
            </w:r>
          </w:p>
        </w:tc>
        <w:tc>
          <w:tcPr>
            <w:tcW w:w="577" w:type="dxa"/>
            <w:vAlign w:val="top"/>
          </w:tcPr>
          <w:p>
            <w:pPr>
              <w:spacing w:before="109" w:line="195" w:lineRule="auto"/>
              <w:ind w:left="1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17.80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323"/>
        </w:trPr>
        <w:tc>
          <w:tcPr>
            <w:tcW w:w="1080" w:type="dxa"/>
            <w:vAlign w:val="top"/>
          </w:tcPr>
          <w:p>
            <w:pPr>
              <w:pStyle w:val="TableText"/>
              <w:spacing w:before="83" w:line="220" w:lineRule="auto"/>
              <w:ind w:left="36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周大生</w:t>
            </w:r>
          </w:p>
        </w:tc>
        <w:tc>
          <w:tcPr>
            <w:tcW w:w="1045" w:type="dxa"/>
            <w:vAlign w:val="top"/>
          </w:tcPr>
          <w:p>
            <w:pPr>
              <w:spacing w:before="102" w:line="197" w:lineRule="auto"/>
              <w:ind w:left="1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002867.SZ</w:t>
            </w:r>
          </w:p>
        </w:tc>
        <w:tc>
          <w:tcPr>
            <w:tcW w:w="528" w:type="dxa"/>
            <w:vAlign w:val="top"/>
          </w:tcPr>
          <w:p>
            <w:pPr>
              <w:spacing w:before="102" w:line="197" w:lineRule="auto"/>
              <w:ind w:left="9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638" w:type="dxa"/>
            <w:vAlign w:val="top"/>
          </w:tcPr>
          <w:p>
            <w:pPr>
              <w:spacing w:before="103" w:line="195" w:lineRule="auto"/>
              <w:ind w:left="14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15.65</w:t>
            </w:r>
          </w:p>
        </w:tc>
        <w:tc>
          <w:tcPr>
            <w:tcW w:w="900" w:type="dxa"/>
            <w:vAlign w:val="top"/>
          </w:tcPr>
          <w:p>
            <w:pPr>
              <w:spacing w:before="102" w:line="197" w:lineRule="auto"/>
              <w:ind w:left="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2023/11/02</w:t>
            </w:r>
          </w:p>
        </w:tc>
        <w:tc>
          <w:tcPr>
            <w:tcW w:w="433" w:type="dxa"/>
            <w:vAlign w:val="top"/>
          </w:tcPr>
          <w:p>
            <w:pPr>
              <w:pStyle w:val="TableText"/>
              <w:spacing w:before="84" w:line="226" w:lineRule="auto"/>
              <w:ind w:left="5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18" w:type="dxa"/>
            <w:vAlign w:val="top"/>
          </w:tcPr>
          <w:p>
            <w:pPr>
              <w:spacing w:before="103" w:line="195" w:lineRule="auto"/>
              <w:ind w:left="19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22.81</w:t>
            </w:r>
          </w:p>
        </w:tc>
        <w:tc>
          <w:tcPr>
            <w:tcW w:w="683" w:type="dxa"/>
            <w:vAlign w:val="top"/>
          </w:tcPr>
          <w:p>
            <w:pPr>
              <w:spacing w:before="104" w:line="195" w:lineRule="auto"/>
              <w:ind w:left="19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1.27</w:t>
            </w:r>
          </w:p>
        </w:tc>
        <w:tc>
          <w:tcPr>
            <w:tcW w:w="697" w:type="dxa"/>
            <w:vAlign w:val="top"/>
          </w:tcPr>
          <w:p>
            <w:pPr>
              <w:spacing w:before="103" w:line="195" w:lineRule="auto"/>
              <w:ind w:left="21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1.51</w:t>
            </w:r>
          </w:p>
        </w:tc>
        <w:tc>
          <w:tcPr>
            <w:tcW w:w="697" w:type="dxa"/>
            <w:vAlign w:val="top"/>
          </w:tcPr>
          <w:p>
            <w:pPr>
              <w:spacing w:before="103" w:line="195" w:lineRule="auto"/>
              <w:ind w:left="16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12.32</w:t>
            </w:r>
          </w:p>
        </w:tc>
        <w:tc>
          <w:tcPr>
            <w:tcW w:w="698" w:type="dxa"/>
            <w:vAlign w:val="top"/>
          </w:tcPr>
          <w:p>
            <w:pPr>
              <w:spacing w:before="103" w:line="195" w:lineRule="auto"/>
              <w:ind w:left="16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10.36</w:t>
            </w:r>
          </w:p>
        </w:tc>
        <w:tc>
          <w:tcPr>
            <w:tcW w:w="699" w:type="dxa"/>
            <w:vAlign w:val="top"/>
          </w:tcPr>
          <w:p>
            <w:pPr>
              <w:spacing w:before="103" w:line="195" w:lineRule="auto"/>
              <w:ind w:left="2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9.33</w:t>
            </w:r>
          </w:p>
        </w:tc>
        <w:tc>
          <w:tcPr>
            <w:tcW w:w="663" w:type="dxa"/>
            <w:vAlign w:val="top"/>
          </w:tcPr>
          <w:p>
            <w:pPr>
              <w:spacing w:before="103" w:line="195" w:lineRule="auto"/>
              <w:ind w:left="2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7.87</w:t>
            </w:r>
          </w:p>
        </w:tc>
        <w:tc>
          <w:tcPr>
            <w:tcW w:w="600" w:type="dxa"/>
            <w:vAlign w:val="top"/>
          </w:tcPr>
          <w:p>
            <w:pPr>
              <w:spacing w:before="103" w:line="195" w:lineRule="auto"/>
              <w:ind w:left="1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19.80</w:t>
            </w:r>
          </w:p>
        </w:tc>
        <w:tc>
          <w:tcPr>
            <w:tcW w:w="577" w:type="dxa"/>
            <w:vAlign w:val="top"/>
          </w:tcPr>
          <w:p>
            <w:pPr>
              <w:spacing w:before="103" w:line="195" w:lineRule="auto"/>
              <w:ind w:left="1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19.80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328"/>
        </w:trPr>
        <w:tc>
          <w:tcPr>
            <w:tcW w:w="1080" w:type="dxa"/>
            <w:vAlign w:val="top"/>
          </w:tcPr>
          <w:p>
            <w:pPr>
              <w:pStyle w:val="TableText"/>
              <w:spacing w:before="86" w:line="218" w:lineRule="auto"/>
              <w:ind w:left="283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华熙生物</w:t>
            </w:r>
          </w:p>
        </w:tc>
        <w:tc>
          <w:tcPr>
            <w:tcW w:w="1045" w:type="dxa"/>
            <w:vAlign w:val="top"/>
          </w:tcPr>
          <w:p>
            <w:pPr>
              <w:spacing w:before="105" w:line="197" w:lineRule="auto"/>
              <w:ind w:left="16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688363.SH</w:t>
            </w:r>
          </w:p>
        </w:tc>
        <w:tc>
          <w:tcPr>
            <w:tcW w:w="528" w:type="dxa"/>
            <w:vAlign w:val="top"/>
          </w:tcPr>
          <w:p>
            <w:pPr>
              <w:spacing w:before="105" w:line="197" w:lineRule="auto"/>
              <w:ind w:left="9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638" w:type="dxa"/>
            <w:vAlign w:val="top"/>
          </w:tcPr>
          <w:p>
            <w:pPr>
              <w:spacing w:before="107" w:line="195" w:lineRule="auto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64.27</w:t>
            </w:r>
          </w:p>
        </w:tc>
        <w:tc>
          <w:tcPr>
            <w:tcW w:w="900" w:type="dxa"/>
            <w:vAlign w:val="top"/>
          </w:tcPr>
          <w:p>
            <w:pPr>
              <w:spacing w:before="105" w:line="197" w:lineRule="auto"/>
              <w:ind w:left="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2023/10/31</w:t>
            </w:r>
          </w:p>
        </w:tc>
        <w:tc>
          <w:tcPr>
            <w:tcW w:w="433" w:type="dxa"/>
            <w:vAlign w:val="top"/>
          </w:tcPr>
          <w:p>
            <w:pPr>
              <w:pStyle w:val="TableText"/>
              <w:spacing w:before="87" w:line="220" w:lineRule="auto"/>
              <w:ind w:left="4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增持</w:t>
            </w:r>
          </w:p>
        </w:tc>
        <w:tc>
          <w:tcPr>
            <w:tcW w:w="818" w:type="dxa"/>
            <w:vAlign w:val="top"/>
          </w:tcPr>
          <w:p>
            <w:pPr>
              <w:spacing w:before="107" w:line="195" w:lineRule="auto"/>
              <w:ind w:left="19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94.42</w:t>
            </w:r>
          </w:p>
        </w:tc>
        <w:tc>
          <w:tcPr>
            <w:tcW w:w="683" w:type="dxa"/>
            <w:vAlign w:val="top"/>
          </w:tcPr>
          <w:p>
            <w:pPr>
              <w:spacing w:before="107" w:line="195" w:lineRule="auto"/>
              <w:ind w:left="19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1.68</w:t>
            </w:r>
          </w:p>
        </w:tc>
        <w:tc>
          <w:tcPr>
            <w:tcW w:w="697" w:type="dxa"/>
            <w:vAlign w:val="top"/>
          </w:tcPr>
          <w:p>
            <w:pPr>
              <w:spacing w:before="107" w:line="195" w:lineRule="auto"/>
              <w:ind w:left="2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2.10</w:t>
            </w:r>
          </w:p>
        </w:tc>
        <w:tc>
          <w:tcPr>
            <w:tcW w:w="697" w:type="dxa"/>
            <w:vAlign w:val="top"/>
          </w:tcPr>
          <w:p>
            <w:pPr>
              <w:spacing w:before="107" w:line="195" w:lineRule="auto"/>
              <w:ind w:left="15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38.26</w:t>
            </w:r>
          </w:p>
        </w:tc>
        <w:tc>
          <w:tcPr>
            <w:tcW w:w="698" w:type="dxa"/>
            <w:vAlign w:val="top"/>
          </w:tcPr>
          <w:p>
            <w:pPr>
              <w:spacing w:before="107" w:line="195" w:lineRule="auto"/>
              <w:ind w:left="15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30.60</w:t>
            </w:r>
          </w:p>
        </w:tc>
        <w:tc>
          <w:tcPr>
            <w:tcW w:w="699" w:type="dxa"/>
            <w:vAlign w:val="top"/>
          </w:tcPr>
          <w:p>
            <w:pPr>
              <w:spacing w:before="107" w:line="195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27.76</w:t>
            </w:r>
          </w:p>
        </w:tc>
        <w:tc>
          <w:tcPr>
            <w:tcW w:w="663" w:type="dxa"/>
            <w:vAlign w:val="top"/>
          </w:tcPr>
          <w:p>
            <w:pPr>
              <w:spacing w:before="107" w:line="195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22.27</w:t>
            </w:r>
          </w:p>
        </w:tc>
        <w:tc>
          <w:tcPr>
            <w:tcW w:w="600" w:type="dxa"/>
            <w:vAlign w:val="top"/>
          </w:tcPr>
          <w:p>
            <w:pPr>
              <w:spacing w:before="107" w:line="195" w:lineRule="auto"/>
              <w:ind w:left="1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10.90</w:t>
            </w:r>
          </w:p>
        </w:tc>
        <w:tc>
          <w:tcPr>
            <w:tcW w:w="577" w:type="dxa"/>
            <w:vAlign w:val="top"/>
          </w:tcPr>
          <w:p>
            <w:pPr>
              <w:spacing w:before="107" w:line="195" w:lineRule="auto"/>
              <w:ind w:left="1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12.00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324"/>
        </w:trPr>
        <w:tc>
          <w:tcPr>
            <w:tcW w:w="1080" w:type="dxa"/>
            <w:vAlign w:val="top"/>
          </w:tcPr>
          <w:p>
            <w:pPr>
              <w:pStyle w:val="TableText"/>
              <w:spacing w:before="85" w:line="217" w:lineRule="auto"/>
              <w:ind w:left="363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珀莱雅</w:t>
            </w:r>
          </w:p>
        </w:tc>
        <w:tc>
          <w:tcPr>
            <w:tcW w:w="1045" w:type="dxa"/>
            <w:vAlign w:val="top"/>
          </w:tcPr>
          <w:p>
            <w:pPr>
              <w:spacing w:before="104" w:line="197" w:lineRule="auto"/>
              <w:ind w:left="16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603605.SH</w:t>
            </w:r>
          </w:p>
        </w:tc>
        <w:tc>
          <w:tcPr>
            <w:tcW w:w="528" w:type="dxa"/>
            <w:vAlign w:val="top"/>
          </w:tcPr>
          <w:p>
            <w:pPr>
              <w:spacing w:before="104" w:line="197" w:lineRule="auto"/>
              <w:ind w:left="9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638" w:type="dxa"/>
            <w:vAlign w:val="top"/>
          </w:tcPr>
          <w:p>
            <w:pPr>
              <w:spacing w:before="105" w:line="195" w:lineRule="auto"/>
              <w:ind w:left="13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98.26</w:t>
            </w:r>
          </w:p>
        </w:tc>
        <w:tc>
          <w:tcPr>
            <w:tcW w:w="900" w:type="dxa"/>
            <w:vAlign w:val="top"/>
          </w:tcPr>
          <w:p>
            <w:pPr>
              <w:spacing w:before="104" w:line="197" w:lineRule="auto"/>
              <w:ind w:left="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2023/10/24</w:t>
            </w:r>
          </w:p>
        </w:tc>
        <w:tc>
          <w:tcPr>
            <w:tcW w:w="433" w:type="dxa"/>
            <w:vAlign w:val="top"/>
          </w:tcPr>
          <w:p>
            <w:pPr>
              <w:pStyle w:val="TableText"/>
              <w:spacing w:before="85" w:line="226" w:lineRule="auto"/>
              <w:ind w:left="5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18" w:type="dxa"/>
            <w:vAlign w:val="top"/>
          </w:tcPr>
          <w:p>
            <w:pPr>
              <w:spacing w:before="105" w:line="195" w:lineRule="auto"/>
              <w:ind w:left="16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147.88</w:t>
            </w:r>
          </w:p>
        </w:tc>
        <w:tc>
          <w:tcPr>
            <w:tcW w:w="683" w:type="dxa"/>
            <w:vAlign w:val="top"/>
          </w:tcPr>
          <w:p>
            <w:pPr>
              <w:spacing w:before="105" w:line="195" w:lineRule="auto"/>
              <w:ind w:left="18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2.82</w:t>
            </w:r>
          </w:p>
        </w:tc>
        <w:tc>
          <w:tcPr>
            <w:tcW w:w="697" w:type="dxa"/>
            <w:vAlign w:val="top"/>
          </w:tcPr>
          <w:p>
            <w:pPr>
              <w:spacing w:before="105" w:line="195" w:lineRule="auto"/>
              <w:ind w:left="2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3.50</w:t>
            </w:r>
          </w:p>
        </w:tc>
        <w:tc>
          <w:tcPr>
            <w:tcW w:w="697" w:type="dxa"/>
            <w:vAlign w:val="top"/>
          </w:tcPr>
          <w:p>
            <w:pPr>
              <w:spacing w:before="105" w:line="195" w:lineRule="auto"/>
              <w:ind w:left="15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34.84</w:t>
            </w:r>
          </w:p>
        </w:tc>
        <w:tc>
          <w:tcPr>
            <w:tcW w:w="698" w:type="dxa"/>
            <w:vAlign w:val="top"/>
          </w:tcPr>
          <w:p>
            <w:pPr>
              <w:spacing w:before="105" w:line="195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28.07</w:t>
            </w:r>
          </w:p>
        </w:tc>
        <w:tc>
          <w:tcPr>
            <w:tcW w:w="699" w:type="dxa"/>
            <w:vAlign w:val="top"/>
          </w:tcPr>
          <w:p>
            <w:pPr>
              <w:spacing w:before="105" w:line="195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24.68</w:t>
            </w:r>
          </w:p>
        </w:tc>
        <w:tc>
          <w:tcPr>
            <w:tcW w:w="663" w:type="dxa"/>
            <w:vAlign w:val="top"/>
          </w:tcPr>
          <w:p>
            <w:pPr>
              <w:spacing w:before="105" w:line="195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20.09</w:t>
            </w:r>
          </w:p>
        </w:tc>
        <w:tc>
          <w:tcPr>
            <w:tcW w:w="600" w:type="dxa"/>
            <w:vAlign w:val="top"/>
          </w:tcPr>
          <w:p>
            <w:pPr>
              <w:spacing w:before="105" w:line="195" w:lineRule="auto"/>
              <w:ind w:left="12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23.80</w:t>
            </w:r>
          </w:p>
        </w:tc>
        <w:tc>
          <w:tcPr>
            <w:tcW w:w="577" w:type="dxa"/>
            <w:vAlign w:val="top"/>
          </w:tcPr>
          <w:p>
            <w:pPr>
              <w:spacing w:before="105" w:line="195" w:lineRule="auto"/>
              <w:ind w:left="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22.80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327"/>
        </w:trPr>
        <w:tc>
          <w:tcPr>
            <w:tcW w:w="1080" w:type="dxa"/>
            <w:vAlign w:val="top"/>
          </w:tcPr>
          <w:p>
            <w:pPr>
              <w:pStyle w:val="TableText"/>
              <w:spacing w:before="88" w:line="216" w:lineRule="auto"/>
              <w:ind w:left="373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贝泰妮</w:t>
            </w:r>
          </w:p>
        </w:tc>
        <w:tc>
          <w:tcPr>
            <w:tcW w:w="1045" w:type="dxa"/>
            <w:vAlign w:val="top"/>
          </w:tcPr>
          <w:p>
            <w:pPr>
              <w:spacing w:before="106" w:line="197" w:lineRule="auto"/>
              <w:ind w:left="1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300957.SZ</w:t>
            </w:r>
          </w:p>
        </w:tc>
        <w:tc>
          <w:tcPr>
            <w:tcW w:w="528" w:type="dxa"/>
            <w:vAlign w:val="top"/>
          </w:tcPr>
          <w:p>
            <w:pPr>
              <w:spacing w:before="106" w:line="197" w:lineRule="auto"/>
              <w:ind w:left="9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638" w:type="dxa"/>
            <w:vAlign w:val="top"/>
          </w:tcPr>
          <w:p>
            <w:pPr>
              <w:spacing w:before="108" w:line="195" w:lineRule="auto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65.80</w:t>
            </w:r>
          </w:p>
        </w:tc>
        <w:tc>
          <w:tcPr>
            <w:tcW w:w="900" w:type="dxa"/>
            <w:vAlign w:val="top"/>
          </w:tcPr>
          <w:p>
            <w:pPr>
              <w:spacing w:before="106" w:line="197" w:lineRule="auto"/>
              <w:ind w:left="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2023/10/30</w:t>
            </w:r>
          </w:p>
        </w:tc>
        <w:tc>
          <w:tcPr>
            <w:tcW w:w="433" w:type="dxa"/>
            <w:vAlign w:val="top"/>
          </w:tcPr>
          <w:p>
            <w:pPr>
              <w:pStyle w:val="TableText"/>
              <w:spacing w:before="88" w:line="226" w:lineRule="auto"/>
              <w:ind w:left="5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18" w:type="dxa"/>
            <w:vAlign w:val="top"/>
          </w:tcPr>
          <w:p>
            <w:pPr>
              <w:spacing w:before="108" w:line="195" w:lineRule="auto"/>
              <w:ind w:left="16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119.15</w:t>
            </w:r>
          </w:p>
        </w:tc>
        <w:tc>
          <w:tcPr>
            <w:tcW w:w="683" w:type="dxa"/>
            <w:vAlign w:val="top"/>
          </w:tcPr>
          <w:p>
            <w:pPr>
              <w:spacing w:before="108" w:line="195" w:lineRule="auto"/>
              <w:ind w:left="18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2.98</w:t>
            </w:r>
          </w:p>
        </w:tc>
        <w:tc>
          <w:tcPr>
            <w:tcW w:w="697" w:type="dxa"/>
            <w:vAlign w:val="top"/>
          </w:tcPr>
          <w:p>
            <w:pPr>
              <w:spacing w:before="108" w:line="195" w:lineRule="auto"/>
              <w:ind w:left="2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3.74</w:t>
            </w:r>
          </w:p>
        </w:tc>
        <w:tc>
          <w:tcPr>
            <w:tcW w:w="697" w:type="dxa"/>
            <w:vAlign w:val="top"/>
          </w:tcPr>
          <w:p>
            <w:pPr>
              <w:spacing w:before="108" w:line="195" w:lineRule="auto"/>
              <w:ind w:left="15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22.08</w:t>
            </w:r>
          </w:p>
        </w:tc>
        <w:tc>
          <w:tcPr>
            <w:tcW w:w="698" w:type="dxa"/>
            <w:vAlign w:val="top"/>
          </w:tcPr>
          <w:p>
            <w:pPr>
              <w:spacing w:before="108" w:line="195" w:lineRule="auto"/>
              <w:ind w:left="16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17.59</w:t>
            </w:r>
          </w:p>
        </w:tc>
        <w:tc>
          <w:tcPr>
            <w:tcW w:w="699" w:type="dxa"/>
            <w:vAlign w:val="top"/>
          </w:tcPr>
          <w:p>
            <w:pPr>
              <w:spacing w:before="108" w:line="195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22.51</w:t>
            </w:r>
          </w:p>
        </w:tc>
        <w:tc>
          <w:tcPr>
            <w:tcW w:w="663" w:type="dxa"/>
            <w:vAlign w:val="top"/>
          </w:tcPr>
          <w:p>
            <w:pPr>
              <w:spacing w:before="108" w:line="195" w:lineRule="auto"/>
              <w:ind w:left="16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16.87</w:t>
            </w:r>
          </w:p>
        </w:tc>
        <w:tc>
          <w:tcPr>
            <w:tcW w:w="600" w:type="dxa"/>
            <w:vAlign w:val="top"/>
          </w:tcPr>
          <w:p>
            <w:pPr>
              <w:spacing w:before="108" w:line="195" w:lineRule="auto"/>
              <w:ind w:left="1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18.50</w:t>
            </w:r>
          </w:p>
        </w:tc>
        <w:tc>
          <w:tcPr>
            <w:tcW w:w="577" w:type="dxa"/>
            <w:vAlign w:val="top"/>
          </w:tcPr>
          <w:p>
            <w:pPr>
              <w:spacing w:before="108" w:line="195" w:lineRule="auto"/>
              <w:ind w:left="1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18.90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322"/>
        </w:trPr>
        <w:tc>
          <w:tcPr>
            <w:tcW w:w="1080" w:type="dxa"/>
            <w:vAlign w:val="top"/>
          </w:tcPr>
          <w:p>
            <w:pPr>
              <w:pStyle w:val="TableText"/>
              <w:spacing w:before="88" w:line="223" w:lineRule="auto"/>
              <w:ind w:left="356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福瑞达</w:t>
            </w:r>
          </w:p>
        </w:tc>
        <w:tc>
          <w:tcPr>
            <w:tcW w:w="1045" w:type="dxa"/>
            <w:vAlign w:val="top"/>
          </w:tcPr>
          <w:p>
            <w:pPr>
              <w:spacing w:before="106" w:line="197" w:lineRule="auto"/>
              <w:ind w:left="16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600223.SH</w:t>
            </w:r>
          </w:p>
        </w:tc>
        <w:tc>
          <w:tcPr>
            <w:tcW w:w="528" w:type="dxa"/>
            <w:vAlign w:val="top"/>
          </w:tcPr>
          <w:p>
            <w:pPr>
              <w:spacing w:before="106" w:line="197" w:lineRule="auto"/>
              <w:ind w:left="9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638" w:type="dxa"/>
            <w:vAlign w:val="top"/>
          </w:tcPr>
          <w:p>
            <w:pPr>
              <w:spacing w:before="108" w:line="195" w:lineRule="auto"/>
              <w:ind w:left="18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9.18</w:t>
            </w:r>
          </w:p>
        </w:tc>
        <w:tc>
          <w:tcPr>
            <w:tcW w:w="900" w:type="dxa"/>
            <w:vAlign w:val="top"/>
          </w:tcPr>
          <w:p>
            <w:pPr>
              <w:spacing w:before="106" w:line="197" w:lineRule="auto"/>
              <w:ind w:left="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2023/10/29</w:t>
            </w:r>
          </w:p>
        </w:tc>
        <w:tc>
          <w:tcPr>
            <w:tcW w:w="433" w:type="dxa"/>
            <w:vAlign w:val="top"/>
          </w:tcPr>
          <w:p>
            <w:pPr>
              <w:pStyle w:val="TableText"/>
              <w:spacing w:before="88" w:line="226" w:lineRule="auto"/>
              <w:ind w:left="5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18" w:type="dxa"/>
            <w:vAlign w:val="top"/>
          </w:tcPr>
          <w:p>
            <w:pPr>
              <w:spacing w:before="108" w:line="195" w:lineRule="auto"/>
              <w:ind w:left="2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13.10</w:t>
            </w:r>
          </w:p>
        </w:tc>
        <w:tc>
          <w:tcPr>
            <w:tcW w:w="683" w:type="dxa"/>
            <w:vAlign w:val="top"/>
          </w:tcPr>
          <w:p>
            <w:pPr>
              <w:spacing w:before="108" w:line="195" w:lineRule="auto"/>
              <w:ind w:left="18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0.32</w:t>
            </w:r>
          </w:p>
        </w:tc>
        <w:tc>
          <w:tcPr>
            <w:tcW w:w="697" w:type="dxa"/>
            <w:vAlign w:val="top"/>
          </w:tcPr>
          <w:p>
            <w:pPr>
              <w:spacing w:before="108" w:line="195" w:lineRule="auto"/>
              <w:ind w:left="2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0.39</w:t>
            </w:r>
          </w:p>
        </w:tc>
        <w:tc>
          <w:tcPr>
            <w:tcW w:w="697" w:type="dxa"/>
            <w:vAlign w:val="top"/>
          </w:tcPr>
          <w:p>
            <w:pPr>
              <w:spacing w:before="108" w:line="195" w:lineRule="auto"/>
              <w:ind w:left="15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28.69</w:t>
            </w:r>
          </w:p>
        </w:tc>
        <w:tc>
          <w:tcPr>
            <w:tcW w:w="698" w:type="dxa"/>
            <w:vAlign w:val="top"/>
          </w:tcPr>
          <w:p>
            <w:pPr>
              <w:spacing w:before="108" w:line="195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23.54</w:t>
            </w:r>
          </w:p>
        </w:tc>
        <w:tc>
          <w:tcPr>
            <w:tcW w:w="699" w:type="dxa"/>
            <w:vAlign w:val="top"/>
          </w:tcPr>
          <w:p>
            <w:pPr>
              <w:spacing w:before="108" w:line="195" w:lineRule="auto"/>
              <w:ind w:left="16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17.71</w:t>
            </w:r>
          </w:p>
        </w:tc>
        <w:tc>
          <w:tcPr>
            <w:tcW w:w="663" w:type="dxa"/>
            <w:vAlign w:val="top"/>
          </w:tcPr>
          <w:p>
            <w:pPr>
              <w:spacing w:before="108" w:line="195" w:lineRule="auto"/>
              <w:ind w:left="16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12.93</w:t>
            </w:r>
          </w:p>
        </w:tc>
        <w:tc>
          <w:tcPr>
            <w:tcW w:w="600" w:type="dxa"/>
            <w:vAlign w:val="top"/>
          </w:tcPr>
          <w:p>
            <w:pPr>
              <w:spacing w:before="108" w:line="195" w:lineRule="auto"/>
              <w:ind w:left="1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8.00</w:t>
            </w:r>
          </w:p>
        </w:tc>
        <w:tc>
          <w:tcPr>
            <w:tcW w:w="577" w:type="dxa"/>
            <w:vAlign w:val="top"/>
          </w:tcPr>
          <w:p>
            <w:pPr>
              <w:spacing w:before="108" w:line="195" w:lineRule="auto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9.00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338"/>
        </w:trPr>
        <w:tc>
          <w:tcPr>
            <w:tcW w:w="1080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2" w:line="225" w:lineRule="auto"/>
              <w:ind w:left="28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丸美股份</w:t>
            </w:r>
          </w:p>
        </w:tc>
        <w:tc>
          <w:tcPr>
            <w:tcW w:w="1045" w:type="dxa"/>
            <w:tcBorders>
              <w:bottom w:val="single" w:sz="2" w:space="0" w:color="000000"/>
            </w:tcBorders>
            <w:vAlign w:val="top"/>
          </w:tcPr>
          <w:p>
            <w:pPr>
              <w:spacing w:before="110" w:line="197" w:lineRule="auto"/>
              <w:ind w:left="16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603983.SH</w:t>
            </w:r>
          </w:p>
        </w:tc>
        <w:tc>
          <w:tcPr>
            <w:tcW w:w="528" w:type="dxa"/>
            <w:tcBorders>
              <w:bottom w:val="single" w:sz="2" w:space="0" w:color="000000"/>
            </w:tcBorders>
            <w:vAlign w:val="top"/>
          </w:tcPr>
          <w:p>
            <w:pPr>
              <w:spacing w:before="110" w:line="197" w:lineRule="auto"/>
              <w:ind w:left="9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638" w:type="dxa"/>
            <w:tcBorders>
              <w:bottom w:val="single" w:sz="2" w:space="0" w:color="000000"/>
            </w:tcBorders>
            <w:vAlign w:val="top"/>
          </w:tcPr>
          <w:p>
            <w:pPr>
              <w:spacing w:before="112" w:line="195" w:lineRule="auto"/>
              <w:ind w:left="13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24.48</w:t>
            </w:r>
          </w:p>
        </w:tc>
        <w:tc>
          <w:tcPr>
            <w:tcW w:w="900" w:type="dxa"/>
            <w:tcBorders>
              <w:bottom w:val="single" w:sz="2" w:space="0" w:color="000000"/>
            </w:tcBorders>
            <w:vAlign w:val="top"/>
          </w:tcPr>
          <w:p>
            <w:pPr>
              <w:spacing w:before="110" w:line="197" w:lineRule="auto"/>
              <w:ind w:left="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2023/10/31</w:t>
            </w:r>
          </w:p>
        </w:tc>
        <w:tc>
          <w:tcPr>
            <w:tcW w:w="43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2" w:line="220" w:lineRule="auto"/>
              <w:ind w:left="4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增持</w:t>
            </w:r>
          </w:p>
        </w:tc>
        <w:tc>
          <w:tcPr>
            <w:tcW w:w="818" w:type="dxa"/>
            <w:tcBorders>
              <w:bottom w:val="single" w:sz="2" w:space="0" w:color="000000"/>
            </w:tcBorders>
            <w:vAlign w:val="top"/>
          </w:tcPr>
          <w:p>
            <w:pPr>
              <w:spacing w:before="112" w:line="195" w:lineRule="auto"/>
              <w:ind w:left="19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33.73</w:t>
            </w:r>
          </w:p>
        </w:tc>
        <w:tc>
          <w:tcPr>
            <w:tcW w:w="683" w:type="dxa"/>
            <w:tcBorders>
              <w:bottom w:val="single" w:sz="2" w:space="0" w:color="000000"/>
            </w:tcBorders>
            <w:vAlign w:val="top"/>
          </w:tcPr>
          <w:p>
            <w:pPr>
              <w:spacing w:before="112" w:line="195" w:lineRule="auto"/>
              <w:ind w:left="18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0.70</w:t>
            </w:r>
          </w:p>
        </w:tc>
        <w:tc>
          <w:tcPr>
            <w:tcW w:w="697" w:type="dxa"/>
            <w:tcBorders>
              <w:bottom w:val="single" w:sz="2" w:space="0" w:color="000000"/>
            </w:tcBorders>
            <w:vAlign w:val="top"/>
          </w:tcPr>
          <w:p>
            <w:pPr>
              <w:spacing w:before="112" w:line="195" w:lineRule="auto"/>
              <w:ind w:left="2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0.91</w:t>
            </w:r>
          </w:p>
        </w:tc>
        <w:tc>
          <w:tcPr>
            <w:tcW w:w="697" w:type="dxa"/>
            <w:tcBorders>
              <w:bottom w:val="single" w:sz="2" w:space="0" w:color="000000"/>
            </w:tcBorders>
            <w:vAlign w:val="top"/>
          </w:tcPr>
          <w:p>
            <w:pPr>
              <w:spacing w:before="112" w:line="195" w:lineRule="auto"/>
              <w:ind w:left="15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34.97</w:t>
            </w:r>
          </w:p>
        </w:tc>
        <w:tc>
          <w:tcPr>
            <w:tcW w:w="698" w:type="dxa"/>
            <w:tcBorders>
              <w:bottom w:val="single" w:sz="2" w:space="0" w:color="000000"/>
            </w:tcBorders>
            <w:vAlign w:val="top"/>
          </w:tcPr>
          <w:p>
            <w:pPr>
              <w:spacing w:before="112" w:line="195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26.90</w:t>
            </w:r>
          </w:p>
        </w:tc>
        <w:tc>
          <w:tcPr>
            <w:tcW w:w="699" w:type="dxa"/>
            <w:tcBorders>
              <w:bottom w:val="single" w:sz="2" w:space="0" w:color="000000"/>
            </w:tcBorders>
            <w:vAlign w:val="top"/>
          </w:tcPr>
          <w:p>
            <w:pPr>
              <w:spacing w:before="112" w:line="195" w:lineRule="auto"/>
              <w:ind w:left="15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31.06</w:t>
            </w:r>
          </w:p>
        </w:tc>
        <w:tc>
          <w:tcPr>
            <w:tcW w:w="663" w:type="dxa"/>
            <w:tcBorders>
              <w:bottom w:val="single" w:sz="2" w:space="0" w:color="000000"/>
            </w:tcBorders>
            <w:vAlign w:val="top"/>
          </w:tcPr>
          <w:p>
            <w:pPr>
              <w:spacing w:before="112" w:line="195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23.04</w:t>
            </w:r>
          </w:p>
        </w:tc>
        <w:tc>
          <w:tcPr>
            <w:tcW w:w="600" w:type="dxa"/>
            <w:tcBorders>
              <w:bottom w:val="single" w:sz="2" w:space="0" w:color="000000"/>
            </w:tcBorders>
            <w:vAlign w:val="top"/>
          </w:tcPr>
          <w:p>
            <w:pPr>
              <w:spacing w:before="112" w:line="195" w:lineRule="auto"/>
              <w:ind w:left="1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8.10</w:t>
            </w:r>
          </w:p>
        </w:tc>
        <w:tc>
          <w:tcPr>
            <w:tcW w:w="577" w:type="dxa"/>
            <w:tcBorders>
              <w:bottom w:val="single" w:sz="2" w:space="0" w:color="000000"/>
            </w:tcBorders>
            <w:vAlign w:val="top"/>
          </w:tcPr>
          <w:p>
            <w:pPr>
              <w:spacing w:before="112" w:line="195" w:lineRule="auto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9.30</w:t>
            </w:r>
          </w:p>
        </w:tc>
      </w:tr>
    </w:tbl>
    <w:p>
      <w:pPr>
        <w:pStyle w:val="BodyText"/>
        <w:spacing w:before="85" w:line="213" w:lineRule="auto"/>
        <w:ind w:left="111"/>
        <w:rPr>
          <w:rFonts w:ascii="KaiTi" w:eastAsia="KaiTi" w:hAnsi="KaiTi" w:cs="KaiTi"/>
          <w:sz w:val="16"/>
          <w:szCs w:val="16"/>
        </w:rPr>
      </w:pPr>
      <w:r>
        <w:rPr>
          <w:rFonts w:ascii="KaiTi" w:eastAsia="KaiTi" w:hAnsi="KaiTi" w:cs="KaiTi"/>
          <w:color w:val="1F497D"/>
          <w:spacing w:val="-1"/>
          <w:sz w:val="16"/>
          <w:szCs w:val="16"/>
        </w:rPr>
        <w:t>数据来源：</w:t>
      </w:r>
      <w:r>
        <w:rPr>
          <w:color w:val="1F497D"/>
          <w:spacing w:val="-1"/>
          <w:sz w:val="16"/>
          <w:szCs w:val="16"/>
        </w:rPr>
        <w:t>Wind</w:t>
      </w:r>
      <w:r>
        <w:rPr>
          <w:rFonts w:ascii="KaiTi" w:eastAsia="KaiTi" w:hAnsi="KaiTi" w:cs="KaiTi"/>
          <w:color w:val="1F497D"/>
          <w:spacing w:val="-1"/>
          <w:sz w:val="16"/>
          <w:szCs w:val="16"/>
        </w:rPr>
        <w:t>，广发证券发展研究中心</w:t>
      </w:r>
    </w:p>
    <w:p>
      <w:pPr>
        <w:pStyle w:val="BodyText"/>
        <w:spacing w:before="139" w:line="226" w:lineRule="auto"/>
        <w:ind w:left="109"/>
        <w:rPr>
          <w:rFonts w:ascii="KaiTi" w:eastAsia="KaiTi" w:hAnsi="KaiTi" w:cs="KaiTi"/>
          <w:sz w:val="16"/>
          <w:szCs w:val="16"/>
        </w:rPr>
      </w:pPr>
      <w:r>
        <w:rPr>
          <w:rFonts w:ascii="KaiTi" w:eastAsia="KaiTi" w:hAnsi="KaiTi" w:cs="KaiTi"/>
          <w:color w:val="1F497D"/>
          <w:spacing w:val="-2"/>
          <w:sz w:val="16"/>
          <w:szCs w:val="16"/>
        </w:rPr>
        <w:t>备注：表中估值指标按照最新收盘价计算；</w:t>
      </w:r>
      <w:r>
        <w:rPr>
          <w:rFonts w:ascii="KaiTi" w:eastAsia="KaiTi" w:hAnsi="KaiTi" w:cs="KaiTi"/>
          <w:color w:val="1F497D"/>
          <w:spacing w:val="-2"/>
          <w:sz w:val="16"/>
          <w:szCs w:val="16"/>
        </w:rPr>
        <w:t xml:space="preserve"> </w:t>
      </w:r>
      <w:r>
        <w:rPr>
          <w:rFonts w:ascii="KaiTi" w:eastAsia="KaiTi" w:hAnsi="KaiTi" w:cs="KaiTi"/>
          <w:color w:val="1F497D"/>
          <w:spacing w:val="-2"/>
          <w:sz w:val="16"/>
          <w:szCs w:val="16"/>
        </w:rPr>
        <w:t>港股</w:t>
      </w:r>
      <w:r>
        <w:rPr>
          <w:color w:val="1F497D"/>
          <w:spacing w:val="-2"/>
          <w:sz w:val="16"/>
          <w:szCs w:val="16"/>
        </w:rPr>
        <w:t>/</w:t>
      </w:r>
      <w:r>
        <w:rPr>
          <w:rFonts w:ascii="KaiTi" w:eastAsia="KaiTi" w:hAnsi="KaiTi" w:cs="KaiTi"/>
          <w:color w:val="1F497D"/>
          <w:spacing w:val="-2"/>
          <w:sz w:val="16"/>
          <w:szCs w:val="16"/>
        </w:rPr>
        <w:t>美股收盘价与合理价值的单位为港元</w:t>
      </w:r>
      <w:r>
        <w:rPr>
          <w:color w:val="1F497D"/>
          <w:spacing w:val="-2"/>
          <w:sz w:val="16"/>
          <w:szCs w:val="16"/>
        </w:rPr>
        <w:t>/</w:t>
      </w:r>
      <w:r>
        <w:rPr>
          <w:rFonts w:ascii="KaiTi" w:eastAsia="KaiTi" w:hAnsi="KaiTi" w:cs="KaiTi"/>
          <w:color w:val="1F497D"/>
          <w:spacing w:val="-2"/>
          <w:sz w:val="16"/>
          <w:szCs w:val="16"/>
        </w:rPr>
        <w:t>美元，美股</w:t>
      </w:r>
      <w:r>
        <w:rPr>
          <w:rFonts w:ascii="KaiTi" w:eastAsia="KaiTi" w:hAnsi="KaiTi" w:cs="KaiTi"/>
          <w:color w:val="1F497D"/>
          <w:spacing w:val="-8"/>
          <w:sz w:val="16"/>
          <w:szCs w:val="16"/>
        </w:rPr>
        <w:t xml:space="preserve"> </w:t>
      </w:r>
      <w:r>
        <w:rPr>
          <w:color w:val="1F497D"/>
          <w:spacing w:val="-2"/>
          <w:sz w:val="16"/>
          <w:szCs w:val="16"/>
        </w:rPr>
        <w:t xml:space="preserve">EPS </w:t>
      </w:r>
      <w:r>
        <w:rPr>
          <w:rFonts w:ascii="KaiTi" w:eastAsia="KaiTi" w:hAnsi="KaiTi" w:cs="KaiTi"/>
          <w:color w:val="1F497D"/>
          <w:spacing w:val="-2"/>
          <w:sz w:val="16"/>
          <w:szCs w:val="16"/>
        </w:rPr>
        <w:t>单位为元</w:t>
      </w:r>
      <w:r>
        <w:rPr>
          <w:color w:val="1F497D"/>
          <w:spacing w:val="-2"/>
          <w:sz w:val="16"/>
          <w:szCs w:val="16"/>
        </w:rPr>
        <w:t>/ADS</w:t>
      </w:r>
      <w:r>
        <w:rPr>
          <w:rFonts w:ascii="KaiTi" w:eastAsia="KaiTi" w:hAnsi="KaiTi" w:cs="KaiTi"/>
          <w:color w:val="1F497D"/>
          <w:spacing w:val="-2"/>
          <w:sz w:val="16"/>
          <w:szCs w:val="16"/>
        </w:rPr>
        <w:t>。</w:t>
      </w:r>
    </w:p>
    <w:p>
      <w:pPr>
        <w:spacing w:line="226" w:lineRule="auto"/>
        <w:rPr>
          <w:rFonts w:ascii="KaiTi" w:eastAsia="KaiTi" w:hAnsi="KaiTi" w:cs="KaiTi"/>
          <w:sz w:val="16"/>
          <w:szCs w:val="16"/>
        </w:rPr>
        <w:sectPr>
          <w:headerReference w:type="default" r:id="rId17"/>
          <w:footerReference w:type="default" r:id="rId18"/>
          <w:pgSz w:w="11907" w:h="16839"/>
          <w:pgMar w:top="1383" w:right="576" w:bottom="1291" w:left="573" w:header="794" w:footer="745" w:gutter="0"/>
          <w:pgNumType w:start="6"/>
          <w:cols w:space="708"/>
        </w:sectPr>
      </w:pPr>
    </w:p>
    <w:p>
      <w:pPr>
        <w:pStyle w:val="BodyText"/>
        <w:spacing w:line="352" w:lineRule="auto"/>
        <w:rPr>
          <w:sz w:val="21"/>
        </w:rPr>
      </w:pPr>
    </w:p>
    <w:p>
      <w:pPr>
        <w:pStyle w:val="BodyText"/>
        <w:spacing w:line="353" w:lineRule="auto"/>
        <w:rPr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437289828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spacing w:before="101" w:line="221" w:lineRule="auto"/>
            <w:ind w:left="6299"/>
            <w:rPr>
              <w:rFonts w:ascii="KaiTi" w:eastAsia="KaiTi" w:hAnsi="KaiTi" w:cs="KaiTi"/>
              <w:sz w:val="31"/>
              <w:szCs w:val="31"/>
            </w:rPr>
          </w:pPr>
          <w:r>
            <w:rPr>
              <w:rFonts w:ascii="KaiTi" w:eastAsia="KaiTi" w:hAnsi="KaiTi" w:cs="KaiTi"/>
              <w:color w:val="0F243E"/>
              <w:spacing w:val="-6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目录索引</w:t>
          </w:r>
        </w:p>
        <w:p>
          <w:pPr>
            <w:pStyle w:val="BodyText"/>
            <w:tabs>
              <w:tab w:val="right" w:leader="dot" w:pos="10634"/>
            </w:tabs>
            <w:spacing w:before="172" w:line="213" w:lineRule="auto"/>
            <w:ind w:left="24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一、全球奢侈品市场稳步复苏，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消费潜力有望继续释放</w:t>
          </w:r>
          <w:r>
            <w:rPr>
              <w:rFonts w:ascii="KaiTi" w:eastAsia="KaiTi" w:hAnsi="KaiTi" w:cs="KaiTi"/>
              <w:spacing w:val="-3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4"/>
              <w:sz w:val="21"/>
              <w:szCs w:val="21"/>
            </w:rPr>
            <w:t xml:space="preserve"> </w:t>
          </w:r>
          <w:hyperlink w:anchor="bookmark1" w:history="1">
            <w:r>
              <w:rPr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4" w:line="213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z w:val="21"/>
              <w:szCs w:val="21"/>
            </w:rPr>
            <w:t>（一）全球奢侈品市场增速放缓，各地区市场表现分化</w:t>
          </w:r>
          <w:r>
            <w:rPr>
              <w:rFonts w:ascii="KaiTi" w:eastAsia="KaiTi" w:hAnsi="KaiTi" w:cs="KaiTi"/>
              <w:spacing w:val="-6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4"/>
              <w:sz w:val="21"/>
              <w:szCs w:val="21"/>
            </w:rPr>
            <w:t xml:space="preserve"> </w:t>
          </w:r>
          <w:hyperlink w:anchor="bookmark2" w:history="1">
            <w:r>
              <w:rPr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4" w:line="213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（二）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中国内地：</w:t>
          </w:r>
          <w:r>
            <w:rPr>
              <w:spacing w:val="-3"/>
              <w:sz w:val="21"/>
              <w:szCs w:val="21"/>
            </w:rPr>
            <w:t xml:space="preserve">23Q1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奢侈品市场恢复增长，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消费基本面稳中向好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3" w:history="1">
            <w:r>
              <w:rPr>
                <w:spacing w:val="-9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9"/>
              <w:sz w:val="21"/>
              <w:szCs w:val="21"/>
            </w:rPr>
            <w:t>（三）</w:t>
          </w:r>
          <w:r>
            <w:rPr>
              <w:rFonts w:ascii="KaiTi" w:eastAsia="KaiTi" w:hAnsi="KaiTi" w:cs="KaiTi"/>
              <w:spacing w:val="-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9"/>
              <w:sz w:val="21"/>
              <w:szCs w:val="21"/>
            </w:rPr>
            <w:t>海南离岛免税持续恢复，</w:t>
          </w:r>
          <w:r>
            <w:rPr>
              <w:rFonts w:ascii="KaiTi" w:eastAsia="KaiTi" w:hAnsi="KaiTi" w:cs="KaiTi"/>
              <w:spacing w:val="-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9"/>
              <w:sz w:val="21"/>
              <w:szCs w:val="21"/>
            </w:rPr>
            <w:t>线上渠道增长亮眼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" w:history="1">
            <w:r>
              <w:rPr>
                <w:spacing w:val="-11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419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8"/>
              <w:sz w:val="21"/>
              <w:szCs w:val="21"/>
            </w:rPr>
            <w:t>二、</w:t>
          </w:r>
          <w:r>
            <w:rPr>
              <w:rFonts w:ascii="KaiTi" w:eastAsia="KaiTi" w:hAnsi="KaiTi" w:cs="KaiTi"/>
              <w:spacing w:val="-19"/>
              <w:sz w:val="21"/>
              <w:szCs w:val="21"/>
            </w:rPr>
            <w:t xml:space="preserve"> </w:t>
          </w:r>
          <w:r>
            <w:rPr>
              <w:spacing w:val="-8"/>
              <w:sz w:val="21"/>
              <w:szCs w:val="21"/>
            </w:rPr>
            <w:t xml:space="preserve">23Q3 </w:t>
          </w:r>
          <w:r>
            <w:rPr>
              <w:rFonts w:ascii="KaiTi" w:eastAsia="KaiTi" w:hAnsi="KaiTi" w:cs="KaiTi"/>
              <w:spacing w:val="-8"/>
              <w:sz w:val="21"/>
              <w:szCs w:val="21"/>
            </w:rPr>
            <w:t>品牌表现分化明显，</w:t>
          </w:r>
          <w:r>
            <w:rPr>
              <w:rFonts w:ascii="KaiTi" w:eastAsia="KaiTi" w:hAnsi="KaiTi" w:cs="KaiTi"/>
              <w:spacing w:val="-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8"/>
              <w:sz w:val="21"/>
              <w:szCs w:val="21"/>
            </w:rPr>
            <w:t>亚太地区表现突出</w:t>
          </w:r>
          <w:r>
            <w:rPr>
              <w:rFonts w:ascii="KaiTi" w:eastAsia="KaiTi" w:hAnsi="KaiTi" w:cs="KaiTi"/>
              <w:spacing w:val="-7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5" w:history="1">
            <w:r>
              <w:rPr>
                <w:spacing w:val="-11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3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（一）</w:t>
          </w:r>
          <w:r>
            <w:rPr>
              <w:spacing w:val="-2"/>
              <w:sz w:val="21"/>
              <w:szCs w:val="21"/>
            </w:rPr>
            <w:t>LVMH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>23Q1-3</w:t>
          </w:r>
          <w:r>
            <w:rPr>
              <w:spacing w:val="24"/>
              <w:w w:val="10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营收有机增速为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14%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，精品零售表现亮眼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6" w:history="1">
            <w:r>
              <w:rPr>
                <w:spacing w:val="-11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（二）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spacing w:val="-5"/>
              <w:sz w:val="21"/>
              <w:szCs w:val="21"/>
            </w:rPr>
            <w:t>K</w:t>
          </w:r>
          <w:r>
            <w:rPr>
              <w:spacing w:val="-5"/>
              <w:sz w:val="17"/>
              <w:szCs w:val="17"/>
            </w:rPr>
            <w:t>ERING</w:t>
          </w:r>
          <w:r>
            <w:rPr>
              <w:spacing w:val="10"/>
              <w:sz w:val="17"/>
              <w:szCs w:val="17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集团：业绩有所承压，</w:t>
          </w:r>
          <w:r>
            <w:rPr>
              <w:rFonts w:ascii="KaiTi" w:eastAsia="KaiTi" w:hAnsi="KaiTi" w:cs="KaiTi"/>
              <w:spacing w:val="-24"/>
              <w:sz w:val="21"/>
              <w:szCs w:val="21"/>
            </w:rPr>
            <w:t xml:space="preserve"> </w:t>
          </w:r>
          <w:r>
            <w:rPr>
              <w:spacing w:val="-5"/>
              <w:sz w:val="21"/>
              <w:szCs w:val="21"/>
            </w:rPr>
            <w:t>23Q</w:t>
          </w:r>
          <w:r>
            <w:rPr>
              <w:spacing w:val="-6"/>
              <w:sz w:val="21"/>
              <w:szCs w:val="21"/>
            </w:rPr>
            <w:t xml:space="preserve">3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单季度收入可比增速为</w:t>
          </w:r>
          <w:r>
            <w:rPr>
              <w:spacing w:val="-6"/>
              <w:sz w:val="21"/>
              <w:szCs w:val="21"/>
            </w:rPr>
            <w:t>-9%</w:t>
          </w:r>
          <w:r>
            <w:rPr>
              <w:spacing w:val="-2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15"/>
              <w:sz w:val="21"/>
              <w:szCs w:val="21"/>
            </w:rPr>
            <w:t xml:space="preserve"> </w:t>
          </w:r>
          <w:hyperlink w:anchor="bookmark7" w:history="1">
            <w:r>
              <w:rPr>
                <w:spacing w:val="-11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6"/>
              <w:sz w:val="21"/>
              <w:szCs w:val="21"/>
            </w:rPr>
            <w:t>（三）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欧莱雅：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 xml:space="preserve"> </w:t>
          </w:r>
          <w:r>
            <w:rPr>
              <w:spacing w:val="-6"/>
              <w:sz w:val="21"/>
              <w:szCs w:val="21"/>
            </w:rPr>
            <w:t xml:space="preserve">23Q1-3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各地区均实现增长，皮肤美容品类增速较快</w:t>
          </w:r>
          <w:r>
            <w:rPr>
              <w:rFonts w:ascii="KaiTi" w:eastAsia="KaiTi" w:hAnsi="KaiTi" w:cs="KaiTi"/>
              <w:spacing w:val="-8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8" w:history="1">
            <w:r>
              <w:rPr>
                <w:spacing w:val="-13"/>
                <w:sz w:val="21"/>
                <w:szCs w:val="21"/>
              </w:rPr>
              <w:t>1</w:t>
            </w:r>
            <w:r>
              <w:rPr>
                <w:spacing w:val="-9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（四）</w:t>
          </w:r>
          <w:r>
            <w:rPr>
              <w:rFonts w:ascii="KaiTi" w:eastAsia="KaiTi" w:hAnsi="KaiTi" w:cs="KaiTi"/>
              <w:spacing w:val="-2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雅诗兰黛：</w:t>
          </w:r>
          <w:r>
            <w:rPr>
              <w:spacing w:val="-3"/>
              <w:sz w:val="21"/>
              <w:szCs w:val="21"/>
            </w:rPr>
            <w:t xml:space="preserve">23Q3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有机增速为</w:t>
          </w:r>
          <w:r>
            <w:rPr>
              <w:spacing w:val="-3"/>
              <w:sz w:val="21"/>
              <w:szCs w:val="21"/>
            </w:rPr>
            <w:t>-11%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，香水品类保持稳健增长</w:t>
          </w:r>
          <w:r>
            <w:rPr>
              <w:rFonts w:ascii="KaiTi" w:eastAsia="KaiTi" w:hAnsi="KaiTi" w:cs="KaiTi"/>
              <w:spacing w:val="-6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9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5" w:line="213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10"/>
              <w:sz w:val="21"/>
              <w:szCs w:val="21"/>
            </w:rPr>
            <w:t>（五）</w:t>
          </w:r>
          <w:r>
            <w:rPr>
              <w:rFonts w:ascii="KaiTi" w:eastAsia="KaiTi" w:hAnsi="KaiTi" w:cs="KaiTi"/>
              <w:spacing w:val="-1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10"/>
              <w:sz w:val="21"/>
              <w:szCs w:val="21"/>
            </w:rPr>
            <w:t>资生堂：</w:t>
          </w:r>
          <w:r>
            <w:rPr>
              <w:rFonts w:ascii="KaiTi" w:eastAsia="KaiTi" w:hAnsi="KaiTi" w:cs="KaiTi"/>
              <w:spacing w:val="-1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10"/>
              <w:sz w:val="21"/>
              <w:szCs w:val="21"/>
            </w:rPr>
            <w:t>中国市场增速转负，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 xml:space="preserve"> </w:t>
          </w:r>
          <w:r>
            <w:rPr>
              <w:spacing w:val="-10"/>
              <w:sz w:val="21"/>
              <w:szCs w:val="21"/>
            </w:rPr>
            <w:t xml:space="preserve">23Q1-3 </w:t>
          </w:r>
          <w:r>
            <w:rPr>
              <w:rFonts w:ascii="KaiTi" w:eastAsia="KaiTi" w:hAnsi="KaiTi" w:cs="KaiTi"/>
              <w:spacing w:val="-10"/>
              <w:sz w:val="21"/>
              <w:szCs w:val="21"/>
            </w:rPr>
            <w:t>醉象增势强劲</w:t>
          </w:r>
          <w:r>
            <w:rPr>
              <w:rFonts w:ascii="KaiTi" w:eastAsia="KaiTi" w:hAnsi="KaiTi" w:cs="KaiTi"/>
              <w:spacing w:val="-5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10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7" w:lineRule="auto"/>
            <w:ind w:left="2422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三、集团战略要闻及业绩展望</w:t>
          </w:r>
          <w:r>
            <w:rPr>
              <w:rFonts w:ascii="KaiTi" w:eastAsia="KaiTi" w:hAnsi="KaiTi" w:cs="KaiTi"/>
              <w:spacing w:val="-3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11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7" w:line="223" w:lineRule="auto"/>
            <w:ind w:left="2430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四、风险提示</w:t>
          </w:r>
          <w:r>
            <w:rPr>
              <w:rFonts w:ascii="KaiTi" w:eastAsia="KaiTi" w:hAnsi="KaiTi" w:cs="KaiTi"/>
              <w:spacing w:val="-6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hyperlink w:anchor="bookmark12" w:history="1">
            <w:r>
              <w:rPr>
                <w:spacing w:val="-3"/>
                <w:sz w:val="21"/>
                <w:szCs w:val="21"/>
              </w:rPr>
              <w:t>22</w:t>
            </w:r>
          </w:hyperlink>
        </w:p>
      </w:sdtContent>
    </w:sdt>
    <w:p>
      <w:pPr>
        <w:spacing w:line="223" w:lineRule="auto"/>
        <w:rPr>
          <w:sz w:val="21"/>
          <w:szCs w:val="21"/>
        </w:rPr>
        <w:sectPr>
          <w:headerReference w:type="default" r:id="rId19"/>
          <w:footerReference w:type="default" r:id="rId20"/>
          <w:pgSz w:w="11907" w:h="16839"/>
          <w:pgMar w:top="1383" w:right="646" w:bottom="1291" w:left="622" w:header="794" w:footer="746" w:gutter="0"/>
          <w:pgNumType w:start="7"/>
          <w:cols w:space="708"/>
        </w:sectPr>
      </w:pPr>
    </w:p>
    <w:p>
      <w:pPr>
        <w:pStyle w:val="BodyText"/>
        <w:spacing w:line="352" w:lineRule="auto"/>
        <w:rPr>
          <w:sz w:val="21"/>
        </w:rPr>
      </w:pPr>
    </w:p>
    <w:p>
      <w:pPr>
        <w:pStyle w:val="BodyText"/>
        <w:spacing w:line="353" w:lineRule="auto"/>
        <w:rPr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1556272248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spacing w:before="101" w:line="221" w:lineRule="auto"/>
            <w:ind w:left="6273"/>
            <w:rPr>
              <w:rFonts w:ascii="KaiTi" w:eastAsia="KaiTi" w:hAnsi="KaiTi" w:cs="KaiTi"/>
              <w:sz w:val="31"/>
              <w:szCs w:val="31"/>
            </w:rPr>
          </w:pPr>
          <w:r>
            <w:rPr>
              <w:rFonts w:ascii="KaiTi" w:eastAsia="KaiTi" w:hAnsi="KaiTi" w:cs="KaiTi"/>
              <w:color w:val="0F243E"/>
              <w:spacing w:val="-1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图表索引</w:t>
          </w:r>
        </w:p>
        <w:p>
          <w:pPr>
            <w:pStyle w:val="BodyText"/>
            <w:tabs>
              <w:tab w:val="right" w:leader="dot" w:pos="10634"/>
            </w:tabs>
            <w:spacing w:before="172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6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18"/>
              <w:sz w:val="21"/>
              <w:szCs w:val="21"/>
            </w:rPr>
            <w:t xml:space="preserve"> </w:t>
          </w:r>
          <w:r>
            <w:rPr>
              <w:spacing w:val="-6"/>
              <w:sz w:val="21"/>
              <w:szCs w:val="21"/>
            </w:rPr>
            <w:t>1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：</w:t>
          </w:r>
          <w:r>
            <w:rPr>
              <w:spacing w:val="-6"/>
              <w:sz w:val="21"/>
              <w:szCs w:val="21"/>
            </w:rPr>
            <w:t>LVMH</w:t>
          </w:r>
          <w:r>
            <w:rPr>
              <w:spacing w:val="1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集团季度收入及增速</w:t>
          </w:r>
          <w:r>
            <w:rPr>
              <w:rFonts w:ascii="KaiTi" w:eastAsia="KaiTi" w:hAnsi="KaiTi" w:cs="KaiTi"/>
              <w:spacing w:val="-5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13" w:history="1">
            <w:r>
              <w:rPr>
                <w:spacing w:val="-8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8" w:line="213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2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spacing w:val="-3"/>
              <w:sz w:val="21"/>
              <w:szCs w:val="21"/>
            </w:rPr>
            <w:t xml:space="preserve">Kering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集团季度收入及增速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14" w:history="1">
            <w:r>
              <w:rPr>
                <w:spacing w:val="-8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3" w:line="217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4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3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：欧莱雅集团季度收入及增速</w:t>
          </w:r>
          <w:r>
            <w:rPr>
              <w:rFonts w:ascii="KaiTi" w:eastAsia="KaiTi" w:hAnsi="KaiTi" w:cs="KaiTi"/>
              <w:spacing w:val="-6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15" w:history="1">
            <w:r>
              <w:rPr>
                <w:spacing w:val="-8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0" w:line="217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4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：雅诗兰黛集团季度收入及增速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16" w:history="1">
            <w:r>
              <w:rPr>
                <w:spacing w:val="-8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0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4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5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：资生堂集团季度收入及增速</w:t>
          </w:r>
          <w:r>
            <w:rPr>
              <w:rFonts w:ascii="KaiTi" w:eastAsia="KaiTi" w:hAnsi="KaiTi" w:cs="KaiTi"/>
              <w:spacing w:val="-6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17" w:history="1">
            <w:r>
              <w:rPr>
                <w:spacing w:val="-8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6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6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</w:t>
          </w:r>
          <w:r>
            <w:rPr>
              <w:spacing w:val="-4"/>
              <w:sz w:val="21"/>
              <w:szCs w:val="21"/>
            </w:rPr>
            <w:t>5</w:t>
          </w:r>
          <w:r>
            <w:rPr>
              <w:spacing w:val="2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家主流集团分季度收入增速</w:t>
          </w:r>
          <w:r>
            <w:rPr>
              <w:rFonts w:ascii="KaiTi" w:eastAsia="KaiTi" w:hAnsi="KaiTi" w:cs="KaiTi"/>
              <w:spacing w:val="-5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18" w:history="1">
            <w:r>
              <w:rPr>
                <w:spacing w:val="-8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7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8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7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：全球个人奢侈品市场规模及增速</w:t>
          </w:r>
          <w:r>
            <w:rPr>
              <w:rFonts w:ascii="KaiTi" w:eastAsia="KaiTi" w:hAnsi="KaiTi" w:cs="KaiTi"/>
              <w:spacing w:val="-7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19" w:history="1">
            <w:r>
              <w:rPr>
                <w:spacing w:val="-9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9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4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8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：全球奢侈品市场各地区占比</w:t>
          </w:r>
          <w:r>
            <w:rPr>
              <w:rFonts w:ascii="KaiTi" w:eastAsia="KaiTi" w:hAnsi="KaiTi" w:cs="KaiTi"/>
              <w:spacing w:val="-6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20" w:history="1">
            <w:r>
              <w:rPr>
                <w:spacing w:val="-9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8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1"/>
              <w:sz w:val="21"/>
              <w:szCs w:val="21"/>
            </w:rPr>
            <w:t xml:space="preserve"> </w:t>
          </w:r>
          <w:r>
            <w:rPr>
              <w:spacing w:val="-5"/>
              <w:sz w:val="21"/>
              <w:szCs w:val="21"/>
            </w:rPr>
            <w:t>9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：各地区奢侈品销售额增速（不变汇率）</w:t>
          </w:r>
          <w:r>
            <w:rPr>
              <w:rFonts w:ascii="KaiTi" w:eastAsia="KaiTi" w:hAnsi="KaiTi" w:cs="KaiTi"/>
              <w:spacing w:val="-2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21" w:history="1">
            <w:r>
              <w:rPr>
                <w:spacing w:val="-9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9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7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10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：中国人境内奢侈品消费额及增速</w:t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22" w:history="1">
            <w:r>
              <w:rPr>
                <w:spacing w:val="-9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8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7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16"/>
              <w:sz w:val="21"/>
              <w:szCs w:val="21"/>
            </w:rPr>
            <w:t xml:space="preserve"> </w:t>
          </w:r>
          <w:r>
            <w:rPr>
              <w:spacing w:val="-7"/>
              <w:sz w:val="21"/>
              <w:szCs w:val="21"/>
            </w:rPr>
            <w:t>11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：</w:t>
          </w:r>
          <w:r>
            <w:rPr>
              <w:rFonts w:ascii="KaiTi" w:eastAsia="KaiTi" w:hAnsi="KaiTi" w:cs="KaiTi"/>
              <w:spacing w:val="-5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中国人境外奢侈品消费额及增速</w:t>
          </w:r>
          <w:r>
            <w:rPr>
              <w:rFonts w:ascii="KaiTi" w:eastAsia="KaiTi" w:hAnsi="KaiTi" w:cs="KaiTi"/>
              <w:spacing w:val="-6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23" w:history="1">
            <w:r>
              <w:rPr>
                <w:spacing w:val="-9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7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16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12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：海南免税店占中国奢侈品消费额的比例</w:t>
          </w:r>
          <w:r>
            <w:rPr>
              <w:rFonts w:ascii="KaiTi" w:eastAsia="KaiTi" w:hAnsi="KaiTi" w:cs="KaiTi"/>
              <w:spacing w:val="-7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4" w:history="1">
            <w:r>
              <w:rPr>
                <w:spacing w:val="-11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6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18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13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：海南离岛免税购物渗透率及较</w:t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 xml:space="preserve">21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年同期增速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5" w:history="1">
            <w:r>
              <w:rPr>
                <w:spacing w:val="-11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7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3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14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：海南离岛免税累计购物金额及增速</w:t>
          </w:r>
          <w:r>
            <w:rPr>
              <w:rFonts w:ascii="KaiTi" w:eastAsia="KaiTi" w:hAnsi="KaiTi" w:cs="KaiTi"/>
              <w:spacing w:val="-5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hyperlink w:anchor="bookmark26" w:history="1">
            <w:r>
              <w:rPr>
                <w:spacing w:val="-18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7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3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15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：海南离岛免税人均消费金额及增速</w:t>
          </w:r>
          <w:r>
            <w:rPr>
              <w:rFonts w:ascii="KaiTi" w:eastAsia="KaiTi" w:hAnsi="KaiTi" w:cs="KaiTi"/>
              <w:spacing w:val="-5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hyperlink w:anchor="bookmark27" w:history="1">
            <w:r>
              <w:rPr>
                <w:spacing w:val="-18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0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16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</w:t>
          </w:r>
          <w:r>
            <w:rPr>
              <w:spacing w:val="-4"/>
              <w:sz w:val="21"/>
              <w:szCs w:val="21"/>
            </w:rPr>
            <w:t xml:space="preserve">LV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海南首店入驻三亚国际免税城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hyperlink w:anchor="bookmark28" w:history="1">
            <w:r>
              <w:rPr>
                <w:spacing w:val="-18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7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8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17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spacing w:val="-3"/>
              <w:sz w:val="21"/>
              <w:szCs w:val="21"/>
            </w:rPr>
            <w:t xml:space="preserve">DFS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迪斐世亚龙湾项目效果图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hyperlink w:anchor="bookmark29" w:history="1">
            <w:r>
              <w:rPr>
                <w:spacing w:val="-18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6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0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18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：各渠道奢侈品销售额占比</w:t>
          </w:r>
          <w:r>
            <w:rPr>
              <w:rFonts w:ascii="KaiTi" w:eastAsia="KaiTi" w:hAnsi="KaiTi" w:cs="KaiTi"/>
              <w:spacing w:val="-8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0" w:history="1">
            <w:r>
              <w:rPr>
                <w:spacing w:val="-11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7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17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19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：奢侈品线上销售额持续上升</w:t>
          </w:r>
          <w:r>
            <w:rPr>
              <w:rFonts w:ascii="KaiTi" w:eastAsia="KaiTi" w:hAnsi="KaiTi" w:cs="KaiTi"/>
              <w:spacing w:val="-6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1" w:history="1">
            <w:r>
              <w:rPr>
                <w:spacing w:val="-11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20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spacing w:val="-3"/>
              <w:sz w:val="21"/>
              <w:szCs w:val="21"/>
            </w:rPr>
            <w:t xml:space="preserve">LVMH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集团季度收入及有机增速</w:t>
          </w:r>
          <w:r>
            <w:rPr>
              <w:rFonts w:ascii="KaiTi" w:eastAsia="KaiTi" w:hAnsi="KaiTi" w:cs="KaiTi"/>
              <w:spacing w:val="-6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2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21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spacing w:val="-3"/>
              <w:sz w:val="21"/>
              <w:szCs w:val="21"/>
            </w:rPr>
            <w:t xml:space="preserve">LVMH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集团分业务线收入有机增速</w:t>
          </w:r>
          <w:r>
            <w:rPr>
              <w:rFonts w:ascii="KaiTi" w:eastAsia="KaiTi" w:hAnsi="KaiTi" w:cs="KaiTi"/>
              <w:spacing w:val="-5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3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22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spacing w:val="-3"/>
              <w:sz w:val="21"/>
              <w:szCs w:val="21"/>
            </w:rPr>
            <w:t xml:space="preserve">LVMH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集团分地区营收有机增速</w:t>
          </w:r>
          <w:r>
            <w:rPr>
              <w:rFonts w:ascii="KaiTi" w:eastAsia="KaiTi" w:hAnsi="KaiTi" w:cs="KaiTi"/>
              <w:spacing w:val="-6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4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9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23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</w:t>
          </w:r>
          <w:r>
            <w:rPr>
              <w:spacing w:val="-4"/>
              <w:sz w:val="21"/>
              <w:szCs w:val="21"/>
            </w:rPr>
            <w:t xml:space="preserve">LVMH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集团分地区门店数</w:t>
          </w:r>
          <w:r>
            <w:rPr>
              <w:rFonts w:ascii="KaiTi" w:eastAsia="KaiTi" w:hAnsi="KaiTi" w:cs="KaiTi"/>
              <w:spacing w:val="-7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5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5" w:line="213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24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Kering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季度收入及可比增速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6" w:history="1">
            <w:r>
              <w:rPr>
                <w:spacing w:val="-11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5" w:line="213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25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Kering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集团各品牌可比增速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7" w:history="1">
            <w:r>
              <w:rPr>
                <w:spacing w:val="-11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6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26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Kering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集团分地区可比增速（零售）</w:t>
          </w:r>
          <w:r>
            <w:rPr>
              <w:rFonts w:ascii="KaiTi" w:eastAsia="KaiTi" w:hAnsi="KaiTi" w:cs="KaiTi"/>
              <w:spacing w:val="-7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8" w:history="1">
            <w:r>
              <w:rPr>
                <w:spacing w:val="-13"/>
                <w:sz w:val="21"/>
                <w:szCs w:val="21"/>
              </w:rPr>
              <w:t>1</w:t>
            </w:r>
            <w:r>
              <w:rPr>
                <w:spacing w:val="-9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1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27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Kering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集团各品牌季度收入占比</w:t>
          </w:r>
          <w:r>
            <w:rPr>
              <w:rFonts w:ascii="KaiTi" w:eastAsia="KaiTi" w:hAnsi="KaiTi" w:cs="KaiTi"/>
              <w:spacing w:val="-5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9" w:history="1">
            <w:r>
              <w:rPr>
                <w:spacing w:val="-13"/>
                <w:sz w:val="21"/>
                <w:szCs w:val="21"/>
              </w:rPr>
              <w:t>1</w:t>
            </w:r>
            <w:r>
              <w:rPr>
                <w:spacing w:val="-9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7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28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：欧莱雅季度收入和有机增速</w:t>
          </w:r>
          <w:r>
            <w:rPr>
              <w:rFonts w:ascii="KaiTi" w:eastAsia="KaiTi" w:hAnsi="KaiTi" w:cs="KaiTi"/>
              <w:spacing w:val="-6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0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6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29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：欧莱雅各产品线有机增速</w:t>
          </w:r>
          <w:r>
            <w:rPr>
              <w:rFonts w:ascii="KaiTi" w:eastAsia="KaiTi" w:hAnsi="KaiTi" w:cs="KaiTi"/>
              <w:spacing w:val="-8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1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7" w:lineRule="auto"/>
            <w:ind w:left="3124"/>
            <w:rPr>
              <w:sz w:val="21"/>
              <w:szCs w:val="21"/>
            </w:rPr>
            <w:sectPr>
              <w:headerReference w:type="default" r:id="rId21"/>
              <w:footerReference w:type="default" r:id="rId22"/>
              <w:pgSz w:w="11907" w:h="16839"/>
              <w:pgMar w:top="1383" w:right="646" w:bottom="1291" w:left="622" w:header="794" w:footer="745" w:gutter="0"/>
              <w:pgNumType w:start="8"/>
              <w:cols w:space="708"/>
            </w:sect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7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30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：欧莱雅各地区季度营收有机增速</w:t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2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6</w:t>
            </w:r>
          </w:hyperlink>
        </w:p>
      </w:sdtContent>
    </w:sdt>
    <w:sdt>
      <w:sdtPr>
        <w:rPr>
          <w:rFonts w:ascii="KaiTi" w:eastAsia="KaiTi" w:hAnsi="KaiTi" w:cs="KaiTi"/>
          <w:sz w:val="31"/>
          <w:szCs w:val="31"/>
        </w:rPr>
        <w:id w:val="1669034935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6"/>
            </w:tabs>
            <w:spacing w:before="80" w:line="217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31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：欧莱雅各地区季度收入占比</w:t>
          </w:r>
          <w:r>
            <w:rPr>
              <w:rFonts w:ascii="KaiTi" w:eastAsia="KaiTi" w:hAnsi="KaiTi" w:cs="KaiTi"/>
              <w:spacing w:val="-6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3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7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32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：雅诗兰黛集团季度营业收入及有机增速</w:t>
          </w:r>
          <w:r>
            <w:rPr>
              <w:rFonts w:ascii="KaiTi" w:eastAsia="KaiTi" w:hAnsi="KaiTi" w:cs="KaiTi"/>
              <w:spacing w:val="-7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4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7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33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：雅诗兰黛集团分地区收入占比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5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7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34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：雅诗兰黛集团分地区有机增速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6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7" w:line="217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35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：雅诗兰黛集团分品类有机增速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7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4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36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：资生堂集团季度收入和可比增速</w:t>
          </w:r>
          <w:r>
            <w:rPr>
              <w:rFonts w:ascii="KaiTi" w:eastAsia="KaiTi" w:hAnsi="KaiTi" w:cs="KaiTi"/>
              <w:spacing w:val="-7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8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9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37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：资生堂集团分地区收入占比</w:t>
          </w:r>
          <w:r>
            <w:rPr>
              <w:rFonts w:ascii="KaiTi" w:eastAsia="KaiTi" w:hAnsi="KaiTi" w:cs="KaiTi"/>
              <w:spacing w:val="-6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9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7" w:line="219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4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38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：资生堂集团各地区收入可比增速</w:t>
          </w:r>
          <w:r>
            <w:rPr>
              <w:rFonts w:ascii="KaiTi" w:eastAsia="KaiTi" w:hAnsi="KaiTi" w:cs="KaiTi"/>
              <w:spacing w:val="-7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50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6" w:line="216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9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39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：资生堂集团各品牌增速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51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9</w:t>
            </w:r>
          </w:hyperlink>
        </w:p>
      </w:sdtContent>
    </w:sdt>
    <w:p>
      <w:pPr>
        <w:spacing w:line="216" w:lineRule="auto"/>
        <w:rPr>
          <w:sz w:val="21"/>
          <w:szCs w:val="21"/>
        </w:rPr>
        <w:sectPr>
          <w:headerReference w:type="default" r:id="rId23"/>
          <w:footerReference w:type="default" r:id="rId24"/>
          <w:type w:val="nextPage"/>
          <w:pgSz w:w="11907" w:h="16839"/>
          <w:pgMar w:top="1383" w:right="646" w:bottom="1291" w:left="622" w:header="794" w:footer="745" w:gutter="0"/>
          <w:pgNumType w:start="9"/>
          <w:cols w:space="708"/>
          <w:titlePg w:val="0"/>
        </w:sectPr>
      </w:pPr>
    </w:p>
    <w:p>
      <w:pPr>
        <w:pStyle w:val="BodyText"/>
        <w:spacing w:line="276" w:lineRule="auto"/>
        <w:rPr>
          <w:sz w:val="21"/>
        </w:rPr>
      </w:pPr>
    </w:p>
    <w:p>
      <w:pPr>
        <w:pStyle w:val="BodyText"/>
        <w:spacing w:line="277" w:lineRule="auto"/>
        <w:rPr>
          <w:sz w:val="21"/>
        </w:rPr>
      </w:pPr>
    </w:p>
    <w:p>
      <w:pPr>
        <w:pStyle w:val="BodyText"/>
        <w:spacing w:line="277" w:lineRule="auto"/>
        <w:rPr>
          <w:sz w:val="21"/>
        </w:rPr>
      </w:pPr>
    </w:p>
    <w:sdt>
      <w:sdtPr>
        <w:rPr>
          <w:rFonts w:ascii="KaiTi" w:eastAsia="KaiTi" w:hAnsi="KaiTi" w:cs="KaiTi"/>
          <w:sz w:val="21"/>
          <w:szCs w:val="21"/>
        </w:rPr>
        <w:id w:val="1369111611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4"/>
            </w:tabs>
            <w:spacing w:before="68" w:line="216" w:lineRule="auto"/>
            <w:ind w:left="3098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18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1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：奢侈品和高端化妆品公司营业收入年度同比增速（以不变汇率计）</w:t>
          </w:r>
          <w:r>
            <w:rPr>
              <w:rFonts w:ascii="KaiTi" w:eastAsia="KaiTi" w:hAnsi="KaiTi" w:cs="KaiTi"/>
              <w:spacing w:val="-6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52" w:history="1">
            <w:r>
              <w:rPr>
                <w:sz w:val="21"/>
                <w:szCs w:val="21"/>
              </w:rPr>
              <w:t>8</w:t>
            </w:r>
          </w:hyperlink>
        </w:p>
        <w:p>
          <w:pPr>
            <w:pStyle w:val="BodyText"/>
            <w:spacing w:before="80" w:line="229" w:lineRule="auto"/>
            <w:jc w:val="right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2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：奢侈品和高端化妆品公司（亚太地区</w:t>
          </w:r>
          <w:r>
            <w:rPr>
              <w:spacing w:val="-1"/>
              <w:sz w:val="21"/>
              <w:szCs w:val="21"/>
            </w:rPr>
            <w:t>/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中国区）营业收入季度同比增速（以不</w:t>
          </w:r>
        </w:p>
        <w:p>
          <w:pPr>
            <w:pStyle w:val="BodyText"/>
            <w:tabs>
              <w:tab w:val="right" w:leader="dot" w:pos="10636"/>
            </w:tabs>
            <w:spacing w:before="66" w:line="218" w:lineRule="auto"/>
            <w:ind w:left="311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14"/>
              <w:sz w:val="21"/>
              <w:szCs w:val="21"/>
            </w:rPr>
            <w:t>变汇率计）</w:t>
          </w:r>
          <w:r>
            <w:rPr>
              <w:rFonts w:ascii="KaiTi" w:eastAsia="KaiTi" w:hAnsi="KaiTi" w:cs="KaiTi"/>
              <w:spacing w:val="-2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53" w:history="1">
            <w:r>
              <w:rPr>
                <w:spacing w:val="-11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6" w:line="218" w:lineRule="auto"/>
            <w:ind w:left="3098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3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</w:t>
          </w:r>
          <w:r>
            <w:rPr>
              <w:spacing w:val="-1"/>
              <w:sz w:val="21"/>
              <w:szCs w:val="21"/>
            </w:rPr>
            <w:t xml:space="preserve">23Q1-3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行业新闻与动态</w:t>
          </w:r>
          <w:r>
            <w:rPr>
              <w:rFonts w:ascii="KaiTi" w:eastAsia="KaiTi" w:hAnsi="KaiTi" w:cs="KaiTi"/>
              <w:spacing w:val="-5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hyperlink w:anchor="bookmark54" w:history="1">
            <w:r>
              <w:rPr>
                <w:spacing w:val="-2"/>
                <w:sz w:val="21"/>
                <w:szCs w:val="21"/>
              </w:rPr>
              <w:t>20</w:t>
            </w:r>
          </w:hyperlink>
        </w:p>
      </w:sdtContent>
    </w:sdt>
    <w:p>
      <w:pPr>
        <w:spacing w:line="218" w:lineRule="auto"/>
        <w:rPr>
          <w:sz w:val="21"/>
          <w:szCs w:val="21"/>
        </w:rPr>
      </w:pPr>
      <w:r>
        <w:rPr>
          <w:sz w:val="21"/>
          <w:szCs w:val="21"/>
        </w:rPr>
        <w:br/>
      </w:r>
      <w:r>
        <w:rPr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https://d.book118.com/526205103022010041</w:t>
        </w:r>
      </w:hyperlink>
    </w:p>
    <w:p>
      <w:pPr>
        <w:spacing w:line="218" w:lineRule="auto"/>
        <w:rPr>
          <w:sz w:val="21"/>
          <w:szCs w:val="21"/>
        </w:rPr>
      </w:pPr>
    </w:p>
    <w:sectPr>
      <w:headerReference w:type="default" r:id="rId26"/>
      <w:footerReference w:type="default" r:id="rId27"/>
      <w:pgSz w:w="11907" w:h="16839"/>
      <w:pgMar w:top="1383" w:right="636" w:bottom="1291" w:left="622" w:header="794" w:footer="745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1"/>
    </w:pPr>
    <w:r>
      <w:pict>
        <v:shape id="_x0000_i2049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483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2.7pt;height:12.25pt;margin-top:-1pt;margin-left:0.07pt;position:absolute;z-index:25165824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402" w:lineRule="auto"/>
      <w:rPr>
        <w:sz w:val="21"/>
      </w:rPr>
    </w:pPr>
  </w:p>
  <w:p>
    <w:pPr>
      <w:pStyle w:val="BodyText"/>
      <w:spacing w:line="225" w:lineRule="auto"/>
      <w:ind w:left="5063"/>
      <w:rPr>
        <w:sz w:val="16"/>
        <w:szCs w:val="16"/>
      </w:rPr>
    </w:pPr>
    <w:r>
      <w:rPr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color w:val="003F8A"/>
        <w:sz w:val="16"/>
        <w:szCs w:val="16"/>
      </w:rPr>
      <w:t xml:space="preserve"> </w:t>
    </w:r>
    <w:r>
      <w:rPr>
        <w:color w:val="003F8A"/>
        <w:spacing w:val="-5"/>
        <w:sz w:val="16"/>
        <w:szCs w:val="16"/>
      </w:rPr>
      <w:t>/</w:t>
    </w:r>
    <w:r>
      <w:rPr>
        <w:color w:val="003F8A"/>
        <w:spacing w:val="4"/>
        <w:sz w:val="16"/>
        <w:szCs w:val="16"/>
      </w:rPr>
      <w:t xml:space="preserve"> </w:t>
    </w:r>
    <w:r>
      <w:rPr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1"/>
    </w:pPr>
    <w:r>
      <w:pict>
        <v:shape id="_x0000_i2051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483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2.7pt;height:12.25pt;margin-top:-1pt;margin-left:0.07pt;position:absolute;z-index:25165926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402" w:lineRule="auto"/>
      <w:rPr>
        <w:sz w:val="21"/>
      </w:rPr>
    </w:pPr>
  </w:p>
  <w:p>
    <w:pPr>
      <w:pStyle w:val="BodyText"/>
      <w:spacing w:line="225" w:lineRule="auto"/>
      <w:ind w:left="5063"/>
      <w:rPr>
        <w:sz w:val="16"/>
        <w:szCs w:val="16"/>
      </w:rPr>
    </w:pPr>
    <w:r>
      <w:rPr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color w:val="003F8A"/>
        <w:sz w:val="16"/>
        <w:szCs w:val="16"/>
      </w:rPr>
      <w:t xml:space="preserve"> </w:t>
    </w:r>
    <w:r>
      <w:rPr>
        <w:color w:val="003F8A"/>
        <w:spacing w:val="-5"/>
        <w:sz w:val="16"/>
        <w:szCs w:val="16"/>
      </w:rPr>
      <w:t>/</w:t>
    </w:r>
    <w:r>
      <w:rPr>
        <w:color w:val="003F8A"/>
        <w:spacing w:val="4"/>
        <w:sz w:val="16"/>
        <w:szCs w:val="16"/>
      </w:rPr>
      <w:t xml:space="preserve"> </w:t>
    </w:r>
    <w:r>
      <w:rPr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1"/>
    </w:pPr>
    <w:r>
      <w:pict>
        <v:shape id="_x0000_i2053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483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2.7pt;height:12.25pt;margin-top:-1pt;margin-left:0.07pt;position:absolute;z-index:25166028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402" w:lineRule="auto"/>
      <w:rPr>
        <w:sz w:val="21"/>
      </w:rPr>
    </w:pPr>
  </w:p>
  <w:p>
    <w:pPr>
      <w:pStyle w:val="BodyText"/>
      <w:spacing w:line="225" w:lineRule="auto"/>
      <w:ind w:left="5063"/>
      <w:rPr>
        <w:sz w:val="16"/>
        <w:szCs w:val="16"/>
      </w:rPr>
    </w:pPr>
    <w:r>
      <w:rPr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color w:val="003F8A"/>
        <w:sz w:val="16"/>
        <w:szCs w:val="16"/>
      </w:rPr>
      <w:t xml:space="preserve"> </w:t>
    </w:r>
    <w:r>
      <w:rPr>
        <w:color w:val="003F8A"/>
        <w:spacing w:val="-5"/>
        <w:sz w:val="16"/>
        <w:szCs w:val="16"/>
      </w:rPr>
      <w:t>/</w:t>
    </w:r>
    <w:r>
      <w:rPr>
        <w:color w:val="003F8A"/>
        <w:spacing w:val="4"/>
        <w:sz w:val="16"/>
        <w:szCs w:val="16"/>
      </w:rPr>
      <w:t xml:space="preserve"> </w:t>
    </w:r>
    <w:r>
      <w:rPr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1"/>
    </w:pPr>
    <w:r>
      <w:pict>
        <v:shape id="_x0000_i2055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483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2.7pt;height:12.25pt;margin-top:-1pt;margin-left:0.07pt;position:absolute;z-index:25166131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402" w:lineRule="auto"/>
      <w:rPr>
        <w:sz w:val="21"/>
      </w:rPr>
    </w:pPr>
  </w:p>
  <w:p>
    <w:pPr>
      <w:pStyle w:val="BodyText"/>
      <w:spacing w:line="225" w:lineRule="auto"/>
      <w:ind w:left="5063"/>
      <w:rPr>
        <w:sz w:val="16"/>
        <w:szCs w:val="16"/>
      </w:rPr>
    </w:pPr>
    <w:r>
      <w:rPr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color w:val="003F8A"/>
        <w:sz w:val="16"/>
        <w:szCs w:val="16"/>
      </w:rPr>
      <w:t xml:space="preserve"> </w:t>
    </w:r>
    <w:r>
      <w:rPr>
        <w:color w:val="003F8A"/>
        <w:spacing w:val="-5"/>
        <w:sz w:val="16"/>
        <w:szCs w:val="16"/>
      </w:rPr>
      <w:t>/</w:t>
    </w:r>
    <w:r>
      <w:rPr>
        <w:color w:val="003F8A"/>
        <w:spacing w:val="4"/>
        <w:sz w:val="16"/>
        <w:szCs w:val="16"/>
      </w:rPr>
      <w:t xml:space="preserve"> </w:t>
    </w:r>
    <w:r>
      <w:rPr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1"/>
    </w:pPr>
    <w:r>
      <w:pict>
        <v:shape id="_x0000_i2057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483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2.7pt;height:12.25pt;margin-top:-1pt;margin-left:0.07pt;position:absolute;z-index:25166233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402" w:lineRule="auto"/>
      <w:rPr>
        <w:sz w:val="21"/>
      </w:rPr>
    </w:pPr>
  </w:p>
  <w:p>
    <w:pPr>
      <w:pStyle w:val="BodyText"/>
      <w:spacing w:line="225" w:lineRule="auto"/>
      <w:ind w:left="5063"/>
      <w:rPr>
        <w:sz w:val="16"/>
        <w:szCs w:val="16"/>
      </w:rPr>
    </w:pPr>
    <w:r>
      <w:rPr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color w:val="003F8A"/>
        <w:sz w:val="16"/>
        <w:szCs w:val="16"/>
      </w:rPr>
      <w:t xml:space="preserve"> </w:t>
    </w:r>
    <w:r>
      <w:rPr>
        <w:color w:val="003F8A"/>
        <w:spacing w:val="-5"/>
        <w:sz w:val="16"/>
        <w:szCs w:val="16"/>
      </w:rPr>
      <w:t>/</w:t>
    </w:r>
    <w:r>
      <w:rPr>
        <w:color w:val="003F8A"/>
        <w:spacing w:val="4"/>
        <w:sz w:val="16"/>
        <w:szCs w:val="16"/>
      </w:rPr>
      <w:t xml:space="preserve"> </w:t>
    </w:r>
    <w:r>
      <w:rPr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8" w:line="20" w:lineRule="exact"/>
      <w:ind w:firstLine="49"/>
    </w:pPr>
    <w:r>
      <w:pict>
        <v:shape id="_x0000_i2059" style="width:529.55pt;height:1.05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81" w:line="218" w:lineRule="auto"/>
      <w:ind w:left="8531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2.7pt;height:12.25pt;margin-top:-1pt;margin-left:2.47pt;position:absolute;z-index:25166336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225" w:lineRule="auto"/>
      <w:ind w:left="5098"/>
      <w:rPr>
        <w:sz w:val="16"/>
        <w:szCs w:val="16"/>
      </w:rPr>
    </w:pPr>
    <w:r>
      <w:rPr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</w:t>
    </w:r>
    <w:r>
      <w:rPr>
        <w:color w:val="003F8A"/>
        <w:spacing w:val="-2"/>
        <w:sz w:val="16"/>
        <w:szCs w:val="16"/>
      </w:rPr>
      <w:t xml:space="preserve"> /</w:t>
    </w:r>
    <w:r>
      <w:rPr>
        <w:color w:val="003F8A"/>
        <w:spacing w:val="7"/>
        <w:sz w:val="16"/>
        <w:szCs w:val="16"/>
      </w:rPr>
      <w:t xml:space="preserve"> </w:t>
    </w:r>
    <w:r>
      <w:rPr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8" w:line="20" w:lineRule="exact"/>
    </w:pPr>
    <w:r>
      <w:pict>
        <v:shape id="_x0000_i2061" style="width:529.55pt;height:1.05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81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2.7pt;height:12.25pt;margin-top:-1pt;margin-left:0;position:absolute;z-index:25166438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225" w:lineRule="auto"/>
      <w:ind w:left="5051"/>
      <w:rPr>
        <w:sz w:val="16"/>
        <w:szCs w:val="16"/>
      </w:rPr>
    </w:pPr>
    <w:r>
      <w:rPr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</w:t>
    </w:r>
    <w:r>
      <w:rPr>
        <w:color w:val="003F8A"/>
        <w:spacing w:val="-2"/>
        <w:sz w:val="16"/>
        <w:szCs w:val="16"/>
      </w:rPr>
      <w:t xml:space="preserve"> /</w:t>
    </w:r>
    <w:r>
      <w:rPr>
        <w:color w:val="003F8A"/>
        <w:spacing w:val="5"/>
        <w:sz w:val="16"/>
        <w:szCs w:val="16"/>
      </w:rPr>
      <w:t xml:space="preserve"> </w:t>
    </w:r>
    <w:r>
      <w:rPr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8" w:line="20" w:lineRule="exact"/>
    </w:pPr>
    <w:r>
      <w:pict>
        <v:shape id="_x0000_i2063" style="width:529.55pt;height:1.05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81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2.7pt;height:12.25pt;margin-top:-1pt;margin-left:0;position:absolute;z-index:25166540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225" w:lineRule="auto"/>
      <w:ind w:left="5046"/>
      <w:rPr>
        <w:sz w:val="16"/>
        <w:szCs w:val="16"/>
      </w:rPr>
    </w:pPr>
    <w:r>
      <w:rPr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4</w:t>
    </w:r>
    <w:r>
      <w:rPr>
        <w:color w:val="003F8A"/>
        <w:spacing w:val="-1"/>
        <w:sz w:val="16"/>
        <w:szCs w:val="16"/>
      </w:rPr>
      <w:t xml:space="preserve"> /</w:t>
    </w:r>
    <w:r>
      <w:rPr>
        <w:color w:val="003F8A"/>
        <w:spacing w:val="5"/>
        <w:sz w:val="16"/>
        <w:szCs w:val="16"/>
      </w:rPr>
      <w:t xml:space="preserve"> </w:t>
    </w:r>
    <w:r>
      <w:rPr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8" w:line="20" w:lineRule="exact"/>
    </w:pPr>
    <w:r>
      <w:pict>
        <v:shape id="_x0000_i2065" style="width:529.55pt;height:1.05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81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2.7pt;height:12.25pt;margin-top:-1pt;margin-left:0;position:absolute;z-index:25166643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225" w:lineRule="auto"/>
      <w:ind w:left="5046"/>
      <w:rPr>
        <w:sz w:val="16"/>
        <w:szCs w:val="16"/>
      </w:rPr>
    </w:pPr>
    <w:r>
      <w:rPr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4</w:t>
    </w:r>
    <w:r>
      <w:rPr>
        <w:color w:val="003F8A"/>
        <w:spacing w:val="-1"/>
        <w:sz w:val="16"/>
        <w:szCs w:val="16"/>
      </w:rPr>
      <w:t xml:space="preserve"> /</w:t>
    </w:r>
    <w:r>
      <w:rPr>
        <w:color w:val="003F8A"/>
        <w:spacing w:val="5"/>
        <w:sz w:val="16"/>
        <w:szCs w:val="16"/>
      </w:rPr>
      <w:t xml:space="preserve"> </w:t>
    </w:r>
    <w:r>
      <w:rPr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8" w:line="20" w:lineRule="exact"/>
    </w:pPr>
    <w:r>
      <w:pict>
        <v:shape id="_x0000_i2067" style="width:529.55pt;height:1.05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81" w:line="218" w:lineRule="auto"/>
      <w:ind w:right="1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2.7pt;height:12.25pt;margin-top:-1pt;margin-left:0;position:absolute;z-index:25166745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225" w:lineRule="auto"/>
      <w:ind w:left="5051"/>
      <w:rPr>
        <w:sz w:val="16"/>
        <w:szCs w:val="16"/>
      </w:rPr>
    </w:pPr>
    <w:r>
      <w:rPr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5</w:t>
    </w:r>
    <w:r>
      <w:rPr>
        <w:color w:val="003F8A"/>
        <w:spacing w:val="-2"/>
        <w:sz w:val="16"/>
        <w:szCs w:val="16"/>
      </w:rPr>
      <w:t xml:space="preserve"> /</w:t>
    </w:r>
    <w:r>
      <w:rPr>
        <w:color w:val="003F8A"/>
        <w:spacing w:val="5"/>
        <w:sz w:val="16"/>
        <w:szCs w:val="16"/>
      </w:rPr>
      <w:t xml:space="preserve"> </w:t>
    </w:r>
    <w:r>
      <w:rPr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2" w:lineRule="auto"/>
      <w:ind w:left="8892" w:right="384" w:hanging="1031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行业专题研究|商贸零售</w:t>
    </w:r>
    <w:r>
      <w:rPr>
        <w:rFonts w:ascii="SimHei" w:eastAsia="SimHei" w:hAnsi="SimHei" w:cs="SimHei"/>
        <w:color w:val="1F497D"/>
        <w:spacing w:val="1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2023</w:t>
    </w:r>
    <w:r>
      <w:rPr>
        <w:rFonts w:ascii="SimHei" w:eastAsia="SimHei" w:hAnsi="SimHei" w:cs="SimHei"/>
        <w:color w:val="1F497D"/>
        <w:spacing w:val="-37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2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12</w:t>
    </w:r>
    <w:r>
      <w:rPr>
        <w:rFonts w:ascii="SimHei" w:eastAsia="SimHei" w:hAnsi="SimHei" w:cs="SimHei"/>
        <w:color w:val="1F497D"/>
        <w:spacing w:val="-34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36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26</w:t>
    </w:r>
    <w:r>
      <w:rPr>
        <w:rFonts w:ascii="SimHei" w:eastAsia="SimHei" w:hAnsi="SimHei" w:cs="SimHei"/>
        <w:color w:val="1F497D"/>
        <w:spacing w:val="-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2" w:lineRule="auto"/>
      <w:ind w:left="8892" w:right="384" w:hanging="1031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72130404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2130404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行业专题研究|商贸零售</w:t>
    </w:r>
    <w:r>
      <w:rPr>
        <w:rFonts w:ascii="SimHei" w:eastAsia="SimHei" w:hAnsi="SimHei" w:cs="SimHei"/>
        <w:color w:val="1F497D"/>
        <w:spacing w:val="1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2023</w:t>
    </w:r>
    <w:r>
      <w:rPr>
        <w:rFonts w:ascii="SimHei" w:eastAsia="SimHei" w:hAnsi="SimHei" w:cs="SimHei"/>
        <w:color w:val="1F497D"/>
        <w:spacing w:val="-37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2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12</w:t>
    </w:r>
    <w:r>
      <w:rPr>
        <w:rFonts w:ascii="SimHei" w:eastAsia="SimHei" w:hAnsi="SimHei" w:cs="SimHei"/>
        <w:color w:val="1F497D"/>
        <w:spacing w:val="-34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36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26</w:t>
    </w:r>
    <w:r>
      <w:rPr>
        <w:rFonts w:ascii="SimHei" w:eastAsia="SimHei" w:hAnsi="SimHei" w:cs="SimHei"/>
        <w:color w:val="1F497D"/>
        <w:spacing w:val="-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2" w:lineRule="auto"/>
      <w:ind w:left="8892" w:right="384" w:hanging="1031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121623733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623733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行业专题研究|商贸零售</w:t>
    </w:r>
    <w:r>
      <w:rPr>
        <w:rFonts w:ascii="SimHei" w:eastAsia="SimHei" w:hAnsi="SimHei" w:cs="SimHei"/>
        <w:color w:val="1F497D"/>
        <w:spacing w:val="1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2023</w:t>
    </w:r>
    <w:r>
      <w:rPr>
        <w:rFonts w:ascii="SimHei" w:eastAsia="SimHei" w:hAnsi="SimHei" w:cs="SimHei"/>
        <w:color w:val="1F497D"/>
        <w:spacing w:val="-37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2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12</w:t>
    </w:r>
    <w:r>
      <w:rPr>
        <w:rFonts w:ascii="SimHei" w:eastAsia="SimHei" w:hAnsi="SimHei" w:cs="SimHei"/>
        <w:color w:val="1F497D"/>
        <w:spacing w:val="-34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36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26</w:t>
    </w:r>
    <w:r>
      <w:rPr>
        <w:rFonts w:ascii="SimHei" w:eastAsia="SimHei" w:hAnsi="SimHei" w:cs="SimHei"/>
        <w:color w:val="1F497D"/>
        <w:spacing w:val="-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2" w:lineRule="auto"/>
      <w:ind w:left="8892" w:right="384" w:hanging="1031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1227544426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7544426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行业专题研究|商贸零售</w:t>
    </w:r>
    <w:r>
      <w:rPr>
        <w:rFonts w:ascii="SimHei" w:eastAsia="SimHei" w:hAnsi="SimHei" w:cs="SimHei"/>
        <w:color w:val="1F497D"/>
        <w:spacing w:val="1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2023</w:t>
    </w:r>
    <w:r>
      <w:rPr>
        <w:rFonts w:ascii="SimHei" w:eastAsia="SimHei" w:hAnsi="SimHei" w:cs="SimHei"/>
        <w:color w:val="1F497D"/>
        <w:spacing w:val="-37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2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12</w:t>
    </w:r>
    <w:r>
      <w:rPr>
        <w:rFonts w:ascii="SimHei" w:eastAsia="SimHei" w:hAnsi="SimHei" w:cs="SimHei"/>
        <w:color w:val="1F497D"/>
        <w:spacing w:val="-34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36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26</w:t>
    </w:r>
    <w:r>
      <w:rPr>
        <w:rFonts w:ascii="SimHei" w:eastAsia="SimHei" w:hAnsi="SimHei" w:cs="SimHei"/>
        <w:color w:val="1F497D"/>
        <w:spacing w:val="-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2" w:lineRule="auto"/>
      <w:ind w:left="8892" w:right="384" w:hanging="1031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15403336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03336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行业专题研究|商贸零售</w:t>
    </w:r>
    <w:r>
      <w:rPr>
        <w:rFonts w:ascii="SimHei" w:eastAsia="SimHei" w:hAnsi="SimHei" w:cs="SimHei"/>
        <w:color w:val="1F497D"/>
        <w:spacing w:val="1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2023</w:t>
    </w:r>
    <w:r>
      <w:rPr>
        <w:rFonts w:ascii="SimHei" w:eastAsia="SimHei" w:hAnsi="SimHei" w:cs="SimHei"/>
        <w:color w:val="1F497D"/>
        <w:spacing w:val="-37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2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12</w:t>
    </w:r>
    <w:r>
      <w:rPr>
        <w:rFonts w:ascii="SimHei" w:eastAsia="SimHei" w:hAnsi="SimHei" w:cs="SimHei"/>
        <w:color w:val="1F497D"/>
        <w:spacing w:val="-34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36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26</w:t>
    </w:r>
    <w:r>
      <w:rPr>
        <w:rFonts w:ascii="SimHei" w:eastAsia="SimHei" w:hAnsi="SimHei" w:cs="SimHei"/>
        <w:color w:val="1F497D"/>
        <w:spacing w:val="-8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8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7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行业专题研究|商贸零售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行业专题研究|商贸零售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行业专题研究|商贸零售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453227115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3227115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行业专题研究|商贸零售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行业专题研究|商贸零售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yperlink" Target="https://d.book118.com/526205103022010041" TargetMode="External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3.jpeg" /><Relationship Id="rId8" Type="http://schemas.openxmlformats.org/officeDocument/2006/relationships/image" Target="media/image4.png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广发证券-商贸零售行业海外高端品牌观察：23年全球奢侈品市场增速趋缓，品牌和地区表现分化-231226.pdf</dc:title>
  <cp:revision>0</cp:revision>
  <dcterms:created xsi:type="dcterms:W3CDTF">2024-01-25T09:23:12Z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2024-01-25T09:28:13Z</vt:filetime>
  </property>
  <property fmtid="{D5CDD505-2E9C-101B-9397-08002B2CF9AE}" pid="3" name="CRO">
    <vt:lpwstr>wqlLaW5nc29mdCBQREYgdG8gV1BTIDkw</vt:lpwstr>
  </property>
</Properties>
</file>