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rPr>
          <w:rFonts w:ascii="微软雅黑" w:eastAsia="微软雅黑" w:hAnsi="微软雅黑" w:cs="微软雅黑" w:hint="eastAsia"/>
          <w:b/>
          <w:color w:val="FF0000"/>
          <w:sz w:val="36"/>
          <w:szCs w:val="36"/>
        </w:rPr>
      </w:pPr>
      <w:bookmarkStart w:id="0" w:name="_GoBack"/>
      <w:r>
        <w:rPr>
          <w:rFonts w:ascii="微软雅黑" w:eastAsia="微软雅黑" w:hAnsi="微软雅黑" w:cs="微软雅黑" w:hint="eastAsia"/>
          <w:b/>
          <w:color w:val="FF0000"/>
          <w:sz w:val="36"/>
          <w:szCs w:val="36"/>
          <w:lang w:val="en-US" w:eastAsia="zh-CN"/>
        </w:rPr>
        <w:t>2024年高考语文专题复习：信息类文本阅读指导</w:t>
      </w:r>
    </w:p>
    <w:bookmarkEnd w:id="0"/>
    <w:p>
      <w:pPr>
        <w:spacing w:line="360" w:lineRule="auto"/>
        <w:rPr>
          <w:rFonts w:ascii="黑体" w:eastAsia="黑体" w:hAnsi="黑体" w:cs="黑体" w:hint="eastAsia"/>
          <w:color w:val="0000FF"/>
          <w:sz w:val="36"/>
          <w:szCs w:val="36"/>
        </w:rPr>
      </w:pPr>
      <w:r>
        <w:rPr>
          <w:rFonts w:ascii="黑体" w:eastAsia="黑体" w:hAnsi="黑体" w:cs="黑体" w:hint="eastAsia"/>
          <w:color w:val="0000FF"/>
          <w:sz w:val="36"/>
          <w:szCs w:val="36"/>
          <w:lang w:val="en-US" w:eastAsia="zh-CN"/>
        </w:rPr>
        <w:t>回顾学习：</w:t>
      </w:r>
    </w:p>
    <w:p>
      <w:pPr>
        <w:pStyle w:val="NormalWeb"/>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0" w:afterAutospacing="0" w:line="360" w:lineRule="auto"/>
        <w:ind w:left="0" w:right="0" w:firstLine="420" w:firstLineChars="200"/>
        <w:textAlignment w:val="auto"/>
        <w:rPr>
          <w:rFonts w:hint="eastAsia"/>
          <w:kern w:val="2"/>
          <w:sz w:val="21"/>
          <w:szCs w:val="21"/>
          <w:lang w:val="en-US" w:eastAsia="zh-CN" w:bidi="ar-SA"/>
        </w:rPr>
      </w:pPr>
      <w:r>
        <w:rPr>
          <w:rFonts w:ascii="宋体" w:eastAsia="宋体" w:hAnsi="宋体" w:cs="宋体" w:hint="eastAsia"/>
          <w:kern w:val="2"/>
          <w:sz w:val="21"/>
          <w:szCs w:val="21"/>
          <w:lang w:val="en-US" w:eastAsia="zh-CN" w:bidi="ar-SA"/>
        </w:rPr>
        <w:t>论述类文本以议论为主要表达方式，具有理论性强、逻辑性强、针对性强的特点，主要以阐述观点、说明道理、分析事实、辩驳旧说、介绍新见等为表达目的。一般可以分为政论文、学术论文、时评、书评等类型。</w:t>
      </w:r>
    </w:p>
    <w:p>
      <w:pPr>
        <w:pStyle w:val="PlainText"/>
        <w:keepNext w:val="0"/>
        <w:keepLines w:val="0"/>
        <w:pageBreakBefore w:val="0"/>
        <w:kinsoku/>
        <w:wordWrap/>
        <w:overflowPunct/>
        <w:topLinePunct w:val="0"/>
        <w:autoSpaceDE/>
        <w:autoSpaceDN/>
        <w:bidi w:val="0"/>
        <w:adjustRightInd/>
        <w:snapToGrid/>
        <w:spacing w:line="360" w:lineRule="auto"/>
        <w:ind w:firstLine="420" w:firstLineChars="200"/>
        <w:textAlignment w:val="auto"/>
        <w:rPr>
          <w:rFonts w:hAnsi="宋体" w:cs="宋体" w:hint="eastAsia"/>
          <w:kern w:val="2"/>
          <w:sz w:val="21"/>
          <w:lang w:val="en-US" w:eastAsia="zh-CN" w:bidi="ar-SA"/>
        </w:rPr>
      </w:pPr>
      <w:r>
        <w:rPr>
          <w:rFonts w:ascii="宋体" w:eastAsia="宋体" w:hAnsi="宋体" w:cs="宋体" w:hint="eastAsia"/>
          <w:kern w:val="2"/>
          <w:sz w:val="21"/>
          <w:szCs w:val="21"/>
          <w:lang w:val="en-US" w:eastAsia="zh-CN" w:bidi="ar-SA"/>
        </w:rPr>
        <w:t>实用类文本则是指有针对性的应用类</w:t>
      </w:r>
      <w:hyperlink r:id="rId5" w:tgtFrame="https://wenda.so.com/q/_blank" w:history="1">
        <w:r>
          <w:rPr>
            <w:rFonts w:ascii="宋体" w:eastAsia="宋体" w:hAnsi="宋体" w:cs="宋体" w:hint="eastAsia"/>
            <w:kern w:val="2"/>
            <w:sz w:val="21"/>
            <w:szCs w:val="21"/>
            <w:lang w:val="en-US" w:eastAsia="zh-CN" w:bidi="ar-SA"/>
          </w:rPr>
          <w:t>文章</w:t>
        </w:r>
      </w:hyperlink>
      <w:r>
        <w:rPr>
          <w:rFonts w:ascii="宋体" w:eastAsia="宋体" w:hAnsi="宋体" w:cs="宋体" w:hint="eastAsia"/>
          <w:kern w:val="2"/>
          <w:sz w:val="21"/>
          <w:szCs w:val="21"/>
          <w:lang w:val="en-US" w:eastAsia="zh-CN" w:bidi="ar-SA"/>
        </w:rPr>
        <w:t>如</w:t>
      </w:r>
      <w:hyperlink r:id="rId6" w:tgtFrame="https://wenda.so.com/q/_blank" w:history="1">
        <w:r>
          <w:rPr>
            <w:rFonts w:ascii="宋体" w:eastAsia="宋体" w:hAnsi="宋体" w:cs="宋体" w:hint="eastAsia"/>
            <w:kern w:val="2"/>
            <w:sz w:val="21"/>
            <w:szCs w:val="21"/>
            <w:lang w:val="en-US" w:eastAsia="zh-CN" w:bidi="ar-SA"/>
          </w:rPr>
          <w:t>传记</w:t>
        </w:r>
      </w:hyperlink>
      <w:r>
        <w:rPr>
          <w:rFonts w:ascii="宋体" w:eastAsia="宋体" w:hAnsi="宋体" w:cs="宋体" w:hint="eastAsia"/>
          <w:kern w:val="2"/>
          <w:sz w:val="21"/>
          <w:szCs w:val="21"/>
          <w:lang w:val="en-US" w:eastAsia="zh-CN" w:bidi="ar-SA"/>
        </w:rPr>
        <w:t>、新闻、报告、科普文章等。</w:t>
      </w:r>
    </w:p>
    <w:p>
      <w:pPr>
        <w:pStyle w:val="PlainText"/>
        <w:tabs>
          <w:tab w:val="left" w:pos="3686"/>
        </w:tabs>
        <w:spacing w:line="360" w:lineRule="auto"/>
        <w:rPr>
          <w:rFonts w:hAnsi="宋体" w:cs="宋体" w:hint="eastAsia"/>
          <w:sz w:val="21"/>
        </w:rPr>
      </w:pPr>
      <w:r>
        <w:rPr>
          <w:rFonts w:ascii="宋体" w:eastAsia="宋体" w:hAnsi="宋体" w:cs="宋体" w:hint="eastAsia"/>
          <w:sz w:val="21"/>
          <w:szCs w:val="21"/>
          <w:lang w:val="en-US" w:eastAsia="zh-CN"/>
        </w:rPr>
        <w:t>高中</w:t>
      </w:r>
      <w:r>
        <w:rPr>
          <w:rFonts w:ascii="宋体" w:eastAsia="宋体" w:hAnsi="宋体" w:cs="宋体" w:hint="eastAsia"/>
          <w:sz w:val="21"/>
          <w:szCs w:val="21"/>
        </w:rPr>
        <w:t>重考实用类</w:t>
      </w:r>
      <w:r>
        <w:rPr>
          <w:rFonts w:ascii="宋体" w:eastAsia="宋体" w:hAnsi="宋体" w:cs="宋体" w:hint="eastAsia"/>
          <w:sz w:val="21"/>
          <w:szCs w:val="21"/>
          <w:lang w:eastAsia="zh-CN"/>
        </w:rPr>
        <w:t>、</w:t>
      </w:r>
      <w:r>
        <w:rPr>
          <w:rFonts w:ascii="宋体" w:eastAsia="宋体" w:hAnsi="宋体" w:cs="宋体" w:hint="eastAsia"/>
          <w:sz w:val="21"/>
          <w:szCs w:val="21"/>
          <w:lang w:val="en-US" w:eastAsia="zh-CN"/>
        </w:rPr>
        <w:t>论述类</w:t>
      </w:r>
      <w:r>
        <w:rPr>
          <w:rFonts w:ascii="宋体" w:eastAsia="宋体" w:hAnsi="宋体" w:cs="宋体" w:hint="eastAsia"/>
          <w:sz w:val="21"/>
          <w:szCs w:val="21"/>
        </w:rPr>
        <w:t>文本，</w:t>
      </w:r>
      <w:r>
        <w:rPr>
          <w:rFonts w:ascii="宋体" w:eastAsia="宋体" w:hAnsi="宋体" w:cs="宋体" w:hint="eastAsia"/>
          <w:sz w:val="21"/>
          <w:szCs w:val="21"/>
          <w:lang w:val="en-US" w:eastAsia="zh-CN"/>
        </w:rPr>
        <w:t>它</w:t>
      </w:r>
      <w:r>
        <w:rPr>
          <w:rFonts w:ascii="宋体" w:eastAsia="宋体" w:hAnsi="宋体" w:cs="宋体" w:hint="eastAsia"/>
          <w:sz w:val="21"/>
          <w:szCs w:val="21"/>
        </w:rPr>
        <w:t>采用了两道选择题和一道主观题的组合形式。这也告诉我们两点，一是在文体上，非连续性文本与连续性文本(如传记、新闻、访谈、科普文、调查报告等)两类文本复习要兼顾，不可偏废；二是在题型训练上，要抓好这两类文本的</w:t>
      </w:r>
      <w:r>
        <w:rPr>
          <w:rFonts w:ascii="宋体" w:eastAsia="宋体" w:hAnsi="宋体" w:cs="宋体" w:hint="eastAsia"/>
          <w:sz w:val="21"/>
          <w:szCs w:val="21"/>
          <w:lang w:val="en-US" w:eastAsia="zh-CN"/>
        </w:rPr>
        <w:t>客观题和</w:t>
      </w:r>
      <w:r>
        <w:rPr>
          <w:rFonts w:ascii="宋体" w:eastAsia="宋体" w:hAnsi="宋体" w:cs="宋体" w:hint="eastAsia"/>
          <w:sz w:val="21"/>
          <w:szCs w:val="21"/>
        </w:rPr>
        <w:t>主观题，重点是内容要点筛选概括题。</w:t>
      </w:r>
    </w:p>
    <w:p>
      <w:pPr>
        <w:pStyle w:val="PlainText"/>
        <w:tabs>
          <w:tab w:val="left" w:pos="3686"/>
        </w:tabs>
        <w:spacing w:line="360" w:lineRule="auto"/>
        <w:rPr>
          <w:rFonts w:ascii="Times New Roman" w:eastAsia="黑体" w:hAnsi="Times New Roman" w:cs="Times New Roman"/>
          <w:sz w:val="24"/>
          <w:szCs w:val="24"/>
        </w:rPr>
      </w:pPr>
      <w:r>
        <w:rPr>
          <w:rFonts w:ascii="黑体" w:eastAsia="黑体" w:hAnsi="黑体" w:cs="黑体" w:hint="eastAsia"/>
          <w:b w:val="0"/>
          <w:bCs w:val="0"/>
          <w:color w:val="0000FF"/>
          <w:sz w:val="36"/>
          <w:szCs w:val="36"/>
          <w:lang w:val="en-US" w:eastAsia="zh-CN"/>
        </w:rPr>
        <w:t>知识梳理：</w:t>
      </w:r>
    </w:p>
    <w:p>
      <w:pPr>
        <w:spacing w:line="360" w:lineRule="auto"/>
        <w:rPr>
          <w:rFonts w:hint="eastAsia"/>
          <w:b/>
          <w:bCs/>
        </w:rPr>
      </w:pPr>
      <w:r>
        <w:rPr>
          <w:rFonts w:hint="eastAsia"/>
          <w:b/>
          <w:bCs/>
          <w:lang w:val="en-US" w:eastAsia="zh-CN"/>
        </w:rPr>
        <w:t>考点解读：</w:t>
      </w:r>
    </w:p>
    <w:p>
      <w:pPr>
        <w:spacing w:line="360" w:lineRule="auto"/>
        <w:ind w:firstLine="420" w:firstLineChars="200"/>
        <w:rPr>
          <w:rFonts w:hint="eastAsia"/>
          <w:b w:val="0"/>
          <w:bCs/>
        </w:rPr>
      </w:pPr>
      <w:r>
        <w:rPr>
          <w:rFonts w:hint="eastAsia"/>
          <w:b w:val="0"/>
          <w:bCs/>
        </w:rPr>
        <w:t>“筛选并整合文中的信息”主要考查考生辨别、筛选并整合重要信息的能力。其命题角度主要有：1．要求筛选出文章的基本观点、最新知识和基本概念。2．要求筛选出阐述文中重要概念、知识的材料。论述类文章中，对概念的解说、知识的阐述大多使用举例说明的方法。有时在对有关材料的辨别或评价上，表现出阐述的多样性和复杂性，这是理解文章的关键和难点。3．要求筛选出体现作者观点或作品主旨的句子。文章中往往蕴含着作者的思想倾向和观点态度，如在对事情的评说中一般蕴含着文章的主旨，体现着作者的观点。</w:t>
      </w:r>
    </w:p>
    <w:p>
      <w:pPr>
        <w:spacing w:line="360" w:lineRule="auto"/>
        <w:ind w:firstLine="420" w:firstLineChars="200"/>
        <w:rPr>
          <w:rFonts w:hint="eastAsia"/>
          <w:b w:val="0"/>
          <w:bCs/>
        </w:rPr>
      </w:pPr>
      <w:r>
        <w:rPr>
          <w:rFonts w:hint="eastAsia"/>
          <w:b w:val="0"/>
          <w:bCs/>
        </w:rPr>
        <w:t>“筛选并整合文中的信息”</w:t>
      </w:r>
      <w:r>
        <w:rPr>
          <w:rFonts w:hint="eastAsia"/>
          <w:b w:val="0"/>
          <w:bCs/>
          <w:lang w:val="en-US" w:eastAsia="zh-CN"/>
        </w:rPr>
        <w:t>“归纳内容要点，概括中心意思”</w:t>
      </w:r>
      <w:r>
        <w:rPr>
          <w:rFonts w:hint="eastAsia"/>
          <w:b w:val="0"/>
          <w:bCs/>
        </w:rPr>
        <w:t>是高考论述类文本阅读的必考考点，主要包括客观型筛选题和主观型筛选题。这一考点主要考查考生理解文章内容和筛选重要信息的能力。</w:t>
      </w:r>
      <w:r>
        <w:rPr>
          <w:rFonts w:hint="eastAsia"/>
          <w:b w:val="0"/>
          <w:bCs/>
          <w:lang w:val="en-US" w:eastAsia="zh-CN"/>
        </w:rPr>
        <w:t>在论述文章中这一考点也常常为必设试题，分值一般为3分。</w:t>
      </w:r>
      <w:r>
        <w:rPr>
          <w:rFonts w:hint="eastAsia"/>
          <w:b w:val="0"/>
          <w:bCs/>
          <w:lang w:val="en-US" w:eastAsia="zh-CN"/>
        </w:rPr>
        <w:br/>
      </w:r>
      <w:r>
        <w:rPr>
          <w:rFonts w:hint="eastAsia"/>
          <w:b w:val="0"/>
          <w:bCs/>
          <w:lang w:val="en-US" w:eastAsia="zh-CN"/>
        </w:rPr>
        <w:t xml:space="preserve">    所谓“信息”，就科学类文章而言，是指文章传达给读者的新概念、新知识、新思想、新经验以及有关对它们的解释与阐述，它可以是事实、理论，也可以是观点、设想；或代表某些信息的符号、数据、图形等。 </w:t>
      </w:r>
      <w:r>
        <w:rPr>
          <w:rFonts w:hint="eastAsia"/>
          <w:b w:val="0"/>
          <w:bCs/>
          <w:lang w:val="en-US" w:eastAsia="zh-CN"/>
        </w:rPr>
        <w:br/>
      </w:r>
      <w:r>
        <w:rPr>
          <w:rFonts w:hint="eastAsia"/>
          <w:b w:val="0"/>
          <w:bCs/>
          <w:lang w:val="en-US" w:eastAsia="zh-CN"/>
        </w:rPr>
        <w:t xml:space="preserve">    所谓“筛选”，即根据阅读要求搜寻、辨别、提取文中的有关信息，也即根据题目要求，区分信息的主次、轻重，去伪存真，进行比较、选择，从中选出所需要的词语或句子，挑选出符合考题要求的语言材料。筛选的关键是找准与选项对应的原文。 </w:t>
      </w:r>
      <w:r>
        <w:rPr>
          <w:rFonts w:hint="eastAsia"/>
          <w:b w:val="0"/>
          <w:bCs/>
          <w:lang w:val="en-US" w:eastAsia="zh-CN"/>
        </w:rPr>
        <w:br/>
      </w:r>
      <w:r>
        <w:rPr>
          <w:rFonts w:hint="eastAsia"/>
          <w:b w:val="0"/>
          <w:bCs/>
          <w:lang w:val="en-US" w:eastAsia="zh-CN"/>
        </w:rPr>
        <w:t xml:space="preserve">    所谓“整合”，就是对筛选出的信息 进行转换、概括、组合等再加工，综合、归纳，使之符合考题要求。选择题的各个选项，已经对有关信息进行了整合，要求判断所作的整合是正 确的还是错误的。</w:t>
      </w:r>
    </w:p>
    <w:p>
      <w:pPr>
        <w:pStyle w:val="BodyText"/>
        <w:rPr>
          <w:rFonts w:hint="eastAsia"/>
          <w:b w:val="0"/>
          <w:bCs/>
          <w:lang w:val="en-US" w:eastAsia="zh-CN"/>
        </w:rPr>
        <w:sectPr>
          <w:footerReference w:type="default" r:id="rId7"/>
          <w:pgSz w:w="11906" w:h="16838"/>
          <w:pgMar w:top="1440" w:right="1080" w:bottom="1440" w:left="1080" w:header="851" w:footer="992" w:gutter="0"/>
          <w:pgNumType w:fmt="decimal"/>
          <w:cols w:num="1" w:space="425"/>
          <w:docGrid w:type="lines" w:linePitch="312" w:charSpace="0"/>
        </w:sectPr>
      </w:pPr>
    </w:p>
    <w:p>
      <w:pPr>
        <w:spacing w:line="360" w:lineRule="auto"/>
        <w:rPr>
          <w:rFonts w:hint="default"/>
          <w:b/>
          <w:bCs/>
        </w:rPr>
      </w:pPr>
      <w:r>
        <w:rPr>
          <w:rFonts w:hint="eastAsia"/>
          <w:b/>
          <w:bCs/>
          <w:lang w:val="en-US" w:eastAsia="zh-CN"/>
        </w:rPr>
        <w:t>考察方式：</w:t>
      </w:r>
    </w:p>
    <w:p>
      <w:pPr>
        <w:pStyle w:val="PlainText"/>
        <w:keepNext w:val="0"/>
        <w:keepLines w:val="0"/>
        <w:pageBreakBefore w:val="0"/>
        <w:widowControl w:val="0"/>
        <w:tabs>
          <w:tab w:val="left" w:pos="3402"/>
        </w:tabs>
        <w:kinsoku/>
        <w:wordWrap/>
        <w:overflowPunct/>
        <w:topLinePunct w:val="0"/>
        <w:autoSpaceDE/>
        <w:autoSpaceDN/>
        <w:bidi w:val="0"/>
        <w:adjustRightInd/>
        <w:snapToGrid/>
        <w:spacing w:line="360" w:lineRule="auto"/>
        <w:ind w:right="0" w:rightChars="0"/>
        <w:jc w:val="center"/>
        <w:textAlignment w:val="auto"/>
        <w:outlineLvl w:val="9"/>
        <w:rPr>
          <w:rFonts w:hAnsi="宋体" w:cs="宋体" w:hint="eastAsia"/>
          <w:b/>
          <w:bCs/>
          <w:sz w:val="21"/>
          <w:lang w:val="en-US" w:eastAsia="zh-CN"/>
        </w:rPr>
      </w:pPr>
      <w:r>
        <w:rPr>
          <w:rFonts w:ascii="宋体" w:eastAsia="宋体" w:hAnsi="宋体" w:cs="宋体" w:hint="eastAsia"/>
          <w:b/>
          <w:bCs/>
          <w:sz w:val="21"/>
          <w:szCs w:val="21"/>
          <w:lang w:val="en-US" w:eastAsia="zh-CN"/>
        </w:rPr>
        <w:t>选择题</w:t>
      </w:r>
    </w:p>
    <w:p>
      <w:pPr>
        <w:pStyle w:val="PlainText"/>
        <w:keepNext w:val="0"/>
        <w:keepLines w:val="0"/>
        <w:pageBreakBefore w:val="0"/>
        <w:widowControl w:val="0"/>
        <w:tabs>
          <w:tab w:val="left" w:pos="3402"/>
        </w:tabs>
        <w:kinsoku/>
        <w:wordWrap/>
        <w:overflowPunct/>
        <w:topLinePunct w:val="0"/>
        <w:autoSpaceDE/>
        <w:autoSpaceDN/>
        <w:bidi w:val="0"/>
        <w:adjustRightInd/>
        <w:snapToGrid/>
        <w:spacing w:line="360" w:lineRule="auto"/>
        <w:ind w:left="0" w:right="0" w:firstLine="420" w:leftChars="0" w:rightChars="0" w:firstLineChars="200"/>
        <w:jc w:val="both"/>
        <w:textAlignment w:val="auto"/>
        <w:outlineLvl w:val="9"/>
        <w:rPr>
          <w:rFonts w:hAnsi="宋体" w:cs="宋体" w:hint="eastAsia"/>
          <w:b/>
          <w:bCs/>
          <w:sz w:val="21"/>
        </w:rPr>
      </w:pPr>
      <w:r>
        <w:rPr>
          <w:rFonts w:ascii="宋体" w:eastAsia="宋体" w:hAnsi="宋体" w:cs="宋体" w:hint="eastAsia"/>
          <w:b/>
          <w:bCs/>
          <w:sz w:val="21"/>
          <w:szCs w:val="21"/>
        </w:rPr>
        <w:t>如何使用“比对法”</w:t>
      </w:r>
    </w:p>
    <w:p>
      <w:pPr>
        <w:pStyle w:val="PlainText"/>
        <w:tabs>
          <w:tab w:val="left" w:pos="4305"/>
        </w:tabs>
        <w:snapToGrid w:val="0"/>
        <w:spacing w:line="360" w:lineRule="auto"/>
        <w:jc w:val="left"/>
        <w:rPr>
          <w:rFonts w:ascii="黑体" w:eastAsia="黑体" w:hAnsi="黑体" w:cs="黑体"/>
          <w:b/>
        </w:rPr>
      </w:pPr>
      <w:r>
        <w:rPr>
          <w:rFonts w:ascii="黑体" w:eastAsia="黑体" w:hAnsi="黑体" w:cs="黑体" w:hint="eastAsia"/>
          <w:b/>
        </w:rPr>
        <w:t>认识八种设误陷阱、熟知三级比对</w:t>
      </w:r>
    </w:p>
    <w:p>
      <w:pPr>
        <w:pStyle w:val="PlainText"/>
        <w:tabs>
          <w:tab w:val="left" w:pos="4305"/>
        </w:tabs>
        <w:snapToGrid w:val="0"/>
        <w:spacing w:line="360" w:lineRule="auto"/>
        <w:jc w:val="both"/>
        <w:rPr>
          <w:rFonts w:ascii="Times New Roman" w:hAnsi="Times New Roman"/>
        </w:rPr>
      </w:pPr>
      <w:r>
        <w:rPr>
          <w:rFonts w:ascii="Times New Roman" w:hAnsi="Times New Roman"/>
          <w:lang w:val="en-US"/>
        </w:rPr>
        <w:drawing>
          <wp:inline distT="0" distB="0" distL="114300" distR="114300">
            <wp:extent cx="6353175" cy="3794125"/>
            <wp:effectExtent l="0" t="0" r="0" b="0"/>
            <wp:docPr id="1" name="图片 17" descr="AC2.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7" descr="AC2.tif"/>
                    <pic:cNvPicPr>
                      <a:picLocks noChangeAspect="1"/>
                    </pic:cNvPicPr>
                  </pic:nvPicPr>
                  <pic:blipFill>
                    <a:blip xmlns:r="http://schemas.openxmlformats.org/officeDocument/2006/relationships" r:embed="rId8">
                      <a:clrChange>
                        <a:clrFrom>
                          <a:srgbClr val="FDFDFD">
                            <a:alpha val="100000"/>
                          </a:srgbClr>
                        </a:clrFrom>
                        <a:clrTo>
                          <a:srgbClr val="FDFDFD">
                            <a:alpha val="100000"/>
                            <a:alpha val="0"/>
                          </a:srgbClr>
                        </a:clrTo>
                      </a:clrChange>
                    </a:blip>
                    <a:srcRect t="1040" b="3345"/>
                    <a:stretch>
                      <a:fillRect/>
                    </a:stretch>
                  </pic:blipFill>
                  <pic:spPr>
                    <a:xfrm>
                      <a:off x="0" y="0"/>
                      <a:ext cx="6353175" cy="3794125"/>
                    </a:xfrm>
                    <a:prstGeom prst="rect">
                      <a:avLst/>
                    </a:prstGeom>
                    <a:noFill/>
                    <a:ln w="9525">
                      <a:noFill/>
                    </a:ln>
                  </pic:spPr>
                </pic:pic>
              </a:graphicData>
            </a:graphic>
          </wp:inline>
        </w:drawing>
      </w:r>
    </w:p>
    <w:p>
      <w:pPr>
        <w:pStyle w:val="PlainText"/>
        <w:tabs>
          <w:tab w:val="left" w:pos="4305"/>
        </w:tabs>
        <w:snapToGrid w:val="0"/>
        <w:spacing w:line="360" w:lineRule="auto"/>
        <w:ind w:firstLine="420" w:firstLineChars="200"/>
        <w:jc w:val="left"/>
        <w:rPr>
          <w:rFonts w:ascii="Times New Roman" w:eastAsia="黑体" w:hAnsi="Times New Roman"/>
        </w:rPr>
      </w:pPr>
      <w:r>
        <w:rPr>
          <w:rFonts w:ascii="Times New Roman" w:eastAsia="黑体" w:hAnsi="Times New Roman"/>
        </w:rPr>
        <w:t>一、偷换概念</w:t>
      </w:r>
    </w:p>
    <w:tbl>
      <w:tblPr>
        <w:tblStyle w:val="TableNormal"/>
        <w:tblW w:w="94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236"/>
        <w:gridCol w:w="1429"/>
        <w:gridCol w:w="6801"/>
      </w:tblGrid>
      <w:tr>
        <w:tblPrEx>
          <w:tblW w:w="94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1236"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设错特点</w:t>
            </w:r>
          </w:p>
        </w:tc>
        <w:tc>
          <w:tcPr>
            <w:tcW w:w="8230" w:type="dxa"/>
            <w:gridSpan w:val="2"/>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命题人在解释概念或陈述概念特点时，故意变换成其他内容。</w:t>
            </w:r>
          </w:p>
        </w:tc>
      </w:tr>
      <w:tr>
        <w:tblPrEx>
          <w:tblW w:w="9466" w:type="dxa"/>
          <w:jc w:val="center"/>
          <w:tblLayout w:type="fixed"/>
          <w:tblCellMar>
            <w:top w:w="0" w:type="dxa"/>
            <w:left w:w="108" w:type="dxa"/>
            <w:bottom w:w="0" w:type="dxa"/>
            <w:right w:w="108" w:type="dxa"/>
          </w:tblCellMar>
        </w:tblPrEx>
        <w:trPr>
          <w:jc w:val="center"/>
        </w:trPr>
        <w:tc>
          <w:tcPr>
            <w:tcW w:w="1236"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设错手段</w:t>
            </w:r>
          </w:p>
        </w:tc>
        <w:tc>
          <w:tcPr>
            <w:tcW w:w="8230" w:type="dxa"/>
            <w:gridSpan w:val="2"/>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将两个概念的内涵等进行了调换、改变，以细微的区别干扰考生。</w:t>
            </w:r>
          </w:p>
        </w:tc>
      </w:tr>
      <w:tr>
        <w:tblPrEx>
          <w:tblW w:w="9466" w:type="dxa"/>
          <w:jc w:val="center"/>
          <w:tblLayout w:type="fixed"/>
          <w:tblCellMar>
            <w:top w:w="0" w:type="dxa"/>
            <w:left w:w="108" w:type="dxa"/>
            <w:bottom w:w="0" w:type="dxa"/>
            <w:right w:w="108" w:type="dxa"/>
          </w:tblCellMar>
        </w:tblPrEx>
        <w:trPr>
          <w:jc w:val="center"/>
        </w:trPr>
        <w:tc>
          <w:tcPr>
            <w:tcW w:w="1236"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识别方法</w:t>
            </w:r>
          </w:p>
        </w:tc>
        <w:tc>
          <w:tcPr>
            <w:tcW w:w="8230" w:type="dxa"/>
            <w:gridSpan w:val="2"/>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要判断“偷换概念”干扰项，在阅读文章或选项句时，要特别注意事物的对象，应注意看选项中是否存在信息错误对接的现象，尤其看选项句中的陈述对象（一般是主语或宾语）与原文中句子的陈述对象是否一致。</w:t>
            </w:r>
          </w:p>
        </w:tc>
      </w:tr>
      <w:tr>
        <w:tblPrEx>
          <w:tblW w:w="9466" w:type="dxa"/>
          <w:jc w:val="center"/>
          <w:tblLayout w:type="fixed"/>
          <w:tblCellMar>
            <w:top w:w="0" w:type="dxa"/>
            <w:left w:w="108" w:type="dxa"/>
            <w:bottom w:w="0" w:type="dxa"/>
            <w:right w:w="108" w:type="dxa"/>
          </w:tblCellMar>
        </w:tblPrEx>
        <w:trPr>
          <w:trHeight w:val="193"/>
          <w:jc w:val="center"/>
        </w:trPr>
        <w:tc>
          <w:tcPr>
            <w:tcW w:w="1236" w:type="dxa"/>
            <w:vMerge w:val="restart"/>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技法演示</w:t>
            </w:r>
          </w:p>
        </w:tc>
        <w:tc>
          <w:tcPr>
            <w:tcW w:w="1429"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试题选项</w:t>
            </w:r>
          </w:p>
        </w:tc>
        <w:tc>
          <w:tcPr>
            <w:tcW w:w="6801"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（2017·天津卷·6T－C）</w:t>
            </w:r>
            <w:r>
              <w:rPr>
                <w:rFonts w:ascii="宋体" w:eastAsia="宋体" w:hAnsi="宋体" w:cs="宋体" w:hint="eastAsia"/>
              </w:rPr>
              <w:t>作为传统时间制度组成部分的二十四节气，在某些历史时期某些节气有不同的名称，这种情况在《淮南子》中已有记载。</w:t>
            </w:r>
          </w:p>
        </w:tc>
      </w:tr>
      <w:tr>
        <w:tblPrEx>
          <w:tblW w:w="9466" w:type="dxa"/>
          <w:jc w:val="center"/>
          <w:tblLayout w:type="fixed"/>
          <w:tblCellMar>
            <w:top w:w="0" w:type="dxa"/>
            <w:left w:w="108" w:type="dxa"/>
            <w:bottom w:w="0" w:type="dxa"/>
            <w:right w:w="108" w:type="dxa"/>
          </w:tblCellMar>
        </w:tblPrEx>
        <w:trPr>
          <w:trHeight w:val="193"/>
          <w:jc w:val="center"/>
        </w:trPr>
        <w:tc>
          <w:tcPr>
            <w:tcW w:w="1236" w:type="dxa"/>
            <w:vMerge/>
            <w:shd w:val="clear" w:color="auto" w:fill="auto"/>
            <w:vAlign w:val="center"/>
          </w:tcPr>
          <w:p>
            <w:pPr>
              <w:pStyle w:val="PlainText"/>
              <w:tabs>
                <w:tab w:val="left" w:pos="4305"/>
              </w:tabs>
              <w:snapToGrid w:val="0"/>
              <w:spacing w:line="360" w:lineRule="auto"/>
              <w:jc w:val="left"/>
              <w:rPr>
                <w:rFonts w:ascii="Times New Roman" w:hAnsi="Times New Roman"/>
              </w:rPr>
            </w:pPr>
          </w:p>
        </w:tc>
        <w:tc>
          <w:tcPr>
            <w:tcW w:w="1429"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对应原文</w:t>
            </w:r>
          </w:p>
        </w:tc>
        <w:tc>
          <w:tcPr>
            <w:tcW w:w="6801" w:type="dxa"/>
            <w:shd w:val="clear" w:color="auto" w:fill="auto"/>
            <w:vAlign w:val="center"/>
          </w:tcPr>
          <w:p>
            <w:pPr>
              <w:pStyle w:val="PlainText"/>
              <w:tabs>
                <w:tab w:val="left" w:pos="4305"/>
              </w:tabs>
              <w:snapToGrid w:val="0"/>
              <w:spacing w:line="360" w:lineRule="auto"/>
              <w:jc w:val="left"/>
              <w:rPr>
                <w:rFonts w:ascii="楷体" w:eastAsia="楷体" w:hAnsi="楷体" w:cs="楷体" w:hint="eastAsia"/>
              </w:rPr>
            </w:pPr>
            <w:r>
              <w:rPr>
                <w:rFonts w:ascii="楷体" w:eastAsia="楷体" w:hAnsi="楷体" w:cs="楷体" w:hint="eastAsia"/>
              </w:rPr>
              <w:t>在某些历史时期，某些节气的名称与今或有不同，但在汉代刘安著《淮南子》中，就明确有二十四节气名称的记载了。</w:t>
            </w:r>
          </w:p>
        </w:tc>
      </w:tr>
      <w:tr>
        <w:tblPrEx>
          <w:tblW w:w="9466" w:type="dxa"/>
          <w:jc w:val="center"/>
          <w:tblLayout w:type="fixed"/>
          <w:tblCellMar>
            <w:top w:w="0" w:type="dxa"/>
            <w:left w:w="108" w:type="dxa"/>
            <w:bottom w:w="0" w:type="dxa"/>
            <w:right w:w="108" w:type="dxa"/>
          </w:tblCellMar>
        </w:tblPrEx>
        <w:trPr>
          <w:trHeight w:val="183"/>
          <w:jc w:val="center"/>
        </w:trPr>
        <w:tc>
          <w:tcPr>
            <w:tcW w:w="1236" w:type="dxa"/>
            <w:vMerge/>
            <w:shd w:val="clear" w:color="auto" w:fill="auto"/>
            <w:vAlign w:val="center"/>
          </w:tcPr>
          <w:p>
            <w:pPr>
              <w:pStyle w:val="PlainText"/>
              <w:tabs>
                <w:tab w:val="left" w:pos="4305"/>
              </w:tabs>
              <w:snapToGrid w:val="0"/>
              <w:spacing w:line="360" w:lineRule="auto"/>
              <w:jc w:val="left"/>
              <w:rPr>
                <w:rFonts w:ascii="Times New Roman" w:hAnsi="Times New Roman"/>
              </w:rPr>
            </w:pPr>
          </w:p>
        </w:tc>
        <w:tc>
          <w:tcPr>
            <w:tcW w:w="1429"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比对结果</w:t>
            </w:r>
          </w:p>
        </w:tc>
        <w:tc>
          <w:tcPr>
            <w:tcW w:w="6801" w:type="dxa"/>
            <w:shd w:val="clear" w:color="auto" w:fill="auto"/>
            <w:vAlign w:val="center"/>
          </w:tcPr>
          <w:p>
            <w:pPr>
              <w:pStyle w:val="PlainText"/>
              <w:tabs>
                <w:tab w:val="left" w:pos="4305"/>
              </w:tabs>
              <w:snapToGrid w:val="0"/>
              <w:spacing w:line="360" w:lineRule="auto"/>
              <w:jc w:val="left"/>
              <w:rPr>
                <w:rFonts w:ascii="楷体" w:eastAsia="楷体" w:hAnsi="楷体" w:cs="楷体" w:hint="eastAsia"/>
              </w:rPr>
            </w:pPr>
            <w:r>
              <w:rPr>
                <w:rFonts w:ascii="宋体" w:eastAsia="宋体" w:hAnsi="宋体" w:cs="宋体" w:hint="eastAsia"/>
              </w:rPr>
              <w:t>首先，并不是“在某些历史时期某些节气有不同的名称”，而是在某些历史时期某些节气的名称可能与现在不同；其次，《淮南子》中记载的只是二十四节气的名称，并不是“在某些历史时期某些节气有不同的名称” 这种情况。犯了偷换概念的错误。</w:t>
            </w:r>
          </w:p>
        </w:tc>
      </w:tr>
    </w:tbl>
    <w:p>
      <w:pPr>
        <w:pStyle w:val="PlainText"/>
        <w:tabs>
          <w:tab w:val="left" w:pos="4305"/>
        </w:tabs>
        <w:snapToGrid w:val="0"/>
        <w:spacing w:line="360" w:lineRule="auto"/>
        <w:ind w:firstLine="420" w:firstLineChars="200"/>
        <w:jc w:val="left"/>
        <w:rPr>
          <w:rFonts w:ascii="Times New Roman" w:eastAsia="黑体" w:hAnsi="Times New Roman"/>
        </w:rPr>
        <w:sectPr>
          <w:footerReference w:type="default" r:id="rId9"/>
          <w:type w:val="nextPage"/>
          <w:pgSz w:w="11906" w:h="16838"/>
          <w:pgMar w:top="1440" w:right="1080" w:bottom="1440" w:left="1080" w:header="851" w:footer="992" w:gutter="0"/>
          <w:pgNumType w:fmt="decimal" w:start="2"/>
          <w:cols w:num="1" w:space="425"/>
          <w:titlePg w:val="0"/>
          <w:docGrid w:type="lines" w:linePitch="312" w:charSpace="0"/>
        </w:sectPr>
      </w:pPr>
    </w:p>
    <w:p>
      <w:pPr>
        <w:bidi w:val="0"/>
        <w:adjustRightInd w:val="0"/>
        <w:snapToGrid w:val="0"/>
        <w:spacing w:line="360" w:lineRule="auto"/>
        <w:rPr>
          <w:rFonts w:ascii="楷体" w:eastAsia="楷体" w:hAnsi="楷体" w:cs="楷体" w:hint="eastAsia"/>
          <w:color w:val="000000"/>
          <w:kern w:val="0"/>
          <w:szCs w:val="21"/>
        </w:rPr>
      </w:pPr>
      <w:r>
        <w:rPr>
          <w:rFonts w:ascii="宋体" w:hAnsi="宋体" w:cs="宋体" w:hint="eastAsia"/>
          <w:color w:val="000000"/>
          <w:kern w:val="0"/>
          <w:szCs w:val="21"/>
        </w:rPr>
        <w:t>原文：</w:t>
      </w:r>
      <w:r>
        <w:rPr>
          <w:rFonts w:ascii="楷体" w:eastAsia="楷体" w:hAnsi="楷体" w:cs="楷体" w:hint="eastAsia"/>
          <w:color w:val="000000"/>
          <w:kern w:val="0"/>
          <w:szCs w:val="21"/>
        </w:rPr>
        <w:t>在现代社会，技术的日新月异造就了人们对技术的盲目崇拜，以至于许多人没有察觉艺术生产正在出现一个颠倒：许多时候，技术植入艺术的真正原因其实是工业社会的技术消费，而不是艺术演变的内在冲动。</w:t>
      </w:r>
    </w:p>
    <w:p>
      <w:pPr>
        <w:bidi w:val="0"/>
        <w:adjustRightInd w:val="0"/>
        <w:snapToGrid w:val="0"/>
        <w:spacing w:line="360" w:lineRule="auto"/>
        <w:rPr>
          <w:rFonts w:ascii="宋体" w:hAnsi="宋体" w:cs="宋体" w:hint="eastAsia"/>
          <w:color w:val="000000"/>
          <w:kern w:val="0"/>
          <w:szCs w:val="21"/>
        </w:rPr>
      </w:pPr>
      <w:r>
        <w:rPr>
          <w:rFonts w:ascii="宋体" w:hAnsi="宋体" w:cs="宋体" w:hint="eastAsia"/>
          <w:color w:val="000000"/>
          <w:kern w:val="0"/>
          <w:szCs w:val="21"/>
        </w:rPr>
        <w:t>选项：从原因看，技术崇拜过分强调日新月异的现代技术对艺术创作和传播的作用，许多时候源于艺术生产中的技术消费。</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s="宋体" w:hint="default"/>
          <w:color w:val="000000"/>
          <w:kern w:val="0"/>
          <w:szCs w:val="21"/>
        </w:rPr>
      </w:pPr>
      <w:r>
        <w:rPr>
          <w:rFonts w:ascii="宋体" w:hAnsi="宋体" w:cs="宋体" w:hint="eastAsia"/>
          <w:color w:val="000000"/>
          <w:kern w:val="0"/>
          <w:szCs w:val="21"/>
          <w:lang w:val="en-US" w:eastAsia="zh-CN"/>
        </w:rPr>
        <w:t>________________________________________________________________________________________________________________________________________________________________________________________</w:t>
      </w:r>
    </w:p>
    <w:p>
      <w:pPr>
        <w:bidi w:val="0"/>
        <w:adjustRightInd w:val="0"/>
        <w:snapToGrid w:val="0"/>
        <w:spacing w:line="360" w:lineRule="auto"/>
        <w:rPr>
          <w:rFonts w:ascii="仿宋" w:eastAsia="仿宋" w:hAnsi="仿宋" w:cs="仿宋" w:hint="eastAsia"/>
          <w:color w:val="FF0000"/>
          <w:kern w:val="0"/>
          <w:szCs w:val="21"/>
        </w:rPr>
      </w:pPr>
      <w:r>
        <w:rPr>
          <w:rFonts w:ascii="仿宋" w:eastAsia="仿宋" w:hAnsi="仿宋" w:cs="仿宋" w:hint="eastAsia"/>
          <w:color w:val="FF0000"/>
          <w:kern w:val="0"/>
          <w:szCs w:val="21"/>
        </w:rPr>
        <w:t>【比对分析】选项偷换概念。原文是“技术植入艺术的真正原因其实是工业社会的技术消费”，选项将“工业社会”改成了“艺术生产”。</w:t>
      </w:r>
    </w:p>
    <w:p>
      <w:pPr>
        <w:pStyle w:val="PlainText"/>
        <w:tabs>
          <w:tab w:val="left" w:pos="4305"/>
        </w:tabs>
        <w:snapToGrid w:val="0"/>
        <w:spacing w:line="360" w:lineRule="auto"/>
        <w:ind w:firstLine="420" w:firstLineChars="200"/>
        <w:jc w:val="left"/>
        <w:rPr>
          <w:rFonts w:ascii="Times New Roman" w:eastAsia="黑体" w:hAnsi="Times New Roman"/>
        </w:rPr>
      </w:pPr>
    </w:p>
    <w:p>
      <w:pPr>
        <w:pStyle w:val="PlainText"/>
        <w:tabs>
          <w:tab w:val="left" w:pos="4305"/>
        </w:tabs>
        <w:snapToGrid w:val="0"/>
        <w:spacing w:line="360" w:lineRule="auto"/>
        <w:ind w:firstLine="420" w:firstLineChars="200"/>
        <w:jc w:val="left"/>
        <w:rPr>
          <w:rFonts w:ascii="Times New Roman" w:hAnsi="Times New Roman"/>
        </w:rPr>
      </w:pPr>
      <w:r>
        <w:rPr>
          <w:rFonts w:ascii="Times New Roman" w:eastAsia="黑体" w:hAnsi="Times New Roman"/>
        </w:rPr>
        <w:t>二、无中生有</w:t>
      </w:r>
    </w:p>
    <w:tbl>
      <w:tblPr>
        <w:tblStyle w:val="TableNormal"/>
        <w:tblW w:w="95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236"/>
        <w:gridCol w:w="1259"/>
        <w:gridCol w:w="7090"/>
      </w:tblGrid>
      <w:tr>
        <w:tblPrEx>
          <w:tblW w:w="95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1236"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设错特点</w:t>
            </w:r>
          </w:p>
        </w:tc>
        <w:tc>
          <w:tcPr>
            <w:tcW w:w="8349" w:type="dxa"/>
            <w:gridSpan w:val="2"/>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选项中的内容在原文中没有提及，或选项中的内容无法由原文推论而出，纯主观臆断。</w:t>
            </w:r>
          </w:p>
        </w:tc>
      </w:tr>
      <w:tr>
        <w:tblPrEx>
          <w:tblW w:w="9585" w:type="dxa"/>
          <w:jc w:val="center"/>
          <w:tblLayout w:type="fixed"/>
          <w:tblCellMar>
            <w:top w:w="0" w:type="dxa"/>
            <w:left w:w="108" w:type="dxa"/>
            <w:bottom w:w="0" w:type="dxa"/>
            <w:right w:w="108" w:type="dxa"/>
          </w:tblCellMar>
        </w:tblPrEx>
        <w:trPr>
          <w:jc w:val="center"/>
        </w:trPr>
        <w:tc>
          <w:tcPr>
            <w:tcW w:w="1236"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设错手段</w:t>
            </w:r>
          </w:p>
        </w:tc>
        <w:tc>
          <w:tcPr>
            <w:tcW w:w="8349" w:type="dxa"/>
            <w:gridSpan w:val="2"/>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命题者在干扰项中故意设置原文没有的信息。</w:t>
            </w:r>
          </w:p>
        </w:tc>
      </w:tr>
      <w:tr>
        <w:tblPrEx>
          <w:tblW w:w="9585" w:type="dxa"/>
          <w:jc w:val="center"/>
          <w:tblLayout w:type="fixed"/>
          <w:tblCellMar>
            <w:top w:w="0" w:type="dxa"/>
            <w:left w:w="108" w:type="dxa"/>
            <w:bottom w:w="0" w:type="dxa"/>
            <w:right w:w="108" w:type="dxa"/>
          </w:tblCellMar>
        </w:tblPrEx>
        <w:trPr>
          <w:jc w:val="center"/>
        </w:trPr>
        <w:tc>
          <w:tcPr>
            <w:tcW w:w="1236"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识别方法</w:t>
            </w:r>
          </w:p>
        </w:tc>
        <w:tc>
          <w:tcPr>
            <w:tcW w:w="8349" w:type="dxa"/>
            <w:gridSpan w:val="2"/>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找到选项所对应的内容，逐句比对，看原文有无此说法，或原文有无此说法的充分依据。</w:t>
            </w:r>
          </w:p>
        </w:tc>
      </w:tr>
      <w:tr>
        <w:tblPrEx>
          <w:tblW w:w="9585" w:type="dxa"/>
          <w:jc w:val="center"/>
          <w:tblLayout w:type="fixed"/>
          <w:tblCellMar>
            <w:top w:w="0" w:type="dxa"/>
            <w:left w:w="108" w:type="dxa"/>
            <w:bottom w:w="0" w:type="dxa"/>
            <w:right w:w="108" w:type="dxa"/>
          </w:tblCellMar>
        </w:tblPrEx>
        <w:trPr>
          <w:trHeight w:val="161"/>
          <w:jc w:val="center"/>
        </w:trPr>
        <w:tc>
          <w:tcPr>
            <w:tcW w:w="1236" w:type="dxa"/>
            <w:vMerge w:val="restart"/>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技法演示</w:t>
            </w:r>
          </w:p>
        </w:tc>
        <w:tc>
          <w:tcPr>
            <w:tcW w:w="1259"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试题选项</w:t>
            </w:r>
          </w:p>
        </w:tc>
        <w:tc>
          <w:tcPr>
            <w:tcW w:w="7090"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（2017·山东卷·T7－B）</w:t>
            </w:r>
            <w:r>
              <w:rPr>
                <w:rFonts w:ascii="宋体" w:eastAsia="宋体" w:hAnsi="宋体" w:cs="宋体" w:hint="eastAsia"/>
              </w:rPr>
              <w:t>关于审美移情的起因，曾经出现过不同的观点。谷鲁斯等人认为，引起移情的原因是人的生理活动，移情源自于人的“内模仿”，这种观点不可信。</w:t>
            </w:r>
          </w:p>
        </w:tc>
      </w:tr>
      <w:tr>
        <w:tblPrEx>
          <w:tblW w:w="9585" w:type="dxa"/>
          <w:jc w:val="center"/>
          <w:tblLayout w:type="fixed"/>
          <w:tblCellMar>
            <w:top w:w="0" w:type="dxa"/>
            <w:left w:w="108" w:type="dxa"/>
            <w:bottom w:w="0" w:type="dxa"/>
            <w:right w:w="108" w:type="dxa"/>
          </w:tblCellMar>
        </w:tblPrEx>
        <w:trPr>
          <w:trHeight w:val="161"/>
          <w:jc w:val="center"/>
        </w:trPr>
        <w:tc>
          <w:tcPr>
            <w:tcW w:w="1236" w:type="dxa"/>
            <w:vMerge/>
            <w:shd w:val="clear" w:color="auto" w:fill="auto"/>
            <w:vAlign w:val="center"/>
          </w:tcPr>
          <w:p>
            <w:pPr>
              <w:pStyle w:val="PlainText"/>
              <w:tabs>
                <w:tab w:val="left" w:pos="4305"/>
              </w:tabs>
              <w:snapToGrid w:val="0"/>
              <w:spacing w:line="360" w:lineRule="auto"/>
              <w:jc w:val="left"/>
              <w:rPr>
                <w:rFonts w:ascii="Times New Roman" w:hAnsi="Times New Roman"/>
              </w:rPr>
            </w:pPr>
          </w:p>
        </w:tc>
        <w:tc>
          <w:tcPr>
            <w:tcW w:w="1259"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对应原文</w:t>
            </w:r>
          </w:p>
        </w:tc>
        <w:tc>
          <w:tcPr>
            <w:tcW w:w="7090"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楷体" w:eastAsia="楷体" w:hAnsi="楷体" w:cs="楷体" w:hint="eastAsia"/>
              </w:rPr>
              <w:t>审美移情发生的原因是同情感与类似联想。谷鲁斯等人认为引起移情的原因是人的生理活动，移情源自于人的“内模仿”。但立普斯的观点更可信。他认为，审美移情起源于人的类似联想。人都有一种自然倾向或愿望，要把类似的东西放在同一个观点下去理解，所以总是按照切身经验的类比，去看待身外发生的事件。这就是说，审美的人都具有同情心，以自己体验到的某类情感，去类比、理解周围看起来是同类的事物。这种同情，不但及于他人，也及于其他生物及无生物。</w:t>
            </w:r>
          </w:p>
        </w:tc>
      </w:tr>
      <w:tr>
        <w:tblPrEx>
          <w:tblW w:w="9585" w:type="dxa"/>
          <w:jc w:val="center"/>
          <w:tblLayout w:type="fixed"/>
          <w:tblCellMar>
            <w:top w:w="0" w:type="dxa"/>
            <w:left w:w="108" w:type="dxa"/>
            <w:bottom w:w="0" w:type="dxa"/>
            <w:right w:w="108" w:type="dxa"/>
          </w:tblCellMar>
        </w:tblPrEx>
        <w:trPr>
          <w:trHeight w:val="215"/>
          <w:jc w:val="center"/>
        </w:trPr>
        <w:tc>
          <w:tcPr>
            <w:tcW w:w="1236" w:type="dxa"/>
            <w:vMerge/>
            <w:shd w:val="clear" w:color="auto" w:fill="auto"/>
            <w:vAlign w:val="center"/>
          </w:tcPr>
          <w:p>
            <w:pPr>
              <w:pStyle w:val="PlainText"/>
              <w:tabs>
                <w:tab w:val="left" w:pos="4305"/>
              </w:tabs>
              <w:snapToGrid w:val="0"/>
              <w:spacing w:line="360" w:lineRule="auto"/>
              <w:jc w:val="left"/>
              <w:rPr>
                <w:rFonts w:ascii="Times New Roman" w:hAnsi="Times New Roman"/>
              </w:rPr>
            </w:pPr>
          </w:p>
        </w:tc>
        <w:tc>
          <w:tcPr>
            <w:tcW w:w="1259"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比对结果</w:t>
            </w:r>
          </w:p>
        </w:tc>
        <w:tc>
          <w:tcPr>
            <w:tcW w:w="7090"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选项无中生有。“这种观点不可信”对应的原文的信息区间为语段的第二、三句话，作者对于谷鲁斯等人的观点可信与否并无明确说法，选项“这种观点不可信”无中生有。</w:t>
            </w:r>
          </w:p>
        </w:tc>
      </w:tr>
    </w:tbl>
    <w:p>
      <w:pPr>
        <w:pStyle w:val="PlainText"/>
        <w:tabs>
          <w:tab w:val="left" w:pos="4305"/>
        </w:tabs>
        <w:snapToGrid w:val="0"/>
        <w:spacing w:line="360" w:lineRule="auto"/>
        <w:ind w:firstLine="420" w:firstLineChars="200"/>
        <w:jc w:val="left"/>
        <w:rPr>
          <w:rFonts w:ascii="Times New Roman" w:hAnsi="Times New Roman"/>
        </w:rPr>
      </w:pPr>
      <w:r>
        <w:rPr>
          <w:rFonts w:ascii="Times New Roman" w:eastAsia="黑体" w:hAnsi="Times New Roman"/>
        </w:rPr>
        <w:t>三、张冠李戴</w:t>
      </w:r>
    </w:p>
    <w:tbl>
      <w:tblPr>
        <w:tblStyle w:val="TableNormal"/>
        <w:tblW w:w="95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236"/>
        <w:gridCol w:w="8338"/>
      </w:tblGrid>
      <w:tr>
        <w:tblPrEx>
          <w:tblW w:w="95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1236"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设错特点</w:t>
            </w:r>
          </w:p>
        </w:tc>
        <w:tc>
          <w:tcPr>
            <w:tcW w:w="8338"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①在有关联的表述对象上设置干扰，把甲事物说成是乙事物，或把甲人的事迹、言论、成绩说成是乙人的；②在同一对象的不同方面设置干扰，把同一事物的甲方面说成是乙方面。</w:t>
            </w:r>
          </w:p>
        </w:tc>
      </w:tr>
      <w:tr>
        <w:tblPrEx>
          <w:tblW w:w="9574" w:type="dxa"/>
          <w:jc w:val="center"/>
          <w:tblLayout w:type="fixed"/>
          <w:tblCellMar>
            <w:top w:w="0" w:type="dxa"/>
            <w:left w:w="108" w:type="dxa"/>
            <w:bottom w:w="0" w:type="dxa"/>
            <w:right w:w="108" w:type="dxa"/>
          </w:tblCellMar>
        </w:tblPrEx>
        <w:trPr>
          <w:jc w:val="center"/>
        </w:trPr>
        <w:tc>
          <w:tcPr>
            <w:tcW w:w="1236"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设错手段</w:t>
            </w:r>
          </w:p>
        </w:tc>
        <w:tc>
          <w:tcPr>
            <w:tcW w:w="8338"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“移花接木”，把不同位置的语句错位“嫁接”。</w:t>
            </w:r>
          </w:p>
        </w:tc>
      </w:tr>
      <w:tr>
        <w:tblPrEx>
          <w:tblW w:w="9574" w:type="dxa"/>
          <w:jc w:val="center"/>
          <w:tblLayout w:type="fixed"/>
          <w:tblCellMar>
            <w:top w:w="0" w:type="dxa"/>
            <w:left w:w="108" w:type="dxa"/>
            <w:bottom w:w="0" w:type="dxa"/>
            <w:right w:w="108" w:type="dxa"/>
          </w:tblCellMar>
        </w:tblPrEx>
        <w:trPr>
          <w:jc w:val="center"/>
        </w:trPr>
        <w:tc>
          <w:tcPr>
            <w:tcW w:w="1236"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识别方法</w:t>
            </w:r>
          </w:p>
        </w:tc>
        <w:tc>
          <w:tcPr>
            <w:tcW w:w="8338"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找到选项所对应内容，逐句比对，注意信息所在的位置，梳理信息所牵扯的人、事、物、理的对应关系。</w:t>
            </w:r>
          </w:p>
        </w:tc>
      </w:tr>
    </w:tbl>
    <w:p>
      <w:pPr>
        <w:sectPr>
          <w:footerReference w:type="default" r:id="rId10"/>
          <w:type w:val="nextPage"/>
          <w:pgSz w:w="11906" w:h="16838"/>
          <w:pgMar w:top="1440" w:right="1080" w:bottom="1440" w:left="1080" w:header="851" w:footer="992" w:gutter="0"/>
          <w:pgNumType w:fmt="decimal" w:start="3"/>
          <w:cols w:num="1" w:space="425"/>
          <w:titlePg w:val="0"/>
          <w:docGrid w:type="lines" w:linePitch="312" w:charSpace="0"/>
        </w:sectPr>
      </w:pPr>
    </w:p>
    <w:tbl>
      <w:tblPr>
        <w:tblStyle w:val="TableNormal"/>
        <w:tblW w:w="95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236"/>
        <w:gridCol w:w="1079"/>
        <w:gridCol w:w="7259"/>
      </w:tblGrid>
      <w:tr>
        <w:tblPrEx>
          <w:tblW w:w="95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trHeight w:val="204"/>
          <w:jc w:val="center"/>
        </w:trPr>
        <w:tc>
          <w:tcPr>
            <w:tcW w:w="1236" w:type="dxa"/>
            <w:vMerge w:val="restart"/>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技法演示</w:t>
            </w:r>
          </w:p>
        </w:tc>
        <w:tc>
          <w:tcPr>
            <w:tcW w:w="1079"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试题选项</w:t>
            </w:r>
          </w:p>
        </w:tc>
        <w:tc>
          <w:tcPr>
            <w:tcW w:w="7259"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（2017·天津高考卷·T7－A）</w:t>
            </w:r>
            <w:r>
              <w:rPr>
                <w:rFonts w:ascii="宋体" w:eastAsia="宋体" w:hAnsi="宋体" w:cs="宋体" w:hint="eastAsia"/>
              </w:rPr>
              <w:t>为了更准确地衡量、计算、记录时间，人们制造出指时杆、日晷、漏壶等，作为描述物质运动或事件发生过程的参数。</w:t>
            </w:r>
          </w:p>
        </w:tc>
      </w:tr>
      <w:tr>
        <w:tblPrEx>
          <w:tblW w:w="9574" w:type="dxa"/>
          <w:jc w:val="center"/>
          <w:tblLayout w:type="fixed"/>
          <w:tblCellMar>
            <w:top w:w="0" w:type="dxa"/>
            <w:left w:w="108" w:type="dxa"/>
            <w:bottom w:w="0" w:type="dxa"/>
            <w:right w:w="108" w:type="dxa"/>
          </w:tblCellMar>
        </w:tblPrEx>
        <w:trPr>
          <w:trHeight w:val="204"/>
          <w:jc w:val="center"/>
        </w:trPr>
        <w:tc>
          <w:tcPr>
            <w:tcW w:w="1236" w:type="dxa"/>
            <w:vMerge/>
            <w:shd w:val="clear" w:color="auto" w:fill="auto"/>
            <w:vAlign w:val="center"/>
          </w:tcPr>
          <w:p>
            <w:pPr>
              <w:pStyle w:val="PlainText"/>
              <w:tabs>
                <w:tab w:val="left" w:pos="4305"/>
              </w:tabs>
              <w:snapToGrid w:val="0"/>
              <w:spacing w:line="360" w:lineRule="auto"/>
              <w:jc w:val="left"/>
              <w:rPr>
                <w:rFonts w:ascii="Times New Roman" w:hAnsi="Times New Roman"/>
              </w:rPr>
            </w:pPr>
          </w:p>
        </w:tc>
        <w:tc>
          <w:tcPr>
            <w:tcW w:w="1079"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对应原文</w:t>
            </w:r>
          </w:p>
        </w:tc>
        <w:tc>
          <w:tcPr>
            <w:tcW w:w="7259"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楷体" w:eastAsia="楷体" w:hAnsi="楷体" w:cs="楷体" w:hint="eastAsia"/>
              </w:rPr>
              <w:t>时间是人类用以描述物质运动或事件发生过程的一个参数。人们为了更准确地衡量、计算、记录时间，就要进一步选择具有普适性、恒久性和周期循环性的参照物。于是，太阳、月亮、谷物的成熟期等，就成为了优选的参照系。人类很早就学会观察日月星辰，用以测量时间。大约在纪元前五千年，人们利用指时杆观察日影。纪元前11世纪，已经有了关于日晷和漏壶的记载。详细记录时间的钟表的发明，大约是13世纪下半叶的事情了。</w:t>
            </w:r>
          </w:p>
        </w:tc>
      </w:tr>
      <w:tr>
        <w:tblPrEx>
          <w:tblW w:w="9574" w:type="dxa"/>
          <w:jc w:val="center"/>
          <w:tblLayout w:type="fixed"/>
          <w:tblCellMar>
            <w:top w:w="0" w:type="dxa"/>
            <w:left w:w="108" w:type="dxa"/>
            <w:bottom w:w="0" w:type="dxa"/>
            <w:right w:w="108" w:type="dxa"/>
          </w:tblCellMar>
        </w:tblPrEx>
        <w:trPr>
          <w:trHeight w:val="183"/>
          <w:jc w:val="center"/>
        </w:trPr>
        <w:tc>
          <w:tcPr>
            <w:tcW w:w="1236" w:type="dxa"/>
            <w:vMerge/>
            <w:shd w:val="clear" w:color="auto" w:fill="auto"/>
            <w:vAlign w:val="center"/>
          </w:tcPr>
          <w:p>
            <w:pPr>
              <w:pStyle w:val="PlainText"/>
              <w:tabs>
                <w:tab w:val="left" w:pos="4305"/>
              </w:tabs>
              <w:snapToGrid w:val="0"/>
              <w:spacing w:line="360" w:lineRule="auto"/>
              <w:jc w:val="left"/>
              <w:rPr>
                <w:rFonts w:ascii="Times New Roman" w:hAnsi="Times New Roman"/>
              </w:rPr>
            </w:pPr>
          </w:p>
        </w:tc>
        <w:tc>
          <w:tcPr>
            <w:tcW w:w="1079"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比对结果</w:t>
            </w:r>
          </w:p>
        </w:tc>
        <w:tc>
          <w:tcPr>
            <w:tcW w:w="7259"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选项张冠李戴。将原文“时间是人类用以描述物质运动或事件发生过程的参数”，说成“指时杆、日晷、漏壶等，作为描述物质运动或事件发生过程的参数”。这里属于将此事物表述成彼事物。</w:t>
            </w:r>
          </w:p>
        </w:tc>
      </w:tr>
    </w:tbl>
    <w:p>
      <w:pPr>
        <w:pStyle w:val="PlainText"/>
        <w:tabs>
          <w:tab w:val="left" w:pos="4305"/>
        </w:tabs>
        <w:snapToGrid w:val="0"/>
        <w:spacing w:line="360" w:lineRule="auto"/>
        <w:ind w:firstLine="420" w:firstLineChars="200"/>
        <w:jc w:val="left"/>
        <w:rPr>
          <w:rFonts w:ascii="Times New Roman" w:eastAsia="黑体" w:hAnsi="Times New Roman"/>
        </w:rPr>
      </w:pPr>
    </w:p>
    <w:p>
      <w:pPr>
        <w:pStyle w:val="PlainText"/>
        <w:tabs>
          <w:tab w:val="left" w:pos="4305"/>
        </w:tabs>
        <w:snapToGrid w:val="0"/>
        <w:spacing w:line="360" w:lineRule="auto"/>
        <w:ind w:firstLine="420" w:firstLineChars="200"/>
        <w:jc w:val="left"/>
        <w:rPr>
          <w:rFonts w:ascii="Times New Roman" w:hAnsi="Times New Roman"/>
        </w:rPr>
      </w:pPr>
      <w:r>
        <w:rPr>
          <w:rFonts w:ascii="Times New Roman" w:eastAsia="黑体" w:hAnsi="Times New Roman"/>
        </w:rPr>
        <w:t>四、以偏概全</w:t>
      </w:r>
    </w:p>
    <w:tbl>
      <w:tblPr>
        <w:tblStyle w:val="TableNormal"/>
        <w:tblW w:w="94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236"/>
        <w:gridCol w:w="1259"/>
        <w:gridCol w:w="6936"/>
      </w:tblGrid>
      <w:tr>
        <w:tblPrEx>
          <w:tblW w:w="94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1236"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设错特点</w:t>
            </w:r>
          </w:p>
        </w:tc>
        <w:tc>
          <w:tcPr>
            <w:tcW w:w="8195" w:type="dxa"/>
            <w:gridSpan w:val="2"/>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个别的、特殊的、局部的、少数的表述成普遍的、全部的、整体的、所有的。</w:t>
            </w:r>
          </w:p>
        </w:tc>
      </w:tr>
      <w:tr>
        <w:tblPrEx>
          <w:tblW w:w="9431" w:type="dxa"/>
          <w:jc w:val="center"/>
          <w:tblLayout w:type="fixed"/>
          <w:tblCellMar>
            <w:top w:w="0" w:type="dxa"/>
            <w:left w:w="108" w:type="dxa"/>
            <w:bottom w:w="0" w:type="dxa"/>
            <w:right w:w="108" w:type="dxa"/>
          </w:tblCellMar>
        </w:tblPrEx>
        <w:trPr>
          <w:jc w:val="center"/>
        </w:trPr>
        <w:tc>
          <w:tcPr>
            <w:tcW w:w="1236"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设错手段</w:t>
            </w:r>
          </w:p>
        </w:tc>
        <w:tc>
          <w:tcPr>
            <w:tcW w:w="8195" w:type="dxa"/>
            <w:gridSpan w:val="2"/>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故意增删、改动文中表示范围限制或是程度轻重的词语。</w:t>
            </w:r>
          </w:p>
        </w:tc>
      </w:tr>
      <w:tr>
        <w:tblPrEx>
          <w:tblW w:w="9431" w:type="dxa"/>
          <w:jc w:val="center"/>
          <w:tblLayout w:type="fixed"/>
          <w:tblCellMar>
            <w:top w:w="0" w:type="dxa"/>
            <w:left w:w="108" w:type="dxa"/>
            <w:bottom w:w="0" w:type="dxa"/>
            <w:right w:w="108" w:type="dxa"/>
          </w:tblCellMar>
        </w:tblPrEx>
        <w:trPr>
          <w:jc w:val="center"/>
        </w:trPr>
        <w:tc>
          <w:tcPr>
            <w:tcW w:w="1236"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识别方法</w:t>
            </w:r>
          </w:p>
        </w:tc>
        <w:tc>
          <w:tcPr>
            <w:tcW w:w="8195" w:type="dxa"/>
            <w:gridSpan w:val="2"/>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找到选项所对应内容，逐句比对，揣摩修饰语、限制语，关注原文表述是涵盖全部还是有所针对，是统一而论还是具体分析等。</w:t>
            </w:r>
          </w:p>
        </w:tc>
      </w:tr>
      <w:tr>
        <w:tblPrEx>
          <w:tblW w:w="9431" w:type="dxa"/>
          <w:jc w:val="center"/>
          <w:tblLayout w:type="fixed"/>
          <w:tblCellMar>
            <w:top w:w="0" w:type="dxa"/>
            <w:left w:w="108" w:type="dxa"/>
            <w:bottom w:w="0" w:type="dxa"/>
            <w:right w:w="108" w:type="dxa"/>
          </w:tblCellMar>
        </w:tblPrEx>
        <w:trPr>
          <w:trHeight w:val="236"/>
          <w:jc w:val="center"/>
        </w:trPr>
        <w:tc>
          <w:tcPr>
            <w:tcW w:w="1236" w:type="dxa"/>
            <w:vMerge w:val="restart"/>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技法演示</w:t>
            </w:r>
          </w:p>
        </w:tc>
        <w:tc>
          <w:tcPr>
            <w:tcW w:w="1259"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试题选项</w:t>
            </w:r>
          </w:p>
        </w:tc>
        <w:tc>
          <w:tcPr>
            <w:tcW w:w="6936"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（2018·全国卷Ⅱ）T1C</w:t>
            </w:r>
            <w:r>
              <w:rPr>
                <w:rFonts w:ascii="宋体" w:eastAsia="宋体" w:hAnsi="宋体" w:cs="宋体" w:hint="eastAsia"/>
              </w:rPr>
              <w:t>“被遗忘权”和“隐私权”的提出都是为了对抗大数据，不过前者更积极一些。</w:t>
            </w:r>
          </w:p>
        </w:tc>
      </w:tr>
      <w:tr>
        <w:tblPrEx>
          <w:tblW w:w="9431" w:type="dxa"/>
          <w:jc w:val="center"/>
          <w:tblLayout w:type="fixed"/>
          <w:tblCellMar>
            <w:top w:w="0" w:type="dxa"/>
            <w:left w:w="108" w:type="dxa"/>
            <w:bottom w:w="0" w:type="dxa"/>
            <w:right w:w="108" w:type="dxa"/>
          </w:tblCellMar>
        </w:tblPrEx>
        <w:trPr>
          <w:trHeight w:val="236"/>
          <w:jc w:val="center"/>
        </w:trPr>
        <w:tc>
          <w:tcPr>
            <w:tcW w:w="1236" w:type="dxa"/>
            <w:vMerge/>
            <w:shd w:val="clear" w:color="auto" w:fill="auto"/>
            <w:vAlign w:val="center"/>
          </w:tcPr>
          <w:p>
            <w:pPr>
              <w:pStyle w:val="PlainText"/>
              <w:tabs>
                <w:tab w:val="left" w:pos="4305"/>
              </w:tabs>
              <w:snapToGrid w:val="0"/>
              <w:spacing w:line="360" w:lineRule="auto"/>
              <w:jc w:val="left"/>
              <w:rPr>
                <w:rFonts w:ascii="Times New Roman" w:hAnsi="Times New Roman"/>
              </w:rPr>
            </w:pPr>
          </w:p>
        </w:tc>
        <w:tc>
          <w:tcPr>
            <w:tcW w:w="1259"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对应原文</w:t>
            </w:r>
          </w:p>
        </w:tc>
        <w:tc>
          <w:tcPr>
            <w:tcW w:w="6936" w:type="dxa"/>
            <w:shd w:val="clear" w:color="auto" w:fill="auto"/>
            <w:vAlign w:val="center"/>
          </w:tcPr>
          <w:p>
            <w:pPr>
              <w:pStyle w:val="PlainText"/>
              <w:tabs>
                <w:tab w:val="left" w:pos="4305"/>
              </w:tabs>
              <w:snapToGrid w:val="0"/>
              <w:spacing w:line="360" w:lineRule="auto"/>
              <w:jc w:val="left"/>
              <w:rPr>
                <w:rFonts w:ascii="Times New Roman" w:eastAsia="楷体" w:hAnsi="Times New Roman" w:hint="eastAsia"/>
                <w:lang w:eastAsia="zh-CN"/>
              </w:rPr>
            </w:pPr>
            <w:r>
              <w:rPr>
                <w:rFonts w:ascii="楷体" w:eastAsia="楷体" w:hAnsi="楷体" w:cs="楷体" w:hint="eastAsia"/>
              </w:rPr>
              <w:t>遗忘变得困难，而记忆却成了常态，“被遗忘权”的出现，意在改变数据主体难以“被遗忘”的格局，赋予数据主体对信息进行自决控制的权利，并且有着更深的调节、修复大数据时代数字化记忆伦理的意义</w:t>
            </w:r>
            <w:r>
              <w:rPr>
                <w:rFonts w:ascii="楷体" w:eastAsia="楷体" w:hAnsi="楷体" w:cs="楷体" w:hint="eastAsia"/>
                <w:lang w:eastAsia="zh-CN"/>
              </w:rPr>
              <w:t>。</w:t>
            </w:r>
          </w:p>
        </w:tc>
      </w:tr>
      <w:tr>
        <w:tblPrEx>
          <w:tblW w:w="9431" w:type="dxa"/>
          <w:jc w:val="center"/>
          <w:tblLayout w:type="fixed"/>
          <w:tblCellMar>
            <w:top w:w="0" w:type="dxa"/>
            <w:left w:w="108" w:type="dxa"/>
            <w:bottom w:w="0" w:type="dxa"/>
            <w:right w:w="108" w:type="dxa"/>
          </w:tblCellMar>
        </w:tblPrEx>
        <w:trPr>
          <w:trHeight w:val="140"/>
          <w:jc w:val="center"/>
        </w:trPr>
        <w:tc>
          <w:tcPr>
            <w:tcW w:w="1236" w:type="dxa"/>
            <w:vMerge/>
            <w:shd w:val="clear" w:color="auto" w:fill="auto"/>
            <w:vAlign w:val="center"/>
          </w:tcPr>
          <w:p>
            <w:pPr>
              <w:pStyle w:val="PlainText"/>
              <w:tabs>
                <w:tab w:val="left" w:pos="4305"/>
              </w:tabs>
              <w:snapToGrid w:val="0"/>
              <w:spacing w:line="360" w:lineRule="auto"/>
              <w:jc w:val="left"/>
              <w:rPr>
                <w:rFonts w:ascii="Times New Roman" w:hAnsi="Times New Roman"/>
              </w:rPr>
            </w:pPr>
          </w:p>
        </w:tc>
        <w:tc>
          <w:tcPr>
            <w:tcW w:w="1259"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比对结果</w:t>
            </w:r>
          </w:p>
        </w:tc>
        <w:tc>
          <w:tcPr>
            <w:tcW w:w="6936"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“被遗忘权”是根据个人主体的需要有选择地删除关于自己的信息，与纯粹的隐私权不同。选项表述为“都是为了对抗大数据”，以偏概全。</w:t>
            </w:r>
          </w:p>
        </w:tc>
      </w:tr>
    </w:tbl>
    <w:p>
      <w:pPr>
        <w:bidi w:val="0"/>
        <w:adjustRightInd w:val="0"/>
        <w:snapToGrid w:val="0"/>
        <w:spacing w:line="360" w:lineRule="auto"/>
        <w:rPr>
          <w:rFonts w:ascii="宋体" w:hAnsi="宋体" w:cs="宋体"/>
          <w:color w:val="000000"/>
          <w:kern w:val="0"/>
          <w:szCs w:val="21"/>
        </w:rPr>
      </w:pPr>
      <w:r>
        <w:rPr>
          <w:rFonts w:ascii="宋体" w:hAnsi="宋体" w:cs="宋体" w:hint="eastAsia"/>
          <w:color w:val="000000"/>
          <w:kern w:val="0"/>
          <w:szCs w:val="21"/>
        </w:rPr>
        <w:t>示例：</w:t>
      </w:r>
    </w:p>
    <w:p>
      <w:pPr>
        <w:bidi w:val="0"/>
        <w:adjustRightInd w:val="0"/>
        <w:snapToGrid w:val="0"/>
        <w:spacing w:line="360" w:lineRule="auto"/>
        <w:rPr>
          <w:rFonts w:ascii="楷体" w:eastAsia="楷体" w:hAnsi="楷体" w:cs="楷体" w:hint="eastAsia"/>
          <w:color w:val="000000"/>
          <w:kern w:val="0"/>
          <w:szCs w:val="21"/>
        </w:rPr>
      </w:pPr>
      <w:r>
        <w:rPr>
          <w:rFonts w:ascii="宋体" w:hAnsi="宋体" w:cs="宋体" w:hint="eastAsia"/>
          <w:color w:val="000000"/>
          <w:kern w:val="0"/>
          <w:szCs w:val="21"/>
        </w:rPr>
        <w:t>原文：</w:t>
      </w:r>
      <w:r>
        <w:rPr>
          <w:rFonts w:ascii="楷体" w:eastAsia="楷体" w:hAnsi="楷体" w:cs="楷体" w:hint="eastAsia"/>
          <w:color w:val="000000"/>
          <w:kern w:val="0"/>
          <w:szCs w:val="21"/>
        </w:rPr>
        <w:t>如果说以往人们所了解的明初是一个复兴传统的时代，其文化特征是回归传统，明初往往被认为是保守的，那么青花瓷的例子，则可以使人们对于明初文化的兼容性有一个新的认识。</w:t>
      </w:r>
    </w:p>
    <w:p>
      <w:pPr>
        <w:bidi w:val="0"/>
        <w:adjustRightInd w:val="0"/>
        <w:snapToGrid w:val="0"/>
        <w:spacing w:line="360" w:lineRule="auto"/>
        <w:rPr>
          <w:rFonts w:ascii="宋体" w:hAnsi="宋体" w:cs="宋体"/>
          <w:color w:val="000000"/>
          <w:kern w:val="0"/>
          <w:szCs w:val="21"/>
        </w:rPr>
      </w:pPr>
      <w:r>
        <w:rPr>
          <w:rFonts w:ascii="宋体" w:hAnsi="宋体" w:cs="宋体" w:hint="eastAsia"/>
          <w:color w:val="000000"/>
          <w:kern w:val="0"/>
          <w:szCs w:val="21"/>
        </w:rPr>
        <w:t>选项：(2017·全国卷ⅡT1—C) 明代社会往往被认为是保守的，但青花瓷的风格表明当时社会比较开放和进步。</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s="宋体" w:hint="default"/>
          <w:color w:val="000000"/>
          <w:kern w:val="0"/>
          <w:szCs w:val="21"/>
        </w:rPr>
      </w:pPr>
      <w:r>
        <w:rPr>
          <w:rFonts w:ascii="宋体" w:hAnsi="宋体" w:cs="宋体" w:hint="eastAsia"/>
          <w:color w:val="000000"/>
          <w:kern w:val="0"/>
          <w:szCs w:val="21"/>
          <w:lang w:val="en-US" w:eastAsia="zh-CN"/>
        </w:rPr>
        <w:t>____________________________________________________________________________________________</w:t>
      </w:r>
    </w:p>
    <w:p>
      <w:pPr>
        <w:bidi w:val="0"/>
        <w:adjustRightInd w:val="0"/>
        <w:snapToGrid w:val="0"/>
        <w:spacing w:line="360" w:lineRule="auto"/>
        <w:rPr>
          <w:rFonts w:ascii="仿宋" w:eastAsia="仿宋" w:hAnsi="仿宋" w:cs="仿宋" w:hint="eastAsia"/>
          <w:color w:val="FF0000"/>
          <w:kern w:val="0"/>
          <w:szCs w:val="21"/>
        </w:rPr>
      </w:pPr>
      <w:r>
        <w:rPr>
          <w:rFonts w:ascii="仿宋" w:eastAsia="仿宋" w:hAnsi="仿宋" w:cs="仿宋" w:hint="eastAsia"/>
          <w:color w:val="FF0000"/>
          <w:kern w:val="0"/>
          <w:szCs w:val="21"/>
        </w:rPr>
        <w:t>【比</w:t>
      </w:r>
      <w:r>
        <w:rPr>
          <w:rFonts w:ascii="仿宋" w:eastAsia="仿宋" w:hAnsi="仿宋" w:cs="仿宋" w:hint="eastAsia"/>
          <w:color w:val="FF0000"/>
          <w:kern w:val="0"/>
          <w:szCs w:val="21"/>
        </w:rPr>
        <w:drawing>
          <wp:inline distT="0" distB="0" distL="114300" distR="114300">
            <wp:extent cx="18415" cy="24130"/>
            <wp:effectExtent l="0" t="0" r="635" b="4445"/>
            <wp:docPr id="60" name="图片 50"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50" descr="学科网(www.zxxk.com)--教育资源门户，提供试卷、教案、课件、论文、素材及各类教学资源下载，还有大量而丰富的教学相关资讯！"/>
                    <pic:cNvPicPr>
                      <a:picLocks noChangeAspect="1"/>
                    </pic:cNvPicPr>
                  </pic:nvPicPr>
                  <pic:blipFill>
                    <a:blip xmlns:r="http://schemas.openxmlformats.org/officeDocument/2006/relationships" r:embed="rId11"/>
                    <a:stretch>
                      <a:fillRect/>
                    </a:stretch>
                  </pic:blipFill>
                  <pic:spPr>
                    <a:xfrm>
                      <a:off x="0" y="0"/>
                      <a:ext cx="18415" cy="24130"/>
                    </a:xfrm>
                    <a:prstGeom prst="rect">
                      <a:avLst/>
                    </a:prstGeom>
                    <a:noFill/>
                    <a:ln>
                      <a:noFill/>
                    </a:ln>
                  </pic:spPr>
                </pic:pic>
              </a:graphicData>
            </a:graphic>
          </wp:inline>
        </w:drawing>
      </w:r>
      <w:r>
        <w:rPr>
          <w:rFonts w:ascii="仿宋" w:eastAsia="仿宋" w:hAnsi="仿宋" w:cs="仿宋" w:hint="eastAsia"/>
          <w:color w:val="FF0000"/>
          <w:kern w:val="0"/>
          <w:szCs w:val="21"/>
        </w:rPr>
        <w:t>对分析】　选项以偏概全。将原文中的“明初”说成了“明代社会”，扩大了范围，属于以整体代部分。</w:t>
      </w:r>
    </w:p>
    <w:p>
      <w:pPr>
        <w:pStyle w:val="PlainText"/>
        <w:tabs>
          <w:tab w:val="left" w:pos="4305"/>
        </w:tabs>
        <w:snapToGrid w:val="0"/>
        <w:spacing w:line="360" w:lineRule="auto"/>
        <w:ind w:firstLine="420" w:firstLineChars="200"/>
        <w:jc w:val="left"/>
        <w:rPr>
          <w:rFonts w:ascii="Times New Roman" w:eastAsia="黑体" w:hAnsi="Times New Roman"/>
        </w:rPr>
      </w:pPr>
    </w:p>
    <w:p>
      <w:pPr>
        <w:pStyle w:val="PlainText"/>
        <w:tabs>
          <w:tab w:val="left" w:pos="4305"/>
        </w:tabs>
        <w:snapToGrid w:val="0"/>
        <w:spacing w:line="360" w:lineRule="auto"/>
        <w:ind w:firstLine="420" w:firstLineChars="200"/>
        <w:jc w:val="left"/>
        <w:rPr>
          <w:rFonts w:ascii="Times New Roman" w:eastAsia="黑体" w:hAnsi="Times New Roman"/>
        </w:rPr>
        <w:sectPr>
          <w:footerReference w:type="default" r:id="rId12"/>
          <w:type w:val="nextPage"/>
          <w:pgSz w:w="11906" w:h="16838"/>
          <w:pgMar w:top="1440" w:right="1080" w:bottom="1440" w:left="1080" w:header="851" w:footer="992" w:gutter="0"/>
          <w:pgNumType w:fmt="decimal" w:start="4"/>
          <w:cols w:num="1" w:space="425"/>
          <w:titlePg w:val="0"/>
          <w:docGrid w:type="lines" w:linePitch="312" w:charSpace="0"/>
        </w:sectPr>
      </w:pPr>
    </w:p>
    <w:p>
      <w:pPr>
        <w:pStyle w:val="PlainText"/>
        <w:tabs>
          <w:tab w:val="left" w:pos="4305"/>
        </w:tabs>
        <w:snapToGrid w:val="0"/>
        <w:spacing w:line="360" w:lineRule="auto"/>
        <w:ind w:firstLine="420" w:firstLineChars="200"/>
        <w:jc w:val="left"/>
        <w:rPr>
          <w:rFonts w:ascii="Times New Roman" w:hAnsi="Times New Roman"/>
        </w:rPr>
      </w:pPr>
      <w:r>
        <w:rPr>
          <w:rFonts w:ascii="Times New Roman" w:eastAsia="黑体" w:hAnsi="Times New Roman"/>
        </w:rPr>
        <w:t>五、混淆时态</w:t>
      </w:r>
    </w:p>
    <w:tbl>
      <w:tblPr>
        <w:tblStyle w:val="TableNormal"/>
        <w:tblW w:w="93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236"/>
        <w:gridCol w:w="1079"/>
        <w:gridCol w:w="7047"/>
      </w:tblGrid>
      <w:tr>
        <w:tblPrEx>
          <w:tblW w:w="93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1236"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设错特点</w:t>
            </w:r>
          </w:p>
        </w:tc>
        <w:tc>
          <w:tcPr>
            <w:tcW w:w="8126" w:type="dxa"/>
            <w:gridSpan w:val="2"/>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在时间状态、发展阶段的表述上设置选项。</w:t>
            </w:r>
          </w:p>
        </w:tc>
      </w:tr>
      <w:tr>
        <w:tblPrEx>
          <w:tblW w:w="9362" w:type="dxa"/>
          <w:jc w:val="center"/>
          <w:tblLayout w:type="fixed"/>
          <w:tblCellMar>
            <w:top w:w="0" w:type="dxa"/>
            <w:left w:w="108" w:type="dxa"/>
            <w:bottom w:w="0" w:type="dxa"/>
            <w:right w:w="108" w:type="dxa"/>
          </w:tblCellMar>
        </w:tblPrEx>
        <w:trPr>
          <w:jc w:val="center"/>
        </w:trPr>
        <w:tc>
          <w:tcPr>
            <w:tcW w:w="1236"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设错手段</w:t>
            </w:r>
          </w:p>
        </w:tc>
        <w:tc>
          <w:tcPr>
            <w:tcW w:w="8126" w:type="dxa"/>
            <w:gridSpan w:val="2"/>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命题者故意把现实中未发生的事实（又称“未然”）判断为已发生（又称“已然”），或把可能发生的（又称“或然”）表述为必然发生的（又称“必然”）。</w:t>
            </w:r>
          </w:p>
        </w:tc>
      </w:tr>
      <w:tr>
        <w:tblPrEx>
          <w:tblW w:w="9362" w:type="dxa"/>
          <w:jc w:val="center"/>
          <w:tblLayout w:type="fixed"/>
          <w:tblCellMar>
            <w:top w:w="0" w:type="dxa"/>
            <w:left w:w="108" w:type="dxa"/>
            <w:bottom w:w="0" w:type="dxa"/>
            <w:right w:w="108" w:type="dxa"/>
          </w:tblCellMar>
        </w:tblPrEx>
        <w:trPr>
          <w:jc w:val="center"/>
        </w:trPr>
        <w:tc>
          <w:tcPr>
            <w:tcW w:w="1236"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识别方法</w:t>
            </w:r>
          </w:p>
        </w:tc>
        <w:tc>
          <w:tcPr>
            <w:tcW w:w="8126" w:type="dxa"/>
            <w:gridSpan w:val="2"/>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在辨析此项时，应当注意时态类词语，如：已经、曾经、过去；现在、目前；将要、尚未；之前、之后等。</w:t>
            </w:r>
          </w:p>
        </w:tc>
      </w:tr>
      <w:tr>
        <w:tblPrEx>
          <w:tblW w:w="9362" w:type="dxa"/>
          <w:jc w:val="center"/>
          <w:tblLayout w:type="fixed"/>
          <w:tblCellMar>
            <w:top w:w="0" w:type="dxa"/>
            <w:left w:w="108" w:type="dxa"/>
            <w:bottom w:w="0" w:type="dxa"/>
            <w:right w:w="108" w:type="dxa"/>
          </w:tblCellMar>
        </w:tblPrEx>
        <w:trPr>
          <w:trHeight w:val="226"/>
          <w:jc w:val="center"/>
        </w:trPr>
        <w:tc>
          <w:tcPr>
            <w:tcW w:w="1236" w:type="dxa"/>
            <w:vMerge w:val="restart"/>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技法演示</w:t>
            </w:r>
          </w:p>
        </w:tc>
        <w:tc>
          <w:tcPr>
            <w:tcW w:w="1079"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试题选项</w:t>
            </w:r>
          </w:p>
        </w:tc>
        <w:tc>
          <w:tcPr>
            <w:tcW w:w="7047"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（2018·全国卷Ⅱ·T2－D）</w:t>
            </w:r>
            <w:r>
              <w:rPr>
                <w:rFonts w:ascii="楷体" w:eastAsia="楷体" w:hAnsi="楷体" w:cs="楷体" w:hint="eastAsia"/>
              </w:rPr>
              <w:t>文章通过分析数字化记忆可能带来的问题，对我们的认同问题作出了全新论证。</w:t>
            </w:r>
          </w:p>
        </w:tc>
      </w:tr>
      <w:tr>
        <w:tblPrEx>
          <w:tblW w:w="9362" w:type="dxa"/>
          <w:jc w:val="center"/>
          <w:tblLayout w:type="fixed"/>
          <w:tblCellMar>
            <w:top w:w="0" w:type="dxa"/>
            <w:left w:w="108" w:type="dxa"/>
            <w:bottom w:w="0" w:type="dxa"/>
            <w:right w:w="108" w:type="dxa"/>
          </w:tblCellMar>
        </w:tblPrEx>
        <w:trPr>
          <w:trHeight w:val="226"/>
          <w:jc w:val="center"/>
        </w:trPr>
        <w:tc>
          <w:tcPr>
            <w:tcW w:w="1236" w:type="dxa"/>
            <w:vMerge/>
            <w:shd w:val="clear" w:color="auto" w:fill="auto"/>
            <w:vAlign w:val="center"/>
          </w:tcPr>
          <w:p>
            <w:pPr>
              <w:pStyle w:val="PlainText"/>
              <w:tabs>
                <w:tab w:val="left" w:pos="4305"/>
              </w:tabs>
              <w:snapToGrid w:val="0"/>
              <w:spacing w:line="360" w:lineRule="auto"/>
              <w:jc w:val="left"/>
              <w:rPr>
                <w:rFonts w:ascii="Times New Roman" w:hAnsi="Times New Roman"/>
              </w:rPr>
            </w:pPr>
          </w:p>
        </w:tc>
        <w:tc>
          <w:tcPr>
            <w:tcW w:w="1079"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对应原文</w:t>
            </w:r>
          </w:p>
        </w:tc>
        <w:tc>
          <w:tcPr>
            <w:tcW w:w="7047"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楷体" w:eastAsia="楷体" w:hAnsi="楷体" w:cs="楷体" w:hint="eastAsia"/>
              </w:rPr>
              <w:t>所谓“被遗忘权”，即数据主体有权要求数据控制者永久删除有关数据主体的个人数据，有权被互联网遗忘，除非数据的保留有合法的理由，在大数据时代，数字化、廉价的存储器、易于提取、全球覆盖作为数字化记忆发展的四大驱动力，改变了记忆的经济学，使得海量的数字化记忆不仅唾手可得，甚至比选择性删除所耗费的成本更低，记忆和遗忘的平衡反转，往事正像刺青一样刻在我们的数字肌肤上；遗忘变得困难，而记忆却成了常态，“被遗忘权”的出现，意在改变数据主体难以“被遗忘”的格局，赋予数据主体对信息进行自决控制的权利，并且有着更深的调节、修复大数据时代数字化记忆伦理的意义。</w:t>
            </w:r>
          </w:p>
        </w:tc>
      </w:tr>
      <w:tr>
        <w:tblPrEx>
          <w:tblW w:w="9362" w:type="dxa"/>
          <w:jc w:val="center"/>
          <w:tblLayout w:type="fixed"/>
          <w:tblCellMar>
            <w:top w:w="0" w:type="dxa"/>
            <w:left w:w="108" w:type="dxa"/>
            <w:bottom w:w="0" w:type="dxa"/>
            <w:right w:w="108" w:type="dxa"/>
          </w:tblCellMar>
        </w:tblPrEx>
        <w:trPr>
          <w:trHeight w:val="150"/>
          <w:jc w:val="center"/>
        </w:trPr>
        <w:tc>
          <w:tcPr>
            <w:tcW w:w="1236" w:type="dxa"/>
            <w:vMerge/>
            <w:shd w:val="clear" w:color="auto" w:fill="auto"/>
            <w:vAlign w:val="center"/>
          </w:tcPr>
          <w:p>
            <w:pPr>
              <w:pStyle w:val="PlainText"/>
              <w:tabs>
                <w:tab w:val="left" w:pos="4305"/>
              </w:tabs>
              <w:snapToGrid w:val="0"/>
              <w:spacing w:line="360" w:lineRule="auto"/>
              <w:jc w:val="left"/>
              <w:rPr>
                <w:rFonts w:ascii="Times New Roman" w:hAnsi="Times New Roman"/>
              </w:rPr>
            </w:pPr>
          </w:p>
        </w:tc>
        <w:tc>
          <w:tcPr>
            <w:tcW w:w="1079"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比对结果</w:t>
            </w:r>
          </w:p>
        </w:tc>
        <w:tc>
          <w:tcPr>
            <w:tcW w:w="7047"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根据原文可知，数字化记忆并不是“可能”带来问题，而是已经带来了问题。“往事正像刺青一样刻在我们的数字肌肤上；遗忘变的困难，而记忆却成了常态。‘被遗忘权’的出现，意在改变数据主体难以‘被遗忘’的格局”，选项变已然为或然。另外，“对我们的认同问题作出了全新论证”于文无据。</w:t>
            </w:r>
          </w:p>
        </w:tc>
      </w:tr>
    </w:tbl>
    <w:p>
      <w:pPr>
        <w:bidi w:val="0"/>
        <w:adjustRightInd w:val="0"/>
        <w:snapToGrid w:val="0"/>
        <w:spacing w:line="360" w:lineRule="auto"/>
        <w:rPr>
          <w:rFonts w:ascii="宋体" w:hAnsi="宋体" w:cs="宋体"/>
          <w:color w:val="000000"/>
          <w:kern w:val="0"/>
          <w:szCs w:val="21"/>
        </w:rPr>
      </w:pPr>
      <w:r>
        <w:rPr>
          <w:rFonts w:ascii="宋体" w:hAnsi="宋体" w:cs="宋体" w:hint="eastAsia"/>
          <w:color w:val="000000"/>
          <w:kern w:val="0"/>
          <w:szCs w:val="21"/>
        </w:rPr>
        <w:t>示例：</w:t>
      </w:r>
    </w:p>
    <w:p>
      <w:pPr>
        <w:bidi w:val="0"/>
        <w:adjustRightInd w:val="0"/>
        <w:snapToGrid w:val="0"/>
        <w:spacing w:line="360" w:lineRule="auto"/>
        <w:rPr>
          <w:rFonts w:ascii="宋体" w:hAnsi="宋体" w:cs="宋体" w:hint="eastAsia"/>
          <w:color w:val="000000"/>
          <w:kern w:val="0"/>
          <w:szCs w:val="21"/>
        </w:rPr>
      </w:pPr>
      <w:r>
        <w:rPr>
          <w:rFonts w:ascii="宋体" w:hAnsi="宋体" w:cs="宋体" w:hint="eastAsia"/>
          <w:color w:val="000000"/>
          <w:kern w:val="0"/>
          <w:szCs w:val="21"/>
        </w:rPr>
        <w:t>原文：</w:t>
      </w:r>
      <w:r>
        <w:rPr>
          <w:rFonts w:ascii="楷体" w:eastAsia="楷体" w:hAnsi="楷体" w:cs="楷体" w:hint="eastAsia"/>
          <w:color w:val="000000"/>
          <w:kern w:val="0"/>
          <w:szCs w:val="21"/>
        </w:rPr>
        <w:t>围棋起源于中国，是黄河文明的产物，其形制弈法等都饱含着文明母体的基因和特征。围棋极可能源自上古时期的结绳而治、河图洛书和周易八卦，因为其形制、内涵与中华文明的源头相符。</w:t>
      </w:r>
    </w:p>
    <w:p>
      <w:pPr>
        <w:bidi w:val="0"/>
        <w:adjustRightInd w:val="0"/>
        <w:snapToGrid w:val="0"/>
        <w:spacing w:line="360" w:lineRule="auto"/>
        <w:rPr>
          <w:rFonts w:ascii="宋体" w:hAnsi="宋体" w:cs="宋体"/>
          <w:color w:val="000000"/>
          <w:kern w:val="0"/>
          <w:szCs w:val="21"/>
        </w:rPr>
      </w:pPr>
      <w:r>
        <w:rPr>
          <w:rFonts w:ascii="宋体" w:hAnsi="宋体" w:cs="宋体" w:hint="eastAsia"/>
          <w:color w:val="000000"/>
          <w:kern w:val="0"/>
          <w:szCs w:val="21"/>
        </w:rPr>
        <w:t>选项：围棋发源于上古时期的结绳而治、河图洛书和周易八卦，其形制弈法等都饱含着文明母体的基因和特征。</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s="宋体" w:hint="default"/>
          <w:color w:val="000000"/>
          <w:kern w:val="0"/>
          <w:szCs w:val="21"/>
        </w:rPr>
      </w:pPr>
      <w:r>
        <w:rPr>
          <w:rFonts w:ascii="宋体" w:hAnsi="宋体" w:cs="宋体" w:hint="eastAsia"/>
          <w:color w:val="000000"/>
          <w:kern w:val="0"/>
          <w:szCs w:val="21"/>
          <w:lang w:val="en-US" w:eastAsia="zh-CN"/>
        </w:rPr>
        <w:t>____________________________________________________________________________________________</w:t>
      </w:r>
    </w:p>
    <w:p>
      <w:pPr>
        <w:bidi w:val="0"/>
        <w:adjustRightInd w:val="0"/>
        <w:snapToGrid w:val="0"/>
        <w:spacing w:line="360" w:lineRule="auto"/>
        <w:rPr>
          <w:rFonts w:ascii="宋体" w:hAnsi="宋体" w:cs="宋体" w:hint="eastAsia"/>
          <w:b/>
          <w:bCs/>
          <w:color w:val="auto"/>
          <w:kern w:val="0"/>
          <w:szCs w:val="21"/>
        </w:rPr>
      </w:pPr>
      <w:r>
        <w:rPr>
          <w:rFonts w:ascii="仿宋" w:eastAsia="仿宋" w:hAnsi="仿宋" w:cs="仿宋" w:hint="eastAsia"/>
          <w:color w:val="FF0000"/>
          <w:kern w:val="0"/>
          <w:szCs w:val="21"/>
        </w:rPr>
        <w:t>【比对分析】　选项混淆时态。删去了原文中的“极可能”，把“或然”变成了“必然”。</w:t>
      </w:r>
    </w:p>
    <w:p>
      <w:pPr>
        <w:pStyle w:val="PlainText"/>
        <w:tabs>
          <w:tab w:val="left" w:pos="4305"/>
        </w:tabs>
        <w:snapToGrid w:val="0"/>
        <w:spacing w:line="360" w:lineRule="auto"/>
        <w:ind w:firstLine="420" w:firstLineChars="200"/>
        <w:jc w:val="left"/>
        <w:rPr>
          <w:rFonts w:ascii="Times New Roman" w:eastAsia="黑体" w:hAnsi="Times New Roman"/>
        </w:rPr>
      </w:pPr>
    </w:p>
    <w:p>
      <w:pPr>
        <w:pStyle w:val="PlainText"/>
        <w:tabs>
          <w:tab w:val="left" w:pos="4305"/>
        </w:tabs>
        <w:snapToGrid w:val="0"/>
        <w:spacing w:line="360" w:lineRule="auto"/>
        <w:ind w:firstLine="420" w:firstLineChars="200"/>
        <w:jc w:val="left"/>
        <w:rPr>
          <w:rFonts w:ascii="Times New Roman" w:hAnsi="Times New Roman"/>
        </w:rPr>
      </w:pPr>
      <w:r>
        <w:rPr>
          <w:rFonts w:ascii="Times New Roman" w:eastAsia="黑体" w:hAnsi="Times New Roman"/>
        </w:rPr>
        <w:t>六、因果混乱</w:t>
      </w:r>
    </w:p>
    <w:tbl>
      <w:tblPr>
        <w:tblStyle w:val="TableNormal"/>
        <w:tblW w:w="9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236"/>
        <w:gridCol w:w="8068"/>
      </w:tblGrid>
      <w:tr>
        <w:tblPrEx>
          <w:tblW w:w="9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1236"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设错特点</w:t>
            </w:r>
          </w:p>
        </w:tc>
        <w:tc>
          <w:tcPr>
            <w:tcW w:w="8068"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一是因果倒置，即推理条件和结论的颠倒；二是强加因果，即把不是必然的条件、因果关系说成必然的条件、因果关系。</w:t>
            </w:r>
          </w:p>
        </w:tc>
      </w:tr>
      <w:tr>
        <w:tblPrEx>
          <w:tblW w:w="9304" w:type="dxa"/>
          <w:jc w:val="center"/>
          <w:tblLayout w:type="fixed"/>
          <w:tblCellMar>
            <w:top w:w="0" w:type="dxa"/>
            <w:left w:w="108" w:type="dxa"/>
            <w:bottom w:w="0" w:type="dxa"/>
            <w:right w:w="108" w:type="dxa"/>
          </w:tblCellMar>
        </w:tblPrEx>
        <w:trPr>
          <w:jc w:val="center"/>
        </w:trPr>
        <w:tc>
          <w:tcPr>
            <w:tcW w:w="1236"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设错手段</w:t>
            </w:r>
          </w:p>
        </w:tc>
        <w:tc>
          <w:tcPr>
            <w:tcW w:w="8068"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以结果、表现来解释结果、表现的原因；把不同位置的因果关系混为一谈。</w:t>
            </w:r>
          </w:p>
        </w:tc>
      </w:tr>
      <w:tr>
        <w:tblPrEx>
          <w:tblW w:w="9304" w:type="dxa"/>
          <w:jc w:val="center"/>
          <w:tblLayout w:type="fixed"/>
          <w:tblCellMar>
            <w:top w:w="0" w:type="dxa"/>
            <w:left w:w="108" w:type="dxa"/>
            <w:bottom w:w="0" w:type="dxa"/>
            <w:right w:w="108" w:type="dxa"/>
          </w:tblCellMar>
        </w:tblPrEx>
        <w:trPr>
          <w:jc w:val="center"/>
        </w:trPr>
        <w:tc>
          <w:tcPr>
            <w:tcW w:w="1236"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识别方法</w:t>
            </w:r>
          </w:p>
        </w:tc>
        <w:tc>
          <w:tcPr>
            <w:tcW w:w="8068" w:type="dxa"/>
            <w:shd w:val="clear" w:color="auto" w:fill="auto"/>
            <w:vAlign w:val="center"/>
          </w:tcPr>
          <w:p>
            <w:pPr>
              <w:pStyle w:val="PlainText"/>
              <w:tabs>
                <w:tab w:val="left" w:pos="4305"/>
              </w:tabs>
              <w:snapToGrid w:val="0"/>
              <w:spacing w:after="0" w:line="360" w:lineRule="auto"/>
              <w:jc w:val="left"/>
              <w:rPr>
                <w:rFonts w:ascii="Times New Roman" w:hAnsi="Times New Roman"/>
              </w:rPr>
            </w:pPr>
          </w:p>
        </w:tc>
      </w:tr>
    </w:tbl>
    <w:p>
      <w:pPr>
        <w:sectPr>
          <w:footerReference w:type="default" r:id="rId13"/>
          <w:type w:val="nextPage"/>
          <w:pgSz w:w="11906" w:h="16838"/>
          <w:pgMar w:top="1440" w:right="1080" w:bottom="1440" w:left="1080" w:header="851" w:footer="992" w:gutter="0"/>
          <w:pgNumType w:fmt="decimal" w:start="5"/>
          <w:cols w:num="1" w:space="425"/>
          <w:titlePg w:val="0"/>
          <w:docGrid w:type="lines" w:linePitch="312" w:charSpace="0"/>
        </w:sectPr>
      </w:pPr>
    </w:p>
    <w:tbl>
      <w:tblPr>
        <w:tblStyle w:val="TableNormal"/>
        <w:tblW w:w="9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236"/>
        <w:gridCol w:w="1259"/>
        <w:gridCol w:w="6809"/>
      </w:tblGrid>
      <w:tr>
        <w:tblPrEx>
          <w:tblW w:w="9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1236" w:type="dxa"/>
            <w:shd w:val="clear" w:color="auto" w:fill="auto"/>
            <w:vAlign w:val="center"/>
          </w:tcPr>
          <w:p/>
        </w:tc>
        <w:tc>
          <w:tcPr>
            <w:tcW w:w="8068" w:type="dxa"/>
            <w:gridSpan w:val="2"/>
            <w:shd w:val="clear" w:color="auto" w:fill="auto"/>
            <w:vAlign w:val="center"/>
          </w:tcPr>
          <w:p>
            <w:pPr>
              <w:pStyle w:val="PlainText"/>
              <w:tabs>
                <w:tab w:val="left" w:pos="4305"/>
              </w:tabs>
              <w:snapToGrid w:val="0"/>
              <w:spacing w:before="0" w:line="360" w:lineRule="auto"/>
              <w:jc w:val="left"/>
              <w:rPr>
                <w:rFonts w:ascii="Times New Roman" w:hAnsi="Times New Roman"/>
              </w:rPr>
            </w:pPr>
            <w:r>
              <w:rPr>
                <w:rFonts w:ascii="Times New Roman" w:hAnsi="Times New Roman"/>
              </w:rPr>
              <w:t>注意分析选项语句间的关系，核对分析条件、原因和推论、结果之间是否有必然联系，关注“因此”“所以”“就”等词句。</w:t>
            </w:r>
          </w:p>
        </w:tc>
      </w:tr>
      <w:tr>
        <w:tblPrEx>
          <w:tblW w:w="9304" w:type="dxa"/>
          <w:jc w:val="center"/>
          <w:tblLayout w:type="fixed"/>
          <w:tblCellMar>
            <w:top w:w="0" w:type="dxa"/>
            <w:left w:w="108" w:type="dxa"/>
            <w:bottom w:w="0" w:type="dxa"/>
            <w:right w:w="108" w:type="dxa"/>
          </w:tblCellMar>
        </w:tblPrEx>
        <w:trPr>
          <w:trHeight w:val="107"/>
          <w:jc w:val="center"/>
        </w:trPr>
        <w:tc>
          <w:tcPr>
            <w:tcW w:w="1236" w:type="dxa"/>
            <w:vMerge w:val="restart"/>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技法演示</w:t>
            </w:r>
          </w:p>
        </w:tc>
        <w:tc>
          <w:tcPr>
            <w:tcW w:w="1259"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试题选项</w:t>
            </w:r>
          </w:p>
        </w:tc>
        <w:tc>
          <w:tcPr>
            <w:tcW w:w="6809"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（2018·全国卷Ⅲ·T1－D）在诸多原因中，空间、制度及意义三者的弹性不足是影响城市发展的根本原因。</w:t>
            </w:r>
          </w:p>
        </w:tc>
      </w:tr>
      <w:tr>
        <w:tblPrEx>
          <w:tblW w:w="9304" w:type="dxa"/>
          <w:jc w:val="center"/>
          <w:tblLayout w:type="fixed"/>
          <w:tblCellMar>
            <w:top w:w="0" w:type="dxa"/>
            <w:left w:w="108" w:type="dxa"/>
            <w:bottom w:w="0" w:type="dxa"/>
            <w:right w:w="108" w:type="dxa"/>
          </w:tblCellMar>
        </w:tblPrEx>
        <w:trPr>
          <w:trHeight w:val="107"/>
          <w:jc w:val="center"/>
        </w:trPr>
        <w:tc>
          <w:tcPr>
            <w:tcW w:w="1236" w:type="dxa"/>
            <w:vMerge/>
            <w:shd w:val="clear" w:color="auto" w:fill="auto"/>
            <w:vAlign w:val="center"/>
          </w:tcPr>
          <w:p>
            <w:pPr>
              <w:pStyle w:val="PlainText"/>
              <w:tabs>
                <w:tab w:val="left" w:pos="4305"/>
              </w:tabs>
              <w:snapToGrid w:val="0"/>
              <w:spacing w:line="360" w:lineRule="auto"/>
              <w:jc w:val="left"/>
              <w:rPr>
                <w:rFonts w:ascii="Times New Roman" w:hAnsi="Times New Roman"/>
              </w:rPr>
            </w:pPr>
          </w:p>
        </w:tc>
        <w:tc>
          <w:tcPr>
            <w:tcW w:w="1259"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对应原文</w:t>
            </w:r>
          </w:p>
        </w:tc>
        <w:tc>
          <w:tcPr>
            <w:tcW w:w="6809"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楷体" w:eastAsia="楷体" w:hAnsi="楷体" w:cs="楷体" w:hint="eastAsia"/>
              </w:rPr>
              <w:t>对城市而言，文明弹性是一个城市体在生存、创新、适应、应变等方面的综合状态、综合能力，是公共性与私人性之间、多样性与共同性之间、稳定性与变迁性之间、柔性与刚性之间的动态和谐，过于绵柔、松散，或者过于刚硬、密集，都是弹性不足或丧失的表现，是城市体出现危机的表征。</w:t>
            </w:r>
          </w:p>
        </w:tc>
      </w:tr>
      <w:tr>
        <w:tblPrEx>
          <w:tblW w:w="9304" w:type="dxa"/>
          <w:jc w:val="center"/>
          <w:tblLayout w:type="fixed"/>
          <w:tblCellMar>
            <w:top w:w="0" w:type="dxa"/>
            <w:left w:w="108" w:type="dxa"/>
            <w:bottom w:w="0" w:type="dxa"/>
            <w:right w:w="108" w:type="dxa"/>
          </w:tblCellMar>
        </w:tblPrEx>
        <w:trPr>
          <w:trHeight w:val="269"/>
          <w:jc w:val="center"/>
        </w:trPr>
        <w:tc>
          <w:tcPr>
            <w:tcW w:w="1236" w:type="dxa"/>
            <w:vMerge/>
            <w:shd w:val="clear" w:color="auto" w:fill="auto"/>
            <w:vAlign w:val="center"/>
          </w:tcPr>
          <w:p>
            <w:pPr>
              <w:pStyle w:val="PlainText"/>
              <w:tabs>
                <w:tab w:val="left" w:pos="4305"/>
              </w:tabs>
              <w:snapToGrid w:val="0"/>
              <w:spacing w:line="360" w:lineRule="auto"/>
              <w:jc w:val="left"/>
              <w:rPr>
                <w:rFonts w:ascii="Times New Roman" w:hAnsi="Times New Roman"/>
              </w:rPr>
            </w:pPr>
          </w:p>
        </w:tc>
        <w:tc>
          <w:tcPr>
            <w:tcW w:w="1259"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比对结果</w:t>
            </w:r>
          </w:p>
        </w:tc>
        <w:tc>
          <w:tcPr>
            <w:tcW w:w="6809"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原文表明“弹性不足”只是城市出现危机的“表征”，与选项中的“根本原因”相悖。犯了因果混乱的错误。</w:t>
            </w:r>
          </w:p>
        </w:tc>
      </w:tr>
    </w:tbl>
    <w:p>
      <w:pPr>
        <w:bidi w:val="0"/>
        <w:adjustRightInd w:val="0"/>
        <w:snapToGrid w:val="0"/>
        <w:spacing w:line="360" w:lineRule="auto"/>
        <w:rPr>
          <w:rFonts w:ascii="楷体" w:eastAsia="楷体" w:hAnsi="楷体" w:cs="楷体" w:hint="eastAsia"/>
          <w:color w:val="000000"/>
          <w:kern w:val="0"/>
          <w:szCs w:val="21"/>
        </w:rPr>
      </w:pPr>
      <w:r>
        <w:rPr>
          <w:rFonts w:ascii="宋体" w:hAnsi="宋体" w:cs="宋体" w:hint="eastAsia"/>
          <w:color w:val="000000"/>
          <w:kern w:val="0"/>
          <w:szCs w:val="21"/>
        </w:rPr>
        <w:t>原文：</w:t>
      </w:r>
      <w:r>
        <w:rPr>
          <w:rFonts w:ascii="楷体" w:eastAsia="楷体" w:hAnsi="楷体" w:cs="楷体" w:hint="eastAsia"/>
          <w:color w:val="000000"/>
          <w:kern w:val="0"/>
          <w:szCs w:val="21"/>
        </w:rPr>
        <w:t>正是中外文明的交融，成功推动了中国瓷器从单色走向多彩的转型，青花瓷以独特方式昭示了明代文化的演变过程，成为中国传统社会从单一走向多元的例证。</w:t>
      </w:r>
    </w:p>
    <w:p>
      <w:pPr>
        <w:bidi w:val="0"/>
        <w:adjustRightInd w:val="0"/>
        <w:snapToGrid w:val="0"/>
        <w:spacing w:line="360" w:lineRule="auto"/>
        <w:rPr>
          <w:rFonts w:ascii="宋体" w:hAnsi="宋体" w:cs="宋体"/>
          <w:color w:val="000000"/>
          <w:kern w:val="0"/>
          <w:szCs w:val="21"/>
        </w:rPr>
      </w:pPr>
      <w:r>
        <w:rPr>
          <w:rFonts w:ascii="宋体" w:hAnsi="宋体" w:cs="宋体" w:hint="eastAsia"/>
          <w:color w:val="000000"/>
          <w:kern w:val="0"/>
          <w:szCs w:val="21"/>
        </w:rPr>
        <w:t>选项：(2017·全国卷ⅡT1—D)中外文明交融推动瓷器从单色走向多彩，从而推动了当时的社会向多元转型。</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s="宋体" w:hint="default"/>
          <w:color w:val="000000"/>
          <w:kern w:val="0"/>
          <w:szCs w:val="21"/>
        </w:rPr>
      </w:pPr>
      <w:r>
        <w:rPr>
          <w:rFonts w:ascii="宋体" w:hAnsi="宋体" w:cs="宋体" w:hint="eastAsia"/>
          <w:color w:val="000000"/>
          <w:kern w:val="0"/>
          <w:szCs w:val="21"/>
          <w:lang w:val="en-US" w:eastAsia="zh-CN"/>
        </w:rPr>
        <w:t>________________________________________________________________________________________________________________________________________________________________________________________</w:t>
      </w:r>
    </w:p>
    <w:p>
      <w:pPr>
        <w:bidi w:val="0"/>
        <w:adjustRightInd w:val="0"/>
        <w:snapToGrid w:val="0"/>
        <w:spacing w:line="360" w:lineRule="auto"/>
        <w:rPr>
          <w:rFonts w:ascii="仿宋" w:eastAsia="仿宋" w:hAnsi="仿宋" w:cs="仿宋" w:hint="eastAsia"/>
          <w:color w:val="FF0000"/>
          <w:kern w:val="0"/>
          <w:szCs w:val="21"/>
        </w:rPr>
      </w:pPr>
      <w:r>
        <w:rPr>
          <w:rFonts w:ascii="仿宋" w:eastAsia="仿宋" w:hAnsi="仿宋" w:cs="仿宋" w:hint="eastAsia"/>
          <w:color w:val="FF0000"/>
          <w:kern w:val="0"/>
          <w:szCs w:val="21"/>
        </w:rPr>
        <w:t>【比对分析】选项因果混乱。“从而”一词强加因果，从原文可知，中国瓷器“从单色走向多彩的转型”，只是“中国传统社会从单一走向多元的例证”，而不是“推动了当时的社会向多元转型”的因素。</w:t>
      </w:r>
    </w:p>
    <w:p>
      <w:pPr>
        <w:pStyle w:val="PlainText"/>
        <w:tabs>
          <w:tab w:val="left" w:pos="4305"/>
        </w:tabs>
        <w:snapToGrid w:val="0"/>
        <w:spacing w:line="360" w:lineRule="auto"/>
        <w:ind w:firstLine="420" w:firstLineChars="200"/>
        <w:jc w:val="left"/>
        <w:rPr>
          <w:rFonts w:ascii="Times New Roman" w:hAnsi="Times New Roman"/>
        </w:rPr>
      </w:pPr>
      <w:r>
        <w:rPr>
          <w:rFonts w:ascii="Times New Roman" w:eastAsia="黑体" w:hAnsi="Times New Roman"/>
        </w:rPr>
        <w:t>七、混淆是非</w:t>
      </w:r>
    </w:p>
    <w:tbl>
      <w:tblPr>
        <w:tblStyle w:val="TableNormal"/>
        <w:tblW w:w="9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236"/>
        <w:gridCol w:w="1247"/>
        <w:gridCol w:w="6821"/>
      </w:tblGrid>
      <w:tr>
        <w:tblPrEx>
          <w:tblW w:w="93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1236"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设错特点</w:t>
            </w:r>
          </w:p>
        </w:tc>
        <w:tc>
          <w:tcPr>
            <w:tcW w:w="8068" w:type="dxa"/>
            <w:gridSpan w:val="2"/>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选项在肯定与否定、是与非、有与无、扬与抑等方面设置干扰，与原文相悖，造成与事实不符、观点相反。</w:t>
            </w:r>
          </w:p>
        </w:tc>
      </w:tr>
      <w:tr>
        <w:tblPrEx>
          <w:tblW w:w="9304" w:type="dxa"/>
          <w:jc w:val="center"/>
          <w:tblLayout w:type="fixed"/>
          <w:tblCellMar>
            <w:top w:w="0" w:type="dxa"/>
            <w:left w:w="108" w:type="dxa"/>
            <w:bottom w:w="0" w:type="dxa"/>
            <w:right w:w="108" w:type="dxa"/>
          </w:tblCellMar>
        </w:tblPrEx>
        <w:trPr>
          <w:jc w:val="center"/>
        </w:trPr>
        <w:tc>
          <w:tcPr>
            <w:tcW w:w="1236"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设错手段</w:t>
            </w:r>
          </w:p>
        </w:tc>
        <w:tc>
          <w:tcPr>
            <w:tcW w:w="8068" w:type="dxa"/>
            <w:gridSpan w:val="2"/>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选项故意将阅读材料中肯定了的事物加以否定，或者将否定了的事物加以肯定。</w:t>
            </w:r>
          </w:p>
        </w:tc>
      </w:tr>
      <w:tr>
        <w:tblPrEx>
          <w:tblW w:w="9304" w:type="dxa"/>
          <w:jc w:val="center"/>
          <w:tblLayout w:type="fixed"/>
          <w:tblCellMar>
            <w:top w:w="0" w:type="dxa"/>
            <w:left w:w="108" w:type="dxa"/>
            <w:bottom w:w="0" w:type="dxa"/>
            <w:right w:w="108" w:type="dxa"/>
          </w:tblCellMar>
        </w:tblPrEx>
        <w:trPr>
          <w:jc w:val="center"/>
        </w:trPr>
        <w:tc>
          <w:tcPr>
            <w:tcW w:w="1236"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识别方法</w:t>
            </w:r>
          </w:p>
        </w:tc>
        <w:tc>
          <w:tcPr>
            <w:tcW w:w="8068" w:type="dxa"/>
            <w:gridSpan w:val="2"/>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找到选项所对应内容，逐句比对，关注原文阐述观点、明确是非、陈述有无的句子，区分作者观点和他人观点。</w:t>
            </w:r>
          </w:p>
        </w:tc>
      </w:tr>
      <w:tr>
        <w:tblPrEx>
          <w:tblW w:w="9304" w:type="dxa"/>
          <w:jc w:val="center"/>
          <w:tblLayout w:type="fixed"/>
          <w:tblCellMar>
            <w:top w:w="0" w:type="dxa"/>
            <w:left w:w="108" w:type="dxa"/>
            <w:bottom w:w="0" w:type="dxa"/>
            <w:right w:w="108" w:type="dxa"/>
          </w:tblCellMar>
        </w:tblPrEx>
        <w:trPr>
          <w:trHeight w:val="247"/>
          <w:jc w:val="center"/>
        </w:trPr>
        <w:tc>
          <w:tcPr>
            <w:tcW w:w="1236" w:type="dxa"/>
            <w:vMerge w:val="restart"/>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技法演示</w:t>
            </w:r>
          </w:p>
        </w:tc>
        <w:tc>
          <w:tcPr>
            <w:tcW w:w="1247"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试题选项</w:t>
            </w:r>
          </w:p>
        </w:tc>
        <w:tc>
          <w:tcPr>
            <w:tcW w:w="6821"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（2016·浙江卷·T8－C）在五四白话文运动中，“学衡”一派对中国古典文学的语言艺术持否定态度，但并不是所有学者都支持彻底抛弃文言文的极端做法。</w:t>
            </w:r>
          </w:p>
        </w:tc>
      </w:tr>
      <w:tr>
        <w:tblPrEx>
          <w:tblW w:w="9304" w:type="dxa"/>
          <w:jc w:val="center"/>
          <w:tblLayout w:type="fixed"/>
          <w:tblCellMar>
            <w:top w:w="0" w:type="dxa"/>
            <w:left w:w="108" w:type="dxa"/>
            <w:bottom w:w="0" w:type="dxa"/>
            <w:right w:w="108" w:type="dxa"/>
          </w:tblCellMar>
        </w:tblPrEx>
        <w:trPr>
          <w:trHeight w:val="247"/>
          <w:jc w:val="center"/>
        </w:trPr>
        <w:tc>
          <w:tcPr>
            <w:tcW w:w="1236" w:type="dxa"/>
            <w:vMerge/>
            <w:shd w:val="clear" w:color="auto" w:fill="auto"/>
            <w:vAlign w:val="center"/>
          </w:tcPr>
          <w:p>
            <w:pPr>
              <w:pStyle w:val="PlainText"/>
              <w:tabs>
                <w:tab w:val="left" w:pos="4305"/>
              </w:tabs>
              <w:snapToGrid w:val="0"/>
              <w:spacing w:line="360" w:lineRule="auto"/>
              <w:jc w:val="left"/>
              <w:rPr>
                <w:rFonts w:ascii="Times New Roman" w:hAnsi="Times New Roman"/>
              </w:rPr>
            </w:pPr>
          </w:p>
        </w:tc>
        <w:tc>
          <w:tcPr>
            <w:tcW w:w="1247"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对应原文</w:t>
            </w:r>
          </w:p>
        </w:tc>
        <w:tc>
          <w:tcPr>
            <w:tcW w:w="6821"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楷体" w:eastAsia="楷体" w:hAnsi="楷体" w:cs="楷体" w:hint="eastAsia"/>
              </w:rPr>
              <w:t>新文化运动提倡者从当时的文化发展大目标出发，反对文言文，提倡白话文，……他们的言论、思考和忧虑中的合理成分，随着时间的推移也在被人们重新认识。时过境迁，……当年新文化运动提倡者事后的反思性意见，与五四白话文运动中以“学衡”为代表的反对派意见，在语言与文学关系问题的许多认识上有着惊人的一致。</w:t>
            </w:r>
          </w:p>
        </w:tc>
      </w:tr>
      <w:tr>
        <w:tblPrEx>
          <w:tblW w:w="9304" w:type="dxa"/>
          <w:jc w:val="center"/>
          <w:tblLayout w:type="fixed"/>
          <w:tblCellMar>
            <w:top w:w="0" w:type="dxa"/>
            <w:left w:w="108" w:type="dxa"/>
            <w:bottom w:w="0" w:type="dxa"/>
            <w:right w:w="108" w:type="dxa"/>
          </w:tblCellMar>
        </w:tblPrEx>
        <w:trPr>
          <w:trHeight w:val="129"/>
          <w:jc w:val="center"/>
        </w:trPr>
        <w:tc>
          <w:tcPr>
            <w:tcW w:w="1236" w:type="dxa"/>
            <w:vMerge/>
            <w:shd w:val="clear" w:color="auto" w:fill="auto"/>
            <w:vAlign w:val="center"/>
          </w:tcPr>
          <w:p>
            <w:pPr>
              <w:pStyle w:val="PlainText"/>
              <w:tabs>
                <w:tab w:val="left" w:pos="4305"/>
              </w:tabs>
              <w:snapToGrid w:val="0"/>
              <w:spacing w:line="360" w:lineRule="auto"/>
              <w:jc w:val="left"/>
              <w:rPr>
                <w:rFonts w:ascii="Times New Roman" w:hAnsi="Times New Roman"/>
              </w:rPr>
            </w:pPr>
          </w:p>
        </w:tc>
        <w:tc>
          <w:tcPr>
            <w:tcW w:w="1247"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比对结果</w:t>
            </w:r>
          </w:p>
        </w:tc>
        <w:tc>
          <w:tcPr>
            <w:tcW w:w="6821"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从原文来看，“学衡”派是五四白话文运动的反对派，他们支持文言文，反对白话文。该项犯了“混淆是非”的错误。</w:t>
            </w:r>
          </w:p>
        </w:tc>
      </w:tr>
    </w:tbl>
    <w:p>
      <w:pPr>
        <w:bidi w:val="0"/>
        <w:adjustRightInd w:val="0"/>
        <w:snapToGrid w:val="0"/>
        <w:spacing w:line="360" w:lineRule="auto"/>
        <w:rPr>
          <w:rFonts w:ascii="宋体" w:hAnsi="宋体" w:cs="宋体" w:hint="eastAsia"/>
          <w:color w:val="000000"/>
          <w:kern w:val="0"/>
          <w:szCs w:val="21"/>
        </w:rPr>
        <w:sectPr>
          <w:footerReference w:type="default" r:id="rId14"/>
          <w:type w:val="nextPage"/>
          <w:pgSz w:w="11906" w:h="16838"/>
          <w:pgMar w:top="1440" w:right="1080" w:bottom="1440" w:left="1080" w:header="851" w:footer="992" w:gutter="0"/>
          <w:pgNumType w:fmt="decimal" w:start="6"/>
          <w:cols w:num="1" w:space="425"/>
          <w:titlePg w:val="0"/>
          <w:docGrid w:type="lines" w:linePitch="312" w:charSpace="0"/>
        </w:sectPr>
      </w:pPr>
    </w:p>
    <w:p>
      <w:pPr>
        <w:bidi w:val="0"/>
        <w:adjustRightInd w:val="0"/>
        <w:snapToGrid w:val="0"/>
        <w:spacing w:line="360" w:lineRule="auto"/>
        <w:rPr>
          <w:rFonts w:ascii="宋体" w:hAnsi="宋体" w:cs="宋体"/>
          <w:color w:val="000000"/>
          <w:kern w:val="0"/>
          <w:szCs w:val="21"/>
        </w:rPr>
      </w:pPr>
      <w:r>
        <w:rPr>
          <w:rFonts w:ascii="宋体" w:hAnsi="宋体" w:cs="宋体" w:hint="eastAsia"/>
          <w:color w:val="000000"/>
          <w:kern w:val="0"/>
          <w:szCs w:val="21"/>
        </w:rPr>
        <w:t>示例</w:t>
      </w:r>
    </w:p>
    <w:p>
      <w:pPr>
        <w:bidi w:val="0"/>
        <w:adjustRightInd w:val="0"/>
        <w:snapToGrid w:val="0"/>
        <w:spacing w:line="360" w:lineRule="auto"/>
        <w:rPr>
          <w:rFonts w:ascii="宋体" w:hAnsi="宋体" w:cs="宋体" w:hint="eastAsia"/>
          <w:color w:val="000000"/>
          <w:kern w:val="0"/>
          <w:szCs w:val="21"/>
        </w:rPr>
      </w:pPr>
      <w:r>
        <w:rPr>
          <w:rFonts w:ascii="宋体" w:hAnsi="宋体" w:cs="宋体" w:hint="eastAsia"/>
          <w:color w:val="000000"/>
          <w:kern w:val="0"/>
          <w:szCs w:val="21"/>
        </w:rPr>
        <w:t>原文：</w:t>
      </w:r>
      <w:r>
        <w:rPr>
          <w:rFonts w:ascii="楷体" w:eastAsia="楷体" w:hAnsi="楷体" w:cs="楷体" w:hint="eastAsia"/>
          <w:color w:val="000000"/>
          <w:kern w:val="0"/>
          <w:szCs w:val="21"/>
        </w:rPr>
        <w:t>作为中外文明交融的结晶，青花瓷真正成为中国瓷器的主流，则是因为成化年间原料本土化带来了民窑青花瓷的崛起。民窑遍地开花、进入商业化模式之后，几乎形成了青花瓷一统天下的局面。一种海外流行的时尚由此成为中国本土的时尚，中国传统的人物、花鸟、山水，与外来的伊斯兰风格融为一体 ，青花瓷成为中国瓷器的代表，进而走向世界，最终万里同风，成为世界时尚。</w:t>
      </w:r>
    </w:p>
    <w:p>
      <w:pPr>
        <w:bidi w:val="0"/>
        <w:adjustRightInd w:val="0"/>
        <w:snapToGrid w:val="0"/>
        <w:spacing w:line="360" w:lineRule="auto"/>
        <w:rPr>
          <w:rFonts w:ascii="宋体" w:hAnsi="宋体" w:cs="宋体" w:hint="eastAsia"/>
          <w:color w:val="000000"/>
          <w:kern w:val="0"/>
          <w:szCs w:val="21"/>
        </w:rPr>
      </w:pPr>
      <w:r>
        <w:rPr>
          <w:rFonts w:ascii="宋体" w:hAnsi="宋体" w:cs="宋体" w:hint="eastAsia"/>
          <w:color w:val="000000"/>
          <w:kern w:val="0"/>
          <w:szCs w:val="21"/>
        </w:rPr>
        <w:t>选项：(2017·全国卷ⅡT1—B)原料本土化等因素使青花瓷发展进入新阶段，此时青花瓷与外来文化已无关系。</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s="宋体" w:hint="default"/>
          <w:color w:val="000000"/>
          <w:kern w:val="0"/>
          <w:szCs w:val="21"/>
        </w:rPr>
      </w:pPr>
      <w:r>
        <w:rPr>
          <w:rFonts w:ascii="宋体" w:hAnsi="宋体" w:cs="宋体" w:hint="eastAsia"/>
          <w:color w:val="000000"/>
          <w:kern w:val="0"/>
          <w:szCs w:val="21"/>
          <w:lang w:val="en-US" w:eastAsia="zh-CN"/>
        </w:rPr>
        <w:t>________________________________________________________________________________________________________________________________________________________________________________________</w:t>
      </w:r>
    </w:p>
    <w:p>
      <w:pPr>
        <w:bidi w:val="0"/>
        <w:adjustRightInd w:val="0"/>
        <w:snapToGrid w:val="0"/>
        <w:spacing w:line="360" w:lineRule="auto"/>
        <w:rPr>
          <w:rFonts w:ascii="仿宋" w:eastAsia="仿宋" w:hAnsi="仿宋" w:cs="仿宋" w:hint="eastAsia"/>
          <w:color w:val="FF0000"/>
          <w:kern w:val="0"/>
          <w:szCs w:val="21"/>
        </w:rPr>
      </w:pPr>
      <w:r>
        <w:rPr>
          <w:rFonts w:ascii="仿宋" w:eastAsia="仿宋" w:hAnsi="仿宋" w:cs="仿宋" w:hint="eastAsia"/>
          <w:color w:val="FF0000"/>
          <w:kern w:val="0"/>
          <w:szCs w:val="21"/>
        </w:rPr>
        <w:t>【比对分析】</w:t>
      </w:r>
      <w:r>
        <w:rPr>
          <w:rFonts w:ascii="仿宋" w:eastAsia="仿宋" w:hAnsi="仿宋" w:cs="仿宋" w:hint="eastAsia"/>
          <w:color w:val="FF0000"/>
          <w:kern w:val="0"/>
          <w:szCs w:val="21"/>
        </w:rPr>
        <w:drawing>
          <wp:inline distT="0" distB="0" distL="114300" distR="114300">
            <wp:extent cx="18415" cy="12700"/>
            <wp:effectExtent l="0" t="0" r="0" b="0"/>
            <wp:docPr id="59" name="图片 51" descr="学科网(www.zxxk.com)--教育资源门户，提供试卷、教案、课件、论文、素材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1" descr="学科网(www.zxxk.com)--教育资源门户，提供试卷、教案、课件、论文、素材及各类教学资源下载，还有大量而丰富的教学相关资讯！"/>
                    <pic:cNvPicPr>
                      <a:picLocks noChangeAspect="1"/>
                    </pic:cNvPicPr>
                  </pic:nvPicPr>
                  <pic:blipFill>
                    <a:blip xmlns:r="http://schemas.openxmlformats.org/officeDocument/2006/relationships" r:embed="rId11"/>
                    <a:stretch>
                      <a:fillRect/>
                    </a:stretch>
                  </pic:blipFill>
                  <pic:spPr>
                    <a:xfrm>
                      <a:off x="0" y="0"/>
                      <a:ext cx="18415" cy="12700"/>
                    </a:xfrm>
                    <a:prstGeom prst="rect">
                      <a:avLst/>
                    </a:prstGeom>
                    <a:noFill/>
                    <a:ln>
                      <a:noFill/>
                    </a:ln>
                  </pic:spPr>
                </pic:pic>
              </a:graphicData>
            </a:graphic>
          </wp:inline>
        </w:drawing>
      </w:r>
      <w:r>
        <w:rPr>
          <w:rFonts w:ascii="仿宋" w:eastAsia="仿宋" w:hAnsi="仿宋" w:cs="仿宋" w:hint="eastAsia"/>
          <w:color w:val="FF0000"/>
          <w:kern w:val="0"/>
          <w:szCs w:val="21"/>
        </w:rPr>
        <w:t>选项前半句正确，后半句混淆是非，选项用否定词“无”将原文“一种海外流行的时尚由……世界时尚”一句对肯定此时青花瓷与外来文化融合的意思变成了否定两者之间有关系。</w:t>
      </w:r>
    </w:p>
    <w:p>
      <w:pPr>
        <w:pStyle w:val="PlainText"/>
        <w:tabs>
          <w:tab w:val="left" w:pos="4305"/>
        </w:tabs>
        <w:snapToGrid w:val="0"/>
        <w:spacing w:line="360" w:lineRule="auto"/>
        <w:ind w:firstLine="420" w:firstLineChars="200"/>
        <w:jc w:val="left"/>
        <w:rPr>
          <w:rFonts w:ascii="Times New Roman" w:eastAsia="黑体" w:hAnsi="Times New Roman"/>
        </w:rPr>
      </w:pPr>
    </w:p>
    <w:p>
      <w:pPr>
        <w:pStyle w:val="PlainText"/>
        <w:tabs>
          <w:tab w:val="left" w:pos="4305"/>
        </w:tabs>
        <w:snapToGrid w:val="0"/>
        <w:spacing w:line="360" w:lineRule="auto"/>
        <w:ind w:firstLine="420" w:firstLineChars="200"/>
        <w:jc w:val="left"/>
        <w:rPr>
          <w:rFonts w:ascii="Times New Roman" w:eastAsia="黑体" w:hAnsi="Times New Roman"/>
        </w:rPr>
      </w:pPr>
    </w:p>
    <w:p>
      <w:pPr>
        <w:pStyle w:val="PlainText"/>
        <w:tabs>
          <w:tab w:val="left" w:pos="4305"/>
        </w:tabs>
        <w:snapToGrid w:val="0"/>
        <w:spacing w:line="360" w:lineRule="auto"/>
        <w:ind w:firstLine="420" w:firstLineChars="200"/>
        <w:jc w:val="left"/>
        <w:rPr>
          <w:rFonts w:ascii="Times New Roman" w:hAnsi="Times New Roman"/>
        </w:rPr>
      </w:pPr>
      <w:r>
        <w:rPr>
          <w:rFonts w:ascii="Times New Roman" w:eastAsia="黑体" w:hAnsi="Times New Roman"/>
        </w:rPr>
        <w:t>八、曲解文意</w:t>
      </w:r>
    </w:p>
    <w:tbl>
      <w:tblPr>
        <w:tblStyle w:val="TableNormal"/>
        <w:tblW w:w="91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236"/>
        <w:gridCol w:w="1612"/>
        <w:gridCol w:w="6272"/>
      </w:tblGrid>
      <w:tr>
        <w:tblPrEx>
          <w:tblW w:w="91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1236"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设错特点</w:t>
            </w:r>
          </w:p>
        </w:tc>
        <w:tc>
          <w:tcPr>
            <w:tcW w:w="7884" w:type="dxa"/>
            <w:gridSpan w:val="2"/>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改变原文的意思。</w:t>
            </w:r>
          </w:p>
        </w:tc>
      </w:tr>
      <w:tr>
        <w:tblPrEx>
          <w:tblW w:w="9120" w:type="dxa"/>
          <w:jc w:val="center"/>
          <w:tblLayout w:type="fixed"/>
          <w:tblCellMar>
            <w:top w:w="0" w:type="dxa"/>
            <w:left w:w="108" w:type="dxa"/>
            <w:bottom w:w="0" w:type="dxa"/>
            <w:right w:w="108" w:type="dxa"/>
          </w:tblCellMar>
        </w:tblPrEx>
        <w:trPr>
          <w:jc w:val="center"/>
        </w:trPr>
        <w:tc>
          <w:tcPr>
            <w:tcW w:w="1236"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设错手段</w:t>
            </w:r>
          </w:p>
        </w:tc>
        <w:tc>
          <w:tcPr>
            <w:tcW w:w="7884" w:type="dxa"/>
            <w:gridSpan w:val="2"/>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更换词语或说法。</w:t>
            </w:r>
          </w:p>
        </w:tc>
      </w:tr>
      <w:tr>
        <w:tblPrEx>
          <w:tblW w:w="9120" w:type="dxa"/>
          <w:jc w:val="center"/>
          <w:tblLayout w:type="fixed"/>
          <w:tblCellMar>
            <w:top w:w="0" w:type="dxa"/>
            <w:left w:w="108" w:type="dxa"/>
            <w:bottom w:w="0" w:type="dxa"/>
            <w:right w:w="108" w:type="dxa"/>
          </w:tblCellMar>
        </w:tblPrEx>
        <w:trPr>
          <w:jc w:val="center"/>
        </w:trPr>
        <w:tc>
          <w:tcPr>
            <w:tcW w:w="1236"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识别方法</w:t>
            </w:r>
          </w:p>
        </w:tc>
        <w:tc>
          <w:tcPr>
            <w:tcW w:w="7884" w:type="dxa"/>
            <w:gridSpan w:val="2"/>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仔细比对原文，充分理解文意。要特别注意揣摩概念与概念、事物与事物、事理与事理之间的关系。</w:t>
            </w:r>
          </w:p>
        </w:tc>
      </w:tr>
      <w:tr>
        <w:tblPrEx>
          <w:tblW w:w="9120" w:type="dxa"/>
          <w:jc w:val="center"/>
          <w:tblLayout w:type="fixed"/>
          <w:tblCellMar>
            <w:top w:w="0" w:type="dxa"/>
            <w:left w:w="108" w:type="dxa"/>
            <w:bottom w:w="0" w:type="dxa"/>
            <w:right w:w="108" w:type="dxa"/>
          </w:tblCellMar>
        </w:tblPrEx>
        <w:trPr>
          <w:trHeight w:val="140"/>
          <w:jc w:val="center"/>
        </w:trPr>
        <w:tc>
          <w:tcPr>
            <w:tcW w:w="1236" w:type="dxa"/>
            <w:vMerge w:val="restart"/>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技法演示</w:t>
            </w:r>
          </w:p>
        </w:tc>
        <w:tc>
          <w:tcPr>
            <w:tcW w:w="1612"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试题选项</w:t>
            </w:r>
          </w:p>
        </w:tc>
        <w:tc>
          <w:tcPr>
            <w:tcW w:w="6272"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（2018·全国卷Ⅲ·T1－C）城市的意义对不同的人群来说是不一样的，城市体需要一种抽象的意义共同性。</w:t>
            </w:r>
          </w:p>
        </w:tc>
      </w:tr>
      <w:tr>
        <w:tblPrEx>
          <w:tblW w:w="9120" w:type="dxa"/>
          <w:jc w:val="center"/>
          <w:tblLayout w:type="fixed"/>
          <w:tblCellMar>
            <w:top w:w="0" w:type="dxa"/>
            <w:left w:w="108" w:type="dxa"/>
            <w:bottom w:w="0" w:type="dxa"/>
            <w:right w:w="108" w:type="dxa"/>
          </w:tblCellMar>
        </w:tblPrEx>
        <w:trPr>
          <w:trHeight w:val="140"/>
          <w:jc w:val="center"/>
        </w:trPr>
        <w:tc>
          <w:tcPr>
            <w:tcW w:w="1236" w:type="dxa"/>
            <w:vMerge/>
            <w:shd w:val="clear" w:color="auto" w:fill="auto"/>
            <w:vAlign w:val="center"/>
          </w:tcPr>
          <w:p>
            <w:pPr>
              <w:pStyle w:val="PlainText"/>
              <w:tabs>
                <w:tab w:val="left" w:pos="4305"/>
              </w:tabs>
              <w:snapToGrid w:val="0"/>
              <w:spacing w:line="360" w:lineRule="auto"/>
              <w:jc w:val="left"/>
              <w:rPr>
                <w:rFonts w:ascii="Times New Roman" w:hAnsi="Times New Roman"/>
              </w:rPr>
            </w:pPr>
          </w:p>
        </w:tc>
        <w:tc>
          <w:tcPr>
            <w:tcW w:w="1612"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对应原文</w:t>
            </w:r>
          </w:p>
        </w:tc>
        <w:tc>
          <w:tcPr>
            <w:tcW w:w="6272"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楷体" w:eastAsia="楷体" w:hAnsi="楷体" w:cs="楷体" w:hint="eastAsia"/>
              </w:rPr>
              <w:t>所谓城市的意义弹性，是指城市能够同时满足多样人群的不同层面的意义需要，并能够使不同的意义与价值在总体上达到平衡与和谐，不断形成具体的意义共同性。</w:t>
            </w:r>
          </w:p>
        </w:tc>
      </w:tr>
      <w:tr>
        <w:tblPrEx>
          <w:tblW w:w="9120" w:type="dxa"/>
          <w:jc w:val="center"/>
          <w:tblLayout w:type="fixed"/>
          <w:tblCellMar>
            <w:top w:w="0" w:type="dxa"/>
            <w:left w:w="108" w:type="dxa"/>
            <w:bottom w:w="0" w:type="dxa"/>
            <w:right w:w="108" w:type="dxa"/>
          </w:tblCellMar>
        </w:tblPrEx>
        <w:trPr>
          <w:trHeight w:val="236"/>
          <w:jc w:val="center"/>
        </w:trPr>
        <w:tc>
          <w:tcPr>
            <w:tcW w:w="1236" w:type="dxa"/>
            <w:vMerge/>
            <w:shd w:val="clear" w:color="auto" w:fill="auto"/>
            <w:vAlign w:val="center"/>
          </w:tcPr>
          <w:p>
            <w:pPr>
              <w:pStyle w:val="PlainText"/>
              <w:tabs>
                <w:tab w:val="left" w:pos="4305"/>
              </w:tabs>
              <w:snapToGrid w:val="0"/>
              <w:spacing w:line="360" w:lineRule="auto"/>
              <w:jc w:val="left"/>
              <w:rPr>
                <w:rFonts w:ascii="Times New Roman" w:hAnsi="Times New Roman"/>
              </w:rPr>
            </w:pPr>
          </w:p>
        </w:tc>
        <w:tc>
          <w:tcPr>
            <w:tcW w:w="1612"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比对结果</w:t>
            </w:r>
          </w:p>
        </w:tc>
        <w:tc>
          <w:tcPr>
            <w:tcW w:w="6272"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根据原文信息，选项中“城市的意义对不同的人群来说是不一样的”表述一致，而选项中“抽象的意义共同性”曲解文意，原文说的是“具体的意义共同性”。</w:t>
            </w:r>
          </w:p>
        </w:tc>
      </w:tr>
    </w:tbl>
    <w:p>
      <w:pPr>
        <w:bidi w:val="0"/>
        <w:adjustRightInd w:val="0"/>
        <w:snapToGrid w:val="0"/>
        <w:spacing w:line="360" w:lineRule="auto"/>
        <w:rPr>
          <w:rFonts w:ascii="楷体" w:eastAsia="楷体" w:hAnsi="楷体" w:cs="楷体" w:hint="eastAsia"/>
          <w:color w:val="000000"/>
          <w:kern w:val="0"/>
          <w:szCs w:val="21"/>
        </w:rPr>
      </w:pPr>
      <w:r>
        <w:rPr>
          <w:rFonts w:ascii="宋体" w:hAnsi="宋体" w:cs="宋体" w:hint="eastAsia"/>
          <w:color w:val="000000"/>
          <w:kern w:val="0"/>
          <w:szCs w:val="21"/>
        </w:rPr>
        <w:t>原文：</w:t>
      </w:r>
      <w:r>
        <w:rPr>
          <w:rFonts w:ascii="楷体" w:eastAsia="楷体" w:hAnsi="楷体" w:cs="楷体" w:hint="eastAsia"/>
          <w:color w:val="000000"/>
          <w:kern w:val="0"/>
          <w:szCs w:val="21"/>
        </w:rPr>
        <w:t>一些乡村在变为城镇的过程中，虽然面貌焕然一新，但很多曾经让人留恋的东西却荡然无存。人们或多或少有这样的担忧：快速的、大规模的城镇化会不会使“乡愁”无处安放？要在城镇化进程中留住乡愁，不让“乡愁”变成“乡痛”，一个重要措施是要留住、呵护并活化乡村记忆。</w:t>
      </w:r>
    </w:p>
    <w:p>
      <w:pPr>
        <w:bidi w:val="0"/>
        <w:adjustRightInd w:val="0"/>
        <w:snapToGrid w:val="0"/>
        <w:spacing w:line="360" w:lineRule="auto"/>
        <w:rPr>
          <w:rFonts w:ascii="宋体" w:hAnsi="宋体" w:cs="宋体"/>
          <w:color w:val="000000"/>
          <w:kern w:val="0"/>
          <w:szCs w:val="21"/>
        </w:rPr>
      </w:pPr>
      <w:r>
        <w:rPr>
          <w:rFonts w:ascii="宋体" w:hAnsi="宋体" w:cs="宋体" w:hint="eastAsia"/>
          <w:color w:val="000000"/>
          <w:kern w:val="0"/>
          <w:szCs w:val="21"/>
        </w:rPr>
        <w:t>选项：(2017·全国卷ⅢT1—A)新型的城镇化建设，如果在建设之余还能兼顾人文保护，就不会留下“乡痛”。</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ascii="宋体" w:hAnsi="宋体" w:cs="宋体" w:hint="default"/>
          <w:color w:val="000000"/>
          <w:kern w:val="0"/>
          <w:szCs w:val="21"/>
        </w:rPr>
      </w:pPr>
      <w:r>
        <w:rPr>
          <w:rFonts w:ascii="宋体" w:hAnsi="宋体" w:cs="宋体" w:hint="eastAsia"/>
          <w:color w:val="000000"/>
          <w:kern w:val="0"/>
          <w:szCs w:val="21"/>
          <w:lang w:val="en-US" w:eastAsia="zh-CN"/>
        </w:rPr>
        <w:t>________________________________________________________________________________________________________________________________________________________________________________________</w:t>
      </w:r>
    </w:p>
    <w:p>
      <w:pPr>
        <w:bidi w:val="0"/>
        <w:adjustRightInd w:val="0"/>
        <w:snapToGrid w:val="0"/>
        <w:spacing w:line="360" w:lineRule="auto"/>
        <w:rPr>
          <w:rFonts w:ascii="仿宋" w:eastAsia="仿宋" w:hAnsi="仿宋" w:cs="仿宋" w:hint="eastAsia"/>
          <w:color w:val="FF0000"/>
          <w:kern w:val="0"/>
          <w:szCs w:val="21"/>
        </w:rPr>
        <w:sectPr>
          <w:footerReference w:type="default" r:id="rId15"/>
          <w:type w:val="nextPage"/>
          <w:pgSz w:w="11906" w:h="16838"/>
          <w:pgMar w:top="1440" w:right="1080" w:bottom="1440" w:left="1080" w:header="851" w:footer="992" w:gutter="0"/>
          <w:pgNumType w:fmt="decimal" w:start="7"/>
          <w:cols w:num="1" w:space="425"/>
          <w:titlePg w:val="0"/>
          <w:docGrid w:type="lines" w:linePitch="312" w:charSpace="0"/>
        </w:sectPr>
      </w:pPr>
    </w:p>
    <w:p>
      <w:pPr>
        <w:bidi w:val="0"/>
        <w:adjustRightInd w:val="0"/>
        <w:snapToGrid w:val="0"/>
        <w:spacing w:line="360" w:lineRule="auto"/>
        <w:rPr>
          <w:rFonts w:ascii="仿宋" w:eastAsia="仿宋" w:hAnsi="仿宋" w:cs="仿宋" w:hint="eastAsia"/>
          <w:color w:val="FF0000"/>
          <w:kern w:val="0"/>
          <w:szCs w:val="21"/>
        </w:rPr>
      </w:pPr>
      <w:r>
        <w:rPr>
          <w:rFonts w:ascii="仿宋" w:eastAsia="仿宋" w:hAnsi="仿宋" w:cs="仿宋" w:hint="eastAsia"/>
          <w:color w:val="FF0000"/>
          <w:kern w:val="0"/>
          <w:szCs w:val="21"/>
        </w:rPr>
        <w:t>【比对分析】选项曲解文意。原文强调的是在新型的城镇化建设中，要想不留下“乡痛”，应该做的是“留住、呵护并活化乡村记忆”，而不是“兼顾人文保护”。这里是故意更换了某个说法造成的曲解文意。</w:t>
      </w:r>
    </w:p>
    <w:p>
      <w:pPr>
        <w:pStyle w:val="PlainText"/>
        <w:keepNext w:val="0"/>
        <w:keepLines w:val="0"/>
        <w:pageBreakBefore w:val="0"/>
        <w:widowControl w:val="0"/>
        <w:tabs>
          <w:tab w:val="left" w:pos="3402"/>
        </w:tabs>
        <w:kinsoku/>
        <w:wordWrap/>
        <w:overflowPunct/>
        <w:topLinePunct w:val="0"/>
        <w:autoSpaceDE/>
        <w:autoSpaceDN/>
        <w:bidi w:val="0"/>
        <w:adjustRightInd/>
        <w:snapToGrid/>
        <w:spacing w:line="360" w:lineRule="auto"/>
        <w:ind w:left="0" w:right="0" w:firstLine="420" w:leftChars="0" w:rightChars="0" w:firstLineChars="200"/>
        <w:jc w:val="both"/>
        <w:textAlignment w:val="auto"/>
        <w:outlineLvl w:val="9"/>
        <w:rPr>
          <w:rFonts w:hAnsi="宋体" w:cs="宋体" w:hint="eastAsia"/>
          <w:b w:val="0"/>
          <w:bCs w:val="0"/>
          <w:sz w:val="21"/>
        </w:rPr>
      </w:pPr>
      <w:r>
        <w:rPr>
          <w:rFonts w:ascii="宋体" w:eastAsia="宋体" w:hAnsi="宋体" w:cs="宋体" w:hint="eastAsia"/>
          <w:b w:val="0"/>
          <w:bCs w:val="0"/>
          <w:sz w:val="21"/>
          <w:szCs w:val="21"/>
        </w:rPr>
        <w:t>做论述类</w:t>
      </w:r>
      <w:r>
        <w:rPr>
          <w:rFonts w:ascii="宋体" w:eastAsia="宋体" w:hAnsi="宋体" w:cs="宋体" w:hint="eastAsia"/>
          <w:b w:val="0"/>
          <w:bCs w:val="0"/>
          <w:sz w:val="21"/>
          <w:szCs w:val="21"/>
          <w:lang w:eastAsia="zh-CN"/>
        </w:rPr>
        <w:t>、</w:t>
      </w:r>
      <w:r>
        <w:rPr>
          <w:rFonts w:ascii="宋体" w:eastAsia="宋体" w:hAnsi="宋体" w:cs="宋体" w:hint="eastAsia"/>
          <w:b w:val="0"/>
          <w:bCs w:val="0"/>
          <w:sz w:val="21"/>
          <w:szCs w:val="21"/>
          <w:lang w:val="en-US" w:eastAsia="zh-CN"/>
        </w:rPr>
        <w:t>实用类</w:t>
      </w:r>
      <w:r>
        <w:rPr>
          <w:rFonts w:ascii="宋体" w:eastAsia="宋体" w:hAnsi="宋体" w:cs="宋体" w:hint="eastAsia"/>
          <w:b w:val="0"/>
          <w:bCs w:val="0"/>
          <w:sz w:val="21"/>
          <w:szCs w:val="21"/>
        </w:rPr>
        <w:t>文章阅读选择题，主要是在整体把握文意的前提下用好“三重比对”。</w:t>
      </w:r>
    </w:p>
    <w:p>
      <w:pPr>
        <w:pStyle w:val="PlainText"/>
        <w:keepNext w:val="0"/>
        <w:keepLines w:val="0"/>
        <w:pageBreakBefore w:val="0"/>
        <w:widowControl w:val="0"/>
        <w:tabs>
          <w:tab w:val="left" w:pos="3402"/>
        </w:tabs>
        <w:kinsoku/>
        <w:wordWrap/>
        <w:overflowPunct/>
        <w:topLinePunct w:val="0"/>
        <w:autoSpaceDE/>
        <w:autoSpaceDN/>
        <w:bidi w:val="0"/>
        <w:adjustRightInd/>
        <w:snapToGrid/>
        <w:spacing w:line="360" w:lineRule="auto"/>
        <w:ind w:left="0" w:right="0" w:firstLine="420" w:leftChars="0" w:rightChars="0" w:firstLineChars="200"/>
        <w:jc w:val="both"/>
        <w:textAlignment w:val="auto"/>
        <w:outlineLvl w:val="9"/>
        <w:rPr>
          <w:rFonts w:hAnsi="宋体" w:cs="宋体" w:hint="eastAsia"/>
          <w:b w:val="0"/>
          <w:bCs w:val="0"/>
          <w:sz w:val="21"/>
        </w:rPr>
      </w:pPr>
      <w:r>
        <w:rPr>
          <w:rFonts w:ascii="宋体" w:eastAsia="宋体" w:hAnsi="宋体" w:cs="宋体" w:hint="eastAsia"/>
          <w:b w:val="0"/>
          <w:bCs w:val="0"/>
          <w:sz w:val="21"/>
          <w:szCs w:val="21"/>
        </w:rPr>
        <w:t>1.比对词语(概念)，看它与原文中的词语在其内涵与外延上是否一致</w:t>
      </w:r>
    </w:p>
    <w:p>
      <w:pPr>
        <w:pStyle w:val="PlainText"/>
        <w:keepNext w:val="0"/>
        <w:keepLines w:val="0"/>
        <w:pageBreakBefore w:val="0"/>
        <w:widowControl w:val="0"/>
        <w:tabs>
          <w:tab w:val="left" w:pos="3402"/>
        </w:tabs>
        <w:kinsoku/>
        <w:wordWrap/>
        <w:overflowPunct/>
        <w:topLinePunct w:val="0"/>
        <w:autoSpaceDE/>
        <w:autoSpaceDN/>
        <w:bidi w:val="0"/>
        <w:adjustRightInd/>
        <w:snapToGrid/>
        <w:spacing w:line="360" w:lineRule="auto"/>
        <w:ind w:left="0" w:right="0" w:firstLine="420" w:leftChars="0" w:rightChars="0" w:firstLineChars="200"/>
        <w:jc w:val="both"/>
        <w:textAlignment w:val="auto"/>
        <w:outlineLvl w:val="9"/>
        <w:rPr>
          <w:rFonts w:hAnsi="宋体" w:cs="宋体" w:hint="eastAsia"/>
          <w:b w:val="0"/>
          <w:bCs w:val="0"/>
          <w:sz w:val="21"/>
        </w:rPr>
      </w:pPr>
      <w:r>
        <w:rPr>
          <w:rFonts w:ascii="宋体" w:eastAsia="宋体" w:hAnsi="宋体" w:cs="宋体" w:hint="eastAsia"/>
          <w:b w:val="0"/>
          <w:bCs w:val="0"/>
          <w:sz w:val="21"/>
          <w:szCs w:val="21"/>
        </w:rPr>
        <w:t>命题者在设置选项时对原句作了改装、重组，即主要采取了“删”(删除原文的状语、定语、补语，改变原意)、“漏”(只强调问题的一个方面，有意漏掉重要信息，断章取义)、“改”(改换词语，曲解文意)、“凑”(胡乱拼凑、东拉西扯、无中生有、随意组合信息)等方式设误。因此，比对的第一层是词语比对，看看选项在对原句改造过程中，删去了哪些词，改了哪些词，添了哪些词，它们是否与原文意思一致。一般而言，选项中的下面这些词语最值得我们优先比对：</w:t>
      </w:r>
    </w:p>
    <w:p>
      <w:pPr>
        <w:pStyle w:val="PlainText"/>
        <w:keepNext w:val="0"/>
        <w:keepLines w:val="0"/>
        <w:pageBreakBefore w:val="0"/>
        <w:widowControl w:val="0"/>
        <w:tabs>
          <w:tab w:val="left" w:pos="3402"/>
        </w:tabs>
        <w:kinsoku/>
        <w:wordWrap/>
        <w:overflowPunct/>
        <w:topLinePunct w:val="0"/>
        <w:autoSpaceDE/>
        <w:autoSpaceDN/>
        <w:bidi w:val="0"/>
        <w:adjustRightInd/>
        <w:snapToGrid/>
        <w:spacing w:line="360" w:lineRule="auto"/>
        <w:ind w:left="0" w:right="0" w:firstLine="420" w:leftChars="0" w:rightChars="0" w:firstLineChars="200"/>
        <w:jc w:val="both"/>
        <w:textAlignment w:val="auto"/>
        <w:outlineLvl w:val="9"/>
        <w:rPr>
          <w:rFonts w:hAnsi="宋体" w:cs="宋体" w:hint="eastAsia"/>
          <w:b w:val="0"/>
          <w:bCs w:val="0"/>
          <w:sz w:val="21"/>
        </w:rPr>
      </w:pPr>
      <w:r>
        <w:rPr>
          <w:rFonts w:ascii="宋体" w:eastAsia="宋体" w:hAnsi="宋体" w:cs="宋体" w:hint="eastAsia"/>
          <w:b w:val="0"/>
          <w:bCs w:val="0"/>
          <w:sz w:val="21"/>
          <w:szCs w:val="21"/>
        </w:rPr>
        <w:t>①指代词(如“它”“其”等)，比对它是否有偷换概念之嫌。</w:t>
      </w:r>
    </w:p>
    <w:p>
      <w:pPr>
        <w:pStyle w:val="PlainText"/>
        <w:keepNext w:val="0"/>
        <w:keepLines w:val="0"/>
        <w:pageBreakBefore w:val="0"/>
        <w:widowControl w:val="0"/>
        <w:tabs>
          <w:tab w:val="left" w:pos="3402"/>
        </w:tabs>
        <w:kinsoku/>
        <w:wordWrap/>
        <w:overflowPunct/>
        <w:topLinePunct w:val="0"/>
        <w:autoSpaceDE/>
        <w:autoSpaceDN/>
        <w:bidi w:val="0"/>
        <w:adjustRightInd/>
        <w:snapToGrid/>
        <w:spacing w:line="360" w:lineRule="auto"/>
        <w:ind w:left="0" w:right="0" w:firstLine="420" w:leftChars="0" w:rightChars="0" w:firstLineChars="200"/>
        <w:jc w:val="both"/>
        <w:textAlignment w:val="auto"/>
        <w:outlineLvl w:val="9"/>
        <w:rPr>
          <w:rFonts w:hAnsi="宋体" w:cs="宋体" w:hint="eastAsia"/>
          <w:b w:val="0"/>
          <w:bCs w:val="0"/>
          <w:sz w:val="21"/>
        </w:rPr>
      </w:pPr>
      <w:r>
        <w:rPr>
          <w:rFonts w:ascii="宋体" w:eastAsia="宋体" w:hAnsi="宋体" w:cs="宋体" w:hint="eastAsia"/>
          <w:b w:val="0"/>
          <w:bCs w:val="0"/>
          <w:sz w:val="21"/>
          <w:szCs w:val="21"/>
        </w:rPr>
        <w:t>②范围词(如“都”“所有”“人人”等)，看它是否有任意扩大或缩小外延的现象。</w:t>
      </w:r>
    </w:p>
    <w:p>
      <w:pPr>
        <w:pStyle w:val="PlainText"/>
        <w:keepNext w:val="0"/>
        <w:keepLines w:val="0"/>
        <w:pageBreakBefore w:val="0"/>
        <w:widowControl w:val="0"/>
        <w:tabs>
          <w:tab w:val="left" w:pos="3402"/>
        </w:tabs>
        <w:kinsoku/>
        <w:wordWrap/>
        <w:overflowPunct/>
        <w:topLinePunct w:val="0"/>
        <w:autoSpaceDE/>
        <w:autoSpaceDN/>
        <w:bidi w:val="0"/>
        <w:adjustRightInd/>
        <w:snapToGrid/>
        <w:spacing w:line="360" w:lineRule="auto"/>
        <w:ind w:left="0" w:right="0" w:firstLine="420" w:leftChars="0" w:rightChars="0" w:firstLineChars="200"/>
        <w:jc w:val="both"/>
        <w:textAlignment w:val="auto"/>
        <w:outlineLvl w:val="9"/>
        <w:rPr>
          <w:rFonts w:hAnsi="宋体" w:cs="宋体" w:hint="eastAsia"/>
          <w:b w:val="0"/>
          <w:bCs w:val="0"/>
          <w:sz w:val="21"/>
        </w:rPr>
      </w:pPr>
      <w:r>
        <w:rPr>
          <w:rFonts w:ascii="宋体" w:eastAsia="宋体" w:hAnsi="宋体" w:cs="宋体" w:hint="eastAsia"/>
          <w:b w:val="0"/>
          <w:bCs w:val="0"/>
          <w:sz w:val="21"/>
          <w:szCs w:val="21"/>
        </w:rPr>
        <w:t>③程度词、时间词(如“或许”“大概”“必定”“可能”“似乎”“已经”“将来”等)，看它是否混淆偶然与必然、已然与未然，说法绝对等。</w:t>
      </w:r>
    </w:p>
    <w:p>
      <w:pPr>
        <w:pStyle w:val="PlainText"/>
        <w:tabs>
          <w:tab w:val="left" w:pos="4305"/>
        </w:tabs>
        <w:snapToGrid w:val="0"/>
        <w:spacing w:line="360" w:lineRule="auto"/>
        <w:ind w:firstLine="420" w:firstLineChars="200"/>
        <w:jc w:val="left"/>
        <w:rPr>
          <w:rFonts w:ascii="Times New Roman" w:hAnsi="Times New Roman"/>
        </w:rPr>
      </w:pPr>
    </w:p>
    <w:tbl>
      <w:tblPr>
        <w:tblStyle w:val="TableNormal"/>
        <w:tblW w:w="86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446"/>
        <w:gridCol w:w="5549"/>
        <w:gridCol w:w="1621"/>
      </w:tblGrid>
      <w:tr>
        <w:tblPrEx>
          <w:tblW w:w="86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6995" w:type="dxa"/>
            <w:gridSpan w:val="2"/>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句中关键词</w:t>
            </w:r>
          </w:p>
        </w:tc>
        <w:tc>
          <w:tcPr>
            <w:tcW w:w="1621"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易设陷阱</w:t>
            </w:r>
          </w:p>
        </w:tc>
      </w:tr>
      <w:tr>
        <w:tblPrEx>
          <w:tblW w:w="8616" w:type="dxa"/>
          <w:jc w:val="center"/>
          <w:tblLayout w:type="fixed"/>
          <w:tblCellMar>
            <w:top w:w="0" w:type="dxa"/>
            <w:left w:w="108" w:type="dxa"/>
            <w:bottom w:w="0" w:type="dxa"/>
            <w:right w:w="108" w:type="dxa"/>
          </w:tblCellMar>
        </w:tblPrEx>
        <w:trPr>
          <w:jc w:val="center"/>
        </w:trPr>
        <w:tc>
          <w:tcPr>
            <w:tcW w:w="1446"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范围词</w:t>
            </w:r>
          </w:p>
        </w:tc>
        <w:tc>
          <w:tcPr>
            <w:tcW w:w="5549"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全、都、一些、部分等</w:t>
            </w:r>
          </w:p>
        </w:tc>
        <w:tc>
          <w:tcPr>
            <w:tcW w:w="1621"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以偏概全</w:t>
            </w:r>
          </w:p>
        </w:tc>
      </w:tr>
      <w:tr>
        <w:tblPrEx>
          <w:tblW w:w="8616" w:type="dxa"/>
          <w:jc w:val="center"/>
          <w:tblLayout w:type="fixed"/>
          <w:tblCellMar>
            <w:top w:w="0" w:type="dxa"/>
            <w:left w:w="108" w:type="dxa"/>
            <w:bottom w:w="0" w:type="dxa"/>
            <w:right w:w="108" w:type="dxa"/>
          </w:tblCellMar>
        </w:tblPrEx>
        <w:trPr>
          <w:jc w:val="center"/>
        </w:trPr>
        <w:tc>
          <w:tcPr>
            <w:tcW w:w="1446"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程度词</w:t>
            </w:r>
          </w:p>
        </w:tc>
        <w:tc>
          <w:tcPr>
            <w:tcW w:w="5549"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必须、一定，非常、十分，更、极其，比较等</w:t>
            </w:r>
          </w:p>
        </w:tc>
        <w:tc>
          <w:tcPr>
            <w:tcW w:w="1621"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武断绝对</w:t>
            </w:r>
          </w:p>
        </w:tc>
      </w:tr>
      <w:tr>
        <w:tblPrEx>
          <w:tblW w:w="8616" w:type="dxa"/>
          <w:jc w:val="center"/>
          <w:tblLayout w:type="fixed"/>
          <w:tblCellMar>
            <w:top w:w="0" w:type="dxa"/>
            <w:left w:w="108" w:type="dxa"/>
            <w:bottom w:w="0" w:type="dxa"/>
            <w:right w:w="108" w:type="dxa"/>
          </w:tblCellMar>
        </w:tblPrEx>
        <w:trPr>
          <w:jc w:val="center"/>
        </w:trPr>
        <w:tc>
          <w:tcPr>
            <w:tcW w:w="1446"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频率词</w:t>
            </w:r>
          </w:p>
        </w:tc>
        <w:tc>
          <w:tcPr>
            <w:tcW w:w="5549"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通常、总是、有时、偶尔等</w:t>
            </w:r>
          </w:p>
        </w:tc>
        <w:tc>
          <w:tcPr>
            <w:tcW w:w="1621"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以偏概全</w:t>
            </w:r>
          </w:p>
          <w:p>
            <w:pPr>
              <w:pStyle w:val="PlainText"/>
              <w:tabs>
                <w:tab w:val="left" w:pos="4305"/>
              </w:tabs>
              <w:snapToGrid w:val="0"/>
              <w:spacing w:line="360" w:lineRule="auto"/>
              <w:jc w:val="left"/>
              <w:rPr>
                <w:rFonts w:ascii="Times New Roman" w:hAnsi="Times New Roman"/>
              </w:rPr>
            </w:pPr>
            <w:r>
              <w:rPr>
                <w:rFonts w:ascii="Times New Roman" w:hAnsi="Times New Roman"/>
              </w:rPr>
              <w:t>武断绝对</w:t>
            </w:r>
          </w:p>
        </w:tc>
      </w:tr>
      <w:tr>
        <w:tblPrEx>
          <w:tblW w:w="8616" w:type="dxa"/>
          <w:jc w:val="center"/>
          <w:tblLayout w:type="fixed"/>
          <w:tblCellMar>
            <w:top w:w="0" w:type="dxa"/>
            <w:left w:w="108" w:type="dxa"/>
            <w:bottom w:w="0" w:type="dxa"/>
            <w:right w:w="108" w:type="dxa"/>
          </w:tblCellMar>
        </w:tblPrEx>
        <w:trPr>
          <w:jc w:val="center"/>
        </w:trPr>
        <w:tc>
          <w:tcPr>
            <w:tcW w:w="1446"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时态词</w:t>
            </w:r>
          </w:p>
        </w:tc>
        <w:tc>
          <w:tcPr>
            <w:tcW w:w="5549"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已经、将、曾经、过去、现在、目前、尚等</w:t>
            </w:r>
          </w:p>
        </w:tc>
        <w:tc>
          <w:tcPr>
            <w:tcW w:w="1621"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混淆时态</w:t>
            </w:r>
          </w:p>
        </w:tc>
      </w:tr>
      <w:tr>
        <w:tblPrEx>
          <w:tblW w:w="8616" w:type="dxa"/>
          <w:jc w:val="center"/>
          <w:tblLayout w:type="fixed"/>
          <w:tblCellMar>
            <w:top w:w="0" w:type="dxa"/>
            <w:left w:w="108" w:type="dxa"/>
            <w:bottom w:w="0" w:type="dxa"/>
            <w:right w:w="108" w:type="dxa"/>
          </w:tblCellMar>
        </w:tblPrEx>
        <w:trPr>
          <w:jc w:val="center"/>
        </w:trPr>
        <w:tc>
          <w:tcPr>
            <w:tcW w:w="1446"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指代词</w:t>
            </w:r>
          </w:p>
        </w:tc>
        <w:tc>
          <w:tcPr>
            <w:tcW w:w="5549"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之、其、此、这、它、那等</w:t>
            </w:r>
          </w:p>
        </w:tc>
        <w:tc>
          <w:tcPr>
            <w:tcW w:w="1621"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 xml:space="preserve">偷换概念 </w:t>
            </w:r>
          </w:p>
          <w:p>
            <w:pPr>
              <w:pStyle w:val="PlainText"/>
              <w:tabs>
                <w:tab w:val="left" w:pos="4305"/>
              </w:tabs>
              <w:snapToGrid w:val="0"/>
              <w:spacing w:line="360" w:lineRule="auto"/>
              <w:jc w:val="left"/>
              <w:rPr>
                <w:rFonts w:ascii="Times New Roman" w:hAnsi="Times New Roman"/>
              </w:rPr>
            </w:pPr>
            <w:r>
              <w:rPr>
                <w:rFonts w:ascii="Times New Roman" w:hAnsi="Times New Roman"/>
              </w:rPr>
              <w:t>张冠李戴</w:t>
            </w:r>
          </w:p>
          <w:p>
            <w:pPr>
              <w:pStyle w:val="PlainText"/>
              <w:tabs>
                <w:tab w:val="left" w:pos="4305"/>
              </w:tabs>
              <w:snapToGrid w:val="0"/>
              <w:spacing w:line="360" w:lineRule="auto"/>
              <w:jc w:val="left"/>
              <w:rPr>
                <w:rFonts w:ascii="Times New Roman" w:hAnsi="Times New Roman"/>
              </w:rPr>
            </w:pPr>
            <w:r>
              <w:rPr>
                <w:rFonts w:ascii="Times New Roman" w:hAnsi="Times New Roman"/>
              </w:rPr>
              <w:t>以偏概全</w:t>
            </w:r>
          </w:p>
        </w:tc>
      </w:tr>
      <w:tr>
        <w:tblPrEx>
          <w:tblW w:w="8616" w:type="dxa"/>
          <w:jc w:val="center"/>
          <w:tblLayout w:type="fixed"/>
          <w:tblCellMar>
            <w:top w:w="0" w:type="dxa"/>
            <w:left w:w="108" w:type="dxa"/>
            <w:bottom w:w="0" w:type="dxa"/>
            <w:right w:w="108" w:type="dxa"/>
          </w:tblCellMar>
        </w:tblPrEx>
        <w:trPr>
          <w:jc w:val="center"/>
        </w:trPr>
        <w:tc>
          <w:tcPr>
            <w:tcW w:w="1446"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是非词</w:t>
            </w:r>
          </w:p>
        </w:tc>
        <w:tc>
          <w:tcPr>
            <w:tcW w:w="5549"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必定、的确、有、无、是、无非等</w:t>
            </w:r>
          </w:p>
        </w:tc>
        <w:tc>
          <w:tcPr>
            <w:tcW w:w="1621"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混淆是非</w:t>
            </w:r>
          </w:p>
        </w:tc>
      </w:tr>
    </w:tbl>
    <w:p>
      <w:pPr>
        <w:pStyle w:val="PlainText"/>
        <w:tabs>
          <w:tab w:val="left" w:pos="4305"/>
        </w:tabs>
        <w:snapToGrid w:val="0"/>
        <w:spacing w:line="360" w:lineRule="auto"/>
        <w:ind w:firstLine="420" w:firstLineChars="200"/>
        <w:jc w:val="left"/>
        <w:rPr>
          <w:rFonts w:ascii="Times New Roman" w:hAnsi="Times New Roman"/>
        </w:rPr>
      </w:pPr>
      <w:r>
        <w:rPr>
          <w:rFonts w:ascii="Times New Roman" w:eastAsia="黑体" w:hAnsi="Times New Roman"/>
        </w:rPr>
        <w:t>[技法演示]</w:t>
      </w:r>
    </w:p>
    <w:tbl>
      <w:tblPr>
        <w:tblStyle w:val="TableNormal"/>
        <w:tblW w:w="86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446"/>
        <w:gridCol w:w="7170"/>
      </w:tblGrid>
      <w:tr>
        <w:tblPrEx>
          <w:tblW w:w="86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1446"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选项</w:t>
            </w:r>
          </w:p>
        </w:tc>
        <w:tc>
          <w:tcPr>
            <w:tcW w:w="7170"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（2018·全国卷Ⅲ·T1－A）当前城市空间弹性核心的问题是缺乏有机统一，这使得城市发展丧失了基础。</w:t>
            </w:r>
          </w:p>
        </w:tc>
      </w:tr>
      <w:tr>
        <w:tblPrEx>
          <w:tblW w:w="8616" w:type="dxa"/>
          <w:jc w:val="center"/>
          <w:tblLayout w:type="fixed"/>
          <w:tblCellMar>
            <w:top w:w="0" w:type="dxa"/>
            <w:left w:w="108" w:type="dxa"/>
            <w:bottom w:w="0" w:type="dxa"/>
            <w:right w:w="108" w:type="dxa"/>
          </w:tblCellMar>
        </w:tblPrEx>
        <w:trPr>
          <w:jc w:val="center"/>
        </w:trPr>
        <w:tc>
          <w:tcPr>
            <w:tcW w:w="1446"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对应</w:t>
            </w:r>
          </w:p>
          <w:p>
            <w:pPr>
              <w:pStyle w:val="PlainText"/>
              <w:tabs>
                <w:tab w:val="left" w:pos="4305"/>
              </w:tabs>
              <w:snapToGrid w:val="0"/>
              <w:spacing w:line="360" w:lineRule="auto"/>
              <w:jc w:val="left"/>
              <w:rPr>
                <w:rFonts w:ascii="Times New Roman" w:hAnsi="Times New Roman"/>
              </w:rPr>
            </w:pPr>
            <w:r>
              <w:rPr>
                <w:rFonts w:ascii="Times New Roman" w:hAnsi="Times New Roman"/>
              </w:rPr>
              <w:t>原文</w:t>
            </w:r>
          </w:p>
        </w:tc>
        <w:tc>
          <w:tcPr>
            <w:tcW w:w="7170"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楷体" w:eastAsia="楷体" w:hAnsi="楷体" w:cs="楷体" w:hint="eastAsia"/>
              </w:rPr>
              <w:t>空间弹性的核心问题，就是如何实现空间的公共性与私人性的有机统一、具体转换。片面地强调空间的公共性或片面地强调空间的私人性，都会使城市发展失去基础。</w:t>
            </w:r>
          </w:p>
        </w:tc>
      </w:tr>
      <w:tr>
        <w:tblPrEx>
          <w:tblW w:w="8616" w:type="dxa"/>
          <w:jc w:val="center"/>
          <w:tblLayout w:type="fixed"/>
          <w:tblCellMar>
            <w:top w:w="0" w:type="dxa"/>
            <w:left w:w="108" w:type="dxa"/>
            <w:bottom w:w="0" w:type="dxa"/>
            <w:right w:w="108" w:type="dxa"/>
          </w:tblCellMar>
        </w:tblPrEx>
        <w:trPr>
          <w:jc w:val="center"/>
        </w:trPr>
        <w:tc>
          <w:tcPr>
            <w:tcW w:w="1446"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比对</w:t>
            </w:r>
          </w:p>
          <w:p>
            <w:pPr>
              <w:pStyle w:val="PlainText"/>
              <w:tabs>
                <w:tab w:val="left" w:pos="4305"/>
              </w:tabs>
              <w:snapToGrid w:val="0"/>
              <w:spacing w:line="360" w:lineRule="auto"/>
              <w:jc w:val="left"/>
              <w:rPr>
                <w:rFonts w:ascii="Times New Roman" w:hAnsi="Times New Roman"/>
              </w:rPr>
            </w:pPr>
            <w:r>
              <w:rPr>
                <w:rFonts w:ascii="Times New Roman" w:hAnsi="Times New Roman"/>
              </w:rPr>
              <w:t>分析</w:t>
            </w:r>
          </w:p>
        </w:tc>
        <w:tc>
          <w:tcPr>
            <w:tcW w:w="7170"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原文说的是“有机统一、具体转换”两个内容，而选项中“当前城市空间弹性核心的问题是缺乏有机统一”只说了一个方面，选项犯了以偏概全的错误。</w:t>
            </w:r>
          </w:p>
        </w:tc>
      </w:tr>
    </w:tbl>
    <w:p>
      <w:pPr>
        <w:pStyle w:val="PlainText"/>
        <w:keepNext w:val="0"/>
        <w:keepLines w:val="0"/>
        <w:pageBreakBefore w:val="0"/>
        <w:widowControl w:val="0"/>
        <w:tabs>
          <w:tab w:val="left" w:pos="3402"/>
        </w:tabs>
        <w:kinsoku/>
        <w:wordWrap/>
        <w:overflowPunct/>
        <w:topLinePunct w:val="0"/>
        <w:autoSpaceDE/>
        <w:autoSpaceDN/>
        <w:bidi w:val="0"/>
        <w:adjustRightInd/>
        <w:snapToGrid/>
        <w:spacing w:line="360" w:lineRule="auto"/>
        <w:ind w:left="0" w:right="0" w:firstLine="420" w:leftChars="0" w:rightChars="0" w:firstLineChars="200"/>
        <w:jc w:val="both"/>
        <w:textAlignment w:val="auto"/>
        <w:outlineLvl w:val="9"/>
        <w:rPr>
          <w:rFonts w:hAnsi="宋体" w:cs="宋体" w:hint="eastAsia"/>
          <w:b w:val="0"/>
          <w:bCs w:val="0"/>
          <w:sz w:val="21"/>
        </w:rPr>
        <w:sectPr>
          <w:footerReference w:type="default" r:id="rId16"/>
          <w:type w:val="nextPage"/>
          <w:pgSz w:w="11906" w:h="16838"/>
          <w:pgMar w:top="1440" w:right="1080" w:bottom="1440" w:left="1080" w:header="851" w:footer="992" w:gutter="0"/>
          <w:pgNumType w:fmt="decimal" w:start="8"/>
          <w:cols w:num="1" w:space="425"/>
          <w:titlePg w:val="0"/>
          <w:docGrid w:type="lines" w:linePitch="312" w:charSpace="0"/>
        </w:sectPr>
      </w:pPr>
    </w:p>
    <w:p>
      <w:pPr>
        <w:pStyle w:val="PlainText"/>
        <w:keepNext w:val="0"/>
        <w:keepLines w:val="0"/>
        <w:pageBreakBefore w:val="0"/>
        <w:widowControl w:val="0"/>
        <w:tabs>
          <w:tab w:val="left" w:pos="3402"/>
        </w:tabs>
        <w:kinsoku/>
        <w:wordWrap/>
        <w:overflowPunct/>
        <w:topLinePunct w:val="0"/>
        <w:autoSpaceDE/>
        <w:autoSpaceDN/>
        <w:bidi w:val="0"/>
        <w:adjustRightInd/>
        <w:snapToGrid/>
        <w:spacing w:line="360" w:lineRule="auto"/>
        <w:ind w:left="0" w:right="0" w:firstLine="420" w:leftChars="0" w:rightChars="0" w:firstLineChars="200"/>
        <w:jc w:val="both"/>
        <w:textAlignment w:val="auto"/>
        <w:outlineLvl w:val="9"/>
        <w:rPr>
          <w:rFonts w:hAnsi="宋体" w:cs="宋体" w:hint="eastAsia"/>
          <w:b w:val="0"/>
          <w:bCs w:val="0"/>
          <w:sz w:val="21"/>
        </w:rPr>
      </w:pPr>
      <w:r>
        <w:rPr>
          <w:rFonts w:ascii="宋体" w:eastAsia="宋体" w:hAnsi="宋体" w:cs="宋体" w:hint="eastAsia"/>
          <w:b w:val="0"/>
          <w:bCs w:val="0"/>
          <w:sz w:val="21"/>
          <w:szCs w:val="21"/>
        </w:rPr>
        <w:t>2.比对关系(句间、分句间的逻辑关系)，看这种关系是否符合原文意思，是否合理</w:t>
      </w:r>
    </w:p>
    <w:p>
      <w:pPr>
        <w:pStyle w:val="PlainText"/>
        <w:keepNext w:val="0"/>
        <w:keepLines w:val="0"/>
        <w:pageBreakBefore w:val="0"/>
        <w:widowControl w:val="0"/>
        <w:tabs>
          <w:tab w:val="left" w:pos="3402"/>
        </w:tabs>
        <w:kinsoku/>
        <w:wordWrap/>
        <w:overflowPunct/>
        <w:topLinePunct w:val="0"/>
        <w:autoSpaceDE/>
        <w:autoSpaceDN/>
        <w:bidi w:val="0"/>
        <w:adjustRightInd/>
        <w:snapToGrid/>
        <w:spacing w:line="360" w:lineRule="auto"/>
        <w:ind w:left="0" w:right="0" w:firstLine="420" w:leftChars="0" w:rightChars="0" w:firstLineChars="200"/>
        <w:jc w:val="both"/>
        <w:textAlignment w:val="auto"/>
        <w:outlineLvl w:val="9"/>
        <w:rPr>
          <w:rFonts w:hAnsi="宋体" w:cs="宋体" w:hint="eastAsia"/>
          <w:b w:val="0"/>
          <w:bCs w:val="0"/>
          <w:sz w:val="21"/>
        </w:rPr>
      </w:pPr>
      <w:r>
        <w:rPr>
          <w:rFonts w:ascii="宋体" w:eastAsia="宋体" w:hAnsi="宋体" w:cs="宋体" w:hint="eastAsia"/>
          <w:b w:val="0"/>
          <w:bCs w:val="0"/>
          <w:sz w:val="21"/>
          <w:szCs w:val="21"/>
        </w:rPr>
        <w:t>比对词语，重点考查的是是否读准、读懂了信息；而比对句间关系，则要求考生不只是单纯地筛选信息，更应在筛选的基础上关注信息间的联系。因此，比对分句间的逻辑关系是比对的重点内容。比对关系分两步：</w:t>
      </w:r>
    </w:p>
    <w:p>
      <w:pPr>
        <w:pStyle w:val="PlainText"/>
        <w:keepNext w:val="0"/>
        <w:keepLines w:val="0"/>
        <w:pageBreakBefore w:val="0"/>
        <w:widowControl w:val="0"/>
        <w:tabs>
          <w:tab w:val="left" w:pos="3402"/>
        </w:tabs>
        <w:kinsoku/>
        <w:wordWrap/>
        <w:overflowPunct/>
        <w:topLinePunct w:val="0"/>
        <w:autoSpaceDE/>
        <w:autoSpaceDN/>
        <w:bidi w:val="0"/>
        <w:adjustRightInd/>
        <w:snapToGrid/>
        <w:spacing w:line="360" w:lineRule="auto"/>
        <w:ind w:left="0" w:right="0" w:firstLine="420" w:leftChars="0" w:rightChars="0" w:firstLineChars="200"/>
        <w:jc w:val="both"/>
        <w:textAlignment w:val="auto"/>
        <w:outlineLvl w:val="9"/>
        <w:rPr>
          <w:rFonts w:hAnsi="宋体" w:cs="宋体" w:hint="eastAsia"/>
          <w:b w:val="0"/>
          <w:bCs w:val="0"/>
          <w:sz w:val="21"/>
        </w:rPr>
      </w:pPr>
      <w:r>
        <w:rPr>
          <w:rFonts w:ascii="宋体" w:eastAsia="宋体" w:hAnsi="宋体" w:cs="宋体" w:hint="eastAsia"/>
          <w:b w:val="0"/>
          <w:bCs w:val="0"/>
          <w:sz w:val="21"/>
          <w:szCs w:val="21"/>
        </w:rPr>
        <w:t>第一步，逐项审查每一个选项有几个分句(包括句子)，分句与分句之间是什么关系(重点抓关联词)，一般的有因果、条件、假设、目的等关系，但以因果关系居多。</w:t>
      </w:r>
    </w:p>
    <w:p>
      <w:pPr>
        <w:pStyle w:val="PlainText"/>
        <w:keepNext w:val="0"/>
        <w:keepLines w:val="0"/>
        <w:pageBreakBefore w:val="0"/>
        <w:widowControl w:val="0"/>
        <w:tabs>
          <w:tab w:val="left" w:pos="3402"/>
        </w:tabs>
        <w:kinsoku/>
        <w:wordWrap/>
        <w:overflowPunct/>
        <w:topLinePunct w:val="0"/>
        <w:autoSpaceDE/>
        <w:autoSpaceDN/>
        <w:bidi w:val="0"/>
        <w:adjustRightInd/>
        <w:snapToGrid/>
        <w:spacing w:line="360" w:lineRule="auto"/>
        <w:ind w:left="0" w:right="0" w:firstLine="420" w:leftChars="0" w:rightChars="0" w:firstLineChars="200"/>
        <w:jc w:val="both"/>
        <w:textAlignment w:val="auto"/>
        <w:outlineLvl w:val="9"/>
        <w:rPr>
          <w:rFonts w:hAnsi="宋体" w:cs="宋体" w:hint="eastAsia"/>
          <w:b w:val="0"/>
          <w:bCs w:val="0"/>
          <w:sz w:val="21"/>
        </w:rPr>
      </w:pPr>
      <w:r>
        <w:rPr>
          <w:rFonts w:ascii="宋体" w:eastAsia="宋体" w:hAnsi="宋体" w:cs="宋体" w:hint="eastAsia"/>
          <w:b w:val="0"/>
          <w:bCs w:val="0"/>
          <w:sz w:val="21"/>
          <w:szCs w:val="21"/>
        </w:rPr>
        <w:t>第二步，比对每一分句的意义在原文是否有依据，分句与分句之间的逻辑关系在原文中是否有依据。尤其看因果关系，是否有强加、倒置不当。</w:t>
      </w:r>
    </w:p>
    <w:p>
      <w:pPr>
        <w:pStyle w:val="PlainText"/>
        <w:tabs>
          <w:tab w:val="left" w:pos="4305"/>
        </w:tabs>
        <w:snapToGrid w:val="0"/>
        <w:spacing w:line="360" w:lineRule="auto"/>
        <w:ind w:firstLine="420" w:firstLineChars="200"/>
        <w:jc w:val="left"/>
        <w:rPr>
          <w:rFonts w:ascii="Times New Roman" w:hAnsi="Times New Roman"/>
        </w:rPr>
      </w:pPr>
      <w:r>
        <w:rPr>
          <w:rFonts w:hAnsi="宋体" w:cs="宋体" w:hint="eastAsia"/>
          <w:b w:val="0"/>
          <w:bCs w:val="0"/>
          <w:sz w:val="21"/>
          <w:szCs w:val="21"/>
          <w:lang w:eastAsia="zh-CN"/>
        </w:rPr>
        <w:tab/>
      </w:r>
    </w:p>
    <w:tbl>
      <w:tblPr>
        <w:tblStyle w:val="TableNormal"/>
        <w:tblW w:w="82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951"/>
        <w:gridCol w:w="4529"/>
        <w:gridCol w:w="1801"/>
      </w:tblGrid>
      <w:tr>
        <w:tblPrEx>
          <w:tblW w:w="82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1951"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句间关系</w:t>
            </w:r>
          </w:p>
        </w:tc>
        <w:tc>
          <w:tcPr>
            <w:tcW w:w="4529"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设误方式</w:t>
            </w:r>
          </w:p>
        </w:tc>
        <w:tc>
          <w:tcPr>
            <w:tcW w:w="1801"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易设陷阱</w:t>
            </w:r>
          </w:p>
        </w:tc>
      </w:tr>
      <w:tr>
        <w:tblPrEx>
          <w:tblW w:w="8281" w:type="dxa"/>
          <w:jc w:val="center"/>
          <w:tblLayout w:type="fixed"/>
          <w:tblCellMar>
            <w:top w:w="0" w:type="dxa"/>
            <w:left w:w="108" w:type="dxa"/>
            <w:bottom w:w="0" w:type="dxa"/>
            <w:right w:w="108" w:type="dxa"/>
          </w:tblCellMar>
        </w:tblPrEx>
        <w:trPr>
          <w:jc w:val="center"/>
        </w:trPr>
        <w:tc>
          <w:tcPr>
            <w:tcW w:w="1951"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因果关系</w:t>
            </w:r>
          </w:p>
        </w:tc>
        <w:tc>
          <w:tcPr>
            <w:tcW w:w="4529"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因果颠倒，强加因果，变换原因。</w:t>
            </w:r>
          </w:p>
        </w:tc>
        <w:tc>
          <w:tcPr>
            <w:tcW w:w="1801"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因果混乱</w:t>
            </w:r>
          </w:p>
        </w:tc>
      </w:tr>
      <w:tr>
        <w:tblPrEx>
          <w:tblW w:w="8281" w:type="dxa"/>
          <w:jc w:val="center"/>
          <w:tblLayout w:type="fixed"/>
          <w:tblCellMar>
            <w:top w:w="0" w:type="dxa"/>
            <w:left w:w="108" w:type="dxa"/>
            <w:bottom w:w="0" w:type="dxa"/>
            <w:right w:w="108" w:type="dxa"/>
          </w:tblCellMar>
        </w:tblPrEx>
        <w:trPr>
          <w:jc w:val="center"/>
        </w:trPr>
        <w:tc>
          <w:tcPr>
            <w:tcW w:w="1951"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假设关系</w:t>
            </w:r>
          </w:p>
        </w:tc>
        <w:tc>
          <w:tcPr>
            <w:tcW w:w="4529"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假设的结果变成了现实；或变换了假设前提；或变成其他关系。</w:t>
            </w:r>
          </w:p>
        </w:tc>
        <w:tc>
          <w:tcPr>
            <w:tcW w:w="1801"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混淆时态</w:t>
            </w:r>
          </w:p>
          <w:p>
            <w:pPr>
              <w:pStyle w:val="PlainText"/>
              <w:tabs>
                <w:tab w:val="left" w:pos="4305"/>
              </w:tabs>
              <w:snapToGrid w:val="0"/>
              <w:spacing w:line="360" w:lineRule="auto"/>
              <w:jc w:val="left"/>
              <w:rPr>
                <w:rFonts w:ascii="Times New Roman" w:hAnsi="Times New Roman"/>
              </w:rPr>
            </w:pPr>
            <w:r>
              <w:rPr>
                <w:rFonts w:ascii="Times New Roman" w:hAnsi="Times New Roman"/>
              </w:rPr>
              <w:t>混淆是非</w:t>
            </w:r>
          </w:p>
          <w:p>
            <w:pPr>
              <w:pStyle w:val="PlainText"/>
              <w:tabs>
                <w:tab w:val="left" w:pos="4305"/>
              </w:tabs>
              <w:snapToGrid w:val="0"/>
              <w:spacing w:line="360" w:lineRule="auto"/>
              <w:jc w:val="left"/>
              <w:rPr>
                <w:rFonts w:ascii="Times New Roman" w:hAnsi="Times New Roman"/>
              </w:rPr>
            </w:pPr>
            <w:r>
              <w:rPr>
                <w:rFonts w:ascii="Times New Roman" w:hAnsi="Times New Roman"/>
              </w:rPr>
              <w:t>曲解文意</w:t>
            </w:r>
          </w:p>
        </w:tc>
      </w:tr>
      <w:tr>
        <w:tblPrEx>
          <w:tblW w:w="8281" w:type="dxa"/>
          <w:jc w:val="center"/>
          <w:tblLayout w:type="fixed"/>
          <w:tblCellMar>
            <w:top w:w="0" w:type="dxa"/>
            <w:left w:w="108" w:type="dxa"/>
            <w:bottom w:w="0" w:type="dxa"/>
            <w:right w:w="108" w:type="dxa"/>
          </w:tblCellMar>
        </w:tblPrEx>
        <w:trPr>
          <w:jc w:val="center"/>
        </w:trPr>
        <w:tc>
          <w:tcPr>
            <w:tcW w:w="1951"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条件关系</w:t>
            </w:r>
          </w:p>
        </w:tc>
        <w:tc>
          <w:tcPr>
            <w:tcW w:w="4529"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两个分句间把充分条件换成了必要条件，或把必要条件换成了充分条件。</w:t>
            </w:r>
          </w:p>
        </w:tc>
        <w:tc>
          <w:tcPr>
            <w:tcW w:w="1801"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混淆是非</w:t>
            </w:r>
          </w:p>
          <w:p>
            <w:pPr>
              <w:pStyle w:val="PlainText"/>
              <w:tabs>
                <w:tab w:val="left" w:pos="4305"/>
              </w:tabs>
              <w:snapToGrid w:val="0"/>
              <w:spacing w:line="360" w:lineRule="auto"/>
              <w:jc w:val="left"/>
              <w:rPr>
                <w:rFonts w:ascii="Times New Roman" w:hAnsi="Times New Roman"/>
              </w:rPr>
            </w:pPr>
            <w:r>
              <w:rPr>
                <w:rFonts w:ascii="Times New Roman" w:hAnsi="Times New Roman"/>
              </w:rPr>
              <w:t>曲解文意</w:t>
            </w:r>
          </w:p>
        </w:tc>
      </w:tr>
      <w:tr>
        <w:tblPrEx>
          <w:tblW w:w="8281" w:type="dxa"/>
          <w:jc w:val="center"/>
          <w:tblLayout w:type="fixed"/>
          <w:tblCellMar>
            <w:top w:w="0" w:type="dxa"/>
            <w:left w:w="108" w:type="dxa"/>
            <w:bottom w:w="0" w:type="dxa"/>
            <w:right w:w="108" w:type="dxa"/>
          </w:tblCellMar>
        </w:tblPrEx>
        <w:trPr>
          <w:jc w:val="center"/>
        </w:trPr>
        <w:tc>
          <w:tcPr>
            <w:tcW w:w="1951"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递进关系</w:t>
            </w:r>
          </w:p>
        </w:tc>
        <w:tc>
          <w:tcPr>
            <w:tcW w:w="4529"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转换了前后两个句子间的关系，或把递进关系变成其他关系。</w:t>
            </w:r>
          </w:p>
        </w:tc>
        <w:tc>
          <w:tcPr>
            <w:tcW w:w="1801"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曲解文意</w:t>
            </w:r>
          </w:p>
        </w:tc>
      </w:tr>
      <w:tr>
        <w:tblPrEx>
          <w:tblW w:w="8281" w:type="dxa"/>
          <w:jc w:val="center"/>
          <w:tblLayout w:type="fixed"/>
          <w:tblCellMar>
            <w:top w:w="0" w:type="dxa"/>
            <w:left w:w="108" w:type="dxa"/>
            <w:bottom w:w="0" w:type="dxa"/>
            <w:right w:w="108" w:type="dxa"/>
          </w:tblCellMar>
        </w:tblPrEx>
        <w:trPr>
          <w:jc w:val="center"/>
        </w:trPr>
        <w:tc>
          <w:tcPr>
            <w:tcW w:w="1951"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并列关系</w:t>
            </w:r>
          </w:p>
          <w:p>
            <w:pPr>
              <w:pStyle w:val="PlainText"/>
              <w:tabs>
                <w:tab w:val="left" w:pos="4305"/>
              </w:tabs>
              <w:snapToGrid w:val="0"/>
              <w:spacing w:line="360" w:lineRule="auto"/>
              <w:jc w:val="left"/>
              <w:rPr>
                <w:rFonts w:ascii="Times New Roman" w:hAnsi="Times New Roman"/>
              </w:rPr>
            </w:pPr>
            <w:r>
              <w:rPr>
                <w:rFonts w:ascii="Times New Roman" w:hAnsi="Times New Roman"/>
              </w:rPr>
              <w:t>转折关系</w:t>
            </w:r>
          </w:p>
        </w:tc>
        <w:tc>
          <w:tcPr>
            <w:tcW w:w="4529"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把并列关系或转折关系的前后语句转换成了其他关系。</w:t>
            </w:r>
          </w:p>
        </w:tc>
        <w:tc>
          <w:tcPr>
            <w:tcW w:w="1801"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曲解文意</w:t>
            </w:r>
          </w:p>
        </w:tc>
      </w:tr>
    </w:tbl>
    <w:p>
      <w:pPr>
        <w:pStyle w:val="PlainText"/>
        <w:tabs>
          <w:tab w:val="left" w:pos="4305"/>
        </w:tabs>
        <w:snapToGrid w:val="0"/>
        <w:spacing w:line="360" w:lineRule="auto"/>
        <w:ind w:firstLine="420" w:firstLineChars="200"/>
        <w:jc w:val="left"/>
        <w:rPr>
          <w:rFonts w:ascii="Times New Roman" w:hAnsi="Times New Roman"/>
        </w:rPr>
      </w:pPr>
      <w:r>
        <w:rPr>
          <w:rFonts w:ascii="Times New Roman" w:eastAsia="黑体" w:hAnsi="Times New Roman"/>
        </w:rPr>
        <w:t>[技法演示]</w:t>
      </w:r>
    </w:p>
    <w:tbl>
      <w:tblPr>
        <w:tblStyle w:val="TableNormal"/>
        <w:tblW w:w="86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446"/>
        <w:gridCol w:w="7170"/>
      </w:tblGrid>
      <w:tr>
        <w:tblPrEx>
          <w:tblW w:w="86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1446"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选项</w:t>
            </w:r>
          </w:p>
        </w:tc>
        <w:tc>
          <w:tcPr>
            <w:tcW w:w="7170"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（2016·山东卷·T6－B）古体诗的格律限制并不严格，因而形成了篇幅可长可短，押韵自由灵活，不必拘守对偶与声律的特点。</w:t>
            </w:r>
          </w:p>
        </w:tc>
      </w:tr>
      <w:tr>
        <w:tblPrEx>
          <w:tblW w:w="8616" w:type="dxa"/>
          <w:jc w:val="center"/>
          <w:tblLayout w:type="fixed"/>
          <w:tblCellMar>
            <w:top w:w="0" w:type="dxa"/>
            <w:left w:w="108" w:type="dxa"/>
            <w:bottom w:w="0" w:type="dxa"/>
            <w:right w:w="108" w:type="dxa"/>
          </w:tblCellMar>
        </w:tblPrEx>
        <w:trPr>
          <w:jc w:val="center"/>
        </w:trPr>
        <w:tc>
          <w:tcPr>
            <w:tcW w:w="1446"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对应</w:t>
            </w:r>
          </w:p>
          <w:p>
            <w:pPr>
              <w:pStyle w:val="PlainText"/>
              <w:tabs>
                <w:tab w:val="left" w:pos="4305"/>
              </w:tabs>
              <w:snapToGrid w:val="0"/>
              <w:spacing w:line="360" w:lineRule="auto"/>
              <w:jc w:val="left"/>
              <w:rPr>
                <w:rFonts w:ascii="Times New Roman" w:hAnsi="Times New Roman"/>
              </w:rPr>
            </w:pPr>
            <w:r>
              <w:rPr>
                <w:rFonts w:ascii="Times New Roman" w:hAnsi="Times New Roman"/>
              </w:rPr>
              <w:t>原文</w:t>
            </w:r>
          </w:p>
        </w:tc>
        <w:tc>
          <w:tcPr>
            <w:tcW w:w="7170"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楷体" w:eastAsia="楷体" w:hAnsi="楷体" w:cs="楷体" w:hint="eastAsia"/>
              </w:rPr>
              <w:t>它的特点是格律限制不太严格，篇幅可长可短，押韵比较自由灵活，不必拘守对偶、声律，有四言、五言、七言、杂言等多种形式。</w:t>
            </w:r>
          </w:p>
        </w:tc>
      </w:tr>
      <w:tr>
        <w:tblPrEx>
          <w:tblW w:w="8616" w:type="dxa"/>
          <w:jc w:val="center"/>
          <w:tblLayout w:type="fixed"/>
          <w:tblCellMar>
            <w:top w:w="0" w:type="dxa"/>
            <w:left w:w="108" w:type="dxa"/>
            <w:bottom w:w="0" w:type="dxa"/>
            <w:right w:w="108" w:type="dxa"/>
          </w:tblCellMar>
        </w:tblPrEx>
        <w:trPr>
          <w:jc w:val="center"/>
        </w:trPr>
        <w:tc>
          <w:tcPr>
            <w:tcW w:w="1446"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比对</w:t>
            </w:r>
          </w:p>
          <w:p>
            <w:pPr>
              <w:pStyle w:val="PlainText"/>
              <w:tabs>
                <w:tab w:val="left" w:pos="4305"/>
              </w:tabs>
              <w:snapToGrid w:val="0"/>
              <w:spacing w:line="360" w:lineRule="auto"/>
              <w:jc w:val="left"/>
              <w:rPr>
                <w:rFonts w:ascii="Times New Roman" w:hAnsi="Times New Roman"/>
              </w:rPr>
            </w:pPr>
            <w:r>
              <w:rPr>
                <w:rFonts w:ascii="Times New Roman" w:hAnsi="Times New Roman"/>
              </w:rPr>
              <w:t>分析</w:t>
            </w:r>
          </w:p>
        </w:tc>
        <w:tc>
          <w:tcPr>
            <w:tcW w:w="7170"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选项强加因果，“格律限制并不严格”并不是“篇幅可长可短……”的原因，另外，原文中是说古体诗“格律限制不太严格”，而非“并不严格”。</w:t>
            </w:r>
          </w:p>
        </w:tc>
      </w:tr>
    </w:tbl>
    <w:p>
      <w:pPr>
        <w:pStyle w:val="PlainText"/>
        <w:keepNext w:val="0"/>
        <w:keepLines w:val="0"/>
        <w:pageBreakBefore w:val="0"/>
        <w:widowControl w:val="0"/>
        <w:tabs>
          <w:tab w:val="left" w:pos="1121"/>
        </w:tabs>
        <w:kinsoku/>
        <w:wordWrap/>
        <w:overflowPunct/>
        <w:topLinePunct w:val="0"/>
        <w:autoSpaceDE/>
        <w:autoSpaceDN/>
        <w:bidi w:val="0"/>
        <w:adjustRightInd/>
        <w:snapToGrid/>
        <w:spacing w:line="360" w:lineRule="auto"/>
        <w:ind w:right="0" w:rightChars="0"/>
        <w:jc w:val="both"/>
        <w:textAlignment w:val="auto"/>
        <w:outlineLvl w:val="9"/>
        <w:rPr>
          <w:rFonts w:hAnsi="宋体" w:cs="宋体" w:hint="eastAsia"/>
          <w:b w:val="0"/>
          <w:bCs w:val="0"/>
          <w:sz w:val="21"/>
          <w:lang w:eastAsia="zh-CN"/>
        </w:rPr>
      </w:pPr>
    </w:p>
    <w:p>
      <w:pPr>
        <w:pStyle w:val="PlainText"/>
        <w:keepNext w:val="0"/>
        <w:keepLines w:val="0"/>
        <w:pageBreakBefore w:val="0"/>
        <w:widowControl w:val="0"/>
        <w:tabs>
          <w:tab w:val="left" w:pos="3402"/>
        </w:tabs>
        <w:kinsoku/>
        <w:wordWrap/>
        <w:overflowPunct/>
        <w:topLinePunct w:val="0"/>
        <w:autoSpaceDE/>
        <w:autoSpaceDN/>
        <w:bidi w:val="0"/>
        <w:adjustRightInd/>
        <w:snapToGrid/>
        <w:spacing w:line="360" w:lineRule="auto"/>
        <w:ind w:left="0" w:right="0" w:firstLine="420" w:leftChars="0" w:rightChars="0" w:firstLineChars="200"/>
        <w:jc w:val="both"/>
        <w:textAlignment w:val="auto"/>
        <w:outlineLvl w:val="9"/>
        <w:rPr>
          <w:rFonts w:hAnsi="宋体" w:cs="宋体" w:hint="eastAsia"/>
          <w:b w:val="0"/>
          <w:bCs w:val="0"/>
          <w:sz w:val="21"/>
        </w:rPr>
      </w:pPr>
      <w:r>
        <w:rPr>
          <w:rFonts w:ascii="宋体" w:eastAsia="宋体" w:hAnsi="宋体" w:cs="宋体" w:hint="eastAsia"/>
          <w:b w:val="0"/>
          <w:bCs w:val="0"/>
          <w:sz w:val="21"/>
          <w:szCs w:val="21"/>
        </w:rPr>
        <w:t>3.比对依据和结论，看推断是否成立</w:t>
      </w:r>
    </w:p>
    <w:p>
      <w:pPr>
        <w:pStyle w:val="PlainText"/>
        <w:keepNext w:val="0"/>
        <w:keepLines w:val="0"/>
        <w:pageBreakBefore w:val="0"/>
        <w:widowControl w:val="0"/>
        <w:tabs>
          <w:tab w:val="left" w:pos="3402"/>
        </w:tabs>
        <w:kinsoku/>
        <w:wordWrap/>
        <w:overflowPunct/>
        <w:topLinePunct w:val="0"/>
        <w:autoSpaceDE/>
        <w:autoSpaceDN/>
        <w:bidi w:val="0"/>
        <w:adjustRightInd/>
        <w:snapToGrid/>
        <w:spacing w:line="360" w:lineRule="auto"/>
        <w:ind w:left="0" w:right="0" w:firstLine="420" w:leftChars="0" w:rightChars="0" w:firstLineChars="200"/>
        <w:jc w:val="both"/>
        <w:textAlignment w:val="auto"/>
        <w:outlineLvl w:val="9"/>
        <w:rPr>
          <w:rFonts w:hAnsi="宋体" w:cs="宋体" w:hint="eastAsia"/>
          <w:b w:val="0"/>
          <w:bCs w:val="0"/>
          <w:sz w:val="21"/>
        </w:rPr>
        <w:sectPr>
          <w:footerReference w:type="default" r:id="rId17"/>
          <w:type w:val="nextPage"/>
          <w:pgSz w:w="11906" w:h="16838"/>
          <w:pgMar w:top="1440" w:right="1080" w:bottom="1440" w:left="1080" w:header="851" w:footer="992" w:gutter="0"/>
          <w:pgNumType w:fmt="decimal" w:start="9"/>
          <w:cols w:num="1" w:space="425"/>
          <w:titlePg w:val="0"/>
          <w:docGrid w:type="lines" w:linePitch="312" w:charSpace="0"/>
        </w:sectPr>
      </w:pPr>
    </w:p>
    <w:p>
      <w:pPr>
        <w:pStyle w:val="PlainText"/>
        <w:keepNext w:val="0"/>
        <w:keepLines w:val="0"/>
        <w:pageBreakBefore w:val="0"/>
        <w:widowControl w:val="0"/>
        <w:tabs>
          <w:tab w:val="left" w:pos="3402"/>
        </w:tabs>
        <w:kinsoku/>
        <w:wordWrap/>
        <w:overflowPunct/>
        <w:topLinePunct w:val="0"/>
        <w:autoSpaceDE/>
        <w:autoSpaceDN/>
        <w:bidi w:val="0"/>
        <w:adjustRightInd/>
        <w:snapToGrid/>
        <w:spacing w:line="360" w:lineRule="auto"/>
        <w:ind w:left="0" w:right="0" w:firstLine="420" w:leftChars="0" w:rightChars="0" w:firstLineChars="200"/>
        <w:jc w:val="both"/>
        <w:textAlignment w:val="auto"/>
        <w:outlineLvl w:val="9"/>
        <w:rPr>
          <w:rFonts w:hAnsi="宋体" w:cs="宋体" w:hint="eastAsia"/>
          <w:b w:val="0"/>
          <w:bCs w:val="0"/>
          <w:sz w:val="21"/>
        </w:rPr>
      </w:pPr>
      <w:r>
        <w:rPr>
          <w:rFonts w:ascii="宋体" w:eastAsia="宋体" w:hAnsi="宋体" w:cs="宋体" w:hint="eastAsia"/>
          <w:b w:val="0"/>
          <w:bCs w:val="0"/>
          <w:sz w:val="21"/>
          <w:szCs w:val="21"/>
        </w:rPr>
        <w:t>推断题选项的表述，有的是完整的推断形式，原因结果或条件结论同时出现；有的只是一个判断句。对完整推断形式的表述，一看所述原因或条件文中是否有依据，二看所述结果(结论)文中是否有依据，三看原因或条件与结果或结论之间是否有合理的逻辑关系。对只是一个判断句的表述，一看文中是否提供了现成的结论，二看结论(既然是推断想象，“这个结论”文中往往没有提供)是否符合客观事实与逻辑事理。</w:t>
      </w:r>
    </w:p>
    <w:p>
      <w:pPr>
        <w:pStyle w:val="PlainText"/>
        <w:tabs>
          <w:tab w:val="left" w:pos="4305"/>
        </w:tabs>
        <w:snapToGrid w:val="0"/>
        <w:spacing w:line="360" w:lineRule="auto"/>
        <w:ind w:firstLine="420" w:firstLineChars="200"/>
        <w:jc w:val="left"/>
        <w:rPr>
          <w:rFonts w:ascii="Times New Roman" w:hAnsi="Times New Roman"/>
        </w:rPr>
      </w:pPr>
    </w:p>
    <w:tbl>
      <w:tblPr>
        <w:tblStyle w:val="TableNormal"/>
        <w:tblW w:w="86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6995"/>
        <w:gridCol w:w="1621"/>
      </w:tblGrid>
      <w:tr>
        <w:tblPrEx>
          <w:tblW w:w="86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6995"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依据、结论选项特征</w:t>
            </w:r>
          </w:p>
        </w:tc>
        <w:tc>
          <w:tcPr>
            <w:tcW w:w="1621"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易设陷阱</w:t>
            </w:r>
          </w:p>
        </w:tc>
      </w:tr>
      <w:tr>
        <w:tblPrEx>
          <w:tblW w:w="8616" w:type="dxa"/>
          <w:jc w:val="center"/>
          <w:tblLayout w:type="fixed"/>
          <w:tblCellMar>
            <w:top w:w="0" w:type="dxa"/>
            <w:left w:w="108" w:type="dxa"/>
            <w:bottom w:w="0" w:type="dxa"/>
            <w:right w:w="108" w:type="dxa"/>
          </w:tblCellMar>
        </w:tblPrEx>
        <w:trPr>
          <w:jc w:val="center"/>
        </w:trPr>
        <w:tc>
          <w:tcPr>
            <w:tcW w:w="6995"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互换位置：选项将原文中句子的陈述对象和被陈述对象倒置，造成结论与依据互换。</w:t>
            </w:r>
          </w:p>
        </w:tc>
        <w:tc>
          <w:tcPr>
            <w:tcW w:w="1621"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张冠李戴</w:t>
            </w:r>
          </w:p>
          <w:p>
            <w:pPr>
              <w:pStyle w:val="PlainText"/>
              <w:tabs>
                <w:tab w:val="left" w:pos="4305"/>
              </w:tabs>
              <w:snapToGrid w:val="0"/>
              <w:spacing w:line="360" w:lineRule="auto"/>
              <w:jc w:val="left"/>
              <w:rPr>
                <w:rFonts w:ascii="Times New Roman" w:hAnsi="Times New Roman"/>
              </w:rPr>
            </w:pPr>
            <w:r>
              <w:rPr>
                <w:rFonts w:ascii="Times New Roman" w:hAnsi="Times New Roman"/>
              </w:rPr>
              <w:t>因果混乱</w:t>
            </w:r>
          </w:p>
        </w:tc>
      </w:tr>
      <w:tr>
        <w:tblPrEx>
          <w:tblW w:w="8616" w:type="dxa"/>
          <w:jc w:val="center"/>
          <w:tblLayout w:type="fixed"/>
          <w:tblCellMar>
            <w:top w:w="0" w:type="dxa"/>
            <w:left w:w="108" w:type="dxa"/>
            <w:bottom w:w="0" w:type="dxa"/>
            <w:right w:w="108" w:type="dxa"/>
          </w:tblCellMar>
        </w:tblPrEx>
        <w:trPr>
          <w:jc w:val="center"/>
        </w:trPr>
        <w:tc>
          <w:tcPr>
            <w:tcW w:w="6995"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结论或依据残缺：</w:t>
            </w:r>
          </w:p>
          <w:p>
            <w:pPr>
              <w:pStyle w:val="PlainText"/>
              <w:tabs>
                <w:tab w:val="left" w:pos="4305"/>
              </w:tabs>
              <w:snapToGrid w:val="0"/>
              <w:spacing w:line="360" w:lineRule="auto"/>
              <w:jc w:val="left"/>
              <w:rPr>
                <w:rFonts w:ascii="Times New Roman" w:hAnsi="Times New Roman"/>
              </w:rPr>
            </w:pPr>
            <w:r>
              <w:rPr>
                <w:rFonts w:ascii="Times New Roman" w:hAnsi="Times New Roman"/>
              </w:rPr>
              <w:t>（1）选项中的结论在原文中能找到，但是选项所说的依据在原文中却找不到。</w:t>
            </w:r>
          </w:p>
          <w:p>
            <w:pPr>
              <w:pStyle w:val="PlainText"/>
              <w:tabs>
                <w:tab w:val="left" w:pos="4305"/>
              </w:tabs>
              <w:snapToGrid w:val="0"/>
              <w:spacing w:line="360" w:lineRule="auto"/>
              <w:jc w:val="left"/>
              <w:rPr>
                <w:rFonts w:ascii="Times New Roman" w:hAnsi="Times New Roman"/>
              </w:rPr>
            </w:pPr>
            <w:r>
              <w:rPr>
                <w:rFonts w:ascii="Times New Roman" w:hAnsi="Times New Roman"/>
              </w:rPr>
              <w:t>（2）选项中的依据在原文中能找到，但是无法得出选项结论。</w:t>
            </w:r>
          </w:p>
          <w:p>
            <w:pPr>
              <w:pStyle w:val="PlainText"/>
              <w:tabs>
                <w:tab w:val="left" w:pos="4305"/>
              </w:tabs>
              <w:snapToGrid w:val="0"/>
              <w:spacing w:line="360" w:lineRule="auto"/>
              <w:jc w:val="left"/>
              <w:rPr>
                <w:rFonts w:ascii="Times New Roman" w:hAnsi="Times New Roman"/>
              </w:rPr>
            </w:pPr>
            <w:r>
              <w:rPr>
                <w:rFonts w:ascii="Times New Roman" w:hAnsi="Times New Roman"/>
              </w:rPr>
              <w:t>（3）选项中的结论是多种依据推断出来的，但是选项只有其中一种或几种依据。</w:t>
            </w:r>
          </w:p>
          <w:p>
            <w:pPr>
              <w:pStyle w:val="PlainText"/>
              <w:tabs>
                <w:tab w:val="left" w:pos="4305"/>
              </w:tabs>
              <w:snapToGrid w:val="0"/>
              <w:spacing w:line="360" w:lineRule="auto"/>
              <w:jc w:val="left"/>
              <w:rPr>
                <w:rFonts w:ascii="Times New Roman" w:hAnsi="Times New Roman"/>
              </w:rPr>
            </w:pPr>
            <w:r>
              <w:rPr>
                <w:rFonts w:ascii="Times New Roman" w:hAnsi="Times New Roman"/>
              </w:rPr>
              <w:t>（4）选项中的依据可造成多种结果，但是选项中的结论却只有一个。</w:t>
            </w:r>
          </w:p>
        </w:tc>
        <w:tc>
          <w:tcPr>
            <w:tcW w:w="1621"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无中生有</w:t>
            </w:r>
          </w:p>
          <w:p>
            <w:pPr>
              <w:pStyle w:val="PlainText"/>
              <w:tabs>
                <w:tab w:val="left" w:pos="4305"/>
              </w:tabs>
              <w:snapToGrid w:val="0"/>
              <w:spacing w:line="360" w:lineRule="auto"/>
              <w:jc w:val="left"/>
              <w:rPr>
                <w:rFonts w:ascii="Times New Roman" w:hAnsi="Times New Roman"/>
              </w:rPr>
            </w:pPr>
            <w:r>
              <w:rPr>
                <w:rFonts w:ascii="Times New Roman" w:hAnsi="Times New Roman"/>
              </w:rPr>
              <w:t>以偏概全</w:t>
            </w:r>
          </w:p>
          <w:p>
            <w:pPr>
              <w:pStyle w:val="PlainText"/>
              <w:tabs>
                <w:tab w:val="left" w:pos="4305"/>
              </w:tabs>
              <w:snapToGrid w:val="0"/>
              <w:spacing w:line="360" w:lineRule="auto"/>
              <w:jc w:val="left"/>
              <w:rPr>
                <w:rFonts w:ascii="Times New Roman" w:hAnsi="Times New Roman"/>
              </w:rPr>
            </w:pPr>
            <w:r>
              <w:rPr>
                <w:rFonts w:ascii="Times New Roman" w:hAnsi="Times New Roman"/>
              </w:rPr>
              <w:t>因果混乱</w:t>
            </w:r>
          </w:p>
        </w:tc>
      </w:tr>
    </w:tbl>
    <w:p>
      <w:pPr>
        <w:pStyle w:val="PlainText"/>
        <w:tabs>
          <w:tab w:val="left" w:pos="4305"/>
        </w:tabs>
        <w:snapToGrid w:val="0"/>
        <w:spacing w:line="360" w:lineRule="auto"/>
        <w:ind w:firstLine="420" w:firstLineChars="200"/>
        <w:jc w:val="left"/>
        <w:rPr>
          <w:rFonts w:ascii="Times New Roman" w:hAnsi="Times New Roman"/>
        </w:rPr>
      </w:pPr>
      <w:r>
        <w:rPr>
          <w:rFonts w:ascii="Times New Roman" w:eastAsia="黑体" w:hAnsi="Times New Roman"/>
        </w:rPr>
        <w:t>[技法演示]</w:t>
      </w:r>
    </w:p>
    <w:tbl>
      <w:tblPr>
        <w:tblStyle w:val="TableNormal"/>
        <w:tblW w:w="86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236"/>
        <w:gridCol w:w="7380"/>
      </w:tblGrid>
      <w:tr>
        <w:tblPrEx>
          <w:tblW w:w="86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Ex>
        <w:trPr>
          <w:jc w:val="center"/>
        </w:trPr>
        <w:tc>
          <w:tcPr>
            <w:tcW w:w="1236"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选项</w:t>
            </w:r>
          </w:p>
        </w:tc>
        <w:tc>
          <w:tcPr>
            <w:tcW w:w="7380"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（2017·全国卷ⅠT3—B）如果气候变化公约或协定的长期目标能落实，那么后代需求就可以得到保证。</w:t>
            </w:r>
          </w:p>
        </w:tc>
      </w:tr>
      <w:tr>
        <w:tblPrEx>
          <w:tblW w:w="8616" w:type="dxa"/>
          <w:jc w:val="center"/>
          <w:tblLayout w:type="fixed"/>
          <w:tblCellMar>
            <w:top w:w="0" w:type="dxa"/>
            <w:left w:w="108" w:type="dxa"/>
            <w:bottom w:w="0" w:type="dxa"/>
            <w:right w:w="108" w:type="dxa"/>
          </w:tblCellMar>
        </w:tblPrEx>
        <w:trPr>
          <w:jc w:val="center"/>
        </w:trPr>
        <w:tc>
          <w:tcPr>
            <w:tcW w:w="1236"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对应原文</w:t>
            </w:r>
          </w:p>
        </w:tc>
        <w:tc>
          <w:tcPr>
            <w:tcW w:w="7380"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楷体" w:eastAsia="楷体" w:hAnsi="楷体" w:cs="楷体" w:hint="eastAsia"/>
              </w:rPr>
              <w:t>实际上，气候变化公约或协定把长期目标设定为保护气候系统免受人为原因引起的温室气体排放导致的干扰，其目的正是为了保护地球气候系统，这是符合后代利益的。</w:t>
            </w:r>
          </w:p>
        </w:tc>
      </w:tr>
      <w:tr>
        <w:tblPrEx>
          <w:tblW w:w="8616" w:type="dxa"/>
          <w:jc w:val="center"/>
          <w:tblLayout w:type="fixed"/>
          <w:tblCellMar>
            <w:top w:w="0" w:type="dxa"/>
            <w:left w:w="108" w:type="dxa"/>
            <w:bottom w:w="0" w:type="dxa"/>
            <w:right w:w="108" w:type="dxa"/>
          </w:tblCellMar>
        </w:tblPrEx>
        <w:trPr>
          <w:jc w:val="center"/>
        </w:trPr>
        <w:tc>
          <w:tcPr>
            <w:tcW w:w="1236"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比对分析</w:t>
            </w:r>
          </w:p>
        </w:tc>
        <w:tc>
          <w:tcPr>
            <w:tcW w:w="7380" w:type="dxa"/>
            <w:shd w:val="clear" w:color="auto" w:fill="auto"/>
            <w:vAlign w:val="center"/>
          </w:tcPr>
          <w:p>
            <w:pPr>
              <w:pStyle w:val="PlainText"/>
              <w:tabs>
                <w:tab w:val="left" w:pos="4305"/>
              </w:tabs>
              <w:snapToGrid w:val="0"/>
              <w:spacing w:line="360" w:lineRule="auto"/>
              <w:jc w:val="left"/>
              <w:rPr>
                <w:rFonts w:ascii="Times New Roman" w:hAnsi="Times New Roman"/>
              </w:rPr>
            </w:pPr>
            <w:r>
              <w:rPr>
                <w:rFonts w:ascii="Times New Roman" w:hAnsi="Times New Roman"/>
              </w:rPr>
              <w:t>原文只是明确了“气候变化公约或协定”“长期目标”的内涵，而选项从假设“目标能落实”的角度，推论出“后代需求就可以得到保证”的结论，表述武断绝对。气候变化公约或协定的长期目标是保护气候系统免受人为因素的干扰，而气候系统可能还会受到其他因素的干扰，因此不能说“如果气候变化公约……能落实，那么后代需求就可以得到保证”。故确定选项不正确。</w:t>
            </w:r>
          </w:p>
        </w:tc>
      </w:tr>
    </w:tbl>
    <w:p>
      <w:pPr>
        <w:pStyle w:val="PlainText"/>
        <w:keepNext w:val="0"/>
        <w:keepLines w:val="0"/>
        <w:pageBreakBefore w:val="0"/>
        <w:widowControl w:val="0"/>
        <w:tabs>
          <w:tab w:val="left" w:pos="3402"/>
        </w:tabs>
        <w:kinsoku/>
        <w:wordWrap/>
        <w:overflowPunct/>
        <w:topLinePunct w:val="0"/>
        <w:autoSpaceDE/>
        <w:autoSpaceDN/>
        <w:bidi w:val="0"/>
        <w:adjustRightInd/>
        <w:snapToGrid/>
        <w:spacing w:line="360" w:lineRule="auto"/>
        <w:ind w:left="0" w:right="0" w:firstLine="420" w:leftChars="0" w:rightChars="0" w:firstLineChars="200"/>
        <w:jc w:val="both"/>
        <w:textAlignment w:val="auto"/>
        <w:outlineLvl w:val="9"/>
        <w:rPr>
          <w:rFonts w:hAnsi="宋体" w:cs="宋体" w:hint="eastAsia"/>
          <w:b w:val="0"/>
          <w:bCs w:val="0"/>
          <w:sz w:val="21"/>
        </w:rPr>
      </w:pPr>
    </w:p>
    <w:p>
      <w:pPr>
        <w:pStyle w:val="PlainText"/>
        <w:tabs>
          <w:tab w:val="left" w:pos="4305"/>
        </w:tabs>
        <w:snapToGrid w:val="0"/>
        <w:spacing w:line="360" w:lineRule="auto"/>
        <w:jc w:val="left"/>
        <w:rPr>
          <w:rFonts w:ascii="Times New Roman" w:hAnsi="Times New Roman"/>
        </w:rPr>
      </w:pPr>
      <w:r>
        <w:rPr>
          <w:rFonts w:ascii="黑体" w:eastAsia="黑体" w:hAnsi="黑体" w:cs="黑体" w:hint="eastAsia"/>
          <w:b/>
        </w:rPr>
        <w:t>【思维导图】</w:t>
      </w:r>
    </w:p>
    <w:p>
      <w:pPr>
        <w:pStyle w:val="PlainText"/>
        <w:tabs>
          <w:tab w:val="left" w:pos="4305"/>
        </w:tabs>
        <w:snapToGrid w:val="0"/>
        <w:spacing w:line="360" w:lineRule="auto"/>
        <w:ind w:firstLine="420" w:firstLineChars="200"/>
        <w:jc w:val="left"/>
        <w:rPr>
          <w:rFonts w:ascii="Times New Roman" w:eastAsia="宋体-方正超大字符集" w:hAnsi="Times New Roman"/>
        </w:rPr>
        <w:sectPr>
          <w:footerReference w:type="default" r:id="rId18"/>
          <w:type w:val="nextPage"/>
          <w:pgSz w:w="11906" w:h="16838"/>
          <w:pgMar w:top="1440" w:right="1080" w:bottom="1440" w:left="1080" w:header="851" w:footer="992" w:gutter="0"/>
          <w:pgNumType w:fmt="decimal" w:start="10"/>
          <w:cols w:num="1" w:space="425"/>
          <w:titlePg w:val="0"/>
          <w:docGrid w:type="lines" w:linePitch="312" w:charSpace="0"/>
        </w:sectPr>
      </w:pPr>
      <w:r>
        <w:rPr>
          <w:rFonts w:ascii="Times New Roman" w:eastAsia="宋体-方正超大字符集" w:hAnsi="Times New Roman"/>
          <w:lang w:val="en-US"/>
        </w:rPr>
        <w:drawing>
          <wp:anchor distT="0" distB="0" distL="114300" distR="114300" simplePos="0" relativeHeight="251658240" behindDoc="0" locked="0" layoutInCell="1" allowOverlap="1">
            <wp:simplePos x="0" y="0"/>
            <wp:positionH relativeFrom="column">
              <wp:posOffset>2686050</wp:posOffset>
            </wp:positionH>
            <wp:positionV relativeFrom="paragraph">
              <wp:posOffset>647700</wp:posOffset>
            </wp:positionV>
            <wp:extent cx="2016760" cy="843915"/>
            <wp:effectExtent l="0" t="0" r="2540" b="13335"/>
            <wp:wrapSquare wrapText="bothSides"/>
            <wp:docPr id="19"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5"/>
                    <pic:cNvPicPr>
                      <a:picLocks noChangeAspect="1"/>
                    </pic:cNvPicPr>
                  </pic:nvPicPr>
                  <pic:blipFill>
                    <a:blip xmlns:r="http://schemas.openxmlformats.org/officeDocument/2006/relationships" r:embed="rId19"/>
                    <a:stretch>
                      <a:fillRect/>
                    </a:stretch>
                  </pic:blipFill>
                  <pic:spPr>
                    <a:xfrm>
                      <a:off x="0" y="0"/>
                      <a:ext cx="2016760" cy="843915"/>
                    </a:xfrm>
                    <a:prstGeom prst="rect">
                      <a:avLst/>
                    </a:prstGeom>
                    <a:noFill/>
                    <a:ln w="9525">
                      <a:noFill/>
                    </a:ln>
                  </pic:spPr>
                </pic:pic>
              </a:graphicData>
            </a:graphic>
          </wp:anchor>
        </w:drawing>
      </w:r>
      <w:r>
        <w:rPr>
          <w:rFonts w:ascii="Times New Roman" w:eastAsia="宋体-方正超大字符集" w:hAnsi="Times New Roman"/>
          <w:lang w:val="en-US"/>
        </w:rPr>
        <w:drawing>
          <wp:inline distT="0" distB="0" distL="114300" distR="114300">
            <wp:extent cx="1463675" cy="2055495"/>
            <wp:effectExtent l="0" t="0" r="3175" b="1905"/>
            <wp:docPr id="18"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4"/>
                    <pic:cNvPicPr>
                      <a:picLocks noChangeAspect="1"/>
                    </pic:cNvPicPr>
                  </pic:nvPicPr>
                  <pic:blipFill>
                    <a:blip xmlns:r="http://schemas.openxmlformats.org/officeDocument/2006/relationships" r:embed="rId20"/>
                    <a:stretch>
                      <a:fillRect/>
                    </a:stretch>
                  </pic:blipFill>
                  <pic:spPr>
                    <a:xfrm>
                      <a:off x="0" y="0"/>
                      <a:ext cx="1463675" cy="2055495"/>
                    </a:xfrm>
                    <a:prstGeom prst="rect">
                      <a:avLst/>
                    </a:prstGeom>
                    <a:noFill/>
                    <a:ln w="9525">
                      <a:noFill/>
                    </a:ln>
                  </pic:spPr>
                </pic:pic>
              </a:graphicData>
            </a:graphic>
          </wp:inline>
        </w:drawing>
      </w:r>
    </w:p>
    <w:p>
      <w:pPr>
        <w:pStyle w:val="BodyText"/>
        <w:keepNext w:val="0"/>
        <w:keepLines w:val="0"/>
        <w:pageBreakBefore w:val="0"/>
        <w:numPr>
          <w:ilvl w:val="0"/>
          <w:numId w:val="0"/>
        </w:numPr>
        <w:kinsoku/>
        <w:wordWrap/>
        <w:overflowPunct/>
        <w:topLinePunct w:val="0"/>
        <w:autoSpaceDE/>
        <w:autoSpaceDN/>
        <w:bidi w:val="0"/>
        <w:adjustRightInd/>
        <w:snapToGrid/>
        <w:spacing w:after="0" w:line="360" w:lineRule="auto"/>
        <w:textAlignment w:val="auto"/>
        <w:rPr>
          <w:rFonts w:ascii="宋体" w:hAnsi="宋体" w:cs="宋体" w:hint="eastAsia"/>
          <w:sz w:val="21"/>
          <w:szCs w:val="21"/>
        </w:rPr>
      </w:pPr>
    </w:p>
    <w:p>
      <w:pPr>
        <w:pStyle w:val="BodyText"/>
        <w:keepNext w:val="0"/>
        <w:keepLines w:val="0"/>
        <w:pageBreakBefore w:val="0"/>
        <w:numPr>
          <w:ilvl w:val="0"/>
          <w:numId w:val="0"/>
        </w:numPr>
        <w:kinsoku/>
        <w:wordWrap/>
        <w:overflowPunct/>
        <w:topLinePunct w:val="0"/>
        <w:autoSpaceDE/>
        <w:autoSpaceDN/>
        <w:bidi w:val="0"/>
        <w:adjustRightInd/>
        <w:snapToGrid/>
        <w:spacing w:after="0" w:line="360" w:lineRule="auto"/>
        <w:jc w:val="center"/>
        <w:textAlignment w:val="auto"/>
        <w:rPr>
          <w:rFonts w:ascii="宋体" w:hAnsi="宋体" w:cs="宋体" w:hint="eastAsia"/>
          <w:b/>
          <w:bCs/>
          <w:sz w:val="21"/>
          <w:szCs w:val="21"/>
          <w:lang w:val="en-US" w:eastAsia="zh-CN"/>
        </w:rPr>
      </w:pPr>
      <w:r>
        <w:rPr>
          <w:rFonts w:ascii="宋体" w:eastAsia="宋体" w:hAnsi="宋体" w:cs="宋体" w:hint="eastAsia"/>
          <w:b/>
          <w:bCs/>
          <w:sz w:val="21"/>
          <w:szCs w:val="21"/>
          <w:lang w:val="en-US" w:eastAsia="zh-CN"/>
        </w:rPr>
        <w:t>论述类文本主观题</w:t>
      </w:r>
    </w:p>
    <w:p>
      <w:pPr>
        <w:rPr>
          <w:rFonts w:ascii="宋体" w:eastAsia="宋体" w:hAnsi="宋体" w:cs="宋体" w:hint="eastAsia"/>
          <w:b/>
          <w:bCs/>
          <w:szCs w:val="21"/>
        </w:rPr>
      </w:pPr>
    </w:p>
    <w:p>
      <w:pPr>
        <w:pStyle w:val="BodyText"/>
        <w:rPr>
          <w:rFonts w:hint="eastAsia"/>
          <w:lang w:val="en-US" w:eastAsia="zh-CN"/>
        </w:rPr>
      </w:pPr>
    </w:p>
    <w:p>
      <w:pPr>
        <w:pStyle w:val="BodyText"/>
        <w:keepNext w:val="0"/>
        <w:keepLines w:val="0"/>
        <w:pageBreakBefore w:val="0"/>
        <w:numPr>
          <w:ilvl w:val="0"/>
          <w:numId w:val="0"/>
        </w:numPr>
        <w:kinsoku/>
        <w:wordWrap/>
        <w:overflowPunct/>
        <w:topLinePunct w:val="0"/>
        <w:autoSpaceDE/>
        <w:autoSpaceDN/>
        <w:bidi w:val="0"/>
        <w:adjustRightInd/>
        <w:snapToGrid/>
        <w:spacing w:after="0" w:line="360" w:lineRule="auto"/>
        <w:textAlignment w:val="auto"/>
        <w:rPr>
          <w:rFonts w:ascii="宋体" w:hAnsi="宋体" w:cs="宋体" w:hint="eastAsia"/>
          <w:sz w:val="21"/>
          <w:szCs w:val="21"/>
        </w:rPr>
      </w:pPr>
      <w:r>
        <w:rPr>
          <w:rFonts w:ascii="宋体" w:eastAsia="宋体" w:hAnsi="宋体" w:cs="宋体" w:hint="eastAsia"/>
          <w:sz w:val="21"/>
          <w:szCs w:val="21"/>
        </w:rPr>
        <w:drawing>
          <wp:anchor distT="0" distB="0" distL="114300" distR="114300" simplePos="0" relativeHeight="251659264" behindDoc="0" locked="0" layoutInCell="1" allowOverlap="1">
            <wp:simplePos x="0" y="0"/>
            <wp:positionH relativeFrom="column">
              <wp:posOffset>-7620</wp:posOffset>
            </wp:positionH>
            <wp:positionV relativeFrom="paragraph">
              <wp:posOffset>198755</wp:posOffset>
            </wp:positionV>
            <wp:extent cx="6384290" cy="6635750"/>
            <wp:effectExtent l="0" t="0" r="16510" b="12700"/>
            <wp:wrapTopAndBottom/>
            <wp:docPr id="13"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7"/>
                    <pic:cNvPicPr>
                      <a:picLocks noChangeAspect="1"/>
                    </pic:cNvPicPr>
                  </pic:nvPicPr>
                  <pic:blipFill>
                    <a:blip xmlns:r="http://schemas.openxmlformats.org/officeDocument/2006/relationships" r:embed="rId21"/>
                    <a:stretch>
                      <a:fillRect/>
                    </a:stretch>
                  </pic:blipFill>
                  <pic:spPr>
                    <a:xfrm>
                      <a:off x="0" y="0"/>
                      <a:ext cx="6384290" cy="6635750"/>
                    </a:xfrm>
                    <a:prstGeom prst="rect">
                      <a:avLst/>
                    </a:prstGeom>
                    <a:noFill/>
                    <a:ln>
                      <a:noFill/>
                    </a:ln>
                  </pic:spPr>
                </pic:pic>
              </a:graphicData>
            </a:graphic>
          </wp:anchor>
        </w:drawing>
      </w:r>
    </w:p>
    <w:p/>
    <w:p>
      <w:pPr>
        <w:pStyle w:val="BodyText"/>
      </w:pPr>
      <w:r>
        <w:br/>
      </w:r>
      <w: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2" w:history="1">
        <w:r>
          <w:rPr>
            <w:rFonts w:ascii="SimSun" w:eastAsia="SimSun" w:hAnsi="SimSun" w:cs="SimSun"/>
            <w:b/>
            <w:bCs/>
            <w:color w:val="0000EE"/>
            <w:kern w:val="0"/>
            <w:sz w:val="30"/>
            <w:szCs w:val="30"/>
            <w:u w:val="single" w:color="0000EE"/>
          </w:rPr>
          <w:t>https://d.book118.com/527044066016006046</w:t>
        </w:r>
      </w:hyperlink>
    </w:p>
    <w:p>
      <w:pPr>
        <w:pStyle w:val="BodyText"/>
      </w:pPr>
    </w:p>
    <w:sectPr>
      <w:footerReference w:type="default" r:id="rId23"/>
      <w:type w:val="nextPage"/>
      <w:pgSz w:w="11906" w:h="16838"/>
      <w:pgMar w:top="1440" w:right="1080" w:bottom="1440" w:left="1080" w:header="851" w:footer="992" w:gutter="0"/>
      <w:pgNumType w:fmt="decimal" w:start="11"/>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宋体-方正超大字符集">
    <w:altName w:val="宋体"/>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a:extLst>
                        <a:ext xmlns:a="http://schemas.openxmlformats.org/drawingml/2006/main" uri="{909E8E84-426E-40DD-AFC4-6F175D3DCCD1}">
                          <a14:hiddenFill xmlns:a14="http://schemas.microsoft.com/office/drawing/2010/main">
                            <a:solidFill>
                              <a:schemeClr val="lt1"/>
                            </a:solidFill>
                          </a14:hiddenFill>
                        </a:ext>
                        <a:ext xmlns:a="http://schemas.openxmlformats.org/drawingml/2006/main"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Footer"/>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13</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2049" type="#_x0000_t202" style="width:2in;height:2in;margin-top:0;margin-left:0;mso-position-horizontal:center;mso-position-horizontal-relative:margin;mso-wrap-distance-bottom:0;mso-wrap-distance-left:9pt;mso-wrap-distance-right:9pt;mso-wrap-distance-top:0;mso-wrap-style:none;position:absolute;v-text-anchor:top;z-index:251658240" filled="f" fillcolor="this" stroked="f" strokeweight="0.5pt">
              <v:textbox style="mso-fit-shape-to-text:t" inset="0,0,0,0">
                <w:txbxContent>
                  <w:p>
                    <w:pPr>
                      <w:pStyle w:val="Footer"/>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13</w:t>
                    </w:r>
                    <w:r>
                      <w:fldChar w:fldCharType="end"/>
                    </w:r>
                    <w:r>
                      <w:t xml:space="preserve"> 页</w:t>
                    </w:r>
                  </w:p>
                </w:txbxContent>
              </v:textbox>
              <w10:wrap anchorx="margin"/>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711249734" name="文本框 2"/>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a:extLst>
                        <a:ext xmlns:a="http://schemas.openxmlformats.org/drawingml/2006/main" uri="{909E8E84-426E-40DD-AFC4-6F175D3DCCD1}">
                          <a14:hiddenFill xmlns:a14="http://schemas.microsoft.com/office/drawing/2010/main">
                            <a:solidFill>
                              <a:schemeClr val="lt1"/>
                            </a:solidFill>
                          </a14:hiddenFill>
                        </a:ext>
                        <a:ext xmlns:a="http://schemas.openxmlformats.org/drawingml/2006/main"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Footer"/>
                          </w:pPr>
                          <w:r>
                            <w:t xml:space="preserve">第 </w:t>
                          </w:r>
                          <w:r>
                            <w:fldChar w:fldCharType="begin"/>
                          </w:r>
                          <w:r>
                            <w:instrText xml:space="preserve"> PAGE  \* MERGEFORMAT </w:instrText>
                          </w:r>
                          <w:r>
                            <w:fldChar w:fldCharType="separate"/>
                          </w:r>
                          <w:r>
                            <w:t>11</w:t>
                          </w:r>
                          <w:r>
                            <w:fldChar w:fldCharType="end"/>
                          </w:r>
                          <w:r>
                            <w:t xml:space="preserve"> 页 共 </w:t>
                          </w:r>
                          <w:r>
                            <w:fldChar w:fldCharType="begin"/>
                          </w:r>
                          <w:r>
                            <w:instrText xml:space="preserve"> NUMPAGES  \* MERGEFORMAT </w:instrText>
                          </w:r>
                          <w:r>
                            <w:fldChar w:fldCharType="separate"/>
                          </w:r>
                          <w:r>
                            <w:t>13</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2058" type="#_x0000_t202" style="width:2in;height:2in;margin-top:0;margin-left:0;mso-position-horizontal:center;mso-position-horizontal-relative:margin;mso-wrap-distance-bottom:0;mso-wrap-distance-left:9pt;mso-wrap-distance-right:9pt;mso-wrap-distance-top:0;mso-wrap-style:none;position:absolute;v-text-anchor:top;z-index:251676672" filled="f" fillcolor="this" stroked="f" strokeweight="0.5pt">
              <v:textbox style="mso-fit-shape-to-text:t" inset="0,0,0,0">
                <w:txbxContent>
                  <w:p>
                    <w:pPr>
                      <w:pStyle w:val="Footer"/>
                    </w:pPr>
                    <w:r>
                      <w:t xml:space="preserve">第 </w:t>
                    </w:r>
                    <w:r>
                      <w:fldChar w:fldCharType="begin"/>
                    </w:r>
                    <w:r>
                      <w:instrText xml:space="preserve"> PAGE  \* MERGEFORMAT </w:instrText>
                    </w:r>
                    <w:r>
                      <w:fldChar w:fldCharType="separate"/>
                    </w:r>
                    <w:r>
                      <w:t>11</w:t>
                    </w:r>
                    <w:r>
                      <w:fldChar w:fldCharType="end"/>
                    </w:r>
                    <w:r>
                      <w:t xml:space="preserve"> 页 共 </w:t>
                    </w:r>
                    <w:r>
                      <w:fldChar w:fldCharType="begin"/>
                    </w:r>
                    <w:r>
                      <w:instrText xml:space="preserve"> NUMPAGES  \* MERGEFORMAT </w:instrText>
                    </w:r>
                    <w:r>
                      <w:fldChar w:fldCharType="separate"/>
                    </w:r>
                    <w:r>
                      <w:t>13</w:t>
                    </w:r>
                    <w:r>
                      <w:fldChar w:fldCharType="end"/>
                    </w:r>
                    <w:r>
                      <w:t xml:space="preserve"> 页</w:t>
                    </w:r>
                  </w:p>
                </w:txbxContent>
              </v:textbox>
              <w10:wrap anchorx="margin"/>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989440820" name="文本框 2"/>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a:extLst>
                        <a:ext xmlns:a="http://schemas.openxmlformats.org/drawingml/2006/main" uri="{909E8E84-426E-40DD-AFC4-6F175D3DCCD1}">
                          <a14:hiddenFill xmlns:a14="http://schemas.microsoft.com/office/drawing/2010/main">
                            <a:solidFill>
                              <a:schemeClr val="lt1"/>
                            </a:solidFill>
                          </a14:hiddenFill>
                        </a:ext>
                        <a:ext xmlns:a="http://schemas.openxmlformats.org/drawingml/2006/main"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Footer"/>
                          </w:pPr>
                          <w:r>
                            <w:t xml:space="preserve">第 </w:t>
                          </w:r>
                          <w:r>
                            <w:fldChar w:fldCharType="begin"/>
                          </w:r>
                          <w:r>
                            <w:instrText xml:space="preserve"> PAGE  \* MERGEFORMAT </w:instrText>
                          </w:r>
                          <w:r>
                            <w:fldChar w:fldCharType="separate"/>
                          </w:r>
                          <w:r>
                            <w:t>11</w:t>
                          </w:r>
                          <w:r>
                            <w:fldChar w:fldCharType="end"/>
                          </w:r>
                          <w:r>
                            <w:t xml:space="preserve"> 页 共 </w:t>
                          </w:r>
                          <w:r>
                            <w:fldChar w:fldCharType="begin"/>
                          </w:r>
                          <w:r>
                            <w:instrText xml:space="preserve"> NUMPAGES  \* MERGEFORMAT </w:instrText>
                          </w:r>
                          <w:r>
                            <w:fldChar w:fldCharType="separate"/>
                          </w:r>
                          <w:r>
                            <w:t>13</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2059" type="#_x0000_t202" style="width:2in;height:2in;margin-top:0;margin-left:0;mso-position-horizontal:center;mso-position-horizontal-relative:margin;mso-wrap-distance-bottom:0;mso-wrap-distance-left:9pt;mso-wrap-distance-right:9pt;mso-wrap-distance-top:0;mso-wrap-style:none;position:absolute;v-text-anchor:top;z-index:251678720" filled="f" fillcolor="this" stroked="f" strokeweight="0.5pt">
              <v:textbox style="mso-fit-shape-to-text:t" inset="0,0,0,0">
                <w:txbxContent>
                  <w:p>
                    <w:pPr>
                      <w:pStyle w:val="Footer"/>
                    </w:pPr>
                    <w:r>
                      <w:t xml:space="preserve">第 </w:t>
                    </w:r>
                    <w:r>
                      <w:fldChar w:fldCharType="begin"/>
                    </w:r>
                    <w:r>
                      <w:instrText xml:space="preserve"> PAGE  \* MERGEFORMAT </w:instrText>
                    </w:r>
                    <w:r>
                      <w:fldChar w:fldCharType="separate"/>
                    </w:r>
                    <w:r>
                      <w:t>11</w:t>
                    </w:r>
                    <w:r>
                      <w:fldChar w:fldCharType="end"/>
                    </w:r>
                    <w:r>
                      <w:t xml:space="preserve"> 页 共 </w:t>
                    </w:r>
                    <w:r>
                      <w:fldChar w:fldCharType="begin"/>
                    </w:r>
                    <w:r>
                      <w:instrText xml:space="preserve"> NUMPAGES  \* MERGEFORMAT </w:instrText>
                    </w:r>
                    <w:r>
                      <w:fldChar w:fldCharType="separate"/>
                    </w:r>
                    <w:r>
                      <w:t>13</w:t>
                    </w:r>
                    <w:r>
                      <w:fldChar w:fldCharType="end"/>
                    </w:r>
                    <w:r>
                      <w:t xml:space="preserve"> 页</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35775404" name="文本框 2"/>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a:extLst>
                        <a:ext xmlns:a="http://schemas.openxmlformats.org/drawingml/2006/main" uri="{909E8E84-426E-40DD-AFC4-6F175D3DCCD1}">
                          <a14:hiddenFill xmlns:a14="http://schemas.microsoft.com/office/drawing/2010/main">
                            <a:solidFill>
                              <a:schemeClr val="lt1"/>
                            </a:solidFill>
                          </a14:hiddenFill>
                        </a:ext>
                        <a:ext xmlns:a="http://schemas.openxmlformats.org/drawingml/2006/main"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Footer"/>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13</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2050" type="#_x0000_t202" style="width:2in;height:2in;margin-top:0;margin-left:0;mso-position-horizontal:center;mso-position-horizontal-relative:margin;mso-wrap-distance-bottom:0;mso-wrap-distance-left:9pt;mso-wrap-distance-right:9pt;mso-wrap-distance-top:0;mso-wrap-style:none;position:absolute;v-text-anchor:top;z-index:251660288" filled="f" fillcolor="this" stroked="f" strokeweight="0.5pt">
              <v:textbox style="mso-fit-shape-to-text:t" inset="0,0,0,0">
                <w:txbxContent>
                  <w:p>
                    <w:pPr>
                      <w:pStyle w:val="Footer"/>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13</w:t>
                    </w:r>
                    <w:r>
                      <w:fldChar w:fldCharType="end"/>
                    </w:r>
                    <w:r>
                      <w:t xml:space="preserve"> 页</w:t>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528090389" name="文本框 2"/>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a:extLst>
                        <a:ext xmlns:a="http://schemas.openxmlformats.org/drawingml/2006/main" uri="{909E8E84-426E-40DD-AFC4-6F175D3DCCD1}">
                          <a14:hiddenFill xmlns:a14="http://schemas.microsoft.com/office/drawing/2010/main">
                            <a:solidFill>
                              <a:schemeClr val="lt1"/>
                            </a:solidFill>
                          </a14:hiddenFill>
                        </a:ext>
                        <a:ext xmlns:a="http://schemas.openxmlformats.org/drawingml/2006/main"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Footer"/>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13</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2051" type="#_x0000_t202" style="width:2in;height:2in;margin-top:0;margin-left:0;mso-position-horizontal:center;mso-position-horizontal-relative:margin;mso-wrap-distance-bottom:0;mso-wrap-distance-left:9pt;mso-wrap-distance-right:9pt;mso-wrap-distance-top:0;mso-wrap-style:none;position:absolute;v-text-anchor:top;z-index:251662336" filled="f" fillcolor="this" stroked="f" strokeweight="0.5pt">
              <v:textbox style="mso-fit-shape-to-text:t" inset="0,0,0,0">
                <w:txbxContent>
                  <w:p>
                    <w:pPr>
                      <w:pStyle w:val="Footer"/>
                    </w:pPr>
                    <w:r>
                      <w:t xml:space="preserve">第 </w:t>
                    </w:r>
                    <w:r>
                      <w:fldChar w:fldCharType="begin"/>
                    </w:r>
                    <w:r>
                      <w:instrText xml:space="preserve"> PAGE  \* MERGEFORMAT </w:instrText>
                    </w:r>
                    <w:r>
                      <w:fldChar w:fldCharType="separate"/>
                    </w:r>
                    <w:r>
                      <w:t>3</w:t>
                    </w:r>
                    <w:r>
                      <w:fldChar w:fldCharType="end"/>
                    </w:r>
                    <w:r>
                      <w:t xml:space="preserve"> 页 共 </w:t>
                    </w:r>
                    <w:r>
                      <w:fldChar w:fldCharType="begin"/>
                    </w:r>
                    <w:r>
                      <w:instrText xml:space="preserve"> NUMPAGES  \* MERGEFORMAT </w:instrText>
                    </w:r>
                    <w:r>
                      <w:fldChar w:fldCharType="separate"/>
                    </w:r>
                    <w:r>
                      <w:t>13</w:t>
                    </w:r>
                    <w:r>
                      <w:fldChar w:fldCharType="end"/>
                    </w:r>
                    <w:r>
                      <w:t xml:space="preserve"> 页</w:t>
                    </w:r>
                  </w:p>
                </w:txbxContent>
              </v:textbox>
              <w10:wrap anchorx="margin"/>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46196079" name="文本框 2"/>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a:extLst>
                        <a:ext xmlns:a="http://schemas.openxmlformats.org/drawingml/2006/main" uri="{909E8E84-426E-40DD-AFC4-6F175D3DCCD1}">
                          <a14:hiddenFill xmlns:a14="http://schemas.microsoft.com/office/drawing/2010/main">
                            <a:solidFill>
                              <a:schemeClr val="lt1"/>
                            </a:solidFill>
                          </a14:hiddenFill>
                        </a:ext>
                        <a:ext xmlns:a="http://schemas.openxmlformats.org/drawingml/2006/main"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Footer"/>
                          </w:pPr>
                          <w:r>
                            <w:t xml:space="preserve">第 </w:t>
                          </w:r>
                          <w:r>
                            <w:fldChar w:fldCharType="begin"/>
                          </w:r>
                          <w:r>
                            <w:instrText xml:space="preserve"> PAGE  \* MERGEFORMAT </w:instrText>
                          </w:r>
                          <w:r>
                            <w:fldChar w:fldCharType="separate"/>
                          </w:r>
                          <w:r>
                            <w:t>4</w:t>
                          </w:r>
                          <w:r>
                            <w:fldChar w:fldCharType="end"/>
                          </w:r>
                          <w:r>
                            <w:t xml:space="preserve"> 页 共 </w:t>
                          </w:r>
                          <w:r>
                            <w:fldChar w:fldCharType="begin"/>
                          </w:r>
                          <w:r>
                            <w:instrText xml:space="preserve"> NUMPAGES  \* MERGEFORMAT </w:instrText>
                          </w:r>
                          <w:r>
                            <w:fldChar w:fldCharType="separate"/>
                          </w:r>
                          <w:r>
                            <w:t>13</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2052" type="#_x0000_t202" style="width:2in;height:2in;margin-top:0;margin-left:0;mso-position-horizontal:center;mso-position-horizontal-relative:margin;mso-wrap-distance-bottom:0;mso-wrap-distance-left:9pt;mso-wrap-distance-right:9pt;mso-wrap-distance-top:0;mso-wrap-style:none;position:absolute;v-text-anchor:top;z-index:251664384" filled="f" fillcolor="this" stroked="f" strokeweight="0.5pt">
              <v:textbox style="mso-fit-shape-to-text:t" inset="0,0,0,0">
                <w:txbxContent>
                  <w:p>
                    <w:pPr>
                      <w:pStyle w:val="Footer"/>
                    </w:pPr>
                    <w:r>
                      <w:t xml:space="preserve">第 </w:t>
                    </w:r>
                    <w:r>
                      <w:fldChar w:fldCharType="begin"/>
                    </w:r>
                    <w:r>
                      <w:instrText xml:space="preserve"> PAGE  \* MERGEFORMAT </w:instrText>
                    </w:r>
                    <w:r>
                      <w:fldChar w:fldCharType="separate"/>
                    </w:r>
                    <w:r>
                      <w:t>4</w:t>
                    </w:r>
                    <w:r>
                      <w:fldChar w:fldCharType="end"/>
                    </w:r>
                    <w:r>
                      <w:t xml:space="preserve"> 页 共 </w:t>
                    </w:r>
                    <w:r>
                      <w:fldChar w:fldCharType="begin"/>
                    </w:r>
                    <w:r>
                      <w:instrText xml:space="preserve"> NUMPAGES  \* MERGEFORMAT </w:instrText>
                    </w:r>
                    <w:r>
                      <w:fldChar w:fldCharType="separate"/>
                    </w:r>
                    <w:r>
                      <w:t>13</w:t>
                    </w:r>
                    <w:r>
                      <w:fldChar w:fldCharType="end"/>
                    </w:r>
                    <w:r>
                      <w:t xml:space="preserve"> 页</w:t>
                    </w: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68488136" name="文本框 2"/>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a:extLst>
                        <a:ext xmlns:a="http://schemas.openxmlformats.org/drawingml/2006/main" uri="{909E8E84-426E-40DD-AFC4-6F175D3DCCD1}">
                          <a14:hiddenFill xmlns:a14="http://schemas.microsoft.com/office/drawing/2010/main">
                            <a:solidFill>
                              <a:schemeClr val="lt1"/>
                            </a:solidFill>
                          </a14:hiddenFill>
                        </a:ext>
                        <a:ext xmlns:a="http://schemas.openxmlformats.org/drawingml/2006/main"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Footer"/>
                          </w:pPr>
                          <w:r>
                            <w:t xml:space="preserve">第 </w:t>
                          </w:r>
                          <w:r>
                            <w:fldChar w:fldCharType="begin"/>
                          </w:r>
                          <w:r>
                            <w:instrText xml:space="preserve"> PAGE  \* MERGEFORMAT </w:instrText>
                          </w:r>
                          <w:r>
                            <w:fldChar w:fldCharType="separate"/>
                          </w:r>
                          <w:r>
                            <w:t>5</w:t>
                          </w:r>
                          <w:r>
                            <w:fldChar w:fldCharType="end"/>
                          </w:r>
                          <w:r>
                            <w:t xml:space="preserve"> 页 共 </w:t>
                          </w:r>
                          <w:r>
                            <w:fldChar w:fldCharType="begin"/>
                          </w:r>
                          <w:r>
                            <w:instrText xml:space="preserve"> NUMPAGES  \* MERGEFORMAT </w:instrText>
                          </w:r>
                          <w:r>
                            <w:fldChar w:fldCharType="separate"/>
                          </w:r>
                          <w:r>
                            <w:t>13</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2053" type="#_x0000_t202" style="width:2in;height:2in;margin-top:0;margin-left:0;mso-position-horizontal:center;mso-position-horizontal-relative:margin;mso-wrap-distance-bottom:0;mso-wrap-distance-left:9pt;mso-wrap-distance-right:9pt;mso-wrap-distance-top:0;mso-wrap-style:none;position:absolute;v-text-anchor:top;z-index:251666432" filled="f" fillcolor="this" stroked="f" strokeweight="0.5pt">
              <v:textbox style="mso-fit-shape-to-text:t" inset="0,0,0,0">
                <w:txbxContent>
                  <w:p>
                    <w:pPr>
                      <w:pStyle w:val="Footer"/>
                    </w:pPr>
                    <w:r>
                      <w:t xml:space="preserve">第 </w:t>
                    </w:r>
                    <w:r>
                      <w:fldChar w:fldCharType="begin"/>
                    </w:r>
                    <w:r>
                      <w:instrText xml:space="preserve"> PAGE  \* MERGEFORMAT </w:instrText>
                    </w:r>
                    <w:r>
                      <w:fldChar w:fldCharType="separate"/>
                    </w:r>
                    <w:r>
                      <w:t>5</w:t>
                    </w:r>
                    <w:r>
                      <w:fldChar w:fldCharType="end"/>
                    </w:r>
                    <w:r>
                      <w:t xml:space="preserve"> 页 共 </w:t>
                    </w:r>
                    <w:r>
                      <w:fldChar w:fldCharType="begin"/>
                    </w:r>
                    <w:r>
                      <w:instrText xml:space="preserve"> NUMPAGES  \* MERGEFORMAT </w:instrText>
                    </w:r>
                    <w:r>
                      <w:fldChar w:fldCharType="separate"/>
                    </w:r>
                    <w:r>
                      <w:t>13</w:t>
                    </w:r>
                    <w:r>
                      <w:fldChar w:fldCharType="end"/>
                    </w:r>
                    <w:r>
                      <w:t xml:space="preserve"> 页</w:t>
                    </w:r>
                  </w:p>
                </w:txbxContent>
              </v:textbox>
              <w10:wrap anchorx="margin"/>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06920379" name="文本框 2"/>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a:extLst>
                        <a:ext xmlns:a="http://schemas.openxmlformats.org/drawingml/2006/main" uri="{909E8E84-426E-40DD-AFC4-6F175D3DCCD1}">
                          <a14:hiddenFill xmlns:a14="http://schemas.microsoft.com/office/drawing/2010/main">
                            <a:solidFill>
                              <a:schemeClr val="lt1"/>
                            </a:solidFill>
                          </a14:hiddenFill>
                        </a:ext>
                        <a:ext xmlns:a="http://schemas.openxmlformats.org/drawingml/2006/main"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Footer"/>
                          </w:pPr>
                          <w:r>
                            <w:t xml:space="preserve">第 </w:t>
                          </w:r>
                          <w:r>
                            <w:fldChar w:fldCharType="begin"/>
                          </w:r>
                          <w:r>
                            <w:instrText xml:space="preserve"> PAGE  \* MERGEFORMAT </w:instrText>
                          </w:r>
                          <w:r>
                            <w:fldChar w:fldCharType="separate"/>
                          </w:r>
                          <w:r>
                            <w:t>7</w:t>
                          </w:r>
                          <w:r>
                            <w:fldChar w:fldCharType="end"/>
                          </w:r>
                          <w:r>
                            <w:t xml:space="preserve"> 页 共 </w:t>
                          </w:r>
                          <w:r>
                            <w:fldChar w:fldCharType="begin"/>
                          </w:r>
                          <w:r>
                            <w:instrText xml:space="preserve"> NUMPAGES  \* MERGEFORMAT </w:instrText>
                          </w:r>
                          <w:r>
                            <w:fldChar w:fldCharType="separate"/>
                          </w:r>
                          <w:r>
                            <w:t>13</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2054" type="#_x0000_t202" style="width:2in;height:2in;margin-top:0;margin-left:0;mso-position-horizontal:center;mso-position-horizontal-relative:margin;mso-wrap-distance-bottom:0;mso-wrap-distance-left:9pt;mso-wrap-distance-right:9pt;mso-wrap-distance-top:0;mso-wrap-style:none;position:absolute;v-text-anchor:top;z-index:251668480" filled="f" fillcolor="this" stroked="f" strokeweight="0.5pt">
              <v:textbox style="mso-fit-shape-to-text:t" inset="0,0,0,0">
                <w:txbxContent>
                  <w:p>
                    <w:pPr>
                      <w:pStyle w:val="Footer"/>
                    </w:pPr>
                    <w:r>
                      <w:t xml:space="preserve">第 </w:t>
                    </w:r>
                    <w:r>
                      <w:fldChar w:fldCharType="begin"/>
                    </w:r>
                    <w:r>
                      <w:instrText xml:space="preserve"> PAGE  \* MERGEFORMAT </w:instrText>
                    </w:r>
                    <w:r>
                      <w:fldChar w:fldCharType="separate"/>
                    </w:r>
                    <w:r>
                      <w:t>7</w:t>
                    </w:r>
                    <w:r>
                      <w:fldChar w:fldCharType="end"/>
                    </w:r>
                    <w:r>
                      <w:t xml:space="preserve"> 页 共 </w:t>
                    </w:r>
                    <w:r>
                      <w:fldChar w:fldCharType="begin"/>
                    </w:r>
                    <w:r>
                      <w:instrText xml:space="preserve"> NUMPAGES  \* MERGEFORMAT </w:instrText>
                    </w:r>
                    <w:r>
                      <w:fldChar w:fldCharType="separate"/>
                    </w:r>
                    <w:r>
                      <w:t>13</w:t>
                    </w:r>
                    <w:r>
                      <w:fldChar w:fldCharType="end"/>
                    </w:r>
                    <w:r>
                      <w:t xml:space="preserve"> 页</w:t>
                    </w:r>
                  </w:p>
                </w:txbxContent>
              </v:textbox>
              <w10:wrap anchorx="margin"/>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782524313" name="文本框 2"/>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a:extLst>
                        <a:ext xmlns:a="http://schemas.openxmlformats.org/drawingml/2006/main" uri="{909E8E84-426E-40DD-AFC4-6F175D3DCCD1}">
                          <a14:hiddenFill xmlns:a14="http://schemas.microsoft.com/office/drawing/2010/main">
                            <a:solidFill>
                              <a:schemeClr val="lt1"/>
                            </a:solidFill>
                          </a14:hiddenFill>
                        </a:ext>
                        <a:ext xmlns:a="http://schemas.openxmlformats.org/drawingml/2006/main"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Footer"/>
                          </w:pPr>
                          <w:r>
                            <w:t xml:space="preserve">第 </w:t>
                          </w:r>
                          <w:r>
                            <w:fldChar w:fldCharType="begin"/>
                          </w:r>
                          <w:r>
                            <w:instrText xml:space="preserve"> PAGE  \* MERGEFORMAT </w:instrText>
                          </w:r>
                          <w:r>
                            <w:fldChar w:fldCharType="separate"/>
                          </w:r>
                          <w:r>
                            <w:t>7</w:t>
                          </w:r>
                          <w:r>
                            <w:fldChar w:fldCharType="end"/>
                          </w:r>
                          <w:r>
                            <w:t xml:space="preserve"> 页 共 </w:t>
                          </w:r>
                          <w:r>
                            <w:fldChar w:fldCharType="begin"/>
                          </w:r>
                          <w:r>
                            <w:instrText xml:space="preserve"> NUMPAGES  \* MERGEFORMAT </w:instrText>
                          </w:r>
                          <w:r>
                            <w:fldChar w:fldCharType="separate"/>
                          </w:r>
                          <w:r>
                            <w:t>13</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2055" type="#_x0000_t202" style="width:2in;height:2in;margin-top:0;margin-left:0;mso-position-horizontal:center;mso-position-horizontal-relative:margin;mso-wrap-distance-bottom:0;mso-wrap-distance-left:9pt;mso-wrap-distance-right:9pt;mso-wrap-distance-top:0;mso-wrap-style:none;position:absolute;v-text-anchor:top;z-index:251670528" filled="f" fillcolor="this" stroked="f" strokeweight="0.5pt">
              <v:textbox style="mso-fit-shape-to-text:t" inset="0,0,0,0">
                <w:txbxContent>
                  <w:p>
                    <w:pPr>
                      <w:pStyle w:val="Footer"/>
                    </w:pPr>
                    <w:r>
                      <w:t xml:space="preserve">第 </w:t>
                    </w:r>
                    <w:r>
                      <w:fldChar w:fldCharType="begin"/>
                    </w:r>
                    <w:r>
                      <w:instrText xml:space="preserve"> PAGE  \* MERGEFORMAT </w:instrText>
                    </w:r>
                    <w:r>
                      <w:fldChar w:fldCharType="separate"/>
                    </w:r>
                    <w:r>
                      <w:t>7</w:t>
                    </w:r>
                    <w:r>
                      <w:fldChar w:fldCharType="end"/>
                    </w:r>
                    <w:r>
                      <w:t xml:space="preserve"> 页 共 </w:t>
                    </w:r>
                    <w:r>
                      <w:fldChar w:fldCharType="begin"/>
                    </w:r>
                    <w:r>
                      <w:instrText xml:space="preserve"> NUMPAGES  \* MERGEFORMAT </w:instrText>
                    </w:r>
                    <w:r>
                      <w:fldChar w:fldCharType="separate"/>
                    </w:r>
                    <w:r>
                      <w:t>13</w:t>
                    </w:r>
                    <w:r>
                      <w:fldChar w:fldCharType="end"/>
                    </w:r>
                    <w:r>
                      <w:t xml:space="preserve"> 页</w:t>
                    </w:r>
                  </w:p>
                </w:txbxContent>
              </v:textbox>
              <w10:wrap anchorx="margin"/>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82078460" name="文本框 2"/>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a:extLst>
                        <a:ext xmlns:a="http://schemas.openxmlformats.org/drawingml/2006/main" uri="{909E8E84-426E-40DD-AFC4-6F175D3DCCD1}">
                          <a14:hiddenFill xmlns:a14="http://schemas.microsoft.com/office/drawing/2010/main">
                            <a:solidFill>
                              <a:schemeClr val="lt1"/>
                            </a:solidFill>
                          </a14:hiddenFill>
                        </a:ext>
                        <a:ext xmlns:a="http://schemas.openxmlformats.org/drawingml/2006/main"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Footer"/>
                          </w:pPr>
                          <w:r>
                            <w:t xml:space="preserve">第 </w:t>
                          </w:r>
                          <w:r>
                            <w:fldChar w:fldCharType="begin"/>
                          </w:r>
                          <w:r>
                            <w:instrText xml:space="preserve"> PAGE  \* MERGEFORMAT </w:instrText>
                          </w:r>
                          <w:r>
                            <w:fldChar w:fldCharType="separate"/>
                          </w:r>
                          <w:r>
                            <w:t>8</w:t>
                          </w:r>
                          <w:r>
                            <w:fldChar w:fldCharType="end"/>
                          </w:r>
                          <w:r>
                            <w:t xml:space="preserve"> 页 共 </w:t>
                          </w:r>
                          <w:r>
                            <w:fldChar w:fldCharType="begin"/>
                          </w:r>
                          <w:r>
                            <w:instrText xml:space="preserve"> NUMPAGES  \* MERGEFORMAT </w:instrText>
                          </w:r>
                          <w:r>
                            <w:fldChar w:fldCharType="separate"/>
                          </w:r>
                          <w:r>
                            <w:t>13</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2056" type="#_x0000_t202" style="width:2in;height:2in;margin-top:0;margin-left:0;mso-position-horizontal:center;mso-position-horizontal-relative:margin;mso-wrap-distance-bottom:0;mso-wrap-distance-left:9pt;mso-wrap-distance-right:9pt;mso-wrap-distance-top:0;mso-wrap-style:none;position:absolute;v-text-anchor:top;z-index:251672576" filled="f" fillcolor="this" stroked="f" strokeweight="0.5pt">
              <v:textbox style="mso-fit-shape-to-text:t" inset="0,0,0,0">
                <w:txbxContent>
                  <w:p>
                    <w:pPr>
                      <w:pStyle w:val="Footer"/>
                    </w:pPr>
                    <w:r>
                      <w:t xml:space="preserve">第 </w:t>
                    </w:r>
                    <w:r>
                      <w:fldChar w:fldCharType="begin"/>
                    </w:r>
                    <w:r>
                      <w:instrText xml:space="preserve"> PAGE  \* MERGEFORMAT </w:instrText>
                    </w:r>
                    <w:r>
                      <w:fldChar w:fldCharType="separate"/>
                    </w:r>
                    <w:r>
                      <w:t>8</w:t>
                    </w:r>
                    <w:r>
                      <w:fldChar w:fldCharType="end"/>
                    </w:r>
                    <w:r>
                      <w:t xml:space="preserve"> 页 共 </w:t>
                    </w:r>
                    <w:r>
                      <w:fldChar w:fldCharType="begin"/>
                    </w:r>
                    <w:r>
                      <w:instrText xml:space="preserve"> NUMPAGES  \* MERGEFORMAT </w:instrText>
                    </w:r>
                    <w:r>
                      <w:fldChar w:fldCharType="separate"/>
                    </w:r>
                    <w:r>
                      <w:t>13</w:t>
                    </w:r>
                    <w:r>
                      <w:fldChar w:fldCharType="end"/>
                    </w:r>
                    <w:r>
                      <w:t xml:space="preserve"> 页</w:t>
                    </w:r>
                  </w:p>
                </w:txbxContent>
              </v:textbox>
              <w10:wrap anchorx="margin"/>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2128847439" name="文本框 2"/>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a:extLst>
                        <a:ext xmlns:a="http://schemas.openxmlformats.org/drawingml/2006/main" uri="{909E8E84-426E-40DD-AFC4-6F175D3DCCD1}">
                          <a14:hiddenFill xmlns:a14="http://schemas.microsoft.com/office/drawing/2010/main">
                            <a:solidFill>
                              <a:schemeClr val="lt1"/>
                            </a:solidFill>
                          </a14:hiddenFill>
                        </a:ext>
                        <a:ext xmlns:a="http://schemas.openxmlformats.org/drawingml/2006/main"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Footer"/>
                          </w:pPr>
                          <w:r>
                            <w:t xml:space="preserve">第 </w:t>
                          </w:r>
                          <w:r>
                            <w:fldChar w:fldCharType="begin"/>
                          </w:r>
                          <w:r>
                            <w:instrText xml:space="preserve"> PAGE  \* MERGEFORMAT </w:instrText>
                          </w:r>
                          <w:r>
                            <w:fldChar w:fldCharType="separate"/>
                          </w:r>
                          <w:r>
                            <w:t>9</w:t>
                          </w:r>
                          <w:r>
                            <w:fldChar w:fldCharType="end"/>
                          </w:r>
                          <w:r>
                            <w:t xml:space="preserve"> 页 共 </w:t>
                          </w:r>
                          <w:r>
                            <w:fldChar w:fldCharType="begin"/>
                          </w:r>
                          <w:r>
                            <w:instrText xml:space="preserve"> NUMPAGES  \* MERGEFORMAT </w:instrText>
                          </w:r>
                          <w:r>
                            <w:fldChar w:fldCharType="separate"/>
                          </w:r>
                          <w:r>
                            <w:t>13</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2057" type="#_x0000_t202" style="width:2in;height:2in;margin-top:0;margin-left:0;mso-position-horizontal:center;mso-position-horizontal-relative:margin;mso-wrap-distance-bottom:0;mso-wrap-distance-left:9pt;mso-wrap-distance-right:9pt;mso-wrap-distance-top:0;mso-wrap-style:none;position:absolute;v-text-anchor:top;z-index:251674624" filled="f" fillcolor="this" stroked="f" strokeweight="0.5pt">
              <v:textbox style="mso-fit-shape-to-text:t" inset="0,0,0,0">
                <w:txbxContent>
                  <w:p>
                    <w:pPr>
                      <w:pStyle w:val="Footer"/>
                    </w:pPr>
                    <w:r>
                      <w:t xml:space="preserve">第 </w:t>
                    </w:r>
                    <w:r>
                      <w:fldChar w:fldCharType="begin"/>
                    </w:r>
                    <w:r>
                      <w:instrText xml:space="preserve"> PAGE  \* MERGEFORMAT </w:instrText>
                    </w:r>
                    <w:r>
                      <w:fldChar w:fldCharType="separate"/>
                    </w:r>
                    <w:r>
                      <w:t>9</w:t>
                    </w:r>
                    <w:r>
                      <w:fldChar w:fldCharType="end"/>
                    </w:r>
                    <w:r>
                      <w:t xml:space="preserve"> 页 共 </w:t>
                    </w:r>
                    <w:r>
                      <w:fldChar w:fldCharType="begin"/>
                    </w:r>
                    <w:r>
                      <w:instrText xml:space="preserve"> NUMPAGES  \* MERGEFORMAT </w:instrText>
                    </w:r>
                    <w:r>
                      <w:fldChar w:fldCharType="separate"/>
                    </w:r>
                    <w:r>
                      <w:t>13</w:t>
                    </w:r>
                    <w:r>
                      <w:fldChar w:fldCharType="end"/>
                    </w:r>
                    <w:r>
                      <w:t xml:space="preserve"> 页</w:t>
                    </w:r>
                  </w:p>
                </w:txbxContent>
              </v:textbox>
              <w10:wrap anchorx="margin"/>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ED742C9"/>
    <w:rsid w:val="3ED742C9"/>
    <w:rsid w:val="6AEE62B5"/>
  </w:rsids>
  <w:docVars>
    <w:docVar w:name="commondata" w:val="eyJoZGlkIjoiODhjODRlZWMwZGY5MDViMGZhZDZjODZhYzVjZTEzOWIifQ=="/>
  </w:docVar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qFormat="1"/>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nhideWhenUsed="0" w:qFormat="1"/>
    <w:lsdException w:name="E-mail Signature" w:semiHidden="0" w:uiPriority="0" w:unhideWhenUsed="0"/>
    <w:lsdException w:name="Normal (Web)" w:semiHidden="0" w:unhideWhenUsed="0" w:qFormat="1"/>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next w:val="BodyText"/>
    <w:qFormat/>
    <w:pPr>
      <w:widowControl w:val="0"/>
      <w:jc w:val="both"/>
    </w:pPr>
    <w:rPr>
      <w:rFonts w:asciiTheme="minorHAnsi" w:eastAsiaTheme="minorEastAsia" w:hAnsiTheme="minorHAnsi" w:cstheme="minorBidi"/>
      <w:kern w:val="2"/>
      <w:sz w:val="21"/>
      <w:szCs w:val="24"/>
      <w:lang w:val="en-US" w:eastAsia="zh-CN" w:bidi="ar-SA"/>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BodyText">
    <w:name w:val="Body Text"/>
    <w:basedOn w:val="Normal"/>
    <w:next w:val="Normal"/>
    <w:unhideWhenUsed/>
    <w:qFormat/>
    <w:pPr>
      <w:spacing w:after="120"/>
    </w:pPr>
    <w:rPr>
      <w:rFonts w:ascii="Times New Roman" w:eastAsia="宋体" w:hAnsi="Times New Roman" w:cs="Times New Roman"/>
      <w:szCs w:val="20"/>
    </w:rPr>
  </w:style>
  <w:style w:type="paragraph" w:styleId="PlainText">
    <w:name w:val="Plain Text"/>
    <w:basedOn w:val="Normal"/>
    <w:uiPriority w:val="99"/>
    <w:qFormat/>
    <w:rPr>
      <w:rFonts w:ascii="宋体" w:eastAsia="宋体" w:hAnsi="Courier New" w:cs="Courier New"/>
      <w:szCs w:val="21"/>
    </w:r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NormalWeb">
    <w:name w:val="Normal (Web)"/>
    <w:basedOn w:val="Normal"/>
    <w:next w:val="Normal"/>
    <w:uiPriority w:val="99"/>
    <w:qFormat/>
    <w:pPr>
      <w:widowControl/>
      <w:spacing w:before="100" w:beforeAutospacing="1" w:after="100" w:afterAutospacing="1"/>
      <w:jc w:val="left"/>
    </w:pPr>
    <w:rPr>
      <w:rFonts w:ascii="宋体" w:eastAsia="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image" Target="media/image2.png"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footer" Target="footer6.xml" /><Relationship Id="rId15" Type="http://schemas.openxmlformats.org/officeDocument/2006/relationships/footer" Target="footer7.xml" /><Relationship Id="rId16" Type="http://schemas.openxmlformats.org/officeDocument/2006/relationships/footer" Target="footer8.xml" /><Relationship Id="rId17" Type="http://schemas.openxmlformats.org/officeDocument/2006/relationships/footer" Target="footer9.xml" /><Relationship Id="rId18" Type="http://schemas.openxmlformats.org/officeDocument/2006/relationships/footer" Target="footer10.xml" /><Relationship Id="rId19" Type="http://schemas.openxmlformats.org/officeDocument/2006/relationships/image" Target="media/image3.png" /><Relationship Id="rId2" Type="http://schemas.openxmlformats.org/officeDocument/2006/relationships/webSettings" Target="webSettings.xml" /><Relationship Id="rId20" Type="http://schemas.openxmlformats.org/officeDocument/2006/relationships/image" Target="media/image4.png" /><Relationship Id="rId21" Type="http://schemas.openxmlformats.org/officeDocument/2006/relationships/image" Target="media/image5.png" /><Relationship Id="rId22" Type="http://schemas.openxmlformats.org/officeDocument/2006/relationships/hyperlink" Target="https://d.book118.com/527044066016006046" TargetMode="External" /><Relationship Id="rId23" Type="http://schemas.openxmlformats.org/officeDocument/2006/relationships/footer" Target="footer11.xml" /><Relationship Id="rId24" Type="http://schemas.openxmlformats.org/officeDocument/2006/relationships/theme" Target="theme/theme1.xml" /><Relationship Id="rId25"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www.so.com/s?q=%E6%96%87%E7%AB%A0&amp;ie=utf-8&amp;src=internal_wenda_recommend_textn" TargetMode="External" /><Relationship Id="rId6" Type="http://schemas.openxmlformats.org/officeDocument/2006/relationships/hyperlink" Target="http://www.so.com/s?q=%E4%BC%A0%E8%AE%B0&amp;ie=utf-8&amp;src=internal_wenda_recommend_textn" TargetMode="External" /><Relationship Id="rId7" Type="http://schemas.openxmlformats.org/officeDocument/2006/relationships/footer" Target="footer1.xml" /><Relationship Id="rId8" Type="http://schemas.openxmlformats.org/officeDocument/2006/relationships/image" Target="media/image1.png" /><Relationship Id="rId9" Type="http://schemas.openxmlformats.org/officeDocument/2006/relationships/footer" Target="footer2.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2024-03-03T08:21:00Z</dcterms:created>
  <dcterms:modified xsi:type="dcterms:W3CDTF">2024-03-03T08:26:11Z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B5E61C1EFDDE4C7FBEB7BE1B3292516D_11</vt:lpwstr>
  </property>
  <property fmtid="{D5CDD505-2E9C-101B-9397-08002B2CF9AE}" pid="3" name="KSOProductBuildVer">
    <vt:lpwstr>2052-12.1.0.16250</vt:lpwstr>
  </property>
</Properties>
</file>