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2018-2023年天津体育职业学院高职单招（数学／语文／英语）历年常考试题库含答案解析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下列文学社团中，朱自清曾经参加的是（）。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B.文学研究会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C.新月社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D.中国左翼作家联盟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下列画横线的句子翻译错误的一项是（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A.与尔三矢，尔其无忘乃父之志。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B.故今具道所以，冀君实或见恕。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C.左右以君贱之也，食以草具。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D.将军自念，岂尝有所恨乎?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苏轼的《前赤壁赋》主要描写了哪三种景物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A.明月、江水、秋花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B.江水、明月、清风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C.清风、黄花、梧桐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D.清风、明月、芦荻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下列带点字，解释错误的是（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962816" cy="147653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62816" cy="147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《论快乐》一文提出快乐是（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A.分为肉体和精神的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B.人生的享受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C.人生的本质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D.由精神来决定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“井蛙不可以语于海者，拘于虚也；夏虫不可以语于冰者，笃于时也；曲士不可以语于道者，束于教也”交融运用了（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A.夸张、排比、比喻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B.比喻、拟人、排比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C.借代、对偶、拟人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D.拟人、夸张、对偶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梁启超《论毅力》的中心论点是（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A.有毅力者成，反是者败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B.其阻力虽或大或小，而要之必无可逃避者也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C.顺逆两境又常相间以迭乘。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D.非至强之人，未有能善于其终者也。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《短歌行》中引用《诗经》成句“青青子衿，悠悠我心”，所表达的心情是（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A.思慕贤才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B.礼遇贤才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C.对贤才无所依托的思虑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D.与贤才久别重逢的欣慰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下列作品选自宋代郭茂倩编辑的《乐府诗集》的是（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A.《氓》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B.《国殇》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C.《陌上桑》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D.《行路难》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《前赤壁赋》行文的内在线索是（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A.时间的推移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B.感情的变化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C.事理的逻辑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D.想象的展开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《张中丞传后叙》主要采用____的写法来补记许远的事迹（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A.夹叙夹议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B.议论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C.叙述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下列哪位作家是唐宋八大家之一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C.王安石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《史记》的作者是（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A.司马迁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B.左丘明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C.班固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D.范晔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下列孟子《寡人之于国也》的文句中，最能体现其文主旨的是（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https://d.book118.com/527066061156006044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527066061156006044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