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cs="Times New Roman"/>
          <w:b/>
          <w:bCs/>
          <w:sz w:val="36"/>
          <w:szCs w:val="36"/>
        </w:rPr>
      </w:pPr>
    </w:p>
    <w:p>
      <w:pPr>
        <w:rPr>
          <w:rFonts w:cs="Times New Roman"/>
          <w:b/>
          <w:bCs/>
          <w:sz w:val="36"/>
          <w:szCs w:val="36"/>
        </w:rPr>
      </w:pPr>
    </w:p>
    <w:p>
      <w:pPr>
        <w:rPr>
          <w:rFonts w:cs="Times New Roman"/>
          <w:b/>
          <w:bCs/>
          <w:sz w:val="36"/>
          <w:szCs w:val="36"/>
        </w:rPr>
      </w:pPr>
    </w:p>
    <w:p>
      <w:pPr>
        <w:spacing w:before="62" w:beforeLines="20" w:after="62" w:afterLines="20" w:line="480" w:lineRule="auto"/>
        <w:rPr>
          <w:rFonts w:eastAsia="宋体" w:cs="Times New Roman"/>
          <w:b/>
          <w:bCs/>
          <w:sz w:val="36"/>
          <w:szCs w:val="36"/>
        </w:rPr>
      </w:pPr>
      <w:r>
        <w:rPr>
          <w:rFonts w:eastAsia="宋体" w:hAnsi="宋体" w:cs="Times New Roman"/>
          <w:b/>
          <w:bCs/>
          <w:sz w:val="36"/>
          <w:szCs w:val="36"/>
        </w:rPr>
        <w:t>赤峰市元宝山区金美矿业有限公司金矿</w:t>
      </w:r>
    </w:p>
    <w:p>
      <w:pPr>
        <w:spacing w:before="62" w:beforeLines="20" w:after="62" w:afterLines="20" w:line="480" w:lineRule="auto"/>
        <w:rPr>
          <w:rFonts w:eastAsia="宋体" w:cs="Times New Roman"/>
          <w:b/>
          <w:bCs/>
          <w:sz w:val="36"/>
          <w:szCs w:val="36"/>
        </w:rPr>
      </w:pPr>
      <w:r>
        <w:rPr>
          <w:rFonts w:eastAsia="宋体" w:hAnsi="宋体" w:cs="Times New Roman"/>
          <w:b/>
          <w:bCs/>
          <w:sz w:val="36"/>
          <w:szCs w:val="36"/>
        </w:rPr>
        <w:t>二〇二</w:t>
      </w:r>
      <w:r>
        <w:rPr>
          <w:rFonts w:eastAsia="宋体" w:hAnsi="宋体" w:cs="Times New Roman" w:hint="eastAsia"/>
          <w:b/>
          <w:bCs/>
          <w:sz w:val="36"/>
          <w:szCs w:val="36"/>
        </w:rPr>
        <w:t>三</w:t>
      </w:r>
      <w:r>
        <w:rPr>
          <w:rFonts w:eastAsia="宋体" w:hAnsi="宋体" w:cs="Times New Roman"/>
          <w:b/>
          <w:bCs/>
          <w:sz w:val="36"/>
          <w:szCs w:val="36"/>
        </w:rPr>
        <w:t>年度矿山地质环境治理计划书</w:t>
      </w: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rPr>
          <w:rFonts w:cs="Times New Roman"/>
          <w:b/>
          <w:bCs/>
          <w:sz w:val="36"/>
          <w:szCs w:val="36"/>
        </w:rPr>
      </w:pPr>
    </w:p>
    <w:p>
      <w:pPr>
        <w:ind w:firstLine="1920" w:firstLineChars="600"/>
        <w:jc w:val="both"/>
        <w:rPr>
          <w:rFonts w:eastAsia="宋体" w:cs="Times New Roman"/>
          <w:sz w:val="32"/>
          <w:szCs w:val="32"/>
        </w:rPr>
      </w:pPr>
      <w:r>
        <w:rPr>
          <w:rFonts w:eastAsia="宋体" w:hAnsi="宋体" w:cs="Times New Roman"/>
          <w:sz w:val="32"/>
          <w:szCs w:val="32"/>
          <w:lang w:val="zh-CN"/>
        </w:rPr>
        <w:t>赤峰市元宝山区金美矿业有限公司</w:t>
      </w:r>
    </w:p>
    <w:p>
      <w:pPr>
        <w:rPr>
          <w:rFonts w:eastAsia="宋体" w:cs="Times New Roman"/>
          <w:sz w:val="32"/>
          <w:szCs w:val="32"/>
        </w:rPr>
      </w:pPr>
    </w:p>
    <w:p>
      <w:pPr>
        <w:ind w:firstLine="3200" w:firstLineChars="1000"/>
        <w:jc w:val="both"/>
        <w:rPr>
          <w:rFonts w:eastAsia="宋体" w:cs="Times New Roman"/>
          <w:sz w:val="32"/>
          <w:szCs w:val="32"/>
        </w:rPr>
      </w:pPr>
      <w:r>
        <w:rPr>
          <w:rFonts w:eastAsia="宋体" w:hAnsi="宋体" w:cs="Times New Roman"/>
          <w:sz w:val="32"/>
          <w:szCs w:val="32"/>
        </w:rPr>
        <w:t>二〇二</w:t>
      </w:r>
      <w:r>
        <w:rPr>
          <w:rFonts w:eastAsia="宋体" w:hAnsi="宋体" w:cs="Times New Roman" w:hint="eastAsia"/>
          <w:sz w:val="32"/>
          <w:szCs w:val="32"/>
        </w:rPr>
        <w:t>三</w:t>
      </w:r>
      <w:r>
        <w:rPr>
          <w:rFonts w:eastAsia="宋体" w:hAnsi="宋体" w:cs="Times New Roman"/>
          <w:sz w:val="32"/>
          <w:szCs w:val="32"/>
        </w:rPr>
        <w:t>年</w:t>
      </w:r>
      <w:r>
        <w:rPr>
          <w:rFonts w:eastAsia="宋体" w:hAnsi="宋体" w:cs="Times New Roman" w:hint="eastAsia"/>
          <w:sz w:val="32"/>
          <w:szCs w:val="32"/>
        </w:rPr>
        <w:t>二</w:t>
      </w:r>
      <w:r>
        <w:rPr>
          <w:rFonts w:eastAsia="宋体" w:hAnsi="宋体" w:cs="Times New Roman"/>
          <w:sz w:val="32"/>
          <w:szCs w:val="32"/>
        </w:rPr>
        <w:t>月</w:t>
      </w:r>
    </w:p>
    <w:p>
      <w:pPr>
        <w:rPr>
          <w:rFonts w:cs="Times New Roman"/>
          <w:b/>
          <w:bCs/>
          <w:sz w:val="36"/>
          <w:szCs w:val="36"/>
        </w:rPr>
      </w:pPr>
    </w:p>
    <w:p>
      <w:pPr>
        <w:jc w:val="both"/>
        <w:rPr>
          <w:rFonts w:cs="Times New Roman"/>
          <w:b/>
          <w:bCs/>
          <w:sz w:val="36"/>
          <w:szCs w:val="36"/>
        </w:rPr>
        <w:sectPr>
          <w:headerReference w:type="default" r:id="rId5"/>
          <w:footerReference w:type="default" r:id="rId6"/>
          <w:pgSz w:w="11906" w:h="16838"/>
          <w:pgMar w:top="1440" w:right="1800" w:bottom="1440" w:left="1800" w:header="851" w:footer="992" w:gutter="0"/>
          <w:cols w:num="1" w:space="425"/>
          <w:docGrid w:type="lines" w:linePitch="312" w:charSpace="0"/>
        </w:sectPr>
      </w:pPr>
    </w:p>
    <w:p>
      <w:pPr>
        <w:ind w:firstLine="3240" w:firstLineChars="900"/>
        <w:jc w:val="both"/>
        <w:rPr>
          <w:rFonts w:cs="Times New Roman"/>
          <w:sz w:val="36"/>
          <w:szCs w:val="36"/>
        </w:rPr>
      </w:pPr>
    </w:p>
    <w:sdt>
      <w:sdtPr>
        <w:rPr>
          <w:rFonts w:eastAsia="宋体" w:cs="Times New Roman"/>
        </w:rPr>
        <w:id w:val="147464212"/>
        <w:docPartObj>
          <w:docPartGallery w:val="Table of Contents"/>
          <w:docPartUnique/>
        </w:docPartObj>
      </w:sdtPr>
      <w:sdtEndPr>
        <w:rPr>
          <w:rFonts w:eastAsiaTheme="minorEastAsia" w:cs="Times New Roman"/>
          <w:b/>
        </w:rPr>
      </w:sdtEndPr>
      <w:sdtContent>
        <w:p>
          <w:pPr>
            <w:rPr>
              <w:rFonts w:cs="Times New Roman"/>
            </w:rPr>
          </w:pPr>
          <w:r>
            <w:rPr>
              <w:rFonts w:eastAsia="宋体" w:hAnsi="宋体" w:cs="Times New Roman"/>
              <w:b/>
              <w:sz w:val="40"/>
              <w:szCs w:val="24"/>
            </w:rPr>
            <w:t>目录</w:t>
          </w:r>
        </w:p>
        <w:p>
          <w:pPr>
            <w:pStyle w:val="TOC1"/>
            <w:tabs>
              <w:tab w:val="right" w:leader="dot" w:pos="8306"/>
            </w:tabs>
          </w:pPr>
          <w:r>
            <w:rPr>
              <w:szCs w:val="20"/>
            </w:rPr>
            <w:fldChar w:fldCharType="begin"/>
          </w:r>
          <w:r>
            <w:instrText xml:space="preserve">TOC \o "1-2" \h \u </w:instrText>
          </w:r>
          <w:r>
            <w:rPr>
              <w:szCs w:val="20"/>
            </w:rPr>
            <w:fldChar w:fldCharType="separate"/>
          </w:r>
          <w:hyperlink w:anchor="_Toc1297" w:history="1">
            <w:r>
              <w:rPr>
                <w:rFonts w:eastAsia="宋体" w:cs="Times New Roman" w:hint="eastAsia"/>
                <w:bCs/>
                <w:szCs w:val="36"/>
              </w:rPr>
              <w:t xml:space="preserve">第一章 </w:t>
            </w:r>
            <w:r>
              <w:rPr>
                <w:rFonts w:eastAsia="宋体" w:hAnsi="宋体" w:cs="Times New Roman"/>
                <w:bCs/>
                <w:szCs w:val="36"/>
              </w:rPr>
              <w:t>矿山基本情况</w:t>
            </w:r>
            <w:r>
              <w:tab/>
            </w:r>
            <w:r>
              <w:fldChar w:fldCharType="begin"/>
            </w:r>
            <w:r>
              <w:instrText xml:space="preserve"> PAGEREF _Toc1297 \h </w:instrText>
            </w:r>
            <w:r>
              <w:fldChar w:fldCharType="separate"/>
            </w:r>
            <w:r>
              <w:t>1</w:t>
            </w:r>
            <w:r>
              <w:fldChar w:fldCharType="end"/>
            </w:r>
          </w:hyperlink>
        </w:p>
        <w:p>
          <w:pPr>
            <w:pStyle w:val="TOC1"/>
            <w:tabs>
              <w:tab w:val="right" w:leader="dot" w:pos="8306"/>
            </w:tabs>
          </w:pPr>
          <w:hyperlink w:anchor="_Toc767" w:history="1">
            <w:r>
              <w:rPr>
                <w:rFonts w:eastAsia="宋体" w:cs="Times New Roman" w:hint="eastAsia"/>
                <w:bCs/>
                <w:szCs w:val="36"/>
              </w:rPr>
              <w:t xml:space="preserve">第二章 </w:t>
            </w:r>
            <w:r>
              <w:rPr>
                <w:rFonts w:eastAsia="宋体" w:hAnsi="宋体" w:cs="Times New Roman"/>
                <w:bCs/>
                <w:szCs w:val="36"/>
              </w:rPr>
              <w:t>矿山地质环境治理方案的编制与执行情况</w:t>
            </w:r>
            <w:r>
              <w:tab/>
            </w:r>
            <w:r>
              <w:fldChar w:fldCharType="begin"/>
            </w:r>
            <w:r>
              <w:instrText xml:space="preserve"> PAGEREF _Toc767 \h </w:instrText>
            </w:r>
            <w:r>
              <w:fldChar w:fldCharType="separate"/>
            </w:r>
            <w:r>
              <w:t>2</w:t>
            </w:r>
            <w:r>
              <w:fldChar w:fldCharType="end"/>
            </w:r>
          </w:hyperlink>
        </w:p>
        <w:p>
          <w:pPr>
            <w:pStyle w:val="TOC2"/>
            <w:tabs>
              <w:tab w:val="right" w:leader="dot" w:pos="8306"/>
            </w:tabs>
          </w:pPr>
          <w:hyperlink w:anchor="_Toc24065" w:history="1">
            <w:r>
              <w:rPr>
                <w:rFonts w:eastAsia="宋体" w:cs="Times New Roman" w:hint="eastAsia"/>
                <w:bCs/>
                <w:szCs w:val="32"/>
              </w:rPr>
              <w:t xml:space="preserve">一、 </w:t>
            </w:r>
            <w:r>
              <w:rPr>
                <w:rFonts w:eastAsia="宋体" w:hAnsi="宋体" w:cs="Times New Roman"/>
                <w:bCs/>
                <w:szCs w:val="32"/>
              </w:rPr>
              <w:t>方案编制概况</w:t>
            </w:r>
            <w:r>
              <w:tab/>
            </w:r>
            <w:r>
              <w:fldChar w:fldCharType="begin"/>
            </w:r>
            <w:r>
              <w:instrText xml:space="preserve"> PAGEREF _Toc24065 \h </w:instrText>
            </w:r>
            <w:r>
              <w:fldChar w:fldCharType="separate"/>
            </w:r>
            <w:r>
              <w:t>2</w:t>
            </w:r>
            <w:r>
              <w:fldChar w:fldCharType="end"/>
            </w:r>
          </w:hyperlink>
        </w:p>
        <w:p>
          <w:pPr>
            <w:pStyle w:val="TOC2"/>
            <w:tabs>
              <w:tab w:val="right" w:leader="dot" w:pos="8306"/>
            </w:tabs>
          </w:pPr>
          <w:hyperlink w:anchor="_Toc32394" w:history="1">
            <w:r>
              <w:rPr>
                <w:rFonts w:eastAsia="宋体" w:hAnsi="宋体" w:cs="Times New Roman"/>
                <w:bCs/>
                <w:szCs w:val="32"/>
              </w:rPr>
              <w:t>二、矿山地质环境治理方案执行情况</w:t>
            </w:r>
            <w:r>
              <w:tab/>
            </w:r>
            <w:r>
              <w:fldChar w:fldCharType="begin"/>
            </w:r>
            <w:r>
              <w:instrText xml:space="preserve"> PAGEREF _Toc32394 \h </w:instrText>
            </w:r>
            <w:r>
              <w:fldChar w:fldCharType="separate"/>
            </w:r>
            <w:r>
              <w:t>2</w:t>
            </w:r>
            <w:r>
              <w:fldChar w:fldCharType="end"/>
            </w:r>
          </w:hyperlink>
        </w:p>
        <w:p>
          <w:pPr>
            <w:pStyle w:val="TOC1"/>
            <w:tabs>
              <w:tab w:val="right" w:leader="dot" w:pos="8306"/>
            </w:tabs>
          </w:pPr>
          <w:hyperlink w:anchor="_Toc14451" w:history="1">
            <w:r>
              <w:rPr>
                <w:rFonts w:eastAsia="宋体" w:cs="Times New Roman" w:hint="eastAsia"/>
                <w:bCs/>
                <w:szCs w:val="36"/>
              </w:rPr>
              <w:t xml:space="preserve">第三章 </w:t>
            </w:r>
            <w:r>
              <w:rPr>
                <w:rFonts w:eastAsia="宋体" w:cs="Times New Roman"/>
                <w:bCs/>
                <w:szCs w:val="36"/>
              </w:rPr>
              <w:t>本年度矿山生产计划</w:t>
            </w:r>
            <w:r>
              <w:tab/>
            </w:r>
            <w:r>
              <w:fldChar w:fldCharType="begin"/>
            </w:r>
            <w:r>
              <w:instrText xml:space="preserve"> PAGEREF _Toc14451 \h </w:instrText>
            </w:r>
            <w:r>
              <w:fldChar w:fldCharType="separate"/>
            </w:r>
            <w:r>
              <w:t>10</w:t>
            </w:r>
            <w:r>
              <w:fldChar w:fldCharType="end"/>
            </w:r>
          </w:hyperlink>
        </w:p>
        <w:p>
          <w:pPr>
            <w:pStyle w:val="TOC2"/>
            <w:tabs>
              <w:tab w:val="right" w:leader="dot" w:pos="8306"/>
            </w:tabs>
          </w:pPr>
          <w:hyperlink w:anchor="_Toc26522" w:history="1">
            <w:r>
              <w:rPr>
                <w:rFonts w:eastAsia="宋体" w:cs="Times New Roman" w:hint="eastAsia"/>
                <w:bCs/>
                <w:szCs w:val="32"/>
              </w:rPr>
              <w:t xml:space="preserve">一、 </w:t>
            </w:r>
            <w:r>
              <w:rPr>
                <w:rFonts w:eastAsia="宋体" w:cs="Times New Roman"/>
                <w:bCs/>
                <w:szCs w:val="32"/>
              </w:rPr>
              <w:t>本年度的主要生产指标计划</w:t>
            </w:r>
            <w:r>
              <w:tab/>
            </w:r>
            <w:r>
              <w:fldChar w:fldCharType="begin"/>
            </w:r>
            <w:r>
              <w:instrText xml:space="preserve"> PAGEREF _Toc26522 \h </w:instrText>
            </w:r>
            <w:r>
              <w:fldChar w:fldCharType="separate"/>
            </w:r>
            <w:r>
              <w:t>10</w:t>
            </w:r>
            <w:r>
              <w:fldChar w:fldCharType="end"/>
            </w:r>
          </w:hyperlink>
        </w:p>
        <w:p>
          <w:pPr>
            <w:pStyle w:val="TOC1"/>
            <w:tabs>
              <w:tab w:val="right" w:leader="dot" w:pos="8306"/>
            </w:tabs>
          </w:pPr>
          <w:hyperlink w:anchor="_Toc30003" w:history="1">
            <w:r>
              <w:rPr>
                <w:rFonts w:eastAsia="宋体" w:cs="Times New Roman" w:hint="eastAsia"/>
                <w:bCs/>
                <w:szCs w:val="36"/>
              </w:rPr>
              <w:t xml:space="preserve">第四章 </w:t>
            </w:r>
            <w:r>
              <w:rPr>
                <w:rFonts w:eastAsia="宋体" w:cs="Times New Roman"/>
                <w:bCs/>
                <w:szCs w:val="36"/>
              </w:rPr>
              <w:t>矿山地质环境问题</w:t>
            </w:r>
            <w:r>
              <w:tab/>
            </w:r>
            <w:r>
              <w:fldChar w:fldCharType="begin"/>
            </w:r>
            <w:r>
              <w:instrText xml:space="preserve"> PAGEREF _Toc30003 \h </w:instrText>
            </w:r>
            <w:r>
              <w:fldChar w:fldCharType="separate"/>
            </w:r>
            <w:r>
              <w:t>11</w:t>
            </w:r>
            <w:r>
              <w:fldChar w:fldCharType="end"/>
            </w:r>
          </w:hyperlink>
        </w:p>
        <w:p>
          <w:pPr>
            <w:pStyle w:val="TOC2"/>
            <w:tabs>
              <w:tab w:val="right" w:leader="dot" w:pos="8306"/>
            </w:tabs>
          </w:pPr>
          <w:hyperlink w:anchor="_Toc9774" w:history="1">
            <w:r>
              <w:rPr>
                <w:rFonts w:eastAsia="宋体" w:cs="Times New Roman" w:hint="eastAsia"/>
                <w:bCs/>
                <w:szCs w:val="32"/>
              </w:rPr>
              <w:t xml:space="preserve">一、 </w:t>
            </w:r>
            <w:r>
              <w:rPr>
                <w:rFonts w:eastAsia="宋体" w:cs="Times New Roman"/>
                <w:bCs/>
                <w:szCs w:val="32"/>
              </w:rPr>
              <w:t>矿山地质环境问题现状</w:t>
            </w:r>
            <w:r>
              <w:tab/>
            </w:r>
            <w:r>
              <w:fldChar w:fldCharType="begin"/>
            </w:r>
            <w:r>
              <w:instrText xml:space="preserve"> PAGEREF _Toc9774 \h </w:instrText>
            </w:r>
            <w:r>
              <w:fldChar w:fldCharType="separate"/>
            </w:r>
            <w:r>
              <w:t>11</w:t>
            </w:r>
            <w:r>
              <w:fldChar w:fldCharType="end"/>
            </w:r>
          </w:hyperlink>
        </w:p>
        <w:p>
          <w:pPr>
            <w:pStyle w:val="TOC2"/>
            <w:tabs>
              <w:tab w:val="right" w:leader="dot" w:pos="8306"/>
            </w:tabs>
          </w:pPr>
          <w:hyperlink w:anchor="_Toc17689" w:history="1">
            <w:r>
              <w:rPr>
                <w:rFonts w:eastAsia="宋体" w:cs="Times New Roman" w:hint="eastAsia"/>
                <w:bCs/>
                <w:szCs w:val="32"/>
              </w:rPr>
              <w:t xml:space="preserve">二、 </w:t>
            </w:r>
            <w:r>
              <w:rPr>
                <w:rFonts w:eastAsia="宋体" w:cs="Times New Roman"/>
                <w:bCs/>
                <w:szCs w:val="32"/>
              </w:rPr>
              <w:t>地质环境问题预测</w:t>
            </w:r>
            <w:r>
              <w:tab/>
            </w:r>
            <w:r>
              <w:fldChar w:fldCharType="begin"/>
            </w:r>
            <w:r>
              <w:instrText xml:space="preserve"> PAGEREF _Toc17689 \h </w:instrText>
            </w:r>
            <w:r>
              <w:fldChar w:fldCharType="separate"/>
            </w:r>
            <w:r>
              <w:t>24</w:t>
            </w:r>
            <w:r>
              <w:fldChar w:fldCharType="end"/>
            </w:r>
          </w:hyperlink>
        </w:p>
        <w:p>
          <w:pPr>
            <w:pStyle w:val="TOC1"/>
            <w:tabs>
              <w:tab w:val="right" w:leader="dot" w:pos="8306"/>
            </w:tabs>
          </w:pPr>
          <w:hyperlink w:anchor="_Toc21808" w:history="1">
            <w:r>
              <w:rPr>
                <w:rFonts w:eastAsia="宋体" w:cs="Times New Roman"/>
                <w:bCs/>
                <w:szCs w:val="36"/>
              </w:rPr>
              <w:t>第五章矿山地质环境防治工程</w:t>
            </w:r>
            <w:r>
              <w:tab/>
            </w:r>
            <w:r>
              <w:fldChar w:fldCharType="begin"/>
            </w:r>
            <w:r>
              <w:instrText xml:space="preserve"> PAGEREF _Toc21808 \h </w:instrText>
            </w:r>
            <w:r>
              <w:fldChar w:fldCharType="separate"/>
            </w:r>
            <w:r>
              <w:t>25</w:t>
            </w:r>
            <w:r>
              <w:fldChar w:fldCharType="end"/>
            </w:r>
          </w:hyperlink>
        </w:p>
        <w:p>
          <w:pPr>
            <w:pStyle w:val="TOC2"/>
            <w:tabs>
              <w:tab w:val="right" w:leader="dot" w:pos="8306"/>
            </w:tabs>
          </w:pPr>
          <w:hyperlink w:anchor="_Toc5912" w:history="1">
            <w:r>
              <w:rPr>
                <w:rFonts w:eastAsia="宋体" w:cs="Times New Roman"/>
                <w:bCs/>
                <w:szCs w:val="32"/>
              </w:rPr>
              <w:t>一、矿山地质环境治理区的确定</w:t>
            </w:r>
            <w:r>
              <w:tab/>
            </w:r>
            <w:r>
              <w:fldChar w:fldCharType="begin"/>
            </w:r>
            <w:r>
              <w:instrText xml:space="preserve"> PAGEREF _Toc5912 \h </w:instrText>
            </w:r>
            <w:r>
              <w:fldChar w:fldCharType="separate"/>
            </w:r>
            <w:r>
              <w:t>25</w:t>
            </w:r>
            <w:r>
              <w:fldChar w:fldCharType="end"/>
            </w:r>
          </w:hyperlink>
        </w:p>
        <w:p>
          <w:pPr>
            <w:pStyle w:val="TOC2"/>
            <w:tabs>
              <w:tab w:val="right" w:leader="dot" w:pos="8306"/>
            </w:tabs>
          </w:pPr>
          <w:hyperlink w:anchor="_Toc4297" w:history="1">
            <w:r>
              <w:rPr>
                <w:rFonts w:eastAsia="宋体" w:cs="Times New Roman" w:hint="eastAsia"/>
                <w:bCs/>
                <w:szCs w:val="32"/>
              </w:rPr>
              <w:t>二、矿山地质环境治理工程</w:t>
            </w:r>
            <w:r>
              <w:tab/>
            </w:r>
            <w:r>
              <w:fldChar w:fldCharType="begin"/>
            </w:r>
            <w:r>
              <w:instrText xml:space="preserve"> PAGEREF _Toc4297 \h </w:instrText>
            </w:r>
            <w:r>
              <w:fldChar w:fldCharType="separate"/>
            </w:r>
            <w:r>
              <w:t>25</w:t>
            </w:r>
            <w:r>
              <w:fldChar w:fldCharType="end"/>
            </w:r>
          </w:hyperlink>
        </w:p>
        <w:p>
          <w:pPr>
            <w:pStyle w:val="TOC2"/>
            <w:tabs>
              <w:tab w:val="right" w:leader="dot" w:pos="8306"/>
            </w:tabs>
          </w:pPr>
          <w:hyperlink w:anchor="_Toc25513" w:history="1">
            <w:r>
              <w:rPr>
                <w:rFonts w:eastAsia="宋体" w:cs="Times New Roman" w:hint="eastAsia"/>
                <w:bCs/>
                <w:szCs w:val="32"/>
              </w:rPr>
              <w:t>三、</w:t>
            </w:r>
            <w:r>
              <w:rPr>
                <w:rFonts w:eastAsia="宋体" w:cs="Times New Roman"/>
                <w:bCs/>
                <w:szCs w:val="32"/>
              </w:rPr>
              <w:t>矿山地质环境监测工程</w:t>
            </w:r>
            <w:r>
              <w:tab/>
            </w:r>
            <w:r>
              <w:fldChar w:fldCharType="begin"/>
            </w:r>
            <w:r>
              <w:instrText xml:space="preserve"> PAGEREF _Toc25513 \h </w:instrText>
            </w:r>
            <w:r>
              <w:fldChar w:fldCharType="separate"/>
            </w:r>
            <w:r>
              <w:t>25</w:t>
            </w:r>
            <w:r>
              <w:fldChar w:fldCharType="end"/>
            </w:r>
          </w:hyperlink>
        </w:p>
        <w:p>
          <w:pPr>
            <w:pStyle w:val="TOC1"/>
            <w:tabs>
              <w:tab w:val="right" w:leader="dot" w:pos="8306"/>
            </w:tabs>
          </w:pPr>
          <w:hyperlink w:anchor="_Toc28832" w:history="1">
            <w:r>
              <w:rPr>
                <w:rFonts w:eastAsia="宋体" w:cs="Times New Roman"/>
                <w:bCs/>
                <w:szCs w:val="36"/>
              </w:rPr>
              <w:t>第六章  经费估算</w:t>
            </w:r>
            <w:r>
              <w:tab/>
            </w:r>
            <w:r>
              <w:fldChar w:fldCharType="begin"/>
            </w:r>
            <w:r>
              <w:instrText xml:space="preserve"> PAGEREF _Toc28832 \h </w:instrText>
            </w:r>
            <w:r>
              <w:fldChar w:fldCharType="separate"/>
            </w:r>
            <w:r>
              <w:t>29</w:t>
            </w:r>
            <w:r>
              <w:fldChar w:fldCharType="end"/>
            </w:r>
          </w:hyperlink>
        </w:p>
        <w:p>
          <w:pPr>
            <w:jc w:val="both"/>
            <w:rPr>
              <w:rFonts w:cs="Times New Roman"/>
            </w:rPr>
          </w:pPr>
          <w:r>
            <w:rPr>
              <w:rFonts w:eastAsia="宋体" w:cs="Times New Roman"/>
            </w:rPr>
            <w:fldChar w:fldCharType="end"/>
          </w:r>
        </w:p>
      </w:sdtContent>
    </w:sdt>
    <w:p>
      <w:pPr>
        <w:numPr>
          <w:ilvl w:val="0"/>
          <w:numId w:val="1"/>
        </w:numPr>
        <w:spacing w:line="360" w:lineRule="auto"/>
        <w:outlineLvl w:val="0"/>
        <w:rPr>
          <w:rFonts w:eastAsia="宋体" w:cs="Times New Roman"/>
          <w:b/>
          <w:bCs/>
          <w:sz w:val="36"/>
          <w:szCs w:val="36"/>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p>
    <w:p>
      <w:pPr>
        <w:numPr>
          <w:ilvl w:val="0"/>
          <w:numId w:val="1"/>
        </w:numPr>
        <w:spacing w:line="360" w:lineRule="auto"/>
        <w:outlineLvl w:val="0"/>
        <w:rPr>
          <w:rFonts w:eastAsia="宋体" w:cs="Times New Roman"/>
          <w:b/>
          <w:bCs/>
          <w:sz w:val="36"/>
          <w:szCs w:val="36"/>
        </w:rPr>
      </w:pPr>
      <w:bookmarkStart w:id="0" w:name="_Toc1297"/>
      <w:r>
        <w:rPr>
          <w:rFonts w:eastAsia="宋体" w:hAnsi="宋体" w:cs="Times New Roman"/>
          <w:b/>
          <w:bCs/>
          <w:sz w:val="36"/>
          <w:szCs w:val="36"/>
        </w:rPr>
        <w:t>矿山基本情况</w:t>
      </w:r>
      <w:bookmarkEnd w:id="0"/>
    </w:p>
    <w:p>
      <w:pPr>
        <w:spacing w:line="360" w:lineRule="auto"/>
        <w:rPr>
          <w:rFonts w:eastAsia="宋体" w:cs="Times New Roman"/>
          <w:sz w:val="32"/>
          <w:szCs w:val="32"/>
        </w:rPr>
      </w:pPr>
      <w:r>
        <w:rPr>
          <w:rFonts w:eastAsia="宋体" w:hAnsi="宋体" w:cs="Times New Roman"/>
          <w:b/>
          <w:bCs/>
          <w:sz w:val="32"/>
          <w:szCs w:val="32"/>
        </w:rPr>
        <w:t>矿山基本信息表</w:t>
      </w:r>
    </w:p>
    <w:tbl>
      <w:tblPr>
        <w:tblStyle w:val="TableGrid0"/>
        <w:tblW w:w="872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04"/>
        <w:gridCol w:w="1215"/>
        <w:gridCol w:w="1890"/>
        <w:gridCol w:w="825"/>
        <w:gridCol w:w="870"/>
        <w:gridCol w:w="2220"/>
      </w:tblGrid>
      <w:tr>
        <w:tblPrEx>
          <w:tblW w:w="872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1"/>
        </w:trPr>
        <w:tc>
          <w:tcPr>
            <w:tcW w:w="8724" w:type="dxa"/>
            <w:gridSpan w:val="6"/>
            <w:vAlign w:val="center"/>
          </w:tcPr>
          <w:p>
            <w:pPr>
              <w:widowControl w:val="0"/>
              <w:rPr>
                <w:rFonts w:eastAsia="宋体" w:cs="Times New Roman"/>
                <w:sz w:val="24"/>
                <w:szCs w:val="24"/>
              </w:rPr>
            </w:pPr>
            <w:r>
              <w:rPr>
                <w:rFonts w:eastAsia="宋体" w:hAnsi="宋体" w:cs="Times New Roman"/>
                <w:sz w:val="24"/>
                <w:szCs w:val="24"/>
              </w:rPr>
              <w:t>矿山企业基本信息</w:t>
            </w:r>
          </w:p>
        </w:tc>
      </w:tr>
      <w:tr>
        <w:tblPrEx>
          <w:tblW w:w="8724" w:type="dxa"/>
          <w:tblInd w:w="0" w:type="dxa"/>
          <w:tblCellMar>
            <w:top w:w="0" w:type="dxa"/>
            <w:left w:w="108" w:type="dxa"/>
            <w:bottom w:w="0" w:type="dxa"/>
            <w:right w:w="108" w:type="dxa"/>
          </w:tblCellMar>
        </w:tblPrEx>
        <w:trPr>
          <w:trHeight w:val="421"/>
        </w:trPr>
        <w:tc>
          <w:tcPr>
            <w:tcW w:w="1704" w:type="dxa"/>
            <w:vAlign w:val="center"/>
          </w:tcPr>
          <w:p>
            <w:pPr>
              <w:widowControl w:val="0"/>
              <w:rPr>
                <w:rFonts w:eastAsia="宋体" w:cs="Times New Roman"/>
                <w:sz w:val="24"/>
                <w:szCs w:val="24"/>
              </w:rPr>
            </w:pPr>
            <w:r>
              <w:rPr>
                <w:rFonts w:eastAsia="宋体" w:hAnsi="宋体" w:cs="Times New Roman"/>
                <w:sz w:val="24"/>
                <w:szCs w:val="24"/>
              </w:rPr>
              <w:t>矿山名称</w:t>
            </w:r>
          </w:p>
        </w:tc>
        <w:tc>
          <w:tcPr>
            <w:tcW w:w="7020" w:type="dxa"/>
            <w:gridSpan w:val="5"/>
            <w:vAlign w:val="center"/>
          </w:tcPr>
          <w:p>
            <w:pPr>
              <w:widowControl w:val="0"/>
              <w:jc w:val="both"/>
              <w:rPr>
                <w:rFonts w:eastAsia="宋体" w:cs="Times New Roman"/>
                <w:sz w:val="24"/>
                <w:szCs w:val="24"/>
              </w:rPr>
            </w:pPr>
            <w:r>
              <w:rPr>
                <w:rFonts w:eastAsia="宋体" w:hAnsi="宋体" w:cs="Times New Roman"/>
                <w:color w:val="000000" w:themeColor="text1"/>
                <w:sz w:val="24"/>
                <w:szCs w:val="24"/>
              </w:rPr>
              <w:t>赤峰市元宝山区金美矿业有限公司</w:t>
            </w:r>
            <w:r>
              <w:rPr>
                <w:rFonts w:eastAsia="宋体" w:hAnsi="宋体" w:cs="Times New Roman" w:hint="eastAsia"/>
                <w:color w:val="000000" w:themeColor="text1"/>
                <w:sz w:val="24"/>
                <w:szCs w:val="24"/>
              </w:rPr>
              <w:t>金矿</w:t>
            </w:r>
          </w:p>
        </w:tc>
      </w:tr>
      <w:tr>
        <w:tblPrEx>
          <w:tblW w:w="8724" w:type="dxa"/>
          <w:tblInd w:w="0" w:type="dxa"/>
          <w:tblCellMar>
            <w:top w:w="0" w:type="dxa"/>
            <w:left w:w="108" w:type="dxa"/>
            <w:bottom w:w="0" w:type="dxa"/>
            <w:right w:w="108" w:type="dxa"/>
          </w:tblCellMar>
        </w:tblPrEx>
        <w:trPr>
          <w:trHeight w:val="421"/>
        </w:trPr>
        <w:tc>
          <w:tcPr>
            <w:tcW w:w="1704" w:type="dxa"/>
            <w:vAlign w:val="center"/>
          </w:tcPr>
          <w:p>
            <w:pPr>
              <w:widowControl w:val="0"/>
              <w:rPr>
                <w:rFonts w:eastAsia="宋体" w:cs="Times New Roman"/>
                <w:sz w:val="24"/>
                <w:szCs w:val="24"/>
              </w:rPr>
            </w:pPr>
            <w:r>
              <w:rPr>
                <w:rFonts w:eastAsia="宋体" w:hAnsi="宋体" w:cs="Times New Roman"/>
                <w:sz w:val="24"/>
                <w:szCs w:val="24"/>
              </w:rPr>
              <w:t>采矿权人</w:t>
            </w:r>
          </w:p>
        </w:tc>
        <w:tc>
          <w:tcPr>
            <w:tcW w:w="3105" w:type="dxa"/>
            <w:gridSpan w:val="2"/>
            <w:vAlign w:val="center"/>
          </w:tcPr>
          <w:p>
            <w:pPr>
              <w:widowControl w:val="0"/>
              <w:rPr>
                <w:rFonts w:eastAsia="宋体" w:cs="Times New Roman"/>
                <w:sz w:val="24"/>
                <w:szCs w:val="24"/>
              </w:rPr>
            </w:pPr>
            <w:r>
              <w:rPr>
                <w:rFonts w:eastAsia="宋体" w:hAnsi="宋体" w:cs="Times New Roman"/>
                <w:sz w:val="24"/>
                <w:szCs w:val="24"/>
              </w:rPr>
              <w:t>赤峰市元宝山区金美矿业有限公司</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法人代表</w:t>
            </w:r>
          </w:p>
        </w:tc>
        <w:tc>
          <w:tcPr>
            <w:tcW w:w="2220" w:type="dxa"/>
            <w:vAlign w:val="center"/>
          </w:tcPr>
          <w:p>
            <w:pPr>
              <w:widowControl w:val="0"/>
              <w:jc w:val="both"/>
              <w:rPr>
                <w:rFonts w:eastAsia="宋体" w:cs="Times New Roman"/>
                <w:sz w:val="24"/>
                <w:szCs w:val="24"/>
              </w:rPr>
            </w:pPr>
          </w:p>
        </w:tc>
      </w:tr>
      <w:tr>
        <w:tblPrEx>
          <w:tblW w:w="8724" w:type="dxa"/>
          <w:tblInd w:w="0" w:type="dxa"/>
          <w:tblCellMar>
            <w:top w:w="0" w:type="dxa"/>
            <w:left w:w="108" w:type="dxa"/>
            <w:bottom w:w="0" w:type="dxa"/>
            <w:right w:w="108" w:type="dxa"/>
          </w:tblCellMar>
        </w:tblPrEx>
        <w:trPr>
          <w:trHeight w:val="391"/>
        </w:trPr>
        <w:tc>
          <w:tcPr>
            <w:tcW w:w="1704" w:type="dxa"/>
            <w:vAlign w:val="center"/>
          </w:tcPr>
          <w:p>
            <w:pPr>
              <w:widowControl w:val="0"/>
              <w:rPr>
                <w:rFonts w:eastAsia="宋体" w:cs="Times New Roman"/>
                <w:sz w:val="24"/>
                <w:szCs w:val="24"/>
              </w:rPr>
            </w:pPr>
            <w:r>
              <w:rPr>
                <w:rFonts w:eastAsia="宋体" w:hAnsi="宋体" w:cs="Times New Roman"/>
                <w:sz w:val="24"/>
                <w:szCs w:val="24"/>
              </w:rPr>
              <w:t>采矿许可证号</w:t>
            </w:r>
          </w:p>
        </w:tc>
        <w:tc>
          <w:tcPr>
            <w:tcW w:w="3105" w:type="dxa"/>
            <w:gridSpan w:val="2"/>
            <w:vAlign w:val="center"/>
          </w:tcPr>
          <w:p>
            <w:pPr>
              <w:widowControl w:val="0"/>
              <w:jc w:val="both"/>
              <w:rPr>
                <w:rFonts w:eastAsia="宋体" w:cs="Times New Roman"/>
                <w:sz w:val="24"/>
                <w:szCs w:val="24"/>
              </w:rPr>
            </w:pPr>
            <w:r>
              <w:rPr>
                <w:rFonts w:eastAsia="宋体" w:cs="Times New Roman"/>
                <w:sz w:val="24"/>
                <w:szCs w:val="24"/>
              </w:rPr>
              <w:t>C1500002010084120073381</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发证机关</w:t>
            </w:r>
          </w:p>
        </w:tc>
        <w:tc>
          <w:tcPr>
            <w:tcW w:w="2220" w:type="dxa"/>
            <w:vAlign w:val="center"/>
          </w:tcPr>
          <w:p>
            <w:pPr>
              <w:widowControl w:val="0"/>
              <w:jc w:val="both"/>
              <w:rPr>
                <w:rFonts w:eastAsia="宋体" w:cs="Times New Roman"/>
                <w:sz w:val="24"/>
                <w:szCs w:val="24"/>
              </w:rPr>
            </w:pPr>
            <w:r>
              <w:rPr>
                <w:rFonts w:eastAsia="宋体" w:hAnsi="宋体" w:cs="Times New Roman"/>
                <w:sz w:val="24"/>
                <w:szCs w:val="24"/>
              </w:rPr>
              <w:t>内蒙古自治区</w:t>
            </w:r>
            <w:r>
              <w:rPr>
                <w:rFonts w:eastAsia="宋体" w:hAnsi="宋体" w:cs="Times New Roman" w:hint="eastAsia"/>
                <w:sz w:val="24"/>
                <w:szCs w:val="24"/>
              </w:rPr>
              <w:t>自然</w:t>
            </w:r>
            <w:r>
              <w:rPr>
                <w:rFonts w:eastAsia="宋体" w:hAnsi="宋体" w:cs="Times New Roman"/>
                <w:sz w:val="24"/>
                <w:szCs w:val="24"/>
              </w:rPr>
              <w:t>资源厅</w:t>
            </w:r>
          </w:p>
        </w:tc>
      </w:tr>
      <w:tr>
        <w:tblPrEx>
          <w:tblW w:w="8724" w:type="dxa"/>
          <w:tblInd w:w="0" w:type="dxa"/>
          <w:tblCellMar>
            <w:top w:w="0" w:type="dxa"/>
            <w:left w:w="108" w:type="dxa"/>
            <w:bottom w:w="0" w:type="dxa"/>
            <w:right w:w="108" w:type="dxa"/>
          </w:tblCellMar>
        </w:tblPrEx>
        <w:trPr>
          <w:trHeight w:val="406"/>
        </w:trPr>
        <w:tc>
          <w:tcPr>
            <w:tcW w:w="1704" w:type="dxa"/>
            <w:shd w:val="clear" w:color="auto" w:fill="auto"/>
            <w:vAlign w:val="center"/>
          </w:tcPr>
          <w:p>
            <w:pPr>
              <w:widowControl w:val="0"/>
              <w:rPr>
                <w:rFonts w:eastAsia="宋体" w:cs="Times New Roman"/>
                <w:color w:val="000000" w:themeColor="text1"/>
                <w:sz w:val="24"/>
                <w:szCs w:val="24"/>
              </w:rPr>
            </w:pPr>
            <w:r>
              <w:rPr>
                <w:rFonts w:eastAsia="宋体" w:hAnsi="宋体" w:cs="Times New Roman"/>
                <w:color w:val="000000" w:themeColor="text1"/>
                <w:sz w:val="24"/>
                <w:szCs w:val="24"/>
              </w:rPr>
              <w:t>有效期限</w:t>
            </w:r>
          </w:p>
        </w:tc>
        <w:tc>
          <w:tcPr>
            <w:tcW w:w="3105" w:type="dxa"/>
            <w:gridSpan w:val="2"/>
            <w:shd w:val="clear" w:color="auto" w:fill="auto"/>
            <w:vAlign w:val="center"/>
          </w:tcPr>
          <w:p>
            <w:pPr>
              <w:widowControl w:val="0"/>
              <w:jc w:val="both"/>
              <w:rPr>
                <w:rFonts w:eastAsia="宋体" w:cs="Times New Roman"/>
                <w:color w:val="000000" w:themeColor="text1"/>
                <w:sz w:val="24"/>
                <w:szCs w:val="24"/>
              </w:rPr>
            </w:pPr>
            <w:r>
              <w:rPr>
                <w:rFonts w:eastAsia="宋体" w:cs="Times New Roman"/>
                <w:color w:val="000000" w:themeColor="text1"/>
                <w:sz w:val="24"/>
                <w:szCs w:val="24"/>
              </w:rPr>
              <w:t>2020年7月11日</w:t>
            </w:r>
          </w:p>
          <w:p>
            <w:pPr>
              <w:widowControl w:val="0"/>
              <w:jc w:val="both"/>
              <w:rPr>
                <w:rFonts w:eastAsia="宋体" w:cs="Times New Roman"/>
                <w:color w:val="000000" w:themeColor="text1"/>
                <w:sz w:val="24"/>
                <w:szCs w:val="24"/>
              </w:rPr>
            </w:pPr>
            <w:r>
              <w:rPr>
                <w:rFonts w:eastAsia="宋体" w:cs="Times New Roman"/>
                <w:color w:val="000000" w:themeColor="text1"/>
                <w:sz w:val="24"/>
                <w:szCs w:val="24"/>
              </w:rPr>
              <w:t>-2023年7月11日</w:t>
            </w:r>
          </w:p>
        </w:tc>
        <w:tc>
          <w:tcPr>
            <w:tcW w:w="1695" w:type="dxa"/>
            <w:gridSpan w:val="2"/>
            <w:shd w:val="clear" w:color="auto" w:fill="auto"/>
            <w:vAlign w:val="center"/>
          </w:tcPr>
          <w:p>
            <w:pPr>
              <w:widowControl w:val="0"/>
              <w:rPr>
                <w:rFonts w:eastAsia="宋体" w:cs="Times New Roman"/>
                <w:color w:val="000000" w:themeColor="text1"/>
                <w:sz w:val="24"/>
                <w:szCs w:val="24"/>
              </w:rPr>
            </w:pPr>
            <w:r>
              <w:rPr>
                <w:rFonts w:eastAsia="宋体" w:hAnsi="宋体" w:cs="Times New Roman"/>
                <w:color w:val="000000" w:themeColor="text1"/>
                <w:sz w:val="24"/>
                <w:szCs w:val="24"/>
              </w:rPr>
              <w:t>发证日期</w:t>
            </w:r>
          </w:p>
        </w:tc>
        <w:tc>
          <w:tcPr>
            <w:tcW w:w="2220" w:type="dxa"/>
            <w:shd w:val="clear" w:color="auto" w:fill="auto"/>
            <w:vAlign w:val="center"/>
          </w:tcPr>
          <w:p>
            <w:pPr>
              <w:widowControl w:val="0"/>
              <w:jc w:val="both"/>
              <w:rPr>
                <w:rFonts w:eastAsia="宋体" w:cs="Times New Roman"/>
                <w:color w:val="000000" w:themeColor="text1"/>
                <w:sz w:val="24"/>
                <w:szCs w:val="24"/>
              </w:rPr>
            </w:pPr>
            <w:r>
              <w:rPr>
                <w:rFonts w:eastAsia="宋体" w:cs="Times New Roman"/>
                <w:color w:val="000000" w:themeColor="text1"/>
                <w:sz w:val="24"/>
                <w:szCs w:val="24"/>
              </w:rPr>
              <w:t>2021年8月24日</w:t>
            </w:r>
          </w:p>
        </w:tc>
      </w:tr>
      <w:tr>
        <w:tblPrEx>
          <w:tblW w:w="8724" w:type="dxa"/>
          <w:tblInd w:w="0" w:type="dxa"/>
          <w:tblCellMar>
            <w:top w:w="0" w:type="dxa"/>
            <w:left w:w="108" w:type="dxa"/>
            <w:bottom w:w="0" w:type="dxa"/>
            <w:right w:w="108" w:type="dxa"/>
          </w:tblCellMar>
        </w:tblPrEx>
        <w:trPr>
          <w:trHeight w:val="406"/>
        </w:trPr>
        <w:tc>
          <w:tcPr>
            <w:tcW w:w="1704" w:type="dxa"/>
            <w:vAlign w:val="center"/>
          </w:tcPr>
          <w:p>
            <w:pPr>
              <w:widowControl w:val="0"/>
              <w:rPr>
                <w:rFonts w:eastAsia="宋体" w:cs="Times New Roman"/>
                <w:sz w:val="24"/>
                <w:szCs w:val="24"/>
              </w:rPr>
            </w:pPr>
            <w:r>
              <w:rPr>
                <w:rFonts w:eastAsia="宋体" w:hAnsi="宋体" w:cs="Times New Roman"/>
                <w:sz w:val="24"/>
                <w:szCs w:val="24"/>
              </w:rPr>
              <w:t>矿区地址</w:t>
            </w:r>
          </w:p>
        </w:tc>
        <w:tc>
          <w:tcPr>
            <w:tcW w:w="7020" w:type="dxa"/>
            <w:gridSpan w:val="5"/>
            <w:vAlign w:val="center"/>
          </w:tcPr>
          <w:p>
            <w:pPr>
              <w:widowControl w:val="0"/>
              <w:jc w:val="both"/>
              <w:rPr>
                <w:rFonts w:eastAsia="宋体" w:cs="Times New Roman"/>
                <w:sz w:val="24"/>
                <w:szCs w:val="24"/>
              </w:rPr>
            </w:pPr>
            <w:r>
              <w:rPr>
                <w:rFonts w:eastAsia="宋体" w:hAnsi="宋体" w:cs="Times New Roman"/>
                <w:sz w:val="24"/>
                <w:szCs w:val="20"/>
              </w:rPr>
              <w:t>赤峰市元宝山区小五家乡大营子村</w:t>
            </w:r>
          </w:p>
        </w:tc>
      </w:tr>
      <w:tr>
        <w:tblPrEx>
          <w:tblW w:w="8724" w:type="dxa"/>
          <w:tblInd w:w="0" w:type="dxa"/>
          <w:tblCellMar>
            <w:top w:w="0" w:type="dxa"/>
            <w:left w:w="108" w:type="dxa"/>
            <w:bottom w:w="0" w:type="dxa"/>
            <w:right w:w="108" w:type="dxa"/>
          </w:tblCellMar>
        </w:tblPrEx>
        <w:tc>
          <w:tcPr>
            <w:tcW w:w="1704" w:type="dxa"/>
            <w:vAlign w:val="center"/>
          </w:tcPr>
          <w:p>
            <w:pPr>
              <w:widowControl w:val="0"/>
              <w:rPr>
                <w:rFonts w:eastAsia="宋体" w:cs="Times New Roman"/>
                <w:sz w:val="24"/>
                <w:szCs w:val="24"/>
              </w:rPr>
            </w:pPr>
            <w:r>
              <w:rPr>
                <w:rFonts w:eastAsia="宋体" w:hAnsi="宋体" w:cs="Times New Roman"/>
                <w:sz w:val="24"/>
                <w:szCs w:val="24"/>
              </w:rPr>
              <w:t>经纬度坐标</w:t>
            </w:r>
          </w:p>
        </w:tc>
        <w:tc>
          <w:tcPr>
            <w:tcW w:w="7020" w:type="dxa"/>
            <w:gridSpan w:val="5"/>
            <w:vAlign w:val="center"/>
          </w:tcPr>
          <w:p>
            <w:pPr>
              <w:widowControl w:val="0"/>
              <w:jc w:val="both"/>
              <w:rPr>
                <w:rFonts w:eastAsia="宋体" w:cs="Times New Roman"/>
                <w:sz w:val="24"/>
                <w:szCs w:val="24"/>
              </w:rPr>
            </w:pPr>
            <w:r>
              <w:rPr>
                <w:rFonts w:eastAsia="宋体" w:hAnsi="宋体" w:cs="Times New Roman"/>
                <w:sz w:val="24"/>
                <w:szCs w:val="24"/>
              </w:rPr>
              <w:t>东经：</w:t>
            </w:r>
            <w:r>
              <w:rPr>
                <w:rFonts w:eastAsia="宋体" w:cs="Times New Roman"/>
                <w:sz w:val="24"/>
                <w:szCs w:val="24"/>
              </w:rPr>
              <w:t>119°03′26″～119°04′46″</w:t>
            </w:r>
            <w:r>
              <w:rPr>
                <w:rFonts w:eastAsia="宋体" w:hAnsi="宋体" w:cs="Times New Roman"/>
                <w:sz w:val="24"/>
                <w:szCs w:val="24"/>
              </w:rPr>
              <w:t>；</w:t>
            </w:r>
          </w:p>
          <w:p>
            <w:pPr>
              <w:widowControl w:val="0"/>
              <w:jc w:val="both"/>
              <w:rPr>
                <w:rFonts w:eastAsia="宋体" w:cs="Times New Roman"/>
                <w:sz w:val="24"/>
                <w:szCs w:val="24"/>
              </w:rPr>
            </w:pPr>
            <w:r>
              <w:rPr>
                <w:rFonts w:eastAsia="宋体" w:hAnsi="宋体" w:cs="Times New Roman"/>
                <w:sz w:val="24"/>
                <w:szCs w:val="24"/>
              </w:rPr>
              <w:t>北纬：</w:t>
            </w:r>
            <w:r>
              <w:rPr>
                <w:rFonts w:eastAsia="宋体" w:cs="Times New Roman"/>
                <w:sz w:val="24"/>
                <w:szCs w:val="24"/>
              </w:rPr>
              <w:t>42°04′17″～ 42°04′55″</w:t>
            </w:r>
          </w:p>
        </w:tc>
      </w:tr>
      <w:tr>
        <w:tblPrEx>
          <w:tblW w:w="8724" w:type="dxa"/>
          <w:tblInd w:w="0" w:type="dxa"/>
          <w:tblCellMar>
            <w:top w:w="0" w:type="dxa"/>
            <w:left w:w="108" w:type="dxa"/>
            <w:bottom w:w="0" w:type="dxa"/>
            <w:right w:w="108" w:type="dxa"/>
          </w:tblCellMar>
        </w:tblPrEx>
        <w:trPr>
          <w:trHeight w:val="396"/>
        </w:trPr>
        <w:tc>
          <w:tcPr>
            <w:tcW w:w="1704" w:type="dxa"/>
            <w:vAlign w:val="center"/>
          </w:tcPr>
          <w:p>
            <w:pPr>
              <w:widowControl w:val="0"/>
              <w:rPr>
                <w:rFonts w:eastAsia="宋体" w:cs="Times New Roman"/>
                <w:sz w:val="24"/>
                <w:szCs w:val="24"/>
              </w:rPr>
            </w:pPr>
            <w:r>
              <w:rPr>
                <w:rFonts w:eastAsia="宋体" w:hAnsi="宋体" w:cs="Times New Roman"/>
                <w:sz w:val="24"/>
                <w:szCs w:val="24"/>
              </w:rPr>
              <w:t>经济类型</w:t>
            </w:r>
          </w:p>
        </w:tc>
        <w:tc>
          <w:tcPr>
            <w:tcW w:w="3105" w:type="dxa"/>
            <w:gridSpan w:val="2"/>
            <w:vAlign w:val="center"/>
          </w:tcPr>
          <w:p>
            <w:pPr>
              <w:widowControl w:val="0"/>
              <w:jc w:val="both"/>
              <w:rPr>
                <w:rFonts w:eastAsia="宋体" w:cs="Times New Roman"/>
                <w:sz w:val="24"/>
                <w:szCs w:val="24"/>
              </w:rPr>
            </w:pPr>
            <w:r>
              <w:rPr>
                <w:rFonts w:eastAsia="宋体" w:hAnsi="宋体" w:cs="Times New Roman"/>
                <w:sz w:val="24"/>
                <w:szCs w:val="24"/>
              </w:rPr>
              <w:t>有限责任公司</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生产规模</w:t>
            </w:r>
          </w:p>
        </w:tc>
        <w:tc>
          <w:tcPr>
            <w:tcW w:w="2220" w:type="dxa"/>
            <w:vAlign w:val="center"/>
          </w:tcPr>
          <w:p>
            <w:pPr>
              <w:widowControl w:val="0"/>
              <w:jc w:val="both"/>
              <w:rPr>
                <w:rFonts w:eastAsia="宋体" w:cs="Times New Roman"/>
                <w:sz w:val="24"/>
                <w:szCs w:val="24"/>
              </w:rPr>
            </w:pPr>
            <w:r>
              <w:rPr>
                <w:rFonts w:eastAsia="宋体" w:hAnsi="宋体" w:cs="Times New Roman"/>
                <w:color w:val="000000" w:themeColor="text1"/>
                <w:sz w:val="24"/>
                <w:szCs w:val="24"/>
              </w:rPr>
              <w:t>小型</w:t>
            </w:r>
          </w:p>
        </w:tc>
      </w:tr>
      <w:tr>
        <w:tblPrEx>
          <w:tblW w:w="8724" w:type="dxa"/>
          <w:tblInd w:w="0" w:type="dxa"/>
          <w:tblCellMar>
            <w:top w:w="0" w:type="dxa"/>
            <w:left w:w="108" w:type="dxa"/>
            <w:bottom w:w="0" w:type="dxa"/>
            <w:right w:w="108" w:type="dxa"/>
          </w:tblCellMar>
        </w:tblPrEx>
        <w:trPr>
          <w:trHeight w:val="426"/>
        </w:trPr>
        <w:tc>
          <w:tcPr>
            <w:tcW w:w="1704" w:type="dxa"/>
            <w:vAlign w:val="center"/>
          </w:tcPr>
          <w:p>
            <w:pPr>
              <w:widowControl w:val="0"/>
              <w:rPr>
                <w:rFonts w:eastAsia="宋体" w:cs="Times New Roman"/>
                <w:sz w:val="24"/>
                <w:szCs w:val="24"/>
              </w:rPr>
            </w:pPr>
            <w:r>
              <w:rPr>
                <w:rFonts w:eastAsia="宋体" w:hAnsi="宋体" w:cs="Times New Roman"/>
                <w:sz w:val="24"/>
                <w:szCs w:val="24"/>
              </w:rPr>
              <w:t>开采矿种</w:t>
            </w:r>
          </w:p>
        </w:tc>
        <w:tc>
          <w:tcPr>
            <w:tcW w:w="3105" w:type="dxa"/>
            <w:gridSpan w:val="2"/>
            <w:vAlign w:val="center"/>
          </w:tcPr>
          <w:p>
            <w:pPr>
              <w:widowControl w:val="0"/>
              <w:jc w:val="both"/>
              <w:rPr>
                <w:rFonts w:eastAsia="宋体" w:cs="Times New Roman"/>
                <w:sz w:val="24"/>
                <w:szCs w:val="24"/>
              </w:rPr>
            </w:pPr>
            <w:r>
              <w:rPr>
                <w:rFonts w:eastAsia="宋体" w:hAnsi="宋体" w:cs="Times New Roman"/>
                <w:sz w:val="24"/>
                <w:szCs w:val="24"/>
              </w:rPr>
              <w:t>金矿</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采矿方式</w:t>
            </w:r>
          </w:p>
        </w:tc>
        <w:tc>
          <w:tcPr>
            <w:tcW w:w="2220" w:type="dxa"/>
            <w:vAlign w:val="center"/>
          </w:tcPr>
          <w:p>
            <w:pPr>
              <w:widowControl w:val="0"/>
              <w:jc w:val="both"/>
              <w:rPr>
                <w:rFonts w:eastAsia="宋体" w:cs="Times New Roman"/>
                <w:sz w:val="24"/>
                <w:szCs w:val="24"/>
              </w:rPr>
            </w:pPr>
            <w:r>
              <w:rPr>
                <w:rFonts w:eastAsia="宋体" w:hAnsi="宋体" w:cs="Times New Roman"/>
                <w:sz w:val="24"/>
                <w:szCs w:val="24"/>
              </w:rPr>
              <w:t>地下开采</w:t>
            </w:r>
          </w:p>
        </w:tc>
      </w:tr>
      <w:tr>
        <w:tblPrEx>
          <w:tblW w:w="8724" w:type="dxa"/>
          <w:tblInd w:w="0" w:type="dxa"/>
          <w:tblCellMar>
            <w:top w:w="0" w:type="dxa"/>
            <w:left w:w="108" w:type="dxa"/>
            <w:bottom w:w="0" w:type="dxa"/>
            <w:right w:w="108" w:type="dxa"/>
          </w:tblCellMar>
        </w:tblPrEx>
        <w:trPr>
          <w:trHeight w:val="391"/>
        </w:trPr>
        <w:tc>
          <w:tcPr>
            <w:tcW w:w="1704" w:type="dxa"/>
            <w:vAlign w:val="center"/>
          </w:tcPr>
          <w:p>
            <w:pPr>
              <w:widowControl w:val="0"/>
              <w:rPr>
                <w:rFonts w:eastAsia="宋体" w:cs="Times New Roman"/>
                <w:sz w:val="24"/>
                <w:szCs w:val="24"/>
              </w:rPr>
            </w:pPr>
            <w:r>
              <w:rPr>
                <w:rFonts w:eastAsia="宋体" w:hAnsi="宋体" w:cs="Times New Roman"/>
                <w:sz w:val="24"/>
                <w:szCs w:val="24"/>
              </w:rPr>
              <w:t>矿区面积</w:t>
            </w:r>
          </w:p>
        </w:tc>
        <w:tc>
          <w:tcPr>
            <w:tcW w:w="3105" w:type="dxa"/>
            <w:gridSpan w:val="2"/>
            <w:vAlign w:val="center"/>
          </w:tcPr>
          <w:p>
            <w:pPr>
              <w:widowControl w:val="0"/>
              <w:jc w:val="both"/>
              <w:rPr>
                <w:rFonts w:eastAsia="宋体" w:cs="Times New Roman"/>
                <w:sz w:val="24"/>
                <w:szCs w:val="24"/>
              </w:rPr>
            </w:pPr>
            <w:r>
              <w:rPr>
                <w:rFonts w:eastAsia="宋体" w:cs="Times New Roman"/>
                <w:sz w:val="24"/>
                <w:szCs w:val="24"/>
              </w:rPr>
              <w:t>1.9789km</w:t>
            </w:r>
            <w:r>
              <w:rPr>
                <w:rFonts w:eastAsia="宋体" w:cs="Times New Roman"/>
                <w:sz w:val="24"/>
                <w:szCs w:val="24"/>
                <w:vertAlign w:val="superscript"/>
              </w:rPr>
              <w:t>2</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生产现状</w:t>
            </w:r>
          </w:p>
        </w:tc>
        <w:tc>
          <w:tcPr>
            <w:tcW w:w="2220" w:type="dxa"/>
            <w:vAlign w:val="center"/>
          </w:tcPr>
          <w:p>
            <w:pPr>
              <w:widowControl w:val="0"/>
              <w:jc w:val="both"/>
              <w:rPr>
                <w:rFonts w:eastAsia="宋体" w:cs="Times New Roman"/>
                <w:sz w:val="24"/>
                <w:szCs w:val="24"/>
              </w:rPr>
            </w:pPr>
            <w:r>
              <w:rPr>
                <w:rFonts w:eastAsia="宋体" w:hAnsi="宋体" w:cs="Times New Roman"/>
                <w:sz w:val="24"/>
                <w:szCs w:val="24"/>
              </w:rPr>
              <w:t>停产</w:t>
            </w:r>
          </w:p>
        </w:tc>
      </w:tr>
      <w:tr>
        <w:tblPrEx>
          <w:tblW w:w="8724" w:type="dxa"/>
          <w:tblInd w:w="0" w:type="dxa"/>
          <w:tblCellMar>
            <w:top w:w="0" w:type="dxa"/>
            <w:left w:w="108" w:type="dxa"/>
            <w:bottom w:w="0" w:type="dxa"/>
            <w:right w:w="108" w:type="dxa"/>
          </w:tblCellMar>
        </w:tblPrEx>
        <w:trPr>
          <w:trHeight w:val="406"/>
        </w:trPr>
        <w:tc>
          <w:tcPr>
            <w:tcW w:w="1704" w:type="dxa"/>
            <w:vAlign w:val="center"/>
          </w:tcPr>
          <w:p>
            <w:pPr>
              <w:widowControl w:val="0"/>
              <w:rPr>
                <w:rFonts w:eastAsia="宋体" w:cs="Times New Roman"/>
                <w:sz w:val="24"/>
                <w:szCs w:val="24"/>
              </w:rPr>
            </w:pPr>
            <w:r>
              <w:rPr>
                <w:rFonts w:eastAsia="宋体" w:hAnsi="宋体" w:cs="Times New Roman"/>
                <w:sz w:val="24"/>
                <w:szCs w:val="24"/>
              </w:rPr>
              <w:t>建矿时间</w:t>
            </w:r>
          </w:p>
        </w:tc>
        <w:tc>
          <w:tcPr>
            <w:tcW w:w="3105" w:type="dxa"/>
            <w:gridSpan w:val="2"/>
            <w:vAlign w:val="center"/>
          </w:tcPr>
          <w:p>
            <w:pPr>
              <w:widowControl w:val="0"/>
              <w:jc w:val="both"/>
              <w:rPr>
                <w:rFonts w:eastAsia="宋体" w:cs="Times New Roman"/>
                <w:sz w:val="24"/>
                <w:szCs w:val="24"/>
              </w:rPr>
            </w:pPr>
            <w:r>
              <w:rPr>
                <w:rFonts w:eastAsia="宋体" w:cs="Times New Roman"/>
                <w:sz w:val="24"/>
                <w:szCs w:val="24"/>
              </w:rPr>
              <w:t>2005</w:t>
            </w:r>
            <w:r>
              <w:rPr>
                <w:rFonts w:eastAsia="宋体" w:hAnsi="宋体" w:cs="Times New Roman"/>
                <w:sz w:val="24"/>
                <w:szCs w:val="24"/>
              </w:rPr>
              <w:t>年</w:t>
            </w:r>
            <w:r>
              <w:rPr>
                <w:rFonts w:eastAsia="宋体" w:cs="Times New Roman"/>
                <w:sz w:val="24"/>
                <w:szCs w:val="24"/>
              </w:rPr>
              <w:t>7</w:t>
            </w:r>
            <w:r>
              <w:rPr>
                <w:rFonts w:eastAsia="宋体" w:hAnsi="宋体" w:cs="Times New Roman"/>
                <w:sz w:val="24"/>
                <w:szCs w:val="24"/>
              </w:rPr>
              <w:t>月</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设计生产能力</w:t>
            </w:r>
          </w:p>
        </w:tc>
        <w:tc>
          <w:tcPr>
            <w:tcW w:w="2220" w:type="dxa"/>
            <w:vAlign w:val="center"/>
          </w:tcPr>
          <w:p>
            <w:pPr>
              <w:widowControl w:val="0"/>
              <w:jc w:val="both"/>
              <w:rPr>
                <w:rFonts w:eastAsia="宋体" w:cs="Times New Roman"/>
                <w:sz w:val="24"/>
                <w:szCs w:val="24"/>
              </w:rPr>
            </w:pPr>
            <w:r>
              <w:rPr>
                <w:rFonts w:eastAsia="宋体" w:cs="Times New Roman"/>
                <w:sz w:val="24"/>
                <w:szCs w:val="24"/>
              </w:rPr>
              <w:t>3.00万t/</w:t>
            </w:r>
            <w:r>
              <w:rPr>
                <w:rFonts w:eastAsia="宋体" w:hAnsi="宋体" w:cs="Times New Roman"/>
                <w:sz w:val="24"/>
                <w:szCs w:val="24"/>
              </w:rPr>
              <w:t>年</w:t>
            </w:r>
          </w:p>
        </w:tc>
      </w:tr>
      <w:tr>
        <w:tblPrEx>
          <w:tblW w:w="8724" w:type="dxa"/>
          <w:tblInd w:w="0" w:type="dxa"/>
          <w:tblCellMar>
            <w:top w:w="0" w:type="dxa"/>
            <w:left w:w="108" w:type="dxa"/>
            <w:bottom w:w="0" w:type="dxa"/>
            <w:right w:w="108" w:type="dxa"/>
          </w:tblCellMar>
        </w:tblPrEx>
        <w:trPr>
          <w:trHeight w:val="391"/>
        </w:trPr>
        <w:tc>
          <w:tcPr>
            <w:tcW w:w="1704" w:type="dxa"/>
            <w:vAlign w:val="center"/>
          </w:tcPr>
          <w:p>
            <w:pPr>
              <w:widowControl w:val="0"/>
              <w:rPr>
                <w:rFonts w:eastAsia="宋体" w:cs="Times New Roman"/>
                <w:sz w:val="24"/>
                <w:szCs w:val="24"/>
              </w:rPr>
            </w:pPr>
            <w:r>
              <w:rPr>
                <w:rFonts w:eastAsia="宋体" w:hAnsi="宋体" w:cs="Times New Roman"/>
                <w:sz w:val="24"/>
                <w:szCs w:val="24"/>
              </w:rPr>
              <w:t>设计服务年限</w:t>
            </w:r>
          </w:p>
        </w:tc>
        <w:tc>
          <w:tcPr>
            <w:tcW w:w="3105" w:type="dxa"/>
            <w:gridSpan w:val="2"/>
            <w:vAlign w:val="center"/>
          </w:tcPr>
          <w:p>
            <w:pPr>
              <w:widowControl w:val="0"/>
              <w:jc w:val="both"/>
              <w:rPr>
                <w:rFonts w:eastAsia="宋体" w:cs="Times New Roman"/>
                <w:sz w:val="24"/>
                <w:szCs w:val="24"/>
              </w:rPr>
            </w:pPr>
            <w:r>
              <w:rPr>
                <w:rFonts w:eastAsia="宋体" w:cs="Times New Roman"/>
                <w:sz w:val="24"/>
                <w:szCs w:val="24"/>
              </w:rPr>
              <w:t>2017</w:t>
            </w:r>
            <w:r>
              <w:rPr>
                <w:rFonts w:eastAsia="宋体" w:hAnsi="宋体" w:cs="Times New Roman"/>
                <w:sz w:val="24"/>
                <w:szCs w:val="24"/>
              </w:rPr>
              <w:t>年</w:t>
            </w:r>
            <w:r>
              <w:rPr>
                <w:rFonts w:eastAsia="宋体" w:cs="Times New Roman"/>
                <w:sz w:val="24"/>
                <w:szCs w:val="24"/>
              </w:rPr>
              <w:t>7</w:t>
            </w:r>
            <w:r>
              <w:rPr>
                <w:rFonts w:eastAsia="宋体" w:hAnsi="宋体" w:cs="Times New Roman"/>
                <w:sz w:val="24"/>
                <w:szCs w:val="24"/>
              </w:rPr>
              <w:t>月至</w:t>
            </w:r>
            <w:r>
              <w:rPr>
                <w:rFonts w:eastAsia="宋体" w:cs="Times New Roman"/>
                <w:sz w:val="24"/>
                <w:szCs w:val="24"/>
              </w:rPr>
              <w:t>2027</w:t>
            </w:r>
            <w:r>
              <w:rPr>
                <w:rFonts w:eastAsia="宋体" w:hAnsi="宋体" w:cs="Times New Roman"/>
                <w:sz w:val="24"/>
                <w:szCs w:val="24"/>
              </w:rPr>
              <w:t>年</w:t>
            </w:r>
            <w:r>
              <w:rPr>
                <w:rFonts w:eastAsia="宋体" w:cs="Times New Roman"/>
                <w:sz w:val="24"/>
                <w:szCs w:val="24"/>
              </w:rPr>
              <w:t>7</w:t>
            </w:r>
            <w:r>
              <w:rPr>
                <w:rFonts w:eastAsia="宋体" w:hAnsi="宋体" w:cs="Times New Roman"/>
                <w:sz w:val="24"/>
                <w:szCs w:val="24"/>
              </w:rPr>
              <w:t>月</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实际生产能力</w:t>
            </w:r>
          </w:p>
        </w:tc>
        <w:tc>
          <w:tcPr>
            <w:tcW w:w="2220" w:type="dxa"/>
            <w:vAlign w:val="center"/>
          </w:tcPr>
          <w:p>
            <w:pPr>
              <w:widowControl w:val="0"/>
              <w:jc w:val="both"/>
              <w:rPr>
                <w:rFonts w:eastAsia="宋体" w:cs="Times New Roman"/>
                <w:sz w:val="24"/>
                <w:szCs w:val="24"/>
              </w:rPr>
            </w:pPr>
            <w:r>
              <w:rPr>
                <w:rFonts w:eastAsia="宋体" w:cs="Times New Roman"/>
                <w:sz w:val="24"/>
                <w:szCs w:val="24"/>
              </w:rPr>
              <w:t>0万t/</w:t>
            </w:r>
            <w:r>
              <w:rPr>
                <w:rFonts w:eastAsia="宋体" w:hAnsi="宋体" w:cs="Times New Roman"/>
                <w:sz w:val="24"/>
                <w:szCs w:val="24"/>
              </w:rPr>
              <w:t>年</w:t>
            </w:r>
          </w:p>
        </w:tc>
      </w:tr>
      <w:tr>
        <w:tblPrEx>
          <w:tblW w:w="8724" w:type="dxa"/>
          <w:tblInd w:w="0" w:type="dxa"/>
          <w:tblCellMar>
            <w:top w:w="0" w:type="dxa"/>
            <w:left w:w="108" w:type="dxa"/>
            <w:bottom w:w="0" w:type="dxa"/>
            <w:right w:w="108" w:type="dxa"/>
          </w:tblCellMar>
        </w:tblPrEx>
        <w:trPr>
          <w:trHeight w:val="421"/>
        </w:trPr>
        <w:tc>
          <w:tcPr>
            <w:tcW w:w="1704" w:type="dxa"/>
            <w:vAlign w:val="center"/>
          </w:tcPr>
          <w:p>
            <w:pPr>
              <w:widowControl w:val="0"/>
              <w:rPr>
                <w:rFonts w:eastAsia="宋体" w:cs="Times New Roman"/>
                <w:sz w:val="24"/>
                <w:szCs w:val="24"/>
              </w:rPr>
            </w:pPr>
            <w:r>
              <w:rPr>
                <w:rFonts w:eastAsia="宋体" w:hAnsi="宋体" w:cs="Times New Roman"/>
                <w:sz w:val="24"/>
                <w:szCs w:val="24"/>
              </w:rPr>
              <w:t>剩余服务年限</w:t>
            </w:r>
          </w:p>
        </w:tc>
        <w:tc>
          <w:tcPr>
            <w:tcW w:w="3105" w:type="dxa"/>
            <w:gridSpan w:val="2"/>
            <w:vAlign w:val="center"/>
          </w:tcPr>
          <w:p>
            <w:pPr>
              <w:widowControl w:val="0"/>
              <w:jc w:val="both"/>
              <w:rPr>
                <w:rFonts w:eastAsia="宋体" w:cs="Times New Roman"/>
                <w:sz w:val="24"/>
                <w:szCs w:val="24"/>
              </w:rPr>
            </w:pPr>
            <w:r>
              <w:rPr>
                <w:rFonts w:eastAsia="宋体" w:cs="Times New Roman"/>
                <w:sz w:val="24"/>
                <w:szCs w:val="24"/>
              </w:rPr>
              <w:t>21.05</w:t>
            </w:r>
            <w:r>
              <w:rPr>
                <w:rFonts w:eastAsia="宋体" w:hAnsi="宋体" w:cs="Times New Roman"/>
                <w:sz w:val="24"/>
                <w:szCs w:val="24"/>
              </w:rPr>
              <w:t>年</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开采深度</w:t>
            </w:r>
          </w:p>
        </w:tc>
        <w:tc>
          <w:tcPr>
            <w:tcW w:w="2220" w:type="dxa"/>
            <w:vAlign w:val="center"/>
          </w:tcPr>
          <w:p>
            <w:pPr>
              <w:widowControl w:val="0"/>
              <w:jc w:val="both"/>
              <w:rPr>
                <w:rFonts w:eastAsia="宋体" w:cs="Times New Roman"/>
                <w:sz w:val="24"/>
                <w:szCs w:val="24"/>
              </w:rPr>
            </w:pPr>
            <w:r>
              <w:rPr>
                <w:rFonts w:eastAsia="宋体" w:cs="Times New Roman"/>
                <w:color w:val="000000"/>
                <w:kern w:val="0"/>
                <w:sz w:val="24"/>
                <w:szCs w:val="24"/>
              </w:rPr>
              <w:t>900m至600m标高</w:t>
            </w:r>
          </w:p>
        </w:tc>
      </w:tr>
      <w:tr>
        <w:tblPrEx>
          <w:tblW w:w="8724" w:type="dxa"/>
          <w:tblInd w:w="0" w:type="dxa"/>
          <w:tblCellMar>
            <w:top w:w="0" w:type="dxa"/>
            <w:left w:w="108" w:type="dxa"/>
            <w:bottom w:w="0" w:type="dxa"/>
            <w:right w:w="108" w:type="dxa"/>
          </w:tblCellMar>
        </w:tblPrEx>
        <w:trPr>
          <w:trHeight w:val="406"/>
        </w:trPr>
        <w:tc>
          <w:tcPr>
            <w:tcW w:w="1704" w:type="dxa"/>
            <w:vAlign w:val="center"/>
          </w:tcPr>
          <w:p>
            <w:pPr>
              <w:widowControl w:val="0"/>
              <w:rPr>
                <w:rFonts w:eastAsia="宋体" w:cs="Times New Roman"/>
                <w:sz w:val="24"/>
                <w:szCs w:val="24"/>
              </w:rPr>
            </w:pPr>
            <w:r>
              <w:rPr>
                <w:rFonts w:eastAsia="宋体" w:hAnsi="宋体" w:cs="Times New Roman"/>
                <w:sz w:val="24"/>
                <w:szCs w:val="24"/>
              </w:rPr>
              <w:t>查明资源储量</w:t>
            </w:r>
          </w:p>
        </w:tc>
        <w:tc>
          <w:tcPr>
            <w:tcW w:w="3105" w:type="dxa"/>
            <w:gridSpan w:val="2"/>
            <w:vAlign w:val="center"/>
          </w:tcPr>
          <w:p>
            <w:pPr>
              <w:widowControl w:val="0"/>
              <w:jc w:val="both"/>
              <w:rPr>
                <w:rFonts w:eastAsia="宋体" w:cs="Times New Roman"/>
                <w:sz w:val="24"/>
                <w:szCs w:val="24"/>
              </w:rPr>
            </w:pPr>
            <w:r>
              <w:rPr>
                <w:rFonts w:eastAsia="宋体" w:cs="Times New Roman"/>
                <w:sz w:val="24"/>
              </w:rPr>
              <w:t>839.40395kt</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剩余资源储量</w:t>
            </w:r>
          </w:p>
        </w:tc>
        <w:tc>
          <w:tcPr>
            <w:tcW w:w="2220" w:type="dxa"/>
            <w:vAlign w:val="center"/>
          </w:tcPr>
          <w:p>
            <w:pPr>
              <w:widowControl w:val="0"/>
              <w:jc w:val="both"/>
              <w:rPr>
                <w:rFonts w:eastAsia="宋体" w:cs="Times New Roman"/>
                <w:sz w:val="24"/>
                <w:szCs w:val="24"/>
              </w:rPr>
            </w:pPr>
            <w:r>
              <w:rPr>
                <w:rFonts w:eastAsia="宋体" w:cs="Times New Roman"/>
                <w:sz w:val="24"/>
                <w:szCs w:val="24"/>
              </w:rPr>
              <w:t>694.90394</w:t>
            </w:r>
            <w:r>
              <w:rPr>
                <w:rFonts w:eastAsia="宋体" w:cs="Times New Roman"/>
                <w:sz w:val="24"/>
              </w:rPr>
              <w:t xml:space="preserve"> kt</w:t>
            </w:r>
          </w:p>
        </w:tc>
      </w:tr>
      <w:tr>
        <w:tblPrEx>
          <w:tblW w:w="8724" w:type="dxa"/>
          <w:tblInd w:w="0" w:type="dxa"/>
          <w:tblCellMar>
            <w:top w:w="0" w:type="dxa"/>
            <w:left w:w="108" w:type="dxa"/>
            <w:bottom w:w="0" w:type="dxa"/>
            <w:right w:w="108" w:type="dxa"/>
          </w:tblCellMar>
        </w:tblPrEx>
        <w:trPr>
          <w:trHeight w:val="275"/>
        </w:trPr>
        <w:tc>
          <w:tcPr>
            <w:tcW w:w="1704" w:type="dxa"/>
            <w:vMerge w:val="restart"/>
            <w:vAlign w:val="center"/>
          </w:tcPr>
          <w:p>
            <w:pPr>
              <w:widowControl w:val="0"/>
              <w:rPr>
                <w:rFonts w:eastAsia="宋体" w:cs="Times New Roman"/>
                <w:sz w:val="24"/>
                <w:szCs w:val="24"/>
              </w:rPr>
            </w:pPr>
            <w:r>
              <w:rPr>
                <w:rFonts w:eastAsia="宋体" w:hAnsi="宋体" w:cs="Times New Roman"/>
                <w:sz w:val="24"/>
                <w:szCs w:val="24"/>
              </w:rPr>
              <w:t>矿区范围</w:t>
            </w:r>
          </w:p>
          <w:p>
            <w:pPr>
              <w:widowControl w:val="0"/>
              <w:rPr>
                <w:rFonts w:eastAsia="宋体" w:cs="Times New Roman"/>
                <w:sz w:val="24"/>
                <w:szCs w:val="24"/>
              </w:rPr>
            </w:pPr>
            <w:r>
              <w:rPr>
                <w:rFonts w:eastAsia="宋体" w:hAnsi="宋体" w:cs="Times New Roman"/>
                <w:sz w:val="24"/>
                <w:szCs w:val="24"/>
              </w:rPr>
              <w:t>拐点坐标</w:t>
            </w:r>
          </w:p>
        </w:tc>
        <w:tc>
          <w:tcPr>
            <w:tcW w:w="7020" w:type="dxa"/>
            <w:gridSpan w:val="5"/>
          </w:tcPr>
          <w:p>
            <w:pPr>
              <w:widowControl w:val="0"/>
              <w:rPr>
                <w:rFonts w:eastAsia="宋体" w:cs="Times New Roman"/>
                <w:sz w:val="24"/>
                <w:szCs w:val="24"/>
              </w:rPr>
            </w:pPr>
            <w:r>
              <w:rPr>
                <w:rFonts w:eastAsia="宋体" w:cs="Times New Roman"/>
                <w:sz w:val="24"/>
                <w:szCs w:val="24"/>
              </w:rPr>
              <w:t>2000</w:t>
            </w:r>
            <w:r>
              <w:rPr>
                <w:rFonts w:eastAsia="宋体" w:hAnsi="宋体" w:cs="Times New Roman"/>
                <w:sz w:val="24"/>
                <w:szCs w:val="24"/>
              </w:rPr>
              <w:t>国家大地坐标系</w:t>
            </w:r>
          </w:p>
        </w:tc>
      </w:tr>
      <w:tr>
        <w:tblPrEx>
          <w:tblW w:w="8724" w:type="dxa"/>
          <w:tblInd w:w="0" w:type="dxa"/>
          <w:tblCellMar>
            <w:top w:w="0" w:type="dxa"/>
            <w:left w:w="108" w:type="dxa"/>
            <w:bottom w:w="0" w:type="dxa"/>
            <w:right w:w="108" w:type="dxa"/>
          </w:tblCellMar>
        </w:tblPrEx>
        <w:trPr>
          <w:trHeight w:val="275"/>
        </w:trPr>
        <w:tc>
          <w:tcPr>
            <w:tcW w:w="1704" w:type="dxa"/>
            <w:vMerge/>
            <w:vAlign w:val="center"/>
          </w:tcPr>
          <w:p>
            <w:pPr>
              <w:widowControl w:val="0"/>
              <w:jc w:val="both"/>
              <w:rPr>
                <w:rFonts w:cs="Times New Roman"/>
              </w:rPr>
            </w:pPr>
          </w:p>
        </w:tc>
        <w:tc>
          <w:tcPr>
            <w:tcW w:w="1215" w:type="dxa"/>
          </w:tcPr>
          <w:p>
            <w:pPr>
              <w:widowControl w:val="0"/>
              <w:rPr>
                <w:rFonts w:eastAsia="宋体" w:cs="Times New Roman"/>
                <w:sz w:val="24"/>
                <w:szCs w:val="24"/>
              </w:rPr>
            </w:pPr>
            <w:r>
              <w:rPr>
                <w:rFonts w:eastAsia="宋体" w:hAnsi="宋体" w:cs="Times New Roman"/>
                <w:sz w:val="24"/>
                <w:szCs w:val="24"/>
              </w:rPr>
              <w:t>拐点编号</w:t>
            </w:r>
          </w:p>
        </w:tc>
        <w:tc>
          <w:tcPr>
            <w:tcW w:w="2715" w:type="dxa"/>
            <w:gridSpan w:val="2"/>
            <w:vAlign w:val="center"/>
          </w:tcPr>
          <w:p>
            <w:pPr>
              <w:widowControl w:val="0"/>
              <w:rPr>
                <w:rFonts w:eastAsia="宋体" w:cs="Times New Roman"/>
                <w:sz w:val="24"/>
                <w:szCs w:val="24"/>
              </w:rPr>
            </w:pPr>
            <w:r>
              <w:rPr>
                <w:rFonts w:eastAsia="宋体" w:cs="Times New Roman"/>
                <w:sz w:val="24"/>
                <w:szCs w:val="24"/>
              </w:rPr>
              <w:t>X</w:t>
            </w:r>
          </w:p>
        </w:tc>
        <w:tc>
          <w:tcPr>
            <w:tcW w:w="3090" w:type="dxa"/>
            <w:gridSpan w:val="2"/>
            <w:vAlign w:val="center"/>
          </w:tcPr>
          <w:p>
            <w:pPr>
              <w:widowControl w:val="0"/>
              <w:rPr>
                <w:rFonts w:eastAsia="宋体" w:cs="Times New Roman"/>
                <w:sz w:val="24"/>
                <w:szCs w:val="24"/>
              </w:rPr>
            </w:pPr>
            <w:r>
              <w:rPr>
                <w:rFonts w:eastAsia="宋体" w:cs="Times New Roman"/>
                <w:sz w:val="24"/>
                <w:szCs w:val="24"/>
              </w:rPr>
              <w:t>Y</w:t>
            </w:r>
          </w:p>
        </w:tc>
      </w:tr>
      <w:tr>
        <w:tblPrEx>
          <w:tblW w:w="8724" w:type="dxa"/>
          <w:tblInd w:w="0" w:type="dxa"/>
          <w:tblCellMar>
            <w:top w:w="0" w:type="dxa"/>
            <w:left w:w="108" w:type="dxa"/>
            <w:bottom w:w="0" w:type="dxa"/>
            <w:right w:w="108" w:type="dxa"/>
          </w:tblCellMar>
        </w:tblPrEx>
        <w:trPr>
          <w:trHeight w:val="275"/>
        </w:trPr>
        <w:tc>
          <w:tcPr>
            <w:tcW w:w="1704" w:type="dxa"/>
            <w:vMerge/>
            <w:vAlign w:val="center"/>
          </w:tcPr>
          <w:p>
            <w:pPr>
              <w:widowControl w:val="0"/>
              <w:jc w:val="both"/>
              <w:rPr>
                <w:rFonts w:eastAsia="宋体" w:cs="Times New Roman"/>
                <w:sz w:val="24"/>
                <w:szCs w:val="24"/>
              </w:rPr>
            </w:pPr>
          </w:p>
        </w:tc>
        <w:tc>
          <w:tcPr>
            <w:tcW w:w="1215" w:type="dxa"/>
            <w:vAlign w:val="center"/>
          </w:tcPr>
          <w:p>
            <w:pPr>
              <w:widowControl w:val="0"/>
              <w:rPr>
                <w:rFonts w:eastAsia="宋体" w:cs="Times New Roman"/>
                <w:sz w:val="24"/>
                <w:szCs w:val="24"/>
              </w:rPr>
            </w:pPr>
            <w:r>
              <w:rPr>
                <w:rFonts w:eastAsia="宋体" w:cs="Times New Roman"/>
                <w:sz w:val="24"/>
                <w:szCs w:val="24"/>
              </w:rPr>
              <w:t>1</w:t>
            </w:r>
          </w:p>
        </w:tc>
        <w:tc>
          <w:tcPr>
            <w:tcW w:w="271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val="0"/>
              <w:adjustRightInd/>
              <w:snapToGrid/>
              <w:rPr>
                <w:rFonts w:eastAsia="宋体" w:cs="Times New Roman"/>
                <w:kern w:val="0"/>
                <w:sz w:val="24"/>
                <w:szCs w:val="24"/>
              </w:rPr>
            </w:pPr>
            <w:r>
              <w:rPr>
                <w:rFonts w:cs="Times New Roman"/>
                <w:sz w:val="24"/>
                <w:szCs w:val="24"/>
              </w:rPr>
              <w:t>4661140.4070</w:t>
            </w:r>
          </w:p>
        </w:tc>
        <w:tc>
          <w:tcPr>
            <w:tcW w:w="3090" w:type="dxa"/>
            <w:gridSpan w:val="2"/>
            <w:tcBorders>
              <w:top w:val="single" w:sz="4" w:space="0" w:color="auto"/>
              <w:left w:val="nil"/>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40422018.8100</w:t>
            </w:r>
          </w:p>
        </w:tc>
      </w:tr>
      <w:tr>
        <w:tblPrEx>
          <w:tblW w:w="8724" w:type="dxa"/>
          <w:tblInd w:w="0" w:type="dxa"/>
          <w:tblCellMar>
            <w:top w:w="0" w:type="dxa"/>
            <w:left w:w="108" w:type="dxa"/>
            <w:bottom w:w="0" w:type="dxa"/>
            <w:right w:w="108" w:type="dxa"/>
          </w:tblCellMar>
        </w:tblPrEx>
        <w:trPr>
          <w:trHeight w:val="275"/>
        </w:trPr>
        <w:tc>
          <w:tcPr>
            <w:tcW w:w="1704" w:type="dxa"/>
            <w:vMerge/>
            <w:vAlign w:val="center"/>
          </w:tcPr>
          <w:p>
            <w:pPr>
              <w:widowControl w:val="0"/>
              <w:jc w:val="both"/>
              <w:rPr>
                <w:rFonts w:eastAsia="宋体" w:cs="Times New Roman"/>
                <w:sz w:val="24"/>
                <w:szCs w:val="24"/>
              </w:rPr>
            </w:pPr>
          </w:p>
        </w:tc>
        <w:tc>
          <w:tcPr>
            <w:tcW w:w="1215" w:type="dxa"/>
            <w:vAlign w:val="center"/>
          </w:tcPr>
          <w:p>
            <w:pPr>
              <w:widowControl w:val="0"/>
              <w:rPr>
                <w:rFonts w:eastAsia="宋体" w:cs="Times New Roman"/>
                <w:sz w:val="24"/>
                <w:szCs w:val="24"/>
              </w:rPr>
            </w:pPr>
            <w:r>
              <w:rPr>
                <w:rFonts w:eastAsia="宋体" w:cs="Times New Roman"/>
                <w:sz w:val="24"/>
                <w:szCs w:val="24"/>
              </w:rPr>
              <w:t>2</w:t>
            </w:r>
          </w:p>
        </w:tc>
        <w:tc>
          <w:tcPr>
            <w:tcW w:w="2715" w:type="dxa"/>
            <w:gridSpan w:val="2"/>
            <w:tcBorders>
              <w:top w:val="nil"/>
              <w:left w:val="single" w:sz="4" w:space="0" w:color="auto"/>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4661077.2610</w:t>
            </w:r>
          </w:p>
        </w:tc>
        <w:tc>
          <w:tcPr>
            <w:tcW w:w="3090" w:type="dxa"/>
            <w:gridSpan w:val="2"/>
            <w:tcBorders>
              <w:top w:val="nil"/>
              <w:left w:val="nil"/>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40423817.2100</w:t>
            </w:r>
          </w:p>
        </w:tc>
      </w:tr>
      <w:tr>
        <w:tblPrEx>
          <w:tblW w:w="8724" w:type="dxa"/>
          <w:tblInd w:w="0" w:type="dxa"/>
          <w:tblCellMar>
            <w:top w:w="0" w:type="dxa"/>
            <w:left w:w="108" w:type="dxa"/>
            <w:bottom w:w="0" w:type="dxa"/>
            <w:right w:w="108" w:type="dxa"/>
          </w:tblCellMar>
        </w:tblPrEx>
        <w:trPr>
          <w:trHeight w:val="275"/>
        </w:trPr>
        <w:tc>
          <w:tcPr>
            <w:tcW w:w="1704" w:type="dxa"/>
            <w:vMerge/>
            <w:vAlign w:val="center"/>
          </w:tcPr>
          <w:p>
            <w:pPr>
              <w:widowControl w:val="0"/>
              <w:jc w:val="both"/>
              <w:rPr>
                <w:rFonts w:eastAsia="宋体" w:cs="Times New Roman"/>
                <w:sz w:val="24"/>
                <w:szCs w:val="24"/>
              </w:rPr>
            </w:pPr>
          </w:p>
        </w:tc>
        <w:tc>
          <w:tcPr>
            <w:tcW w:w="1215" w:type="dxa"/>
            <w:vAlign w:val="center"/>
          </w:tcPr>
          <w:p>
            <w:pPr>
              <w:widowControl w:val="0"/>
              <w:rPr>
                <w:rFonts w:eastAsia="宋体" w:cs="Times New Roman"/>
                <w:sz w:val="24"/>
                <w:szCs w:val="24"/>
              </w:rPr>
            </w:pPr>
            <w:r>
              <w:rPr>
                <w:rFonts w:eastAsia="宋体" w:cs="Times New Roman"/>
                <w:sz w:val="24"/>
                <w:szCs w:val="24"/>
              </w:rPr>
              <w:t>3</w:t>
            </w:r>
          </w:p>
        </w:tc>
        <w:tc>
          <w:tcPr>
            <w:tcW w:w="2715" w:type="dxa"/>
            <w:gridSpan w:val="2"/>
            <w:tcBorders>
              <w:top w:val="nil"/>
              <w:left w:val="single" w:sz="4" w:space="0" w:color="auto"/>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4659978.2490</w:t>
            </w:r>
          </w:p>
        </w:tc>
        <w:tc>
          <w:tcPr>
            <w:tcW w:w="3090" w:type="dxa"/>
            <w:gridSpan w:val="2"/>
            <w:tcBorders>
              <w:top w:val="nil"/>
              <w:left w:val="nil"/>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40423778.6300</w:t>
            </w:r>
          </w:p>
        </w:tc>
      </w:tr>
      <w:tr>
        <w:tblPrEx>
          <w:tblW w:w="8724" w:type="dxa"/>
          <w:tblInd w:w="0" w:type="dxa"/>
          <w:tblCellMar>
            <w:top w:w="0" w:type="dxa"/>
            <w:left w:w="108" w:type="dxa"/>
            <w:bottom w:w="0" w:type="dxa"/>
            <w:right w:w="108" w:type="dxa"/>
          </w:tblCellMar>
        </w:tblPrEx>
        <w:trPr>
          <w:trHeight w:val="275"/>
        </w:trPr>
        <w:tc>
          <w:tcPr>
            <w:tcW w:w="1704" w:type="dxa"/>
            <w:vMerge/>
            <w:vAlign w:val="center"/>
          </w:tcPr>
          <w:p>
            <w:pPr>
              <w:widowControl w:val="0"/>
              <w:jc w:val="both"/>
              <w:rPr>
                <w:rFonts w:eastAsia="宋体" w:cs="Times New Roman"/>
                <w:sz w:val="24"/>
                <w:szCs w:val="24"/>
              </w:rPr>
            </w:pPr>
          </w:p>
        </w:tc>
        <w:tc>
          <w:tcPr>
            <w:tcW w:w="1215" w:type="dxa"/>
            <w:vAlign w:val="center"/>
          </w:tcPr>
          <w:p>
            <w:pPr>
              <w:widowControl w:val="0"/>
              <w:rPr>
                <w:rFonts w:eastAsia="宋体" w:cs="Times New Roman"/>
                <w:sz w:val="24"/>
                <w:szCs w:val="24"/>
              </w:rPr>
            </w:pPr>
            <w:r>
              <w:rPr>
                <w:rFonts w:eastAsia="宋体" w:cs="Times New Roman"/>
                <w:sz w:val="24"/>
                <w:szCs w:val="24"/>
              </w:rPr>
              <w:t>4</w:t>
            </w:r>
          </w:p>
        </w:tc>
        <w:tc>
          <w:tcPr>
            <w:tcW w:w="2715" w:type="dxa"/>
            <w:gridSpan w:val="2"/>
            <w:tcBorders>
              <w:top w:val="nil"/>
              <w:left w:val="single" w:sz="4" w:space="0" w:color="auto"/>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4660041.3850</w:t>
            </w:r>
          </w:p>
        </w:tc>
        <w:tc>
          <w:tcPr>
            <w:tcW w:w="3090" w:type="dxa"/>
            <w:gridSpan w:val="2"/>
            <w:tcBorders>
              <w:top w:val="nil"/>
              <w:left w:val="nil"/>
              <w:bottom w:val="single" w:sz="4" w:space="0" w:color="auto"/>
              <w:right w:val="single" w:sz="4" w:space="0" w:color="auto"/>
            </w:tcBorders>
            <w:shd w:val="clear" w:color="auto" w:fill="auto"/>
            <w:vAlign w:val="center"/>
          </w:tcPr>
          <w:p>
            <w:pPr>
              <w:widowControl w:val="0"/>
              <w:rPr>
                <w:rFonts w:cs="Times New Roman"/>
                <w:sz w:val="24"/>
                <w:szCs w:val="24"/>
              </w:rPr>
            </w:pPr>
            <w:r>
              <w:rPr>
                <w:rFonts w:cs="Times New Roman"/>
                <w:sz w:val="24"/>
                <w:szCs w:val="24"/>
              </w:rPr>
              <w:t>40421980.2300</w:t>
            </w:r>
          </w:p>
        </w:tc>
      </w:tr>
      <w:tr>
        <w:tblPrEx>
          <w:tblW w:w="8724" w:type="dxa"/>
          <w:tblInd w:w="0" w:type="dxa"/>
          <w:tblCellMar>
            <w:top w:w="0" w:type="dxa"/>
            <w:left w:w="108" w:type="dxa"/>
            <w:bottom w:w="0" w:type="dxa"/>
            <w:right w:w="108" w:type="dxa"/>
          </w:tblCellMar>
        </w:tblPrEx>
        <w:trPr>
          <w:trHeight w:val="406"/>
        </w:trPr>
        <w:tc>
          <w:tcPr>
            <w:tcW w:w="1704" w:type="dxa"/>
            <w:vAlign w:val="center"/>
          </w:tcPr>
          <w:p>
            <w:pPr>
              <w:widowControl w:val="0"/>
              <w:rPr>
                <w:rFonts w:eastAsia="宋体" w:cs="Times New Roman"/>
                <w:sz w:val="24"/>
                <w:szCs w:val="24"/>
              </w:rPr>
            </w:pPr>
            <w:r>
              <w:rPr>
                <w:rFonts w:eastAsia="宋体" w:hAnsi="宋体" w:cs="Times New Roman"/>
                <w:sz w:val="24"/>
                <w:szCs w:val="24"/>
              </w:rPr>
              <w:t>基金计提</w:t>
            </w:r>
          </w:p>
        </w:tc>
        <w:tc>
          <w:tcPr>
            <w:tcW w:w="3105" w:type="dxa"/>
            <w:gridSpan w:val="2"/>
            <w:vAlign w:val="center"/>
          </w:tcPr>
          <w:p>
            <w:pPr>
              <w:widowControl w:val="0"/>
              <w:jc w:val="both"/>
              <w:rPr>
                <w:rFonts w:eastAsia="宋体" w:cs="Times New Roman"/>
                <w:sz w:val="24"/>
                <w:szCs w:val="24"/>
              </w:rPr>
            </w:pP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基金使用</w:t>
            </w:r>
          </w:p>
        </w:tc>
        <w:tc>
          <w:tcPr>
            <w:tcW w:w="2220" w:type="dxa"/>
            <w:vAlign w:val="center"/>
          </w:tcPr>
          <w:p>
            <w:pPr>
              <w:widowControl w:val="0"/>
              <w:jc w:val="both"/>
              <w:rPr>
                <w:rFonts w:eastAsia="宋体" w:cs="Times New Roman"/>
                <w:sz w:val="24"/>
                <w:szCs w:val="24"/>
              </w:rPr>
            </w:pPr>
            <w:r>
              <w:rPr>
                <w:rFonts w:eastAsia="宋体" w:hAnsi="宋体" w:cs="Times New Roman"/>
                <w:sz w:val="24"/>
                <w:szCs w:val="24"/>
              </w:rPr>
              <w:t>未使用</w:t>
            </w:r>
          </w:p>
        </w:tc>
      </w:tr>
      <w:tr>
        <w:tblPrEx>
          <w:tblW w:w="8724" w:type="dxa"/>
          <w:tblInd w:w="0" w:type="dxa"/>
          <w:tblCellMar>
            <w:top w:w="0" w:type="dxa"/>
            <w:left w:w="108" w:type="dxa"/>
            <w:bottom w:w="0" w:type="dxa"/>
            <w:right w:w="108" w:type="dxa"/>
          </w:tblCellMar>
        </w:tblPrEx>
        <w:tc>
          <w:tcPr>
            <w:tcW w:w="8724" w:type="dxa"/>
            <w:gridSpan w:val="6"/>
            <w:vAlign w:val="center"/>
          </w:tcPr>
          <w:p>
            <w:pPr>
              <w:widowControl w:val="0"/>
              <w:rPr>
                <w:rFonts w:eastAsia="宋体" w:cs="Times New Roman"/>
                <w:sz w:val="24"/>
                <w:szCs w:val="24"/>
              </w:rPr>
            </w:pPr>
            <w:r>
              <w:rPr>
                <w:rFonts w:eastAsia="宋体" w:hAnsi="宋体" w:cs="Times New Roman"/>
                <w:sz w:val="24"/>
                <w:szCs w:val="24"/>
              </w:rPr>
              <w:t>矿山企业联系方式</w:t>
            </w:r>
          </w:p>
        </w:tc>
      </w:tr>
      <w:tr>
        <w:tblPrEx>
          <w:tblW w:w="8724" w:type="dxa"/>
          <w:tblInd w:w="0" w:type="dxa"/>
          <w:tblCellMar>
            <w:top w:w="0" w:type="dxa"/>
            <w:left w:w="108" w:type="dxa"/>
            <w:bottom w:w="0" w:type="dxa"/>
            <w:right w:w="108" w:type="dxa"/>
          </w:tblCellMar>
        </w:tblPrEx>
        <w:tc>
          <w:tcPr>
            <w:tcW w:w="1704" w:type="dxa"/>
            <w:vAlign w:val="center"/>
          </w:tcPr>
          <w:p>
            <w:pPr>
              <w:widowControl w:val="0"/>
              <w:rPr>
                <w:rFonts w:eastAsia="宋体" w:cs="Times New Roman"/>
                <w:sz w:val="24"/>
                <w:szCs w:val="24"/>
              </w:rPr>
            </w:pPr>
            <w:r>
              <w:rPr>
                <w:rFonts w:eastAsia="宋体" w:hAnsi="宋体" w:cs="Times New Roman"/>
                <w:sz w:val="24"/>
                <w:szCs w:val="24"/>
              </w:rPr>
              <w:t>联系人</w:t>
            </w:r>
          </w:p>
        </w:tc>
        <w:tc>
          <w:tcPr>
            <w:tcW w:w="3105" w:type="dxa"/>
            <w:gridSpan w:val="2"/>
            <w:vAlign w:val="center"/>
          </w:tcPr>
          <w:p>
            <w:pPr>
              <w:widowControl w:val="0"/>
              <w:jc w:val="both"/>
              <w:rPr>
                <w:rFonts w:eastAsia="宋体" w:cs="Times New Roman"/>
                <w:sz w:val="24"/>
                <w:szCs w:val="24"/>
              </w:rPr>
            </w:pPr>
            <w:r>
              <w:rPr>
                <w:rFonts w:eastAsia="宋体" w:hAnsi="宋体" w:cs="Times New Roman"/>
                <w:sz w:val="24"/>
                <w:szCs w:val="24"/>
              </w:rPr>
              <w:t>高</w:t>
            </w:r>
            <w:bookmarkStart w:id="1" w:name="_GoBack"/>
            <w:bookmarkEnd w:id="1"/>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手机号</w:t>
            </w:r>
          </w:p>
        </w:tc>
        <w:tc>
          <w:tcPr>
            <w:tcW w:w="2220" w:type="dxa"/>
            <w:vAlign w:val="center"/>
          </w:tcPr>
          <w:p>
            <w:pPr>
              <w:widowControl w:val="0"/>
              <w:jc w:val="both"/>
              <w:rPr>
                <w:rFonts w:eastAsia="宋体" w:cs="Times New Roman"/>
                <w:sz w:val="24"/>
                <w:szCs w:val="24"/>
              </w:rPr>
            </w:pPr>
          </w:p>
        </w:tc>
      </w:tr>
      <w:tr>
        <w:tblPrEx>
          <w:tblW w:w="8724" w:type="dxa"/>
          <w:tblInd w:w="0" w:type="dxa"/>
          <w:tblCellMar>
            <w:top w:w="0" w:type="dxa"/>
            <w:left w:w="108" w:type="dxa"/>
            <w:bottom w:w="0" w:type="dxa"/>
            <w:right w:w="108" w:type="dxa"/>
          </w:tblCellMar>
        </w:tblPrEx>
        <w:tc>
          <w:tcPr>
            <w:tcW w:w="1704" w:type="dxa"/>
            <w:vAlign w:val="center"/>
          </w:tcPr>
          <w:p>
            <w:pPr>
              <w:widowControl w:val="0"/>
              <w:rPr>
                <w:rFonts w:eastAsia="宋体" w:cs="Times New Roman"/>
                <w:sz w:val="24"/>
                <w:szCs w:val="24"/>
              </w:rPr>
            </w:pPr>
            <w:r>
              <w:rPr>
                <w:rFonts w:eastAsia="宋体" w:hAnsi="宋体" w:cs="Times New Roman"/>
                <w:sz w:val="24"/>
                <w:szCs w:val="24"/>
              </w:rPr>
              <w:t>通讯地址</w:t>
            </w:r>
          </w:p>
        </w:tc>
        <w:tc>
          <w:tcPr>
            <w:tcW w:w="3105" w:type="dxa"/>
            <w:gridSpan w:val="2"/>
            <w:vAlign w:val="center"/>
          </w:tcPr>
          <w:p>
            <w:pPr>
              <w:widowControl w:val="0"/>
              <w:jc w:val="both"/>
              <w:rPr>
                <w:rFonts w:eastAsia="宋体" w:cs="Times New Roman"/>
                <w:sz w:val="24"/>
                <w:szCs w:val="24"/>
              </w:rPr>
            </w:pPr>
            <w:r>
              <w:rPr>
                <w:rFonts w:eastAsia="宋体" w:hAnsi="宋体" w:cs="Times New Roman"/>
                <w:sz w:val="24"/>
                <w:szCs w:val="24"/>
              </w:rPr>
              <w:t>赤峰市元宝山区小五家乡大营子村</w:t>
            </w:r>
          </w:p>
        </w:tc>
        <w:tc>
          <w:tcPr>
            <w:tcW w:w="1695" w:type="dxa"/>
            <w:gridSpan w:val="2"/>
            <w:vAlign w:val="center"/>
          </w:tcPr>
          <w:p>
            <w:pPr>
              <w:widowControl w:val="0"/>
              <w:rPr>
                <w:rFonts w:eastAsia="宋体" w:cs="Times New Roman"/>
                <w:sz w:val="24"/>
                <w:szCs w:val="24"/>
              </w:rPr>
            </w:pPr>
            <w:r>
              <w:rPr>
                <w:rFonts w:eastAsia="宋体" w:hAnsi="宋体" w:cs="Times New Roman"/>
                <w:sz w:val="24"/>
                <w:szCs w:val="24"/>
              </w:rPr>
              <w:t>邮编</w:t>
            </w:r>
          </w:p>
        </w:tc>
        <w:tc>
          <w:tcPr>
            <w:tcW w:w="2220" w:type="dxa"/>
            <w:vAlign w:val="center"/>
          </w:tcPr>
          <w:p>
            <w:pPr>
              <w:widowControl w:val="0"/>
              <w:jc w:val="both"/>
              <w:rPr>
                <w:rFonts w:eastAsia="宋体" w:cs="Times New Roman"/>
                <w:sz w:val="24"/>
                <w:szCs w:val="24"/>
              </w:rPr>
            </w:pPr>
            <w:r>
              <w:rPr>
                <w:rFonts w:eastAsia="宋体" w:cs="Times New Roman"/>
                <w:sz w:val="24"/>
                <w:szCs w:val="24"/>
              </w:rPr>
              <w:t>024076</w:t>
            </w:r>
          </w:p>
        </w:tc>
      </w:tr>
      <w:tr>
        <w:tblPrEx>
          <w:tblW w:w="8724" w:type="dxa"/>
          <w:tblInd w:w="0" w:type="dxa"/>
          <w:tblCellMar>
            <w:top w:w="0" w:type="dxa"/>
            <w:left w:w="108" w:type="dxa"/>
            <w:bottom w:w="0" w:type="dxa"/>
            <w:right w:w="108" w:type="dxa"/>
          </w:tblCellMar>
        </w:tblPrEx>
        <w:tc>
          <w:tcPr>
            <w:tcW w:w="1704" w:type="dxa"/>
            <w:vAlign w:val="center"/>
          </w:tcPr>
          <w:p>
            <w:pPr>
              <w:widowControl w:val="0"/>
              <w:rPr>
                <w:rFonts w:eastAsia="宋体" w:cs="Times New Roman"/>
                <w:sz w:val="24"/>
                <w:szCs w:val="24"/>
              </w:rPr>
            </w:pPr>
            <w:r>
              <w:rPr>
                <w:rFonts w:eastAsia="宋体" w:hAnsi="宋体" w:cs="Times New Roman"/>
                <w:sz w:val="24"/>
                <w:szCs w:val="24"/>
              </w:rPr>
              <w:t>固定电话</w:t>
            </w:r>
          </w:p>
        </w:tc>
        <w:tc>
          <w:tcPr>
            <w:tcW w:w="3105" w:type="dxa"/>
            <w:gridSpan w:val="2"/>
            <w:vAlign w:val="center"/>
          </w:tcPr>
          <w:p>
            <w:pPr>
              <w:widowControl w:val="0"/>
              <w:jc w:val="both"/>
              <w:rPr>
                <w:rFonts w:eastAsia="宋体" w:cs="Times New Roman"/>
                <w:sz w:val="24"/>
                <w:szCs w:val="24"/>
              </w:rPr>
            </w:pPr>
          </w:p>
        </w:tc>
        <w:tc>
          <w:tcPr>
            <w:tcW w:w="1695" w:type="dxa"/>
            <w:gridSpan w:val="2"/>
            <w:vAlign w:val="center"/>
          </w:tcPr>
          <w:p>
            <w:pPr>
              <w:widowControl w:val="0"/>
              <w:rPr>
                <w:rFonts w:eastAsia="宋体" w:cs="Times New Roman"/>
                <w:sz w:val="24"/>
                <w:szCs w:val="24"/>
              </w:rPr>
            </w:pPr>
            <w:r>
              <w:rPr>
                <w:rFonts w:eastAsia="宋体" w:cs="Times New Roman"/>
                <w:sz w:val="24"/>
                <w:szCs w:val="24"/>
              </w:rPr>
              <w:t>E-mail</w:t>
            </w:r>
          </w:p>
        </w:tc>
        <w:tc>
          <w:tcPr>
            <w:tcW w:w="2220" w:type="dxa"/>
            <w:vAlign w:val="center"/>
          </w:tcPr>
          <w:p>
            <w:pPr>
              <w:widowControl w:val="0"/>
              <w:jc w:val="both"/>
              <w:rPr>
                <w:rFonts w:eastAsia="宋体" w:cs="Times New Roman"/>
                <w:sz w:val="24"/>
                <w:szCs w:val="24"/>
              </w:rPr>
            </w:pPr>
          </w:p>
        </w:tc>
      </w:tr>
    </w:tbl>
    <w:p>
      <w:pPr>
        <w:sectPr>
          <w:headerReference w:type="default" r:id="rId9"/>
          <w:footerReference w:type="default" r:id="rId10"/>
          <w:pgSz w:w="11906" w:h="16838"/>
          <w:pgMar w:top="1440" w:right="1800" w:bottom="1440" w:left="1800" w:header="851" w:footer="992" w:gutter="0"/>
          <w:pgNumType w:start="1"/>
          <w:cols w:num="1" w:space="425"/>
          <w:docGrid w:type="lines" w:linePitch="312" w:charSpace="0"/>
        </w:sectPr>
      </w:pPr>
    </w:p>
    <w:p>
      <w:pPr>
        <w:numPr>
          <w:ilvl w:val="0"/>
          <w:numId w:val="1"/>
        </w:numPr>
        <w:spacing w:line="480" w:lineRule="auto"/>
        <w:outlineLvl w:val="0"/>
        <w:rPr>
          <w:rFonts w:eastAsia="宋体" w:cs="Times New Roman"/>
          <w:b/>
          <w:bCs/>
          <w:sz w:val="36"/>
          <w:szCs w:val="36"/>
        </w:rPr>
      </w:pPr>
      <w:bookmarkStart w:id="2" w:name="_Toc767"/>
      <w:r>
        <w:rPr>
          <w:rFonts w:eastAsia="宋体" w:hAnsi="宋体" w:cs="Times New Roman"/>
          <w:b/>
          <w:bCs/>
          <w:sz w:val="36"/>
          <w:szCs w:val="36"/>
        </w:rPr>
        <w:t>矿山地质环境治理方案的编制与执行情况</w:t>
      </w:r>
      <w:bookmarkEnd w:id="2"/>
    </w:p>
    <w:p>
      <w:pPr>
        <w:numPr>
          <w:ilvl w:val="0"/>
          <w:numId w:val="2"/>
        </w:numPr>
        <w:spacing w:line="360" w:lineRule="auto"/>
        <w:jc w:val="both"/>
        <w:outlineLvl w:val="1"/>
        <w:rPr>
          <w:rFonts w:eastAsia="宋体" w:cs="Times New Roman"/>
          <w:b/>
          <w:bCs/>
          <w:sz w:val="32"/>
          <w:szCs w:val="32"/>
        </w:rPr>
      </w:pPr>
      <w:bookmarkStart w:id="3" w:name="_Toc24065"/>
      <w:r>
        <w:rPr>
          <w:rFonts w:eastAsia="宋体" w:hAnsi="宋体" w:cs="Times New Roman"/>
          <w:b/>
          <w:bCs/>
          <w:sz w:val="32"/>
          <w:szCs w:val="32"/>
        </w:rPr>
        <w:t>方案编制概况</w:t>
      </w:r>
      <w:bookmarkEnd w:id="3"/>
    </w:p>
    <w:p>
      <w:pPr>
        <w:spacing w:line="360" w:lineRule="auto"/>
        <w:ind w:firstLine="480" w:firstLineChars="200"/>
        <w:jc w:val="both"/>
        <w:rPr>
          <w:rFonts w:eastAsia="宋体" w:cs="Times New Roman"/>
          <w:sz w:val="24"/>
          <w:szCs w:val="24"/>
        </w:rPr>
      </w:pPr>
      <w:r>
        <w:rPr>
          <w:rFonts w:eastAsia="宋体" w:cs="Times New Roman"/>
          <w:sz w:val="24"/>
          <w:szCs w:val="24"/>
        </w:rPr>
        <w:t>1、2010年8月，河北省地矿局第四水文工程地质大队编制</w:t>
      </w:r>
      <w:r>
        <w:rPr>
          <w:rFonts w:hint="eastAsia"/>
          <w:sz w:val="24"/>
          <w:szCs w:val="24"/>
        </w:rPr>
        <w:t>了</w:t>
      </w:r>
      <w:r>
        <w:rPr>
          <w:rFonts w:eastAsia="宋体" w:cs="Times New Roman"/>
          <w:sz w:val="24"/>
          <w:szCs w:val="24"/>
        </w:rPr>
        <w:t>《赤峰市元宝山区金美矿业有限公司金矿扩建工程矿山地质环境保护与综合治理方案》(备案登记表09004)；</w:t>
      </w:r>
    </w:p>
    <w:p>
      <w:pPr>
        <w:spacing w:line="360" w:lineRule="auto"/>
        <w:ind w:firstLine="480" w:firstLineChars="200"/>
        <w:jc w:val="left"/>
        <w:rPr>
          <w:sz w:val="24"/>
          <w:szCs w:val="24"/>
        </w:rPr>
      </w:pPr>
      <w:r>
        <w:rPr>
          <w:rFonts w:hint="eastAsia"/>
          <w:sz w:val="24"/>
          <w:szCs w:val="24"/>
        </w:rPr>
        <w:t>2</w:t>
      </w:r>
      <w:r>
        <w:rPr>
          <w:sz w:val="24"/>
          <w:szCs w:val="24"/>
        </w:rPr>
        <w:t>、2015年9月，赤峰北方地质勘查测绘有限公司编制</w:t>
      </w:r>
      <w:r>
        <w:rPr>
          <w:rFonts w:hint="eastAsia"/>
          <w:sz w:val="24"/>
          <w:szCs w:val="24"/>
        </w:rPr>
        <w:t>了</w:t>
      </w:r>
      <w:r>
        <w:rPr>
          <w:sz w:val="24"/>
          <w:szCs w:val="24"/>
        </w:rPr>
        <w:t>《赤峰市元宝山区金美矿业有限公司金矿矿山地质环境分期治理方案（2009.1.1~2014.7.31）》（验收意见书编号：16131）；</w:t>
      </w:r>
    </w:p>
    <w:p>
      <w:pPr>
        <w:spacing w:line="360" w:lineRule="auto"/>
        <w:ind w:firstLine="480" w:firstLineChars="200"/>
        <w:jc w:val="both"/>
        <w:rPr>
          <w:sz w:val="24"/>
          <w:szCs w:val="24"/>
        </w:rPr>
      </w:pPr>
      <w:r>
        <w:rPr>
          <w:rFonts w:hint="eastAsia"/>
          <w:sz w:val="24"/>
          <w:szCs w:val="24"/>
        </w:rPr>
        <w:t>3</w:t>
      </w:r>
      <w:r>
        <w:rPr>
          <w:sz w:val="24"/>
          <w:szCs w:val="24"/>
        </w:rPr>
        <w:t>、2017年7月，内蒙古顺源水文地质勘测有限责任公司编制</w:t>
      </w:r>
      <w:r>
        <w:rPr>
          <w:rFonts w:hint="eastAsia"/>
          <w:sz w:val="24"/>
          <w:szCs w:val="24"/>
        </w:rPr>
        <w:t>了</w:t>
      </w:r>
      <w:r>
        <w:rPr>
          <w:sz w:val="24"/>
          <w:szCs w:val="24"/>
        </w:rPr>
        <w:t>《赤峰市元宝山区金美矿业有限公司金矿矿山地质环境分期治理方案(2014.8.1-2017.7.31)》（验收意见书编号：</w:t>
      </w:r>
      <w:r>
        <w:rPr>
          <w:rFonts w:hint="eastAsia"/>
          <w:sz w:val="24"/>
          <w:szCs w:val="24"/>
        </w:rPr>
        <w:t>192071</w:t>
      </w:r>
      <w:r>
        <w:rPr>
          <w:sz w:val="24"/>
          <w:szCs w:val="24"/>
        </w:rPr>
        <w:t>）；</w:t>
      </w:r>
    </w:p>
    <w:p>
      <w:pPr>
        <w:spacing w:line="360" w:lineRule="auto"/>
        <w:ind w:firstLine="480" w:firstLineChars="200"/>
        <w:jc w:val="both"/>
        <w:rPr>
          <w:sz w:val="24"/>
          <w:szCs w:val="24"/>
        </w:rPr>
      </w:pPr>
      <w:r>
        <w:rPr>
          <w:rFonts w:hint="eastAsia"/>
          <w:sz w:val="24"/>
          <w:szCs w:val="24"/>
        </w:rPr>
        <w:t>4、2021年4月，</w:t>
      </w:r>
      <w:r>
        <w:rPr>
          <w:sz w:val="24"/>
          <w:szCs w:val="24"/>
        </w:rPr>
        <w:t>中国建筑材料工业地质勘查中心辽宁总队编制</w:t>
      </w:r>
      <w:r>
        <w:rPr>
          <w:rFonts w:hint="eastAsia"/>
          <w:sz w:val="24"/>
          <w:szCs w:val="24"/>
        </w:rPr>
        <w:t>了《</w:t>
      </w:r>
      <w:r>
        <w:rPr>
          <w:sz w:val="24"/>
          <w:szCs w:val="24"/>
        </w:rPr>
        <w:t>内蒙古自治区赤峰市元宝山区金美矿业有限公司金矿矿山地质环境治理方案》（赤矿治字（</w:t>
      </w:r>
      <w:r>
        <w:rPr>
          <w:rFonts w:hint="eastAsia"/>
          <w:sz w:val="24"/>
          <w:szCs w:val="24"/>
        </w:rPr>
        <w:t>2021）070号；</w:t>
      </w:r>
    </w:p>
    <w:p>
      <w:pPr>
        <w:spacing w:line="360" w:lineRule="auto"/>
        <w:jc w:val="both"/>
        <w:outlineLvl w:val="1"/>
        <w:rPr>
          <w:rFonts w:eastAsia="宋体" w:cs="Times New Roman"/>
          <w:b/>
          <w:bCs/>
          <w:sz w:val="32"/>
          <w:szCs w:val="32"/>
        </w:rPr>
      </w:pPr>
      <w:bookmarkStart w:id="4" w:name="_Toc32394"/>
      <w:r>
        <w:rPr>
          <w:rFonts w:eastAsia="宋体" w:hAnsi="宋体" w:cs="Times New Roman"/>
          <w:b/>
          <w:bCs/>
          <w:sz w:val="32"/>
          <w:szCs w:val="32"/>
        </w:rPr>
        <w:t>二、矿山地质环境治理方案执行情况</w:t>
      </w:r>
      <w:bookmarkEnd w:id="4"/>
    </w:p>
    <w:p>
      <w:pPr>
        <w:spacing w:line="360" w:lineRule="auto"/>
        <w:ind w:firstLine="480" w:firstLineChars="200"/>
        <w:jc w:val="both"/>
        <w:rPr>
          <w:rFonts w:cs="Times New Roman"/>
          <w:sz w:val="24"/>
          <w:szCs w:val="24"/>
        </w:rPr>
      </w:pPr>
      <w:r>
        <w:rPr>
          <w:rFonts w:cs="Times New Roman"/>
          <w:sz w:val="24"/>
          <w:szCs w:val="24"/>
        </w:rPr>
        <w:t>（一）一分期治理实施情况</w:t>
      </w:r>
    </w:p>
    <w:p>
      <w:pPr>
        <w:spacing w:line="360" w:lineRule="auto"/>
        <w:ind w:firstLine="480" w:firstLineChars="200"/>
        <w:jc w:val="both"/>
        <w:rPr>
          <w:rFonts w:cs="Times New Roman"/>
          <w:sz w:val="24"/>
          <w:szCs w:val="24"/>
        </w:rPr>
      </w:pPr>
      <w:r>
        <w:rPr>
          <w:rFonts w:cs="Times New Roman"/>
          <w:sz w:val="24"/>
          <w:szCs w:val="24"/>
        </w:rPr>
        <w:t>1、设计治理内容</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本期确定的矿山地质环境治理及土地复垦区为：SJ3 工业场地、4#排渣场、5#排渣场、废弃炸药库、废弃雷管库、探槽（TC1）、探槽（TC2）、探槽（TC3）、探槽（TC4）、1#塌陷坑、2#塌陷坑、废弃空压机房、废弃平硐、废弃宿舍、露天采坑、临时取土场。</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（1）SJ3 工业场地</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对SJ3 工业场地的周围边坡设置网围栏。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（2）4#排渣场</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对4#排渣场进行平整、覆土后恢复林地，栽种油松（备选树种：山杏）。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（3）5#排渣场</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对5#排渣场进行平整、覆土后恢复林地，栽种油松（备选树种：山杏）。</w:t>
      </w:r>
    </w:p>
    <w:p>
      <w:pPr>
        <w:widowControl w:val="0"/>
        <w:autoSpaceDE w:val="0"/>
        <w:autoSpaceDN w:val="0"/>
        <w:spacing w:line="360" w:lineRule="auto"/>
        <w:ind w:firstLine="480" w:firstLineChars="200"/>
        <w:jc w:val="both"/>
        <w:rPr>
          <w:rFonts w:cs="Times New Roman"/>
          <w:sz w:val="24"/>
          <w:szCs w:val="24"/>
        </w:rPr>
        <w:sectPr>
          <w:headerReference w:type="default" r:id="rId11"/>
          <w:footerReference w:type="default" r:id="rId12"/>
          <w:type w:val="nextPage"/>
          <w:pgSz w:w="11906" w:h="16838"/>
          <w:pgMar w:top="1440" w:right="1800" w:bottom="1440" w:left="1800" w:header="851" w:footer="992" w:gutter="0"/>
          <w:pgNumType w:start="2"/>
          <w:cols w:num="1" w:space="425"/>
          <w:titlePg w:val="0"/>
          <w:docGrid w:type="lines" w:linePitch="312" w:charSpace="0"/>
        </w:sectPr>
      </w:pPr>
      <w:r>
        <w:rPr>
          <w:rFonts w:cs="Times New Roman"/>
          <w:sz w:val="24"/>
          <w:szCs w:val="24"/>
        </w:rPr>
        <w:t>（4）废弃炸药库</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将废弃炸药库拆除，清运、翻耕后恢复林地，栽种油松（备选树种：山杏）。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（5）废弃雷管库</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将废弃雷管库拆除，清运、翻耕后恢复林地，栽种油松（备选树种：山杏）。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（6）探槽（TC1）</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对探槽（TC1）进行回填，平整、覆土后恢复林地，栽种油松（备选树种：山杏）。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（7）探槽（TC2）</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对探槽（TC2）进行回填，平整、覆土后恢复林地，栽种油松（备选树种：山杏）。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（8）探槽（TC3）</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对探槽（TC3）进行回填，平整、覆土后恢复林地，栽种油松（备选树种：山杏）。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（9）探槽（TC4）</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对探槽（TC4）进行回填，平整、覆土后恢复林地，栽种油松（备选树种：山杏）。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（10）1#塌陷坑</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对1#塌陷坑进行回填，平整、覆土后恢复林地，栽种油松（备选树种：山杏）；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（11）2#塌陷坑</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对2#塌陷坑进行回填，平整、覆土后恢复林地，栽种油松（备选树种：山杏）；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（12）预测地面塌陷区</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在地面塌陷区范围设置网围栏、警示牌并设置监测点。</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（13）废弃空压机房</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将废弃空压机房拆除，清运、翻耕后恢复林地，栽种油松（备选树种：山杏）。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（14）废弃平硐</w:t>
      </w:r>
    </w:p>
    <w:p>
      <w:pPr>
        <w:widowControl w:val="0"/>
        <w:autoSpaceDE w:val="0"/>
        <w:autoSpaceDN w:val="0"/>
        <w:spacing w:line="360" w:lineRule="auto"/>
        <w:ind w:firstLine="480" w:firstLineChars="200"/>
        <w:jc w:val="both"/>
        <w:rPr>
          <w:rFonts w:cs="Times New Roman"/>
          <w:sz w:val="24"/>
          <w:szCs w:val="24"/>
        </w:rPr>
        <w:sectPr>
          <w:headerReference w:type="default" r:id="rId13"/>
          <w:footerReference w:type="default" r:id="rId14"/>
          <w:type w:val="nextPage"/>
          <w:pgSz w:w="11906" w:h="16838"/>
          <w:pgMar w:top="1440" w:right="1800" w:bottom="1440" w:left="1800" w:header="851" w:footer="992" w:gutter="0"/>
          <w:pgNumType w:start="3"/>
          <w:cols w:num="1" w:space="425"/>
          <w:titlePg w:val="0"/>
          <w:docGrid w:type="lines" w:linePitch="312" w:charSpace="0"/>
        </w:sectPr>
      </w:pP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对废弃平硐进行回填，回填后利用混凝土于废弃平硐口进行封堵；对废弃平硐的边坡进行回填，平整、覆土后恢复林地，栽种油松（备选树种：山杏）。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（15）废弃宿舍</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将废弃宿舍拆除，清运、翻耕后恢复林地，栽种油松（备选树种：山杏）。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（16）露天采坑</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对露天采坑的边坡进行削坡，平整、覆土后恢复林地，栽种油松（备选树种：山杏）。</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（17）临时取土场</w:t>
      </w:r>
    </w:p>
    <w:p>
      <w:pPr>
        <w:widowControl w:val="0"/>
        <w:autoSpaceDE w:val="0"/>
        <w:autoSpaceDN w:val="0"/>
        <w:spacing w:line="360" w:lineRule="auto"/>
        <w:ind w:firstLine="480" w:firstLineChars="200"/>
        <w:jc w:val="both"/>
        <w:rPr>
          <w:rFonts w:cs="Times New Roman"/>
          <w:sz w:val="24"/>
          <w:szCs w:val="24"/>
        </w:rPr>
      </w:pPr>
      <w:r>
        <w:rPr>
          <w:rFonts w:cs="Times New Roman"/>
          <w:sz w:val="24"/>
          <w:szCs w:val="24"/>
        </w:rPr>
        <w:t>对取土后的临时取土场进行翻耕，恢复林地，栽种油松（备选树种：山杏）。</w:t>
      </w:r>
    </w:p>
    <w:p>
      <w:pPr>
        <w:spacing w:line="360" w:lineRule="auto"/>
        <w:ind w:firstLine="480" w:firstLineChars="200"/>
        <w:jc w:val="both"/>
        <w:rPr>
          <w:rFonts w:cs="Times New Roman"/>
          <w:sz w:val="24"/>
          <w:szCs w:val="24"/>
        </w:rPr>
      </w:pPr>
      <w:r>
        <w:rPr>
          <w:rFonts w:cs="Times New Roman"/>
          <w:sz w:val="24"/>
          <w:szCs w:val="24"/>
        </w:rPr>
        <w:t>2、实施情况</w:t>
      </w:r>
    </w:p>
    <w:p>
      <w:pPr>
        <w:spacing w:line="360" w:lineRule="auto"/>
        <w:ind w:firstLine="480" w:firstLineChars="200"/>
        <w:jc w:val="both"/>
        <w:rPr>
          <w:rFonts w:cs="Times New Roman"/>
          <w:sz w:val="24"/>
          <w:szCs w:val="24"/>
        </w:rPr>
      </w:pPr>
      <w:r>
        <w:rPr>
          <w:rFonts w:cs="Times New Roman"/>
          <w:sz w:val="24"/>
          <w:szCs w:val="24"/>
        </w:rPr>
        <w:t>经实地查看矿山地质环境现状并查验验收资料，矿山已完成一分期设计的治理工作，治理费用45.15万元，治理资金全部由矿山企业自行筹措。2016年12月12日由赤峰市国土资源局组织专家进行实地验收，一致同意该工程通过验收，同时下发《内蒙古自治区矿山地质环境分期治理工程验收意见书》（编号16131）。</w:t>
      </w:r>
    </w:p>
    <w:p>
      <w:pPr>
        <w:spacing w:line="360" w:lineRule="auto"/>
        <w:ind w:firstLine="480" w:firstLineChars="200"/>
        <w:jc w:val="both"/>
        <w:rPr>
          <w:rFonts w:cs="Times New Roman"/>
          <w:sz w:val="24"/>
          <w:szCs w:val="24"/>
        </w:rPr>
      </w:pPr>
      <w:r>
        <w:rPr>
          <w:rFonts w:cs="Times New Roman"/>
          <w:sz w:val="24"/>
          <w:szCs w:val="24"/>
        </w:rPr>
        <w:t>完成情况见表</w:t>
      </w:r>
      <w:r>
        <w:rPr>
          <w:rFonts w:cs="Times New Roman" w:hint="eastAsia"/>
          <w:sz w:val="24"/>
          <w:szCs w:val="24"/>
        </w:rPr>
        <w:t>2</w:t>
      </w:r>
      <w:r>
        <w:rPr>
          <w:rFonts w:cs="Times New Roman"/>
          <w:sz w:val="24"/>
          <w:szCs w:val="24"/>
        </w:rPr>
        <w:t>-</w:t>
      </w:r>
      <w:r>
        <w:rPr>
          <w:rFonts w:cs="Times New Roman" w:hint="eastAsia"/>
          <w:sz w:val="24"/>
          <w:szCs w:val="24"/>
        </w:rPr>
        <w:t>1</w:t>
      </w:r>
      <w:r>
        <w:rPr>
          <w:rFonts w:cs="Times New Roman"/>
          <w:sz w:val="24"/>
          <w:szCs w:val="24"/>
        </w:rPr>
        <w:t>。治理效果见照片</w:t>
      </w:r>
      <w:r>
        <w:rPr>
          <w:rFonts w:cs="Times New Roman" w:hint="eastAsia"/>
          <w:sz w:val="24"/>
          <w:szCs w:val="24"/>
        </w:rPr>
        <w:t>2</w:t>
      </w:r>
      <w:r>
        <w:rPr>
          <w:rFonts w:cs="Times New Roman"/>
          <w:sz w:val="24"/>
          <w:szCs w:val="24"/>
        </w:rPr>
        <w:t>-</w:t>
      </w:r>
      <w:r>
        <w:rPr>
          <w:rFonts w:cs="Times New Roman" w:hint="eastAsia"/>
          <w:sz w:val="24"/>
          <w:szCs w:val="24"/>
        </w:rPr>
        <w:t>1</w:t>
      </w:r>
      <w:r>
        <w:rPr>
          <w:rFonts w:cs="Times New Roman"/>
          <w:sz w:val="24"/>
          <w:szCs w:val="24"/>
        </w:rPr>
        <w:t>、</w:t>
      </w:r>
      <w:r>
        <w:rPr>
          <w:rFonts w:cs="Times New Roman" w:hint="eastAsia"/>
          <w:sz w:val="24"/>
          <w:szCs w:val="24"/>
        </w:rPr>
        <w:t>2</w:t>
      </w:r>
      <w:r>
        <w:rPr>
          <w:rFonts w:cs="Times New Roman"/>
          <w:sz w:val="24"/>
          <w:szCs w:val="24"/>
        </w:rPr>
        <w:t>-</w:t>
      </w:r>
      <w:r>
        <w:rPr>
          <w:rFonts w:cs="Times New Roman" w:hint="eastAsia"/>
          <w:sz w:val="24"/>
          <w:szCs w:val="24"/>
        </w:rPr>
        <w:t>2</w:t>
      </w:r>
      <w:r>
        <w:rPr>
          <w:rFonts w:cs="Times New Roman"/>
          <w:sz w:val="24"/>
          <w:szCs w:val="24"/>
        </w:rPr>
        <w:t>。</w:t>
      </w:r>
    </w:p>
    <w:p>
      <w:pPr>
        <w:widowControl w:val="0"/>
        <w:spacing w:line="360" w:lineRule="auto"/>
        <w:ind w:firstLine="480" w:firstLineChars="200"/>
        <w:rPr>
          <w:rFonts w:cs="Times New Roman"/>
          <w:b/>
          <w:sz w:val="24"/>
          <w:szCs w:val="24"/>
        </w:rPr>
      </w:pPr>
      <w:r>
        <w:rPr>
          <w:rFonts w:cs="Times New Roman"/>
          <w:b/>
          <w:sz w:val="24"/>
          <w:szCs w:val="24"/>
        </w:rPr>
        <w:t>表</w:t>
      </w:r>
      <w:r>
        <w:rPr>
          <w:rFonts w:cs="Times New Roman" w:hint="eastAsia"/>
          <w:b/>
          <w:sz w:val="24"/>
          <w:szCs w:val="24"/>
        </w:rPr>
        <w:t>2</w:t>
      </w:r>
      <w:r>
        <w:rPr>
          <w:rFonts w:cs="Times New Roman"/>
          <w:b/>
          <w:sz w:val="24"/>
          <w:szCs w:val="24"/>
        </w:rPr>
        <w:t>-</w:t>
      </w:r>
      <w:r>
        <w:rPr>
          <w:rFonts w:cs="Times New Roman" w:hint="eastAsia"/>
          <w:b/>
          <w:sz w:val="24"/>
          <w:szCs w:val="24"/>
        </w:rPr>
        <w:t>1</w:t>
      </w:r>
      <w:r>
        <w:rPr>
          <w:rFonts w:cs="Times New Roman"/>
          <w:b/>
          <w:sz w:val="24"/>
          <w:szCs w:val="24"/>
        </w:rPr>
        <w:t xml:space="preserve">  第一分期治理方案完成情况一览表</w:t>
      </w:r>
    </w:p>
    <w:tbl>
      <w:tblPr>
        <w:tblStyle w:val="TableNormal"/>
        <w:tblW w:w="5000" w:type="pct"/>
        <w:tblInd w:w="0" w:type="dxa"/>
        <w:tblCellMar>
          <w:top w:w="0" w:type="dxa"/>
          <w:left w:w="108" w:type="dxa"/>
          <w:bottom w:w="0" w:type="dxa"/>
          <w:right w:w="108" w:type="dxa"/>
        </w:tblCellMar>
      </w:tblPr>
      <w:tblGrid>
        <w:gridCol w:w="1501"/>
        <w:gridCol w:w="810"/>
        <w:gridCol w:w="975"/>
        <w:gridCol w:w="648"/>
        <w:gridCol w:w="648"/>
        <w:gridCol w:w="648"/>
        <w:gridCol w:w="648"/>
        <w:gridCol w:w="648"/>
        <w:gridCol w:w="648"/>
        <w:gridCol w:w="649"/>
        <w:gridCol w:w="699"/>
      </w:tblGrid>
      <w:tr>
        <w:tblPrEx>
          <w:tblW w:w="5000" w:type="pct"/>
          <w:tblInd w:w="0" w:type="dxa"/>
          <w:tblCellMar>
            <w:top w:w="0" w:type="dxa"/>
            <w:left w:w="108" w:type="dxa"/>
            <w:bottom w:w="0" w:type="dxa"/>
            <w:right w:w="108" w:type="dxa"/>
          </w:tblCellMar>
        </w:tblPrEx>
        <w:trPr>
          <w:trHeight w:val="300"/>
          <w:tblHeader/>
        </w:trPr>
        <w:tc>
          <w:tcPr>
            <w:tcW w:w="881"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tcPr>
          <w:p>
            <w:pPr>
              <w:rPr>
                <w:rFonts w:cs="Times New Roman"/>
                <w:color w:val="000000"/>
              </w:rPr>
            </w:pPr>
            <w:r>
              <w:rPr>
                <w:rFonts w:cs="Times New Roman"/>
                <w:color w:val="000000"/>
              </w:rPr>
              <w:t>治理区</w:t>
            </w:r>
          </w:p>
        </w:tc>
        <w:tc>
          <w:tcPr>
            <w:tcW w:w="4119" w:type="pct"/>
            <w:gridSpan w:val="10"/>
            <w:tcBorders>
              <w:top w:val="single" w:sz="8" w:space="0" w:color="auto"/>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工程措施生物措施</w:t>
            </w:r>
          </w:p>
        </w:tc>
      </w:tr>
      <w:tr>
        <w:tblPrEx>
          <w:tblW w:w="5000" w:type="pct"/>
          <w:tblInd w:w="0" w:type="dxa"/>
          <w:tblCellMar>
            <w:top w:w="0" w:type="dxa"/>
            <w:left w:w="108" w:type="dxa"/>
            <w:bottom w:w="0" w:type="dxa"/>
            <w:right w:w="108" w:type="dxa"/>
          </w:tblCellMar>
        </w:tblPrEx>
        <w:trPr>
          <w:trHeight w:val="285"/>
          <w:tblHeader/>
        </w:trPr>
        <w:tc>
          <w:tcPr>
            <w:tcW w:w="881" w:type="pct"/>
            <w:vMerge/>
            <w:tcBorders>
              <w:top w:val="single" w:sz="8" w:space="0" w:color="auto"/>
              <w:left w:val="single" w:sz="8" w:space="0" w:color="auto"/>
              <w:bottom w:val="single" w:sz="8" w:space="0" w:color="000000"/>
              <w:right w:val="single" w:sz="8" w:space="0" w:color="auto"/>
            </w:tcBorders>
            <w:vAlign w:val="center"/>
          </w:tcPr>
          <w:p>
            <w:pPr>
              <w:rPr>
                <w:rFonts w:cs="Times New Roman"/>
                <w:color w:val="000000"/>
              </w:rPr>
            </w:pP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面积</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网围栏</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回填</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平整</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覆土</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清运</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拆除</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封堵</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翻耕</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种树</w:t>
            </w:r>
          </w:p>
        </w:tc>
      </w:tr>
      <w:tr>
        <w:tblPrEx>
          <w:tblW w:w="5000" w:type="pct"/>
          <w:tblInd w:w="0" w:type="dxa"/>
          <w:tblCellMar>
            <w:top w:w="0" w:type="dxa"/>
            <w:left w:w="108" w:type="dxa"/>
            <w:bottom w:w="0" w:type="dxa"/>
            <w:right w:w="108" w:type="dxa"/>
          </w:tblCellMar>
        </w:tblPrEx>
        <w:trPr>
          <w:trHeight w:val="191"/>
          <w:tblHeader/>
        </w:trPr>
        <w:tc>
          <w:tcPr>
            <w:tcW w:w="881" w:type="pct"/>
            <w:vMerge/>
            <w:tcBorders>
              <w:top w:val="single" w:sz="8" w:space="0" w:color="auto"/>
              <w:left w:val="single" w:sz="8" w:space="0" w:color="auto"/>
              <w:bottom w:val="single" w:sz="8" w:space="0" w:color="000000"/>
              <w:right w:val="single" w:sz="8" w:space="0" w:color="auto"/>
            </w:tcBorders>
            <w:vAlign w:val="center"/>
          </w:tcPr>
          <w:p>
            <w:pPr>
              <w:rPr>
                <w:rFonts w:cs="Times New Roman"/>
                <w:color w:val="000000"/>
              </w:rPr>
            </w:pP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2</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3</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m</w:t>
            </w:r>
            <w:r>
              <w:rPr>
                <w:rFonts w:cs="Times New Roman"/>
                <w:color w:val="000000"/>
                <w:vertAlign w:val="superscript"/>
              </w:rPr>
              <w:t>2</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株</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SJ3工业场地</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768</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90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4#排渣场</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674</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1215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674</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75</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5#排渣场</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1715</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5003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1715</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191</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废弃炸药库</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19</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23</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19</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废弃雷管库</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21</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21</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探槽（TC1）</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222</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115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67</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111</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25</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探槽（TC2）</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792</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307</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238</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396</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88</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探槽（TC3）</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801</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330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240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401</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89</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探槽（TC4）</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98</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147</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29</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49</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11</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1#塌陷坑</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671</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1007</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201</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336</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74</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2#塌陷坑</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196</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588</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59</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98</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22</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废弃空压机房</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14</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　</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14</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废弃平硐</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30</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136</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　</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　</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8</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废弃宿舍</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63</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63</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7</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露天采坑</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4386</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6162</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555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925</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206</w:t>
            </w:r>
          </w:p>
        </w:tc>
      </w:tr>
    </w:tbl>
    <w:p>
      <w:pPr>
        <w:sectPr>
          <w:headerReference w:type="default" r:id="rId15"/>
          <w:footerReference w:type="default" r:id="rId16"/>
          <w:type w:val="nextPage"/>
          <w:pgSz w:w="11906" w:h="16838"/>
          <w:pgMar w:top="1440" w:right="1800" w:bottom="1440" w:left="1800" w:header="851" w:footer="992" w:gutter="0"/>
          <w:pgNumType w:start="4"/>
          <w:cols w:num="1" w:space="425"/>
          <w:titlePg w:val="0"/>
          <w:docGrid w:type="lines" w:linePitch="312" w:charSpace="0"/>
        </w:sectPr>
      </w:pPr>
    </w:p>
    <w:tbl>
      <w:tblPr>
        <w:tblStyle w:val="TableNormal"/>
        <w:tblW w:w="5000" w:type="pct"/>
        <w:tblInd w:w="0" w:type="dxa"/>
        <w:tblCellMar>
          <w:top w:w="0" w:type="dxa"/>
          <w:left w:w="108" w:type="dxa"/>
          <w:bottom w:w="0" w:type="dxa"/>
          <w:right w:w="108" w:type="dxa"/>
        </w:tblCellMar>
      </w:tblPr>
      <w:tblGrid>
        <w:gridCol w:w="1501"/>
        <w:gridCol w:w="810"/>
        <w:gridCol w:w="975"/>
        <w:gridCol w:w="648"/>
        <w:gridCol w:w="648"/>
        <w:gridCol w:w="648"/>
        <w:gridCol w:w="648"/>
        <w:gridCol w:w="648"/>
        <w:gridCol w:w="648"/>
        <w:gridCol w:w="649"/>
        <w:gridCol w:w="699"/>
      </w:tblGrid>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临时取土场</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2195</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2195</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244</w:t>
            </w:r>
          </w:p>
        </w:tc>
      </w:tr>
      <w:tr>
        <w:tblPrEx>
          <w:tblW w:w="5000" w:type="pct"/>
          <w:tblInd w:w="0" w:type="dxa"/>
          <w:tblCellMar>
            <w:top w:w="0" w:type="dxa"/>
            <w:left w:w="108" w:type="dxa"/>
            <w:bottom w:w="0" w:type="dxa"/>
            <w:right w:w="108" w:type="dxa"/>
          </w:tblCellMar>
        </w:tblPrEx>
        <w:trPr>
          <w:trHeight w:val="315"/>
        </w:trPr>
        <w:tc>
          <w:tcPr>
            <w:tcW w:w="881" w:type="pct"/>
            <w:tcBorders>
              <w:top w:val="nil"/>
              <w:left w:val="single" w:sz="8" w:space="0" w:color="auto"/>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合计</w:t>
            </w:r>
          </w:p>
        </w:tc>
        <w:tc>
          <w:tcPr>
            <w:tcW w:w="476"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12665</w:t>
            </w:r>
          </w:p>
        </w:tc>
        <w:tc>
          <w:tcPr>
            <w:tcW w:w="57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90</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8792</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1389</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2331</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6364</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128</w:t>
            </w:r>
          </w:p>
        </w:tc>
        <w:tc>
          <w:tcPr>
            <w:tcW w:w="380"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w:t>
            </w:r>
          </w:p>
        </w:tc>
        <w:tc>
          <w:tcPr>
            <w:tcW w:w="381"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4701</w:t>
            </w:r>
          </w:p>
        </w:tc>
        <w:tc>
          <w:tcPr>
            <w:tcW w:w="412" w:type="pct"/>
            <w:tcBorders>
              <w:top w:val="nil"/>
              <w:left w:val="nil"/>
              <w:bottom w:val="single" w:sz="8" w:space="0" w:color="auto"/>
              <w:right w:val="single" w:sz="8" w:space="0" w:color="auto"/>
            </w:tcBorders>
            <w:shd w:val="clear" w:color="auto" w:fill="auto"/>
            <w:noWrap/>
            <w:vAlign w:val="center"/>
          </w:tcPr>
          <w:p>
            <w:pPr>
              <w:rPr>
                <w:rFonts w:cs="Times New Roman"/>
                <w:color w:val="000000"/>
              </w:rPr>
            </w:pPr>
            <w:r>
              <w:rPr>
                <w:rFonts w:cs="Times New Roman"/>
                <w:color w:val="000000"/>
              </w:rPr>
              <w:t>1054</w:t>
            </w:r>
          </w:p>
        </w:tc>
      </w:tr>
    </w:tbl>
    <w:p>
      <w:pPr>
        <w:widowControl w:val="0"/>
        <w:spacing w:line="360" w:lineRule="auto"/>
        <w:ind w:firstLine="480" w:firstLineChars="200"/>
        <w:rPr>
          <w:rFonts w:cs="Times New Roman"/>
          <w:b/>
          <w:sz w:val="24"/>
          <w:szCs w:val="24"/>
        </w:rPr>
      </w:pPr>
    </w:p>
    <w:p>
      <w:pPr>
        <w:widowControl w:val="0"/>
        <w:spacing w:line="360" w:lineRule="auto"/>
        <w:ind w:firstLine="480" w:firstLineChars="200"/>
        <w:textAlignment w:val="center"/>
        <w:rPr>
          <w:rFonts w:cs="Times New Roman"/>
          <w:b/>
          <w:sz w:val="24"/>
          <w:szCs w:val="24"/>
        </w:rPr>
      </w:pPr>
      <w:r>
        <w:rPr>
          <w:rFonts w:cs="Times New Roman"/>
          <w:b/>
          <w:sz w:val="24"/>
          <w:szCs w:val="24"/>
        </w:rPr>
        <w:drawing>
          <wp:inline distT="0" distB="0" distL="0" distR="0">
            <wp:extent cx="4312920" cy="2527300"/>
            <wp:effectExtent l="19050" t="0" r="0" b="0"/>
            <wp:docPr id="9" name="图片 1" descr="IMG_0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0627"/>
                    <pic:cNvPicPr>
                      <a:picLocks noChangeAspect="1" noChangeArrowheads="1"/>
                    </pic:cNvPicPr>
                  </pic:nvPicPr>
                  <pic:blipFill>
                    <a:blip xmlns:r="http://schemas.openxmlformats.org/officeDocument/2006/relationships" r:embed="rId17"/>
                    <a:stretch>
                      <a:fillRect/>
                    </a:stretch>
                  </pic:blipFill>
                  <pic:spPr>
                    <a:xfrm>
                      <a:off x="0" y="0"/>
                      <a:ext cx="4312920" cy="2527300"/>
                    </a:xfrm>
                    <a:prstGeom prst="rect">
                      <a:avLst/>
                    </a:prstGeom>
                    <a:noFill/>
                    <a:ln w="9525">
                      <a:noFill/>
                      <a:miter lim="800000"/>
                      <a:headEnd/>
                      <a:tailEnd/>
                    </a:ln>
                  </pic:spPr>
                </pic:pic>
              </a:graphicData>
            </a:graphic>
          </wp:inline>
        </w:drawing>
      </w:r>
    </w:p>
    <w:p>
      <w:pPr>
        <w:widowControl w:val="0"/>
        <w:spacing w:line="360" w:lineRule="auto"/>
        <w:ind w:firstLine="480" w:firstLineChars="200"/>
        <w:textAlignment w:val="center"/>
        <w:rPr>
          <w:rFonts w:cs="Times New Roman"/>
          <w:b/>
          <w:sz w:val="24"/>
          <w:szCs w:val="24"/>
        </w:rPr>
      </w:pPr>
      <w:r>
        <w:rPr>
          <w:rFonts w:cs="Times New Roman"/>
          <w:b/>
          <w:sz w:val="24"/>
          <w:szCs w:val="24"/>
        </w:rPr>
        <w:t>照片</w:t>
      </w:r>
      <w:r>
        <w:rPr>
          <w:rFonts w:cs="Times New Roman" w:hint="eastAsia"/>
          <w:b/>
          <w:sz w:val="24"/>
          <w:szCs w:val="24"/>
        </w:rPr>
        <w:t>2</w:t>
      </w:r>
      <w:r>
        <w:rPr>
          <w:rFonts w:cs="Times New Roman"/>
          <w:b/>
          <w:sz w:val="24"/>
          <w:szCs w:val="24"/>
        </w:rPr>
        <w:t>-</w:t>
      </w:r>
      <w:r>
        <w:rPr>
          <w:rFonts w:cs="Times New Roman" w:hint="eastAsia"/>
          <w:b/>
          <w:sz w:val="24"/>
          <w:szCs w:val="24"/>
        </w:rPr>
        <w:t>1</w:t>
      </w:r>
      <w:r>
        <w:rPr>
          <w:rFonts w:cs="Times New Roman"/>
          <w:b/>
          <w:sz w:val="24"/>
          <w:szCs w:val="24"/>
        </w:rPr>
        <w:t xml:space="preserve">  4#排渣场治理效果</w:t>
      </w:r>
    </w:p>
    <w:p>
      <w:pPr>
        <w:widowControl w:val="0"/>
        <w:spacing w:line="360" w:lineRule="auto"/>
        <w:ind w:firstLine="480" w:firstLineChars="200"/>
        <w:textAlignment w:val="center"/>
        <w:rPr>
          <w:rFonts w:cs="Times New Roman"/>
          <w:b/>
          <w:sz w:val="24"/>
          <w:szCs w:val="24"/>
        </w:rPr>
      </w:pPr>
      <w:r>
        <w:rPr>
          <w:rFonts w:cs="Times New Roman"/>
          <w:b/>
          <w:sz w:val="24"/>
          <w:szCs w:val="24"/>
        </w:rPr>
        <w:drawing>
          <wp:inline distT="0" distB="0" distL="0" distR="0">
            <wp:extent cx="4312920" cy="2665730"/>
            <wp:effectExtent l="19050" t="0" r="0" b="0"/>
            <wp:docPr id="8" name="图片 2" descr="IMG_0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0628"/>
                    <pic:cNvPicPr>
                      <a:picLocks noChangeAspect="1" noChangeArrowheads="1"/>
                    </pic:cNvPicPr>
                  </pic:nvPicPr>
                  <pic:blipFill>
                    <a:blip xmlns:r="http://schemas.openxmlformats.org/officeDocument/2006/relationships" r:embed="rId18"/>
                    <a:stretch>
                      <a:fillRect/>
                    </a:stretch>
                  </pic:blipFill>
                  <pic:spPr>
                    <a:xfrm>
                      <a:off x="0" y="0"/>
                      <a:ext cx="4312920" cy="2665730"/>
                    </a:xfrm>
                    <a:prstGeom prst="rect">
                      <a:avLst/>
                    </a:prstGeom>
                    <a:noFill/>
                    <a:ln w="9525">
                      <a:noFill/>
                      <a:miter lim="800000"/>
                      <a:headEnd/>
                      <a:tailEnd/>
                    </a:ln>
                  </pic:spPr>
                </pic:pic>
              </a:graphicData>
            </a:graphic>
          </wp:inline>
        </w:drawing>
      </w:r>
    </w:p>
    <w:p>
      <w:pPr>
        <w:widowControl w:val="0"/>
        <w:spacing w:line="360" w:lineRule="auto"/>
        <w:ind w:firstLine="480" w:firstLineChars="200"/>
        <w:textAlignment w:val="center"/>
        <w:rPr>
          <w:rFonts w:cs="Times New Roman"/>
          <w:b/>
          <w:sz w:val="24"/>
          <w:szCs w:val="24"/>
        </w:rPr>
      </w:pPr>
      <w:r>
        <w:rPr>
          <w:rFonts w:cs="Times New Roman"/>
          <w:b/>
          <w:sz w:val="24"/>
          <w:szCs w:val="24"/>
        </w:rPr>
        <w:t>照片</w:t>
      </w:r>
      <w:r>
        <w:rPr>
          <w:rFonts w:cs="Times New Roman" w:hint="eastAsia"/>
          <w:b/>
          <w:sz w:val="24"/>
          <w:szCs w:val="24"/>
        </w:rPr>
        <w:t>2</w:t>
      </w:r>
      <w:r>
        <w:rPr>
          <w:rFonts w:cs="Times New Roman"/>
          <w:b/>
          <w:sz w:val="24"/>
          <w:szCs w:val="24"/>
        </w:rPr>
        <w:t>-</w:t>
      </w:r>
      <w:r>
        <w:rPr>
          <w:rFonts w:cs="Times New Roman" w:hint="eastAsia"/>
          <w:b/>
          <w:sz w:val="24"/>
          <w:szCs w:val="24"/>
        </w:rPr>
        <w:t>2</w:t>
      </w:r>
      <w:r>
        <w:rPr>
          <w:rFonts w:cs="Times New Roman"/>
          <w:b/>
          <w:sz w:val="24"/>
          <w:szCs w:val="24"/>
        </w:rPr>
        <w:t xml:space="preserve">   5#排渣场治理效果</w:t>
      </w:r>
    </w:p>
    <w:p>
      <w:pPr>
        <w:spacing w:line="360" w:lineRule="auto"/>
        <w:ind w:firstLine="480" w:firstLineChars="200"/>
        <w:jc w:val="both"/>
        <w:rPr>
          <w:rFonts w:cs="Times New Roman"/>
          <w:sz w:val="24"/>
          <w:szCs w:val="24"/>
        </w:rPr>
      </w:pPr>
      <w:r>
        <w:rPr>
          <w:rFonts w:cs="Times New Roman"/>
          <w:sz w:val="24"/>
          <w:szCs w:val="24"/>
        </w:rPr>
        <w:t>（二）二分期治理方案实施情况</w:t>
      </w:r>
    </w:p>
    <w:p>
      <w:pPr>
        <w:spacing w:line="360" w:lineRule="auto"/>
        <w:ind w:firstLine="480" w:firstLineChars="200"/>
        <w:jc w:val="both"/>
        <w:rPr>
          <w:rFonts w:cs="Times New Roman"/>
          <w:sz w:val="24"/>
          <w:szCs w:val="24"/>
        </w:rPr>
      </w:pPr>
      <w:r>
        <w:rPr>
          <w:rFonts w:cs="Times New Roman"/>
          <w:sz w:val="24"/>
          <w:szCs w:val="24"/>
        </w:rPr>
        <w:t>1、设计治理内容</w:t>
      </w:r>
    </w:p>
    <w:p>
      <w:pPr>
        <w:widowControl w:val="0"/>
        <w:spacing w:line="360" w:lineRule="auto"/>
        <w:ind w:firstLine="480" w:firstLineChars="200"/>
        <w:jc w:val="left"/>
        <w:textAlignment w:val="center"/>
        <w:rPr>
          <w:rFonts w:cs="Times New Roman"/>
          <w:sz w:val="24"/>
          <w:szCs w:val="24"/>
        </w:rPr>
      </w:pPr>
      <w:r>
        <w:rPr>
          <w:rFonts w:cs="Times New Roman"/>
          <w:sz w:val="24"/>
          <w:szCs w:val="24"/>
        </w:rPr>
        <w:t xml:space="preserve">本期确定的矿山地质环境治理及土地复垦区为：预测地面塌陷区、SJ3 工业场地、探槽（TC5）、临时取土场、原露天采坑南部边坡。 </w:t>
      </w:r>
    </w:p>
    <w:p>
      <w:pPr>
        <w:spacing w:line="360" w:lineRule="auto"/>
        <w:ind w:firstLine="200"/>
        <w:jc w:val="left"/>
        <w:rPr>
          <w:rFonts w:cs="Times New Roman"/>
          <w:sz w:val="24"/>
          <w:szCs w:val="24"/>
        </w:rPr>
        <w:sectPr>
          <w:headerReference w:type="default" r:id="rId19"/>
          <w:footerReference w:type="default" r:id="rId20"/>
          <w:type w:val="nextPage"/>
          <w:pgSz w:w="11906" w:h="16838"/>
          <w:pgMar w:top="1440" w:right="1800" w:bottom="1440" w:left="1800" w:header="851" w:footer="992" w:gutter="0"/>
          <w:pgNumType w:start="5"/>
          <w:cols w:num="1" w:space="425"/>
          <w:titlePg w:val="0"/>
          <w:docGrid w:type="lines" w:linePitch="312" w:charSpace="0"/>
        </w:sectPr>
      </w:pPr>
      <w:r>
        <w:rPr>
          <w:rFonts w:cs="Times New Roman"/>
          <w:sz w:val="24"/>
          <w:szCs w:val="24"/>
        </w:rPr>
        <w:t>（1）对预测地面塌陷区进行监测；</w:t>
      </w:r>
    </w:p>
    <w:p>
      <w:pPr>
        <w:spacing w:line="360" w:lineRule="auto"/>
        <w:ind w:firstLine="200"/>
        <w:jc w:val="left"/>
        <w:rPr>
          <w:rFonts w:cs="Times New Roman"/>
          <w:sz w:val="24"/>
          <w:szCs w:val="24"/>
        </w:rPr>
      </w:pPr>
      <w:r>
        <w:rPr>
          <w:rFonts w:cs="Times New Roman"/>
          <w:sz w:val="24"/>
          <w:szCs w:val="24"/>
        </w:rPr>
        <w:t>（2）SJ3工业场地矿山后期仍继续使用，本分期对其切坡工程削坡后恢复植被；</w:t>
      </w:r>
    </w:p>
    <w:p>
      <w:pPr>
        <w:spacing w:line="360" w:lineRule="auto"/>
        <w:ind w:firstLine="200"/>
        <w:jc w:val="left"/>
        <w:rPr>
          <w:rFonts w:cs="Times New Roman"/>
          <w:sz w:val="24"/>
          <w:szCs w:val="24"/>
        </w:rPr>
      </w:pPr>
      <w:r>
        <w:rPr>
          <w:rFonts w:cs="Times New Roman"/>
          <w:sz w:val="24"/>
          <w:szCs w:val="24"/>
        </w:rPr>
        <w:t>（3）TC5为前期探矿形成，本期对其进行治理，回填、平整、覆土后栽种油松(备选树种：杨树)；</w:t>
      </w:r>
    </w:p>
    <w:p>
      <w:pPr>
        <w:spacing w:line="360" w:lineRule="auto"/>
        <w:ind w:firstLine="200"/>
        <w:jc w:val="left"/>
        <w:rPr>
          <w:rFonts w:cs="Times New Roman"/>
          <w:sz w:val="24"/>
          <w:szCs w:val="24"/>
        </w:rPr>
      </w:pPr>
      <w:r>
        <w:rPr>
          <w:rFonts w:cs="Times New Roman"/>
          <w:sz w:val="24"/>
          <w:szCs w:val="24"/>
        </w:rPr>
        <w:t>（4）临时取土场本期取土完毕后应翻耕，栽种油松(备选树种：杨树)，保护土壤；</w:t>
      </w:r>
    </w:p>
    <w:p>
      <w:pPr>
        <w:spacing w:line="360" w:lineRule="auto"/>
        <w:ind w:firstLine="200"/>
        <w:jc w:val="left"/>
        <w:rPr>
          <w:rFonts w:cs="Times New Roman"/>
          <w:sz w:val="24"/>
          <w:szCs w:val="24"/>
        </w:rPr>
      </w:pPr>
      <w:r>
        <w:rPr>
          <w:rFonts w:cs="Times New Roman"/>
          <w:sz w:val="24"/>
          <w:szCs w:val="24"/>
        </w:rPr>
        <w:t>（5）本期设计对一期治理的原露天采坑南部边坡进行削坡后恢复植被。</w:t>
      </w:r>
    </w:p>
    <w:p>
      <w:pPr>
        <w:spacing w:line="360" w:lineRule="auto"/>
        <w:ind w:firstLine="480" w:firstLineChars="200"/>
        <w:jc w:val="both"/>
        <w:rPr>
          <w:rFonts w:cs="Times New Roman"/>
          <w:sz w:val="24"/>
          <w:szCs w:val="24"/>
        </w:rPr>
      </w:pPr>
      <w:r>
        <w:rPr>
          <w:rFonts w:cs="Times New Roman"/>
          <w:sz w:val="24"/>
          <w:szCs w:val="24"/>
        </w:rPr>
        <w:t>2、实施情况</w:t>
      </w:r>
    </w:p>
    <w:p>
      <w:pPr>
        <w:spacing w:line="360" w:lineRule="auto"/>
        <w:ind w:firstLine="480" w:firstLineChars="200"/>
        <w:jc w:val="both"/>
        <w:rPr>
          <w:rFonts w:cs="Times New Roman"/>
          <w:sz w:val="24"/>
          <w:szCs w:val="24"/>
        </w:rPr>
      </w:pPr>
      <w:r>
        <w:rPr>
          <w:rFonts w:cs="Times New Roman"/>
          <w:sz w:val="24"/>
          <w:szCs w:val="24"/>
        </w:rPr>
        <w:t>经实地查看矿山地质环境现状并查验验收资料，矿山已完成二分期设计的治理工作，治理费用53.91万元，治理资金全部由矿山企业自行筹措。2019年10月30日由赤峰市自然资源局组织专家进行实地验收，一致同意该工程通过验收，同时下发《内蒙古自治区矿山地质环境分期治理工程验收意见书》（编号192071）。</w:t>
      </w:r>
    </w:p>
    <w:p>
      <w:pPr>
        <w:spacing w:line="360" w:lineRule="auto"/>
        <w:ind w:firstLine="480"/>
        <w:jc w:val="left"/>
        <w:rPr>
          <w:rFonts w:cs="Times New Roman"/>
          <w:sz w:val="24"/>
          <w:szCs w:val="24"/>
        </w:rPr>
      </w:pPr>
      <w:r>
        <w:rPr>
          <w:rFonts w:cs="Times New Roman"/>
          <w:sz w:val="24"/>
          <w:szCs w:val="24"/>
        </w:rPr>
        <w:t>完成情况见表</w:t>
      </w:r>
      <w:r>
        <w:rPr>
          <w:rFonts w:cs="Times New Roman" w:hint="eastAsia"/>
          <w:sz w:val="24"/>
          <w:szCs w:val="24"/>
        </w:rPr>
        <w:t>2</w:t>
      </w:r>
      <w:r>
        <w:rPr>
          <w:rFonts w:cs="Times New Roman"/>
          <w:sz w:val="24"/>
          <w:szCs w:val="24"/>
        </w:rPr>
        <w:t>-</w:t>
      </w:r>
      <w:r>
        <w:rPr>
          <w:rFonts w:cs="Times New Roman" w:hint="eastAsia"/>
          <w:sz w:val="24"/>
          <w:szCs w:val="24"/>
        </w:rPr>
        <w:t>2</w:t>
      </w:r>
      <w:r>
        <w:rPr>
          <w:rFonts w:cs="Times New Roman"/>
          <w:sz w:val="24"/>
          <w:szCs w:val="24"/>
        </w:rPr>
        <w:t>。治理效果见照片</w:t>
      </w:r>
      <w:r>
        <w:rPr>
          <w:rFonts w:cs="Times New Roman" w:hint="eastAsia"/>
          <w:sz w:val="24"/>
          <w:szCs w:val="24"/>
        </w:rPr>
        <w:t>2</w:t>
      </w:r>
      <w:r>
        <w:rPr>
          <w:rFonts w:cs="Times New Roman"/>
          <w:sz w:val="24"/>
          <w:szCs w:val="24"/>
        </w:rPr>
        <w:t>-</w:t>
      </w:r>
      <w:r>
        <w:rPr>
          <w:rFonts w:cs="Times New Roman" w:hint="eastAsia"/>
          <w:sz w:val="24"/>
          <w:szCs w:val="24"/>
        </w:rPr>
        <w:t>3</w:t>
      </w:r>
      <w:r>
        <w:rPr>
          <w:rFonts w:cs="Times New Roman"/>
          <w:sz w:val="24"/>
          <w:szCs w:val="24"/>
        </w:rPr>
        <w:t>、</w:t>
      </w:r>
      <w:r>
        <w:rPr>
          <w:rFonts w:cs="Times New Roman" w:hint="eastAsia"/>
          <w:sz w:val="24"/>
          <w:szCs w:val="24"/>
        </w:rPr>
        <w:t>2</w:t>
      </w:r>
      <w:r>
        <w:rPr>
          <w:rFonts w:cs="Times New Roman"/>
          <w:sz w:val="24"/>
          <w:szCs w:val="24"/>
        </w:rPr>
        <w:t>-</w:t>
      </w:r>
      <w:r>
        <w:rPr>
          <w:rFonts w:cs="Times New Roman" w:hint="eastAsia"/>
          <w:sz w:val="24"/>
          <w:szCs w:val="24"/>
        </w:rPr>
        <w:t>4</w:t>
      </w:r>
      <w:r>
        <w:rPr>
          <w:rFonts w:cs="Times New Roman"/>
          <w:sz w:val="24"/>
          <w:szCs w:val="24"/>
        </w:rPr>
        <w:t>。</w:t>
      </w:r>
    </w:p>
    <w:p>
      <w:pPr>
        <w:widowControl w:val="0"/>
        <w:spacing w:line="360" w:lineRule="auto"/>
        <w:textAlignment w:val="center"/>
        <w:rPr>
          <w:rFonts w:cs="Times New Roman"/>
          <w:b/>
          <w:sz w:val="24"/>
          <w:szCs w:val="24"/>
        </w:rPr>
      </w:pPr>
      <w:r>
        <w:rPr>
          <w:rFonts w:cs="Times New Roman"/>
          <w:b/>
          <w:sz w:val="24"/>
          <w:szCs w:val="24"/>
        </w:rPr>
        <w:t>表</w:t>
      </w:r>
      <w:r>
        <w:rPr>
          <w:rFonts w:cs="Times New Roman" w:hint="eastAsia"/>
          <w:b/>
          <w:sz w:val="24"/>
          <w:szCs w:val="24"/>
        </w:rPr>
        <w:t>2</w:t>
      </w:r>
      <w:r>
        <w:rPr>
          <w:rFonts w:cs="Times New Roman"/>
          <w:b/>
          <w:sz w:val="24"/>
          <w:szCs w:val="24"/>
        </w:rPr>
        <w:t>-</w:t>
      </w:r>
      <w:r>
        <w:rPr>
          <w:rFonts w:cs="Times New Roman" w:hint="eastAsia"/>
          <w:b/>
          <w:sz w:val="24"/>
          <w:szCs w:val="24"/>
        </w:rPr>
        <w:t>2</w:t>
      </w:r>
      <w:r>
        <w:rPr>
          <w:rFonts w:cs="Times New Roman"/>
          <w:b/>
          <w:sz w:val="24"/>
          <w:szCs w:val="24"/>
        </w:rPr>
        <w:t xml:space="preserve">  第二分期治理方案完成情况一览表</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22"/>
        <w:gridCol w:w="1164"/>
        <w:gridCol w:w="840"/>
        <w:gridCol w:w="840"/>
        <w:gridCol w:w="840"/>
        <w:gridCol w:w="840"/>
        <w:gridCol w:w="838"/>
        <w:gridCol w:w="83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hRule="exact" w:val="340"/>
          <w:jc w:val="center"/>
        </w:trPr>
        <w:tc>
          <w:tcPr>
            <w:tcW w:w="1362" w:type="pct"/>
            <w:vMerge w:val="restart"/>
            <w:vAlign w:val="center"/>
          </w:tcPr>
          <w:p>
            <w:pPr>
              <w:rPr>
                <w:rFonts w:cs="Times New Roman"/>
              </w:rPr>
            </w:pPr>
            <w:r>
              <w:rPr>
                <w:rFonts w:cs="Times New Roman"/>
              </w:rPr>
              <w:t>单元名称</w:t>
            </w:r>
          </w:p>
        </w:tc>
        <w:tc>
          <w:tcPr>
            <w:tcW w:w="683" w:type="pct"/>
            <w:vAlign w:val="center"/>
          </w:tcPr>
          <w:p>
            <w:pPr>
              <w:rPr>
                <w:rFonts w:cs="Times New Roman"/>
              </w:rPr>
            </w:pPr>
            <w:r>
              <w:rPr>
                <w:rFonts w:cs="Times New Roman"/>
              </w:rPr>
              <w:t>面积</w:t>
            </w:r>
          </w:p>
        </w:tc>
        <w:tc>
          <w:tcPr>
            <w:tcW w:w="493" w:type="pct"/>
            <w:vAlign w:val="center"/>
          </w:tcPr>
          <w:p>
            <w:pPr>
              <w:rPr>
                <w:rFonts w:cs="Times New Roman"/>
              </w:rPr>
            </w:pPr>
            <w:r>
              <w:rPr>
                <w:rFonts w:cs="Times New Roman"/>
              </w:rPr>
              <w:t>削坡</w:t>
            </w:r>
          </w:p>
        </w:tc>
        <w:tc>
          <w:tcPr>
            <w:tcW w:w="493" w:type="pct"/>
            <w:vAlign w:val="center"/>
          </w:tcPr>
          <w:p>
            <w:pPr>
              <w:rPr>
                <w:rFonts w:cs="Times New Roman"/>
              </w:rPr>
            </w:pPr>
            <w:r>
              <w:rPr>
                <w:rFonts w:cs="Times New Roman"/>
              </w:rPr>
              <w:t>覆土</w:t>
            </w:r>
          </w:p>
        </w:tc>
        <w:tc>
          <w:tcPr>
            <w:tcW w:w="493" w:type="pct"/>
            <w:vAlign w:val="center"/>
          </w:tcPr>
          <w:p>
            <w:pPr>
              <w:rPr>
                <w:rFonts w:cs="Times New Roman"/>
              </w:rPr>
            </w:pPr>
            <w:r>
              <w:rPr>
                <w:rFonts w:cs="Times New Roman"/>
              </w:rPr>
              <w:t>回填</w:t>
            </w:r>
          </w:p>
        </w:tc>
        <w:tc>
          <w:tcPr>
            <w:tcW w:w="493" w:type="pct"/>
            <w:vAlign w:val="center"/>
          </w:tcPr>
          <w:p>
            <w:pPr>
              <w:rPr>
                <w:rFonts w:cs="Times New Roman"/>
              </w:rPr>
            </w:pPr>
            <w:r>
              <w:rPr>
                <w:rFonts w:cs="Times New Roman"/>
              </w:rPr>
              <w:t>整平</w:t>
            </w:r>
          </w:p>
        </w:tc>
        <w:tc>
          <w:tcPr>
            <w:tcW w:w="491" w:type="pct"/>
            <w:vAlign w:val="center"/>
          </w:tcPr>
          <w:p>
            <w:pPr>
              <w:rPr>
                <w:rFonts w:cs="Times New Roman"/>
              </w:rPr>
            </w:pPr>
            <w:r>
              <w:rPr>
                <w:rFonts w:cs="Times New Roman"/>
              </w:rPr>
              <w:t>翻耕</w:t>
            </w:r>
          </w:p>
        </w:tc>
        <w:tc>
          <w:tcPr>
            <w:tcW w:w="491" w:type="pct"/>
            <w:vAlign w:val="center"/>
          </w:tcPr>
          <w:p>
            <w:pPr>
              <w:rPr>
                <w:rFonts w:cs="Times New Roman"/>
              </w:rPr>
            </w:pPr>
            <w:r>
              <w:rPr>
                <w:rFonts w:cs="Times New Roman"/>
              </w:rPr>
              <w:t>种树</w:t>
            </w:r>
          </w:p>
        </w:tc>
      </w:tr>
      <w:tr>
        <w:tblPrEx>
          <w:tblW w:w="5000" w:type="pct"/>
          <w:jc w:val="center"/>
          <w:tblCellMar>
            <w:top w:w="0" w:type="dxa"/>
            <w:left w:w="108" w:type="dxa"/>
            <w:bottom w:w="0" w:type="dxa"/>
            <w:right w:w="108" w:type="dxa"/>
          </w:tblCellMar>
        </w:tblPrEx>
        <w:trPr>
          <w:trHeight w:hRule="exact" w:val="287"/>
          <w:jc w:val="center"/>
        </w:trPr>
        <w:tc>
          <w:tcPr>
            <w:tcW w:w="1362" w:type="pct"/>
            <w:vMerge/>
            <w:vAlign w:val="center"/>
          </w:tcPr>
          <w:p>
            <w:pPr>
              <w:rPr>
                <w:rFonts w:cs="Times New Roman"/>
              </w:rPr>
            </w:pPr>
          </w:p>
        </w:tc>
        <w:tc>
          <w:tcPr>
            <w:tcW w:w="683" w:type="pct"/>
            <w:vAlign w:val="center"/>
          </w:tcPr>
          <w:p>
            <w:pPr>
              <w:rPr>
                <w:rFonts w:cs="Times New Roman"/>
              </w:rPr>
            </w:pPr>
            <w:r>
              <w:rPr>
                <w:rFonts w:cs="Times New Roman"/>
              </w:rPr>
              <w:t>m</w:t>
            </w:r>
            <w:r>
              <w:rPr>
                <w:rFonts w:cs="Times New Roman"/>
                <w:vertAlign w:val="superscript"/>
              </w:rPr>
              <w:t>2</w:t>
            </w:r>
          </w:p>
        </w:tc>
        <w:tc>
          <w:tcPr>
            <w:tcW w:w="493" w:type="pct"/>
            <w:vAlign w:val="center"/>
          </w:tcPr>
          <w:p>
            <w:pPr>
              <w:rPr>
                <w:rFonts w:cs="Times New Roman"/>
              </w:rPr>
            </w:pPr>
            <w:r>
              <w:rPr>
                <w:rFonts w:cs="Times New Roman"/>
              </w:rPr>
              <w:t>m</w:t>
            </w:r>
            <w:r>
              <w:rPr>
                <w:rFonts w:cs="Times New Roman"/>
                <w:vertAlign w:val="superscript"/>
              </w:rPr>
              <w:t>3</w:t>
            </w:r>
          </w:p>
        </w:tc>
        <w:tc>
          <w:tcPr>
            <w:tcW w:w="493" w:type="pct"/>
            <w:vAlign w:val="center"/>
          </w:tcPr>
          <w:p>
            <w:pPr>
              <w:rPr>
                <w:rFonts w:cs="Times New Roman"/>
              </w:rPr>
            </w:pPr>
            <w:r>
              <w:rPr>
                <w:rFonts w:cs="Times New Roman"/>
              </w:rPr>
              <w:t>m</w:t>
            </w:r>
            <w:r>
              <w:rPr>
                <w:rFonts w:cs="Times New Roman"/>
                <w:vertAlign w:val="superscript"/>
              </w:rPr>
              <w:t>3</w:t>
            </w:r>
          </w:p>
        </w:tc>
        <w:tc>
          <w:tcPr>
            <w:tcW w:w="493" w:type="pct"/>
            <w:vAlign w:val="center"/>
          </w:tcPr>
          <w:p>
            <w:pPr>
              <w:rPr>
                <w:rFonts w:cs="Times New Roman"/>
              </w:rPr>
            </w:pPr>
            <w:r>
              <w:rPr>
                <w:rFonts w:cs="Times New Roman"/>
              </w:rPr>
              <w:t>m</w:t>
            </w:r>
            <w:r>
              <w:rPr>
                <w:rFonts w:cs="Times New Roman"/>
                <w:vertAlign w:val="superscript"/>
              </w:rPr>
              <w:t>3</w:t>
            </w:r>
          </w:p>
        </w:tc>
        <w:tc>
          <w:tcPr>
            <w:tcW w:w="493" w:type="pct"/>
            <w:vAlign w:val="center"/>
          </w:tcPr>
          <w:p>
            <w:pPr>
              <w:rPr>
                <w:rFonts w:cs="Times New Roman"/>
              </w:rPr>
            </w:pPr>
            <w:r>
              <w:rPr>
                <w:rFonts w:cs="Times New Roman"/>
              </w:rPr>
              <w:t>m</w:t>
            </w:r>
            <w:r>
              <w:rPr>
                <w:rFonts w:cs="Times New Roman"/>
                <w:vertAlign w:val="superscript"/>
              </w:rPr>
              <w:t>3</w:t>
            </w:r>
          </w:p>
        </w:tc>
        <w:tc>
          <w:tcPr>
            <w:tcW w:w="491" w:type="pct"/>
            <w:vAlign w:val="center"/>
          </w:tcPr>
          <w:p>
            <w:pPr>
              <w:rPr>
                <w:rFonts w:cs="Times New Roman"/>
              </w:rPr>
            </w:pPr>
            <w:r>
              <w:rPr>
                <w:rFonts w:cs="Times New Roman"/>
              </w:rPr>
              <w:t>m</w:t>
            </w:r>
            <w:r>
              <w:rPr>
                <w:rFonts w:cs="Times New Roman"/>
                <w:vertAlign w:val="superscript"/>
              </w:rPr>
              <w:t>2</w:t>
            </w:r>
          </w:p>
        </w:tc>
        <w:tc>
          <w:tcPr>
            <w:tcW w:w="491" w:type="pct"/>
            <w:vAlign w:val="center"/>
          </w:tcPr>
          <w:p>
            <w:pPr>
              <w:rPr>
                <w:rFonts w:cs="Times New Roman"/>
              </w:rPr>
            </w:pPr>
            <w:r>
              <w:rPr>
                <w:rFonts w:cs="Times New Roman"/>
              </w:rPr>
              <w:t>棵</w:t>
            </w:r>
          </w:p>
        </w:tc>
      </w:tr>
      <w:tr>
        <w:tblPrEx>
          <w:tblW w:w="5000" w:type="pct"/>
          <w:jc w:val="center"/>
          <w:tblCellMar>
            <w:top w:w="0" w:type="dxa"/>
            <w:left w:w="108" w:type="dxa"/>
            <w:bottom w:w="0" w:type="dxa"/>
            <w:right w:w="108" w:type="dxa"/>
          </w:tblCellMar>
        </w:tblPrEx>
        <w:trPr>
          <w:trHeight w:hRule="exact" w:val="340"/>
          <w:jc w:val="center"/>
        </w:trPr>
        <w:tc>
          <w:tcPr>
            <w:tcW w:w="1362" w:type="pct"/>
            <w:vAlign w:val="center"/>
          </w:tcPr>
          <w:p>
            <w:pPr>
              <w:rPr>
                <w:rFonts w:cs="Times New Roman"/>
              </w:rPr>
            </w:pPr>
            <w:r>
              <w:rPr>
                <w:rFonts w:cs="Times New Roman"/>
              </w:rPr>
              <w:t>TC5</w:t>
            </w:r>
          </w:p>
        </w:tc>
        <w:tc>
          <w:tcPr>
            <w:tcW w:w="683" w:type="pct"/>
            <w:vAlign w:val="center"/>
          </w:tcPr>
          <w:p>
            <w:pPr>
              <w:rPr>
                <w:rFonts w:cs="Times New Roman"/>
              </w:rPr>
            </w:pPr>
            <w:r>
              <w:rPr>
                <w:rFonts w:cs="Times New Roman"/>
              </w:rPr>
              <w:t>708</w:t>
            </w:r>
          </w:p>
        </w:tc>
        <w:tc>
          <w:tcPr>
            <w:tcW w:w="493" w:type="pct"/>
            <w:vAlign w:val="center"/>
          </w:tcPr>
          <w:p>
            <w:pPr>
              <w:rPr>
                <w:rFonts w:cs="Times New Roman"/>
              </w:rPr>
            </w:pPr>
          </w:p>
        </w:tc>
        <w:tc>
          <w:tcPr>
            <w:tcW w:w="493" w:type="pct"/>
            <w:vAlign w:val="center"/>
          </w:tcPr>
          <w:p>
            <w:pPr>
              <w:rPr>
                <w:rFonts w:cs="Times New Roman"/>
              </w:rPr>
            </w:pPr>
          </w:p>
        </w:tc>
        <w:tc>
          <w:tcPr>
            <w:tcW w:w="493" w:type="pct"/>
            <w:vAlign w:val="center"/>
          </w:tcPr>
          <w:p>
            <w:pPr>
              <w:rPr>
                <w:rFonts w:cs="Times New Roman"/>
              </w:rPr>
            </w:pPr>
            <w:r>
              <w:rPr>
                <w:rFonts w:cs="Times New Roman"/>
              </w:rPr>
              <w:t>582</w:t>
            </w:r>
          </w:p>
        </w:tc>
        <w:tc>
          <w:tcPr>
            <w:tcW w:w="493" w:type="pct"/>
            <w:vAlign w:val="center"/>
          </w:tcPr>
          <w:p>
            <w:pPr>
              <w:rPr>
                <w:rFonts w:cs="Times New Roman"/>
              </w:rPr>
            </w:pPr>
            <w:r>
              <w:rPr>
                <w:rFonts w:cs="Times New Roman"/>
              </w:rPr>
              <w:t>582</w:t>
            </w:r>
          </w:p>
        </w:tc>
        <w:tc>
          <w:tcPr>
            <w:tcW w:w="491" w:type="pct"/>
            <w:vAlign w:val="center"/>
          </w:tcPr>
          <w:p>
            <w:pPr>
              <w:rPr>
                <w:rFonts w:cs="Times New Roman"/>
              </w:rPr>
            </w:pPr>
          </w:p>
        </w:tc>
        <w:tc>
          <w:tcPr>
            <w:tcW w:w="491" w:type="pct"/>
            <w:vAlign w:val="center"/>
          </w:tcPr>
          <w:p>
            <w:pPr>
              <w:rPr>
                <w:rFonts w:cs="Times New Roman"/>
              </w:rPr>
            </w:pPr>
            <w:r>
              <w:rPr>
                <w:rFonts w:cs="Times New Roman"/>
              </w:rPr>
              <w:t>178</w:t>
            </w:r>
          </w:p>
        </w:tc>
      </w:tr>
      <w:tr>
        <w:tblPrEx>
          <w:tblW w:w="5000" w:type="pct"/>
          <w:jc w:val="center"/>
          <w:tblCellMar>
            <w:top w:w="0" w:type="dxa"/>
            <w:left w:w="108" w:type="dxa"/>
            <w:bottom w:w="0" w:type="dxa"/>
            <w:right w:w="108" w:type="dxa"/>
          </w:tblCellMar>
        </w:tblPrEx>
        <w:trPr>
          <w:trHeight w:hRule="exact" w:val="340"/>
          <w:jc w:val="center"/>
        </w:trPr>
        <w:tc>
          <w:tcPr>
            <w:tcW w:w="1362" w:type="pct"/>
            <w:vAlign w:val="center"/>
          </w:tcPr>
          <w:p>
            <w:pPr>
              <w:rPr>
                <w:rFonts w:cs="Times New Roman"/>
              </w:rPr>
            </w:pPr>
            <w:r>
              <w:rPr>
                <w:rFonts w:cs="Times New Roman"/>
              </w:rPr>
              <w:t>SJ3工业场地高陡边坡</w:t>
            </w:r>
          </w:p>
        </w:tc>
        <w:tc>
          <w:tcPr>
            <w:tcW w:w="683" w:type="pct"/>
            <w:vAlign w:val="center"/>
          </w:tcPr>
          <w:p>
            <w:pPr>
              <w:rPr>
                <w:rFonts w:cs="Times New Roman"/>
              </w:rPr>
            </w:pPr>
            <w:r>
              <w:rPr>
                <w:rFonts w:cs="Times New Roman"/>
              </w:rPr>
              <w:t>218</w:t>
            </w:r>
          </w:p>
        </w:tc>
        <w:tc>
          <w:tcPr>
            <w:tcW w:w="493" w:type="pct"/>
            <w:vAlign w:val="center"/>
          </w:tcPr>
          <w:p>
            <w:pPr>
              <w:rPr>
                <w:rFonts w:cs="Times New Roman"/>
              </w:rPr>
            </w:pPr>
            <w:r>
              <w:rPr>
                <w:rFonts w:cs="Times New Roman"/>
              </w:rPr>
              <w:t>825</w:t>
            </w:r>
          </w:p>
        </w:tc>
        <w:tc>
          <w:tcPr>
            <w:tcW w:w="493" w:type="pct"/>
            <w:vAlign w:val="center"/>
          </w:tcPr>
          <w:p>
            <w:pPr>
              <w:rPr>
                <w:rFonts w:cs="Times New Roman"/>
              </w:rPr>
            </w:pPr>
            <w:r>
              <w:rPr>
                <w:rFonts w:cs="Times New Roman"/>
              </w:rPr>
              <w:t>275</w:t>
            </w:r>
          </w:p>
        </w:tc>
        <w:tc>
          <w:tcPr>
            <w:tcW w:w="493" w:type="pct"/>
            <w:vAlign w:val="center"/>
          </w:tcPr>
          <w:p>
            <w:pPr>
              <w:rPr>
                <w:rFonts w:cs="Times New Roman"/>
              </w:rPr>
            </w:pPr>
          </w:p>
        </w:tc>
        <w:tc>
          <w:tcPr>
            <w:tcW w:w="493" w:type="pct"/>
            <w:vAlign w:val="center"/>
          </w:tcPr>
          <w:p>
            <w:pPr>
              <w:rPr>
                <w:rFonts w:cs="Times New Roman"/>
              </w:rPr>
            </w:pPr>
            <w:r>
              <w:rPr>
                <w:rFonts w:cs="Times New Roman"/>
              </w:rPr>
              <w:t>275</w:t>
            </w:r>
          </w:p>
        </w:tc>
        <w:tc>
          <w:tcPr>
            <w:tcW w:w="491" w:type="pct"/>
            <w:vAlign w:val="center"/>
          </w:tcPr>
          <w:p>
            <w:pPr>
              <w:rPr>
                <w:rFonts w:cs="Times New Roman"/>
              </w:rPr>
            </w:pPr>
          </w:p>
        </w:tc>
        <w:tc>
          <w:tcPr>
            <w:tcW w:w="491" w:type="pct"/>
            <w:vAlign w:val="center"/>
          </w:tcPr>
          <w:p>
            <w:pPr>
              <w:rPr>
                <w:rFonts w:cs="Times New Roman"/>
              </w:rPr>
            </w:pPr>
            <w:r>
              <w:rPr>
                <w:rFonts w:cs="Times New Roman"/>
              </w:rPr>
              <w:t>138</w:t>
            </w:r>
          </w:p>
        </w:tc>
      </w:tr>
      <w:tr>
        <w:tblPrEx>
          <w:tblW w:w="5000" w:type="pct"/>
          <w:jc w:val="center"/>
          <w:tblCellMar>
            <w:top w:w="0" w:type="dxa"/>
            <w:left w:w="108" w:type="dxa"/>
            <w:bottom w:w="0" w:type="dxa"/>
            <w:right w:w="108" w:type="dxa"/>
          </w:tblCellMar>
        </w:tblPrEx>
        <w:trPr>
          <w:trHeight w:hRule="exact" w:val="340"/>
          <w:jc w:val="center"/>
        </w:trPr>
        <w:tc>
          <w:tcPr>
            <w:tcW w:w="1362" w:type="pct"/>
            <w:vAlign w:val="center"/>
          </w:tcPr>
          <w:p>
            <w:pPr>
              <w:rPr>
                <w:rFonts w:cs="Times New Roman"/>
              </w:rPr>
            </w:pPr>
            <w:r>
              <w:rPr>
                <w:rFonts w:cs="Times New Roman"/>
              </w:rPr>
              <w:t>原露天采场南侧边坡</w:t>
            </w:r>
          </w:p>
        </w:tc>
        <w:tc>
          <w:tcPr>
            <w:tcW w:w="683" w:type="pct"/>
            <w:vAlign w:val="center"/>
          </w:tcPr>
          <w:p>
            <w:pPr>
              <w:rPr>
                <w:rFonts w:cs="Times New Roman"/>
              </w:rPr>
            </w:pPr>
            <w:r>
              <w:rPr>
                <w:rFonts w:cs="Times New Roman"/>
              </w:rPr>
              <w:t>2103</w:t>
            </w:r>
          </w:p>
        </w:tc>
        <w:tc>
          <w:tcPr>
            <w:tcW w:w="493" w:type="pct"/>
            <w:vAlign w:val="center"/>
          </w:tcPr>
          <w:p>
            <w:pPr>
              <w:rPr>
                <w:rFonts w:cs="Times New Roman"/>
              </w:rPr>
            </w:pPr>
            <w:r>
              <w:rPr>
                <w:rFonts w:cs="Times New Roman"/>
              </w:rPr>
              <w:t>3375</w:t>
            </w:r>
          </w:p>
        </w:tc>
        <w:tc>
          <w:tcPr>
            <w:tcW w:w="493" w:type="pct"/>
            <w:vAlign w:val="center"/>
          </w:tcPr>
          <w:p>
            <w:pPr>
              <w:rPr>
                <w:rFonts w:cs="Times New Roman"/>
              </w:rPr>
            </w:pPr>
            <w:r>
              <w:rPr>
                <w:rFonts w:cs="Times New Roman"/>
              </w:rPr>
              <w:t>375</w:t>
            </w:r>
          </w:p>
        </w:tc>
        <w:tc>
          <w:tcPr>
            <w:tcW w:w="493" w:type="pct"/>
            <w:vAlign w:val="center"/>
          </w:tcPr>
          <w:p>
            <w:pPr>
              <w:rPr>
                <w:rFonts w:cs="Times New Roman"/>
              </w:rPr>
            </w:pPr>
          </w:p>
        </w:tc>
        <w:tc>
          <w:tcPr>
            <w:tcW w:w="493" w:type="pct"/>
            <w:vAlign w:val="center"/>
          </w:tcPr>
          <w:p>
            <w:pPr>
              <w:rPr>
                <w:rFonts w:cs="Times New Roman"/>
              </w:rPr>
            </w:pPr>
            <w:r>
              <w:rPr>
                <w:rFonts w:cs="Times New Roman"/>
              </w:rPr>
              <w:t>375</w:t>
            </w:r>
          </w:p>
        </w:tc>
        <w:tc>
          <w:tcPr>
            <w:tcW w:w="491" w:type="pct"/>
            <w:vAlign w:val="center"/>
          </w:tcPr>
          <w:p>
            <w:pPr>
              <w:rPr>
                <w:rFonts w:cs="Times New Roman"/>
              </w:rPr>
            </w:pPr>
          </w:p>
        </w:tc>
        <w:tc>
          <w:tcPr>
            <w:tcW w:w="491" w:type="pct"/>
            <w:vAlign w:val="center"/>
          </w:tcPr>
          <w:p>
            <w:pPr>
              <w:rPr>
                <w:rFonts w:cs="Times New Roman"/>
              </w:rPr>
            </w:pPr>
            <w:r>
              <w:rPr>
                <w:rFonts w:cs="Times New Roman"/>
              </w:rPr>
              <w:t>188</w:t>
            </w:r>
          </w:p>
        </w:tc>
      </w:tr>
      <w:tr>
        <w:tblPrEx>
          <w:tblW w:w="5000" w:type="pct"/>
          <w:jc w:val="center"/>
          <w:tblCellMar>
            <w:top w:w="0" w:type="dxa"/>
            <w:left w:w="108" w:type="dxa"/>
            <w:bottom w:w="0" w:type="dxa"/>
            <w:right w:w="108" w:type="dxa"/>
          </w:tblCellMar>
        </w:tblPrEx>
        <w:trPr>
          <w:trHeight w:hRule="exact" w:val="340"/>
          <w:jc w:val="center"/>
        </w:trPr>
        <w:tc>
          <w:tcPr>
            <w:tcW w:w="1362" w:type="pct"/>
            <w:vAlign w:val="center"/>
          </w:tcPr>
          <w:p>
            <w:pPr>
              <w:rPr>
                <w:rFonts w:cs="Times New Roman"/>
              </w:rPr>
            </w:pPr>
            <w:r>
              <w:rPr>
                <w:rFonts w:cs="Times New Roman"/>
              </w:rPr>
              <w:t>临时取土场</w:t>
            </w:r>
          </w:p>
        </w:tc>
        <w:tc>
          <w:tcPr>
            <w:tcW w:w="683" w:type="pct"/>
            <w:vAlign w:val="center"/>
          </w:tcPr>
          <w:p>
            <w:pPr>
              <w:rPr>
                <w:rFonts w:cs="Times New Roman"/>
              </w:rPr>
            </w:pPr>
            <w:r>
              <w:rPr>
                <w:rFonts w:cs="Times New Roman"/>
              </w:rPr>
              <w:t>1164</w:t>
            </w:r>
          </w:p>
        </w:tc>
        <w:tc>
          <w:tcPr>
            <w:tcW w:w="493" w:type="pct"/>
            <w:vAlign w:val="center"/>
          </w:tcPr>
          <w:p>
            <w:pPr>
              <w:rPr>
                <w:rFonts w:cs="Times New Roman"/>
              </w:rPr>
            </w:pPr>
          </w:p>
        </w:tc>
        <w:tc>
          <w:tcPr>
            <w:tcW w:w="493" w:type="pct"/>
            <w:vAlign w:val="center"/>
          </w:tcPr>
          <w:p>
            <w:pPr>
              <w:rPr>
                <w:rFonts w:cs="Times New Roman"/>
              </w:rPr>
            </w:pPr>
          </w:p>
        </w:tc>
        <w:tc>
          <w:tcPr>
            <w:tcW w:w="493" w:type="pct"/>
            <w:vAlign w:val="center"/>
          </w:tcPr>
          <w:p>
            <w:pPr>
              <w:rPr>
                <w:rFonts w:cs="Times New Roman"/>
              </w:rPr>
            </w:pPr>
          </w:p>
        </w:tc>
        <w:tc>
          <w:tcPr>
            <w:tcW w:w="493" w:type="pct"/>
            <w:vAlign w:val="center"/>
          </w:tcPr>
          <w:p>
            <w:pPr>
              <w:rPr>
                <w:rFonts w:cs="Times New Roman"/>
              </w:rPr>
            </w:pPr>
          </w:p>
        </w:tc>
        <w:tc>
          <w:tcPr>
            <w:tcW w:w="491" w:type="pct"/>
            <w:vAlign w:val="center"/>
          </w:tcPr>
          <w:p>
            <w:pPr>
              <w:rPr>
                <w:rFonts w:cs="Times New Roman"/>
              </w:rPr>
            </w:pPr>
            <w:r>
              <w:rPr>
                <w:rFonts w:cs="Times New Roman"/>
              </w:rPr>
              <w:t>1164</w:t>
            </w:r>
          </w:p>
        </w:tc>
        <w:tc>
          <w:tcPr>
            <w:tcW w:w="491" w:type="pct"/>
            <w:vAlign w:val="center"/>
          </w:tcPr>
          <w:p>
            <w:pPr>
              <w:rPr>
                <w:rFonts w:cs="Times New Roman"/>
              </w:rPr>
            </w:pPr>
            <w:r>
              <w:rPr>
                <w:rFonts w:cs="Times New Roman"/>
              </w:rPr>
              <w:t>291</w:t>
            </w:r>
          </w:p>
        </w:tc>
      </w:tr>
      <w:tr>
        <w:tblPrEx>
          <w:tblW w:w="5000" w:type="pct"/>
          <w:jc w:val="center"/>
          <w:tblCellMar>
            <w:top w:w="0" w:type="dxa"/>
            <w:left w:w="108" w:type="dxa"/>
            <w:bottom w:w="0" w:type="dxa"/>
            <w:right w:w="108" w:type="dxa"/>
          </w:tblCellMar>
        </w:tblPrEx>
        <w:trPr>
          <w:trHeight w:hRule="exact" w:val="340"/>
          <w:jc w:val="center"/>
        </w:trPr>
        <w:tc>
          <w:tcPr>
            <w:tcW w:w="1362" w:type="pct"/>
            <w:vAlign w:val="center"/>
          </w:tcPr>
          <w:p>
            <w:pPr>
              <w:rPr>
                <w:rFonts w:cs="Times New Roman"/>
              </w:rPr>
            </w:pPr>
            <w:r>
              <w:rPr>
                <w:rFonts w:cs="Times New Roman"/>
              </w:rPr>
              <w:t>合计</w:t>
            </w:r>
          </w:p>
        </w:tc>
        <w:tc>
          <w:tcPr>
            <w:tcW w:w="683" w:type="pct"/>
            <w:vAlign w:val="center"/>
          </w:tcPr>
          <w:p>
            <w:pPr>
              <w:rPr>
                <w:rFonts w:cs="Times New Roman"/>
              </w:rPr>
            </w:pPr>
            <w:r>
              <w:rPr>
                <w:rFonts w:cs="Times New Roman"/>
              </w:rPr>
              <w:t>4793</w:t>
            </w:r>
          </w:p>
        </w:tc>
        <w:tc>
          <w:tcPr>
            <w:tcW w:w="493" w:type="pct"/>
            <w:vAlign w:val="center"/>
          </w:tcPr>
          <w:p>
            <w:pPr>
              <w:rPr>
                <w:rFonts w:cs="Times New Roman"/>
              </w:rPr>
            </w:pPr>
            <w:r>
              <w:rPr>
                <w:rFonts w:cs="Times New Roman"/>
              </w:rPr>
              <w:t>5100</w:t>
            </w:r>
          </w:p>
        </w:tc>
        <w:tc>
          <w:tcPr>
            <w:tcW w:w="493" w:type="pct"/>
            <w:vAlign w:val="center"/>
          </w:tcPr>
          <w:p>
            <w:pPr>
              <w:rPr>
                <w:rFonts w:cs="Times New Roman"/>
              </w:rPr>
            </w:pPr>
            <w:r>
              <w:rPr>
                <w:rFonts w:cs="Times New Roman"/>
              </w:rPr>
              <w:t>875</w:t>
            </w:r>
          </w:p>
        </w:tc>
        <w:tc>
          <w:tcPr>
            <w:tcW w:w="493" w:type="pct"/>
            <w:vAlign w:val="center"/>
          </w:tcPr>
          <w:p>
            <w:pPr>
              <w:rPr>
                <w:rFonts w:cs="Times New Roman"/>
              </w:rPr>
            </w:pPr>
            <w:r>
              <w:rPr>
                <w:rFonts w:cs="Times New Roman"/>
              </w:rPr>
              <w:t>582</w:t>
            </w:r>
          </w:p>
        </w:tc>
        <w:tc>
          <w:tcPr>
            <w:tcW w:w="493" w:type="pct"/>
            <w:vAlign w:val="center"/>
          </w:tcPr>
          <w:p>
            <w:pPr>
              <w:rPr>
                <w:rFonts w:cs="Times New Roman"/>
              </w:rPr>
            </w:pPr>
            <w:r>
              <w:rPr>
                <w:rFonts w:cs="Times New Roman"/>
              </w:rPr>
              <w:t>1457</w:t>
            </w:r>
          </w:p>
        </w:tc>
        <w:tc>
          <w:tcPr>
            <w:tcW w:w="491" w:type="pct"/>
            <w:vAlign w:val="center"/>
          </w:tcPr>
          <w:p>
            <w:pPr>
              <w:rPr>
                <w:rFonts w:cs="Times New Roman"/>
              </w:rPr>
            </w:pPr>
            <w:r>
              <w:rPr>
                <w:rFonts w:cs="Times New Roman"/>
              </w:rPr>
              <w:t>1164</w:t>
            </w:r>
          </w:p>
        </w:tc>
        <w:tc>
          <w:tcPr>
            <w:tcW w:w="491" w:type="pct"/>
            <w:vAlign w:val="center"/>
          </w:tcPr>
          <w:p>
            <w:pPr>
              <w:rPr>
                <w:rFonts w:cs="Times New Roman"/>
              </w:rPr>
            </w:pPr>
            <w:r>
              <w:rPr>
                <w:rFonts w:cs="Times New Roman"/>
              </w:rPr>
              <w:t>908</w:t>
            </w:r>
          </w:p>
        </w:tc>
      </w:tr>
    </w:tbl>
    <w:p>
      <w:pPr>
        <w:widowControl w:val="0"/>
        <w:spacing w:line="360" w:lineRule="auto"/>
        <w:textAlignment w:val="center"/>
        <w:rPr>
          <w:rFonts w:cs="Times New Roman"/>
          <w:b/>
          <w:sz w:val="24"/>
          <w:szCs w:val="24"/>
        </w:rPr>
      </w:pPr>
    </w:p>
    <w:p>
      <w:pPr>
        <w:widowControl w:val="0"/>
        <w:spacing w:line="360" w:lineRule="auto"/>
        <w:textAlignment w:val="center"/>
        <w:rPr>
          <w:rFonts w:cs="Times New Roman"/>
          <w:b/>
          <w:sz w:val="24"/>
          <w:szCs w:val="24"/>
        </w:rPr>
      </w:pPr>
      <w:r>
        <w:rPr>
          <w:rFonts w:cs="Times New Roman"/>
          <w:b/>
          <w:sz w:val="24"/>
          <w:szCs w:val="24"/>
        </w:rPr>
        <w:drawing>
          <wp:inline distT="0" distB="0" distL="0" distR="0">
            <wp:extent cx="4311015" cy="1940560"/>
            <wp:effectExtent l="19050" t="0" r="0" b="0"/>
            <wp:docPr id="7" name="图片 3" descr="IMG_0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0624"/>
                    <pic:cNvPicPr>
                      <a:picLocks noChangeAspect="1" noChangeArrowheads="1"/>
                    </pic:cNvPicPr>
                  </pic:nvPicPr>
                  <pic:blipFill>
                    <a:blip xmlns:r="http://schemas.openxmlformats.org/officeDocument/2006/relationships" r:embed="rId21"/>
                    <a:stretch>
                      <a:fillRect/>
                    </a:stretch>
                  </pic:blipFill>
                  <pic:spPr>
                    <a:xfrm>
                      <a:off x="0" y="0"/>
                      <a:ext cx="4311410" cy="1940943"/>
                    </a:xfrm>
                    <a:prstGeom prst="rect">
                      <a:avLst/>
                    </a:prstGeom>
                    <a:noFill/>
                    <a:ln w="9525">
                      <a:noFill/>
                      <a:miter lim="800000"/>
                      <a:headEnd/>
                      <a:tailEnd/>
                    </a:ln>
                  </pic:spPr>
                </pic:pic>
              </a:graphicData>
            </a:graphic>
          </wp:inline>
        </w:drawing>
      </w:r>
    </w:p>
    <w:p>
      <w:pPr>
        <w:widowControl w:val="0"/>
        <w:spacing w:line="360" w:lineRule="auto"/>
        <w:textAlignment w:val="center"/>
        <w:rPr>
          <w:rFonts w:cs="Times New Roman"/>
          <w:b/>
          <w:sz w:val="24"/>
          <w:szCs w:val="24"/>
        </w:rPr>
        <w:sectPr>
          <w:headerReference w:type="default" r:id="rId22"/>
          <w:footerReference w:type="default" r:id="rId23"/>
          <w:type w:val="nextPage"/>
          <w:pgSz w:w="11906" w:h="16838"/>
          <w:pgMar w:top="1440" w:right="1800" w:bottom="1440" w:left="1800" w:header="851" w:footer="992" w:gutter="0"/>
          <w:pgNumType w:start="6"/>
          <w:cols w:num="1" w:space="425"/>
          <w:titlePg w:val="0"/>
          <w:docGrid w:type="lines" w:linePitch="312" w:charSpace="0"/>
        </w:sectPr>
      </w:pPr>
      <w:r>
        <w:rPr>
          <w:rFonts w:cs="Times New Roman"/>
          <w:b/>
          <w:sz w:val="24"/>
          <w:szCs w:val="24"/>
        </w:rPr>
        <w:t>照片</w:t>
      </w:r>
      <w:r>
        <w:rPr>
          <w:rFonts w:cs="Times New Roman" w:hint="eastAsia"/>
          <w:b/>
          <w:sz w:val="24"/>
          <w:szCs w:val="24"/>
        </w:rPr>
        <w:t>2</w:t>
      </w:r>
      <w:r>
        <w:rPr>
          <w:rFonts w:cs="Times New Roman"/>
          <w:b/>
          <w:sz w:val="24"/>
          <w:szCs w:val="24"/>
        </w:rPr>
        <w:t>-</w:t>
      </w:r>
      <w:r>
        <w:rPr>
          <w:rFonts w:cs="Times New Roman" w:hint="eastAsia"/>
          <w:b/>
          <w:sz w:val="24"/>
          <w:szCs w:val="24"/>
        </w:rPr>
        <w:t>3</w:t>
      </w:r>
      <w:r>
        <w:rPr>
          <w:rFonts w:cs="Times New Roman"/>
          <w:b/>
          <w:sz w:val="24"/>
          <w:szCs w:val="24"/>
        </w:rPr>
        <w:t xml:space="preserve">   原露天采场南侧边坡治理效果</w:t>
      </w:r>
    </w:p>
    <w:p>
      <w:pPr>
        <w:widowControl w:val="0"/>
        <w:spacing w:line="360" w:lineRule="auto"/>
        <w:textAlignment w:val="center"/>
        <w:rPr>
          <w:rFonts w:cs="Times New Roman"/>
          <w:b/>
          <w:sz w:val="24"/>
          <w:szCs w:val="24"/>
        </w:rPr>
      </w:pPr>
      <w:r>
        <w:rPr>
          <w:rFonts w:cs="Times New Roman"/>
          <w:b/>
          <w:sz w:val="24"/>
          <w:szCs w:val="24"/>
        </w:rPr>
        <w:drawing>
          <wp:inline distT="0" distB="0" distL="0" distR="0">
            <wp:extent cx="4312920" cy="1691005"/>
            <wp:effectExtent l="19050" t="0" r="0" b="0"/>
            <wp:docPr id="6" name="图片 4" descr="IMG_0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0615"/>
                    <pic:cNvPicPr>
                      <a:picLocks noChangeAspect="1" noChangeArrowheads="1"/>
                    </pic:cNvPicPr>
                  </pic:nvPicPr>
                  <pic:blipFill>
                    <a:blip xmlns:r="http://schemas.openxmlformats.org/officeDocument/2006/relationships" r:embed="rId24"/>
                    <a:stretch>
                      <a:fillRect/>
                    </a:stretch>
                  </pic:blipFill>
                  <pic:spPr>
                    <a:xfrm>
                      <a:off x="0" y="0"/>
                      <a:ext cx="4312920" cy="1691005"/>
                    </a:xfrm>
                    <a:prstGeom prst="rect">
                      <a:avLst/>
                    </a:prstGeom>
                    <a:noFill/>
                    <a:ln w="9525">
                      <a:noFill/>
                      <a:miter lim="800000"/>
                      <a:headEnd/>
                      <a:tailEnd/>
                    </a:ln>
                  </pic:spPr>
                </pic:pic>
              </a:graphicData>
            </a:graphic>
          </wp:inline>
        </w:drawing>
      </w:r>
    </w:p>
    <w:p>
      <w:pPr>
        <w:spacing w:line="360" w:lineRule="auto"/>
        <w:ind w:firstLine="480" w:firstLineChars="200"/>
        <w:rPr>
          <w:rFonts w:cs="Times New Roman"/>
          <w:b/>
          <w:sz w:val="24"/>
          <w:szCs w:val="24"/>
        </w:rPr>
      </w:pPr>
      <w:r>
        <w:rPr>
          <w:rFonts w:cs="Times New Roman"/>
          <w:b/>
          <w:sz w:val="24"/>
          <w:szCs w:val="24"/>
        </w:rPr>
        <w:t>照片</w:t>
      </w:r>
      <w:r>
        <w:rPr>
          <w:rFonts w:cs="Times New Roman" w:hint="eastAsia"/>
          <w:b/>
          <w:sz w:val="24"/>
          <w:szCs w:val="24"/>
        </w:rPr>
        <w:t>2</w:t>
      </w:r>
      <w:r>
        <w:rPr>
          <w:rFonts w:cs="Times New Roman"/>
          <w:b/>
          <w:sz w:val="24"/>
          <w:szCs w:val="24"/>
        </w:rPr>
        <w:t>-</w:t>
      </w:r>
      <w:r>
        <w:rPr>
          <w:rFonts w:cs="Times New Roman" w:hint="eastAsia"/>
          <w:b/>
          <w:sz w:val="24"/>
          <w:szCs w:val="24"/>
        </w:rPr>
        <w:t>4</w:t>
      </w:r>
      <w:r>
        <w:rPr>
          <w:rFonts w:cs="Times New Roman"/>
          <w:b/>
          <w:sz w:val="24"/>
          <w:szCs w:val="24"/>
        </w:rPr>
        <w:t xml:space="preserve">   临时取土场治理效果</w:t>
      </w:r>
    </w:p>
    <w:p>
      <w:pPr>
        <w:spacing w:line="360" w:lineRule="auto"/>
        <w:ind w:firstLine="480" w:firstLineChars="200"/>
        <w:jc w:val="both"/>
        <w:rPr>
          <w:sz w:val="24"/>
          <w:szCs w:val="24"/>
        </w:rPr>
      </w:pPr>
      <w:r>
        <w:rPr>
          <w:rFonts w:eastAsia="宋体" w:cs="Times New Roman" w:hint="eastAsia"/>
          <w:sz w:val="24"/>
          <w:szCs w:val="24"/>
        </w:rPr>
        <w:t>（三）</w:t>
      </w:r>
      <w:r>
        <w:rPr>
          <w:rFonts w:hint="eastAsia"/>
          <w:sz w:val="24"/>
          <w:szCs w:val="24"/>
        </w:rPr>
        <w:t>2021年度治理计划</w:t>
      </w:r>
      <w:r>
        <w:rPr>
          <w:sz w:val="24"/>
          <w:szCs w:val="24"/>
        </w:rPr>
        <w:t>实施情况</w:t>
      </w:r>
    </w:p>
    <w:p>
      <w:pPr>
        <w:spacing w:line="360" w:lineRule="auto"/>
        <w:ind w:firstLine="480" w:firstLineChars="200"/>
        <w:jc w:val="both"/>
        <w:rPr>
          <w:rFonts w:cs="Times New Roman"/>
          <w:sz w:val="24"/>
          <w:szCs w:val="24"/>
        </w:rPr>
      </w:pPr>
      <w:r>
        <w:rPr>
          <w:rFonts w:cs="Times New Roman"/>
          <w:sz w:val="24"/>
          <w:szCs w:val="24"/>
        </w:rPr>
        <w:t>1、设计治理内容</w:t>
      </w:r>
    </w:p>
    <w:p>
      <w:pPr>
        <w:spacing w:line="360" w:lineRule="auto"/>
        <w:ind w:firstLine="480" w:firstLineChars="200"/>
        <w:jc w:val="both"/>
        <w:rPr>
          <w:rFonts w:eastAsia="宋体" w:cs="Times New Roman"/>
          <w:color w:val="000000" w:themeColor="text1"/>
          <w:sz w:val="24"/>
          <w:szCs w:val="24"/>
        </w:rPr>
      </w:pPr>
      <w:r>
        <w:rPr>
          <w:rFonts w:eastAsia="宋体" w:cs="Times New Roman"/>
          <w:color w:val="000000" w:themeColor="text1"/>
          <w:sz w:val="24"/>
          <w:szCs w:val="24"/>
        </w:rPr>
        <w:t>本年度矿山地质环境治理工程对象为</w:t>
      </w:r>
      <w:r>
        <w:rPr>
          <w:sz w:val="24"/>
          <w:szCs w:val="24"/>
        </w:rPr>
        <w:t>原露天采场、原4#排渣场、原5#排渣场，对场地内植被进行补种</w:t>
      </w:r>
      <w:r>
        <w:rPr>
          <w:rFonts w:eastAsia="宋体" w:cs="Times New Roman"/>
          <w:color w:val="000000" w:themeColor="text1"/>
          <w:sz w:val="24"/>
          <w:szCs w:val="24"/>
        </w:rPr>
        <w:t>。具体治理工程如下：</w:t>
      </w:r>
    </w:p>
    <w:p>
      <w:pPr>
        <w:spacing w:line="360" w:lineRule="auto"/>
        <w:ind w:firstLine="480" w:firstLineChars="200"/>
        <w:jc w:val="both"/>
        <w:rPr>
          <w:rFonts w:eastAsia="宋体" w:cs="Times New Roman"/>
          <w:color w:val="000000" w:themeColor="text1"/>
          <w:sz w:val="24"/>
          <w:szCs w:val="24"/>
        </w:rPr>
      </w:pPr>
      <w:r>
        <w:rPr>
          <w:rFonts w:hint="eastAsia"/>
          <w:sz w:val="24"/>
          <w:szCs w:val="24"/>
        </w:rPr>
        <w:t>1、</w:t>
      </w:r>
      <w:r>
        <w:rPr>
          <w:sz w:val="24"/>
          <w:szCs w:val="24"/>
        </w:rPr>
        <w:t>原露天采场</w:t>
      </w:r>
    </w:p>
    <w:p>
      <w:pPr>
        <w:spacing w:line="360" w:lineRule="auto"/>
        <w:ind w:firstLine="480" w:firstLineChars="200"/>
        <w:jc w:val="both"/>
        <w:rPr>
          <w:rFonts w:eastAsia="宋体" w:cs="Times New Roman"/>
          <w:color w:val="000000" w:themeColor="text1"/>
          <w:sz w:val="24"/>
          <w:szCs w:val="24"/>
        </w:rPr>
      </w:pPr>
      <w:r>
        <w:rPr>
          <w:rFonts w:eastAsia="宋体" w:cs="Times New Roman" w:hint="eastAsia"/>
          <w:color w:val="000000" w:themeColor="text1"/>
          <w:sz w:val="24"/>
          <w:szCs w:val="24"/>
        </w:rPr>
        <w:t>（1）</w:t>
      </w:r>
      <w:r>
        <w:rPr>
          <w:rFonts w:eastAsia="宋体" w:cs="Times New Roman"/>
          <w:color w:val="000000" w:themeColor="text1"/>
          <w:sz w:val="24"/>
          <w:szCs w:val="24"/>
        </w:rPr>
        <w:t>补种植被</w:t>
      </w:r>
    </w:p>
    <w:p>
      <w:pPr>
        <w:spacing w:line="360" w:lineRule="auto"/>
        <w:ind w:firstLine="480" w:firstLineChars="200"/>
        <w:jc w:val="both"/>
        <w:rPr>
          <w:rFonts w:eastAsia="宋体" w:cs="Times New Roman"/>
          <w:color w:val="000000" w:themeColor="text1"/>
          <w:sz w:val="24"/>
          <w:szCs w:val="24"/>
        </w:rPr>
      </w:pPr>
      <w:r>
        <w:rPr>
          <w:sz w:val="24"/>
          <w:szCs w:val="24"/>
        </w:rPr>
        <w:t>原露天采场</w:t>
      </w:r>
      <w:r>
        <w:rPr>
          <w:rFonts w:hint="eastAsia"/>
          <w:sz w:val="24"/>
          <w:szCs w:val="24"/>
        </w:rPr>
        <w:t>占地面积1857m</w:t>
      </w:r>
      <w:r>
        <w:rPr>
          <w:rFonts w:hint="eastAsia"/>
          <w:sz w:val="24"/>
          <w:szCs w:val="24"/>
          <w:vertAlign w:val="superscript"/>
        </w:rPr>
        <w:t>2</w:t>
      </w:r>
      <w:r>
        <w:rPr>
          <w:rFonts w:hint="eastAsia"/>
          <w:sz w:val="24"/>
          <w:szCs w:val="24"/>
        </w:rPr>
        <w:t>，</w:t>
      </w:r>
      <w:r>
        <w:rPr>
          <w:bCs/>
          <w:sz w:val="24"/>
          <w:szCs w:val="20"/>
        </w:rPr>
        <w:t>该单元复垦方向为林地，树种选择油松（备选杨树），带土球坑栽，每坑1株，株距2m×2m，</w:t>
      </w:r>
      <w:r>
        <w:rPr>
          <w:rFonts w:hint="eastAsia"/>
          <w:bCs/>
          <w:sz w:val="24"/>
          <w:szCs w:val="20"/>
        </w:rPr>
        <w:t>补种70%，</w:t>
      </w:r>
      <w:r>
        <w:rPr>
          <w:bCs/>
          <w:sz w:val="24"/>
          <w:szCs w:val="20"/>
        </w:rPr>
        <w:t>种植松树</w:t>
      </w:r>
      <w:r>
        <w:rPr>
          <w:rFonts w:hint="eastAsia"/>
          <w:bCs/>
          <w:sz w:val="24"/>
          <w:szCs w:val="20"/>
        </w:rPr>
        <w:t>325</w:t>
      </w:r>
      <w:r>
        <w:rPr>
          <w:bCs/>
          <w:sz w:val="24"/>
          <w:szCs w:val="20"/>
        </w:rPr>
        <w:t>株。</w:t>
      </w:r>
    </w:p>
    <w:p>
      <w:pPr>
        <w:spacing w:line="360" w:lineRule="auto"/>
        <w:ind w:firstLine="480" w:firstLineChars="200"/>
        <w:jc w:val="both"/>
        <w:rPr>
          <w:sz w:val="24"/>
          <w:szCs w:val="24"/>
        </w:rPr>
      </w:pPr>
      <w:r>
        <w:rPr>
          <w:rFonts w:hint="eastAsia"/>
          <w:sz w:val="24"/>
          <w:szCs w:val="24"/>
        </w:rPr>
        <w:t>2、</w:t>
      </w:r>
      <w:r>
        <w:rPr>
          <w:sz w:val="24"/>
          <w:szCs w:val="24"/>
        </w:rPr>
        <w:t>原4#排渣场</w:t>
      </w:r>
    </w:p>
    <w:p>
      <w:pPr>
        <w:spacing w:line="360" w:lineRule="auto"/>
        <w:ind w:firstLine="480" w:firstLineChars="200"/>
        <w:jc w:val="both"/>
        <w:rPr>
          <w:rFonts w:eastAsia="宋体" w:cs="Times New Roman"/>
          <w:color w:val="000000" w:themeColor="text1"/>
          <w:sz w:val="24"/>
          <w:szCs w:val="24"/>
        </w:rPr>
      </w:pPr>
      <w:r>
        <w:rPr>
          <w:rFonts w:eastAsia="宋体" w:cs="Times New Roman" w:hint="eastAsia"/>
          <w:color w:val="000000" w:themeColor="text1"/>
          <w:sz w:val="24"/>
          <w:szCs w:val="24"/>
        </w:rPr>
        <w:t>（1）</w:t>
      </w:r>
      <w:r>
        <w:rPr>
          <w:rFonts w:eastAsia="宋体" w:cs="Times New Roman"/>
          <w:color w:val="000000" w:themeColor="text1"/>
          <w:sz w:val="24"/>
          <w:szCs w:val="24"/>
        </w:rPr>
        <w:t>补种植被</w:t>
      </w:r>
    </w:p>
    <w:p>
      <w:pPr>
        <w:spacing w:line="360" w:lineRule="auto"/>
        <w:ind w:firstLine="480" w:firstLineChars="200"/>
        <w:jc w:val="both"/>
        <w:rPr>
          <w:sz w:val="24"/>
          <w:szCs w:val="24"/>
        </w:rPr>
      </w:pPr>
      <w:r>
        <w:rPr>
          <w:sz w:val="24"/>
          <w:szCs w:val="24"/>
        </w:rPr>
        <w:t>原4#排渣场</w:t>
      </w:r>
      <w:r>
        <w:rPr>
          <w:rFonts w:hint="eastAsia"/>
          <w:sz w:val="24"/>
          <w:szCs w:val="24"/>
        </w:rPr>
        <w:t>占地面积681m</w:t>
      </w:r>
      <w:r>
        <w:rPr>
          <w:rFonts w:hint="eastAsia"/>
          <w:sz w:val="24"/>
          <w:szCs w:val="24"/>
          <w:vertAlign w:val="superscript"/>
        </w:rPr>
        <w:t>2</w:t>
      </w:r>
      <w:r>
        <w:rPr>
          <w:rFonts w:hint="eastAsia"/>
          <w:sz w:val="24"/>
          <w:szCs w:val="24"/>
        </w:rPr>
        <w:t>，</w:t>
      </w:r>
      <w:r>
        <w:rPr>
          <w:bCs/>
          <w:sz w:val="24"/>
          <w:szCs w:val="20"/>
        </w:rPr>
        <w:t>该单元复垦方向为林地，树种选择油松（备选杨树），带土球坑栽，每坑1株，株距2m×2m，</w:t>
      </w:r>
      <w:r>
        <w:rPr>
          <w:rFonts w:hint="eastAsia"/>
          <w:bCs/>
          <w:sz w:val="24"/>
          <w:szCs w:val="20"/>
        </w:rPr>
        <w:t>补种70%，</w:t>
      </w:r>
      <w:r>
        <w:rPr>
          <w:bCs/>
          <w:sz w:val="24"/>
          <w:szCs w:val="20"/>
        </w:rPr>
        <w:t>种植松树</w:t>
      </w:r>
      <w:r>
        <w:rPr>
          <w:rFonts w:hint="eastAsia"/>
          <w:bCs/>
          <w:sz w:val="24"/>
          <w:szCs w:val="20"/>
        </w:rPr>
        <w:t>119</w:t>
      </w:r>
      <w:r>
        <w:rPr>
          <w:bCs/>
          <w:sz w:val="24"/>
          <w:szCs w:val="20"/>
        </w:rPr>
        <w:t>株。</w:t>
      </w:r>
    </w:p>
    <w:p>
      <w:pPr>
        <w:spacing w:line="360" w:lineRule="auto"/>
        <w:ind w:firstLine="480" w:firstLineChars="200"/>
        <w:jc w:val="both"/>
        <w:rPr>
          <w:sz w:val="24"/>
          <w:szCs w:val="24"/>
        </w:rPr>
      </w:pPr>
      <w:r>
        <w:rPr>
          <w:rFonts w:hint="eastAsia"/>
          <w:sz w:val="24"/>
          <w:szCs w:val="24"/>
        </w:rPr>
        <w:t>3、</w:t>
      </w:r>
      <w:r>
        <w:rPr>
          <w:sz w:val="24"/>
          <w:szCs w:val="24"/>
        </w:rPr>
        <w:t>原5#排渣场</w:t>
      </w:r>
    </w:p>
    <w:p>
      <w:pPr>
        <w:spacing w:line="360" w:lineRule="auto"/>
        <w:ind w:firstLine="480" w:firstLineChars="200"/>
        <w:jc w:val="both"/>
        <w:rPr>
          <w:rFonts w:eastAsia="宋体" w:cs="Times New Roman"/>
          <w:color w:val="000000" w:themeColor="text1"/>
          <w:sz w:val="24"/>
          <w:szCs w:val="24"/>
        </w:rPr>
      </w:pPr>
      <w:r>
        <w:rPr>
          <w:rFonts w:eastAsia="宋体" w:cs="Times New Roman" w:hint="eastAsia"/>
          <w:color w:val="000000" w:themeColor="text1"/>
          <w:sz w:val="24"/>
          <w:szCs w:val="24"/>
        </w:rPr>
        <w:t>（1）</w:t>
      </w:r>
      <w:r>
        <w:rPr>
          <w:rFonts w:eastAsia="宋体" w:cs="Times New Roman"/>
          <w:color w:val="000000" w:themeColor="text1"/>
          <w:sz w:val="24"/>
          <w:szCs w:val="24"/>
        </w:rPr>
        <w:t>补种植被</w:t>
      </w:r>
    </w:p>
    <w:p>
      <w:pPr>
        <w:spacing w:line="360" w:lineRule="auto"/>
        <w:ind w:firstLine="480" w:firstLineChars="200"/>
        <w:jc w:val="both"/>
        <w:rPr>
          <w:rFonts w:cs="Times New Roman"/>
          <w:sz w:val="24"/>
          <w:szCs w:val="24"/>
        </w:rPr>
      </w:pPr>
      <w:r>
        <w:rPr>
          <w:sz w:val="24"/>
          <w:szCs w:val="24"/>
        </w:rPr>
        <w:t>原5#排渣场</w:t>
      </w:r>
      <w:r>
        <w:rPr>
          <w:rFonts w:hint="eastAsia"/>
          <w:sz w:val="24"/>
          <w:szCs w:val="24"/>
        </w:rPr>
        <w:t>占地面积1701m</w:t>
      </w:r>
      <w:r>
        <w:rPr>
          <w:rFonts w:hint="eastAsia"/>
          <w:sz w:val="24"/>
          <w:szCs w:val="24"/>
          <w:vertAlign w:val="superscript"/>
        </w:rPr>
        <w:t>2</w:t>
      </w:r>
      <w:r>
        <w:rPr>
          <w:rFonts w:hint="eastAsia"/>
          <w:sz w:val="24"/>
          <w:szCs w:val="24"/>
        </w:rPr>
        <w:t>，</w:t>
      </w:r>
      <w:r>
        <w:rPr>
          <w:bCs/>
          <w:sz w:val="24"/>
          <w:szCs w:val="20"/>
        </w:rPr>
        <w:t>该单元复垦方向为林地，树种选择油松（备选杨树），带土球坑栽，每坑1株，株距2m×2m，</w:t>
      </w:r>
      <w:r>
        <w:rPr>
          <w:rFonts w:hint="eastAsia"/>
          <w:bCs/>
          <w:sz w:val="24"/>
          <w:szCs w:val="20"/>
        </w:rPr>
        <w:t>补种70%，</w:t>
      </w:r>
      <w:r>
        <w:rPr>
          <w:bCs/>
          <w:sz w:val="24"/>
          <w:szCs w:val="20"/>
        </w:rPr>
        <w:t>种植松树</w:t>
      </w:r>
      <w:r>
        <w:rPr>
          <w:rFonts w:hint="eastAsia"/>
          <w:bCs/>
          <w:sz w:val="24"/>
          <w:szCs w:val="20"/>
        </w:rPr>
        <w:t>298</w:t>
      </w:r>
      <w:r>
        <w:rPr>
          <w:bCs/>
          <w:sz w:val="24"/>
          <w:szCs w:val="20"/>
        </w:rPr>
        <w:t>株。</w:t>
      </w:r>
    </w:p>
    <w:p>
      <w:pPr>
        <w:spacing w:line="360" w:lineRule="auto"/>
        <w:ind w:firstLine="480" w:firstLineChars="200"/>
        <w:jc w:val="both"/>
        <w:rPr>
          <w:rFonts w:cs="Times New Roman"/>
          <w:sz w:val="24"/>
          <w:szCs w:val="24"/>
        </w:rPr>
      </w:pPr>
      <w:r>
        <w:rPr>
          <w:rFonts w:cs="Times New Roman" w:hint="eastAsia"/>
          <w:sz w:val="24"/>
          <w:szCs w:val="24"/>
        </w:rPr>
        <w:t>2、实施情况</w:t>
      </w:r>
    </w:p>
    <w:p>
      <w:pPr>
        <w:spacing w:line="360" w:lineRule="auto"/>
        <w:ind w:firstLine="480" w:firstLineChars="200"/>
        <w:jc w:val="both"/>
        <w:rPr>
          <w:rFonts w:cs="Times New Roman"/>
          <w:sz w:val="24"/>
          <w:szCs w:val="24"/>
        </w:rPr>
        <w:sectPr>
          <w:headerReference w:type="default" r:id="rId25"/>
          <w:footerReference w:type="default" r:id="rId26"/>
          <w:type w:val="nextPage"/>
          <w:pgSz w:w="11906" w:h="16838"/>
          <w:pgMar w:top="1440" w:right="1800" w:bottom="1440" w:left="1800" w:header="851" w:footer="992" w:gutter="0"/>
          <w:pgNumType w:start="7"/>
          <w:cols w:num="1" w:space="425"/>
          <w:titlePg w:val="0"/>
          <w:docGrid w:type="lines" w:linePitch="312" w:charSpace="0"/>
        </w:sectPr>
      </w:pPr>
      <w:r>
        <w:rPr>
          <w:rFonts w:cs="Times New Roman"/>
          <w:sz w:val="24"/>
          <w:szCs w:val="24"/>
        </w:rPr>
        <w:t>经实地查看矿山地质环境现状，矿山已完成</w:t>
      </w:r>
      <w:r>
        <w:rPr>
          <w:rFonts w:cs="Times New Roman" w:hint="eastAsia"/>
          <w:sz w:val="24"/>
          <w:szCs w:val="24"/>
        </w:rPr>
        <w:t>2021年度治理计划</w:t>
      </w:r>
      <w:r>
        <w:rPr>
          <w:rFonts w:cs="Times New Roman"/>
          <w:sz w:val="24"/>
          <w:szCs w:val="24"/>
        </w:rPr>
        <w:t>设计的治理工作，治理费用</w:t>
      </w:r>
      <w:r>
        <w:rPr>
          <w:rFonts w:cs="Times New Roman" w:hint="eastAsia"/>
          <w:sz w:val="24"/>
          <w:szCs w:val="24"/>
        </w:rPr>
        <w:t>1.22</w:t>
      </w:r>
      <w:r>
        <w:rPr>
          <w:rFonts w:cs="Times New Roman"/>
          <w:sz w:val="24"/>
          <w:szCs w:val="24"/>
        </w:rPr>
        <w:t>万元，治理资金全部由矿山企业自行筹措。见照片</w:t>
      </w:r>
      <w:r>
        <w:rPr>
          <w:rFonts w:cs="Times New Roman" w:hint="eastAsia"/>
          <w:sz w:val="24"/>
          <w:szCs w:val="24"/>
        </w:rPr>
        <w:t>2-5、2-6、2-7。</w:t>
      </w:r>
    </w:p>
    <w:p>
      <w:pPr>
        <w:spacing w:line="360" w:lineRule="auto"/>
        <w:rPr>
          <w:rFonts w:cs="Times New Roman"/>
          <w:b/>
          <w:sz w:val="24"/>
          <w:szCs w:val="24"/>
        </w:rPr>
      </w:pPr>
      <w:r>
        <w:rPr>
          <w:rFonts w:cs="Times New Roman" w:hint="eastAsia"/>
          <w:b/>
          <w:sz w:val="24"/>
          <w:szCs w:val="24"/>
        </w:rPr>
        <w:drawing>
          <wp:inline distT="0" distB="0" distL="0" distR="0">
            <wp:extent cx="4326255" cy="2638425"/>
            <wp:effectExtent l="19050" t="0" r="0" b="0"/>
            <wp:docPr id="2" name="图片 1" descr="IMG_2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725.JPG"/>
                    <pic:cNvPicPr>
                      <a:picLocks noChangeAspect="1"/>
                    </pic:cNvPicPr>
                  </pic:nvPicPr>
                  <pic:blipFill>
                    <a:blip xmlns:r="http://schemas.openxmlformats.org/officeDocument/2006/relationships" r:embed="rId27"/>
                    <a:srcRect t="18572"/>
                    <a:stretch>
                      <a:fillRect/>
                    </a:stretch>
                  </pic:blipFill>
                  <pic:spPr>
                    <a:xfrm>
                      <a:off x="0" y="0"/>
                      <a:ext cx="4326609" cy="2639027"/>
                    </a:xfrm>
                    <a:prstGeom prst="rect">
                      <a:avLst/>
                    </a:prstGeom>
                  </pic:spPr>
                </pic:pic>
              </a:graphicData>
            </a:graphic>
          </wp:inline>
        </w:drawing>
      </w:r>
    </w:p>
    <w:p>
      <w:pPr>
        <w:spacing w:line="360" w:lineRule="auto"/>
        <w:rPr>
          <w:rFonts w:cs="Times New Roman"/>
          <w:b/>
          <w:sz w:val="24"/>
          <w:szCs w:val="24"/>
        </w:rPr>
      </w:pPr>
      <w:r>
        <w:rPr>
          <w:rFonts w:cs="Times New Roman"/>
          <w:b/>
          <w:sz w:val="24"/>
          <w:szCs w:val="24"/>
        </w:rPr>
        <w:t>照片</w:t>
      </w:r>
      <w:r>
        <w:rPr>
          <w:rFonts w:cs="Times New Roman" w:hint="eastAsia"/>
          <w:b/>
          <w:sz w:val="24"/>
          <w:szCs w:val="24"/>
        </w:rPr>
        <w:t xml:space="preserve">2-5  </w:t>
      </w:r>
      <w:r>
        <w:rPr>
          <w:b/>
          <w:sz w:val="24"/>
          <w:szCs w:val="24"/>
        </w:rPr>
        <w:t>原4#排渣场治理效果</w:t>
      </w:r>
    </w:p>
    <w:p>
      <w:pPr>
        <w:spacing w:line="360" w:lineRule="auto"/>
        <w:rPr>
          <w:rFonts w:cs="Times New Roman"/>
          <w:b/>
          <w:sz w:val="24"/>
          <w:szCs w:val="24"/>
        </w:rPr>
      </w:pPr>
      <w:r>
        <w:rPr>
          <w:rFonts w:cs="Times New Roman" w:hint="eastAsia"/>
          <w:b/>
          <w:sz w:val="24"/>
          <w:szCs w:val="24"/>
        </w:rPr>
        <w:drawing>
          <wp:inline distT="0" distB="0" distL="0" distR="0">
            <wp:extent cx="4323080" cy="2916555"/>
            <wp:effectExtent l="19050" t="0" r="916" b="0"/>
            <wp:docPr id="3" name="图片 2" descr="IMG_2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727.JPG"/>
                    <pic:cNvPicPr>
                      <a:picLocks noChangeAspect="1"/>
                    </pic:cNvPicPr>
                  </pic:nvPicPr>
                  <pic:blipFill>
                    <a:blip xmlns:r="http://schemas.openxmlformats.org/officeDocument/2006/relationships" r:embed="rId28"/>
                    <a:srcRect t="10000"/>
                    <a:stretch>
                      <a:fillRect/>
                    </a:stretch>
                  </pic:blipFill>
                  <pic:spPr>
                    <a:xfrm>
                      <a:off x="0" y="0"/>
                      <a:ext cx="4323434" cy="2916820"/>
                    </a:xfrm>
                    <a:prstGeom prst="rect">
                      <a:avLst/>
                    </a:prstGeom>
                  </pic:spPr>
                </pic:pic>
              </a:graphicData>
            </a:graphic>
          </wp:inline>
        </w:drawing>
      </w:r>
    </w:p>
    <w:p>
      <w:pPr>
        <w:spacing w:line="360" w:lineRule="auto"/>
        <w:rPr>
          <w:b/>
          <w:sz w:val="24"/>
          <w:szCs w:val="24"/>
        </w:rPr>
        <w:sectPr>
          <w:headerReference w:type="default" r:id="rId29"/>
          <w:footerReference w:type="default" r:id="rId30"/>
          <w:type w:val="nextPage"/>
          <w:pgSz w:w="11906" w:h="16838"/>
          <w:pgMar w:top="1440" w:right="1800" w:bottom="1440" w:left="1800" w:header="851" w:footer="992" w:gutter="0"/>
          <w:pgNumType w:start="8"/>
          <w:cols w:num="1" w:space="425"/>
          <w:titlePg w:val="0"/>
          <w:docGrid w:type="lines" w:linePitch="312" w:charSpace="0"/>
        </w:sectPr>
      </w:pPr>
      <w:r>
        <w:rPr>
          <w:rFonts w:cs="Times New Roman"/>
          <w:b/>
          <w:sz w:val="24"/>
          <w:szCs w:val="24"/>
        </w:rPr>
        <w:t>照片</w:t>
      </w:r>
      <w:r>
        <w:rPr>
          <w:rFonts w:cs="Times New Roman" w:hint="eastAsia"/>
          <w:b/>
          <w:sz w:val="24"/>
          <w:szCs w:val="24"/>
        </w:rPr>
        <w:t xml:space="preserve">2-6  </w:t>
      </w:r>
      <w:r>
        <w:rPr>
          <w:b/>
          <w:sz w:val="24"/>
          <w:szCs w:val="24"/>
        </w:rPr>
        <w:t>原</w:t>
      </w:r>
      <w:r>
        <w:rPr>
          <w:rFonts w:hint="eastAsia"/>
          <w:b/>
          <w:sz w:val="24"/>
          <w:szCs w:val="24"/>
        </w:rPr>
        <w:t>5</w:t>
      </w:r>
      <w:r>
        <w:rPr>
          <w:b/>
          <w:sz w:val="24"/>
          <w:szCs w:val="24"/>
        </w:rPr>
        <w:t>#排渣场治理效果</w:t>
      </w:r>
    </w:p>
    <w:p>
      <w:pPr>
        <w:spacing w:line="360" w:lineRule="auto"/>
        <w:rPr>
          <w:rFonts w:cs="Times New Roman"/>
          <w:b/>
          <w:sz w:val="24"/>
          <w:szCs w:val="24"/>
        </w:rPr>
      </w:pPr>
      <w:r>
        <w:rPr>
          <w:rFonts w:cs="Times New Roman" w:hint="eastAsia"/>
          <w:b/>
          <w:sz w:val="24"/>
          <w:szCs w:val="24"/>
        </w:rPr>
        <w:drawing>
          <wp:inline distT="0" distB="0" distL="0" distR="0">
            <wp:extent cx="4319905" cy="3242310"/>
            <wp:effectExtent l="19050" t="0" r="4350" b="0"/>
            <wp:docPr id="29" name="图片 28" descr="IMG_2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descr="IMG_2728.JPG"/>
                    <pic:cNvPicPr>
                      <a:picLocks noChangeAspect="1"/>
                    </pic:cNvPicPr>
                  </pic:nvPicPr>
                  <pic:blipFill>
                    <a:blip xmlns:r="http://schemas.openxmlformats.org/officeDocument/2006/relationships" r:embed="rId31"/>
                    <a:stretch>
                      <a:fillRect/>
                    </a:stretch>
                  </pic:blipFill>
                  <pic:spPr>
                    <a:xfrm>
                      <a:off x="0" y="0"/>
                      <a:ext cx="4320000" cy="3242598"/>
                    </a:xfrm>
                    <a:prstGeom prst="rect">
                      <a:avLst/>
                    </a:prstGeom>
                  </pic:spPr>
                </pic:pic>
              </a:graphicData>
            </a:graphic>
          </wp:inline>
        </w:drawing>
      </w:r>
    </w:p>
    <w:p>
      <w:pPr>
        <w:spacing w:line="360" w:lineRule="auto"/>
        <w:rPr>
          <w:rFonts w:cs="Times New Roman"/>
          <w:b/>
          <w:sz w:val="24"/>
          <w:szCs w:val="24"/>
        </w:rPr>
      </w:pPr>
      <w:r>
        <w:rPr>
          <w:rFonts w:cs="Times New Roman"/>
          <w:b/>
          <w:sz w:val="24"/>
          <w:szCs w:val="24"/>
        </w:rPr>
        <w:t>照片</w:t>
      </w:r>
      <w:r>
        <w:rPr>
          <w:rFonts w:cs="Times New Roman" w:hint="eastAsia"/>
          <w:b/>
          <w:sz w:val="24"/>
          <w:szCs w:val="24"/>
        </w:rPr>
        <w:t xml:space="preserve">2-7  </w:t>
      </w:r>
      <w:r>
        <w:rPr>
          <w:b/>
          <w:sz w:val="24"/>
          <w:szCs w:val="24"/>
        </w:rPr>
        <w:t>原</w:t>
      </w:r>
      <w:r>
        <w:rPr>
          <w:rFonts w:hint="eastAsia"/>
          <w:b/>
          <w:sz w:val="24"/>
          <w:szCs w:val="24"/>
        </w:rPr>
        <w:t>露天采场</w:t>
      </w:r>
      <w:r>
        <w:rPr>
          <w:b/>
          <w:sz w:val="24"/>
          <w:szCs w:val="24"/>
        </w:rPr>
        <w:t>治理效果</w:t>
      </w:r>
    </w:p>
    <w:p>
      <w:pPr>
        <w:spacing w:line="360" w:lineRule="auto"/>
        <w:ind w:firstLine="480" w:firstLineChars="200"/>
        <w:jc w:val="both"/>
        <w:rPr>
          <w:sz w:val="24"/>
          <w:szCs w:val="24"/>
        </w:rPr>
      </w:pPr>
      <w:r>
        <w:rPr>
          <w:rFonts w:eastAsia="宋体" w:cs="Times New Roman" w:hint="eastAsia"/>
          <w:sz w:val="24"/>
          <w:szCs w:val="24"/>
        </w:rPr>
        <w:t>（三）</w:t>
      </w:r>
      <w:r>
        <w:rPr>
          <w:rFonts w:hint="eastAsia"/>
          <w:sz w:val="24"/>
          <w:szCs w:val="24"/>
        </w:rPr>
        <w:t>202</w:t>
      </w:r>
      <w:r>
        <w:rPr>
          <w:sz w:val="24"/>
          <w:szCs w:val="24"/>
        </w:rPr>
        <w:t>2</w:t>
      </w:r>
      <w:r>
        <w:rPr>
          <w:rFonts w:hint="eastAsia"/>
          <w:sz w:val="24"/>
          <w:szCs w:val="24"/>
        </w:rPr>
        <w:t>年度治理计划</w:t>
      </w:r>
      <w:r>
        <w:rPr>
          <w:sz w:val="24"/>
          <w:szCs w:val="24"/>
        </w:rPr>
        <w:t>实施情况</w:t>
      </w:r>
    </w:p>
    <w:p>
      <w:pPr>
        <w:spacing w:line="360" w:lineRule="auto"/>
        <w:ind w:firstLine="480" w:firstLineChars="200"/>
        <w:jc w:val="both"/>
        <w:rPr>
          <w:rFonts w:eastAsia="宋体" w:cs="Times New Roman"/>
          <w:color w:val="000000" w:themeColor="text1"/>
          <w:sz w:val="24"/>
          <w:szCs w:val="24"/>
        </w:rPr>
      </w:pPr>
      <w:r>
        <w:rPr>
          <w:rFonts w:eastAsia="宋体" w:cs="Times New Roman" w:hint="eastAsia"/>
          <w:color w:val="000000" w:themeColor="text1"/>
          <w:sz w:val="24"/>
          <w:szCs w:val="24"/>
        </w:rPr>
        <w:t>本年度矿山地质环境治理工程对象为</w:t>
      </w:r>
      <w:r>
        <w:rPr>
          <w:sz w:val="24"/>
          <w:szCs w:val="24"/>
        </w:rPr>
        <w:t>3#</w:t>
      </w:r>
      <w:r>
        <w:rPr>
          <w:rFonts w:hint="eastAsia"/>
          <w:sz w:val="24"/>
          <w:szCs w:val="24"/>
        </w:rPr>
        <w:t>排渣场</w:t>
      </w:r>
      <w:r>
        <w:rPr>
          <w:rFonts w:eastAsia="宋体" w:cs="Times New Roman" w:hint="eastAsia"/>
          <w:color w:val="000000" w:themeColor="text1"/>
          <w:sz w:val="24"/>
          <w:szCs w:val="24"/>
        </w:rPr>
        <w:t>。具体治理工程如下：</w:t>
      </w:r>
    </w:p>
    <w:p>
      <w:pPr>
        <w:spacing w:line="360" w:lineRule="auto"/>
        <w:ind w:firstLine="480" w:firstLineChars="200"/>
        <w:jc w:val="both"/>
        <w:rPr>
          <w:sz w:val="24"/>
          <w:szCs w:val="24"/>
        </w:rPr>
      </w:pPr>
      <w:r>
        <w:rPr>
          <w:sz w:val="24"/>
          <w:szCs w:val="24"/>
        </w:rPr>
        <w:t>1</w:t>
      </w:r>
      <w:r>
        <w:rPr>
          <w:rFonts w:hint="eastAsia"/>
          <w:sz w:val="24"/>
          <w:szCs w:val="24"/>
        </w:rPr>
        <w:t>、</w:t>
      </w:r>
      <w:r>
        <w:rPr>
          <w:sz w:val="24"/>
          <w:szCs w:val="24"/>
        </w:rPr>
        <w:t>3#</w:t>
      </w:r>
      <w:r>
        <w:rPr>
          <w:rFonts w:hint="eastAsia"/>
          <w:sz w:val="24"/>
          <w:szCs w:val="24"/>
        </w:rPr>
        <w:t>排渣场</w:t>
      </w:r>
    </w:p>
    <w:p>
      <w:pPr>
        <w:spacing w:line="360" w:lineRule="auto"/>
        <w:ind w:firstLine="480" w:firstLineChars="200"/>
        <w:jc w:val="both"/>
        <w:rPr>
          <w:rFonts w:eastAsia="宋体" w:cs="Times New Roman"/>
          <w:color w:val="000000" w:themeColor="text1"/>
          <w:sz w:val="24"/>
          <w:szCs w:val="24"/>
        </w:rPr>
      </w:pPr>
      <w:r>
        <w:rPr>
          <w:rFonts w:eastAsia="宋体" w:cs="Times New Roman" w:hint="eastAsia"/>
          <w:color w:val="000000" w:themeColor="text1"/>
          <w:sz w:val="24"/>
          <w:szCs w:val="24"/>
        </w:rPr>
        <w:t>（</w:t>
      </w:r>
      <w:r>
        <w:rPr>
          <w:rFonts w:eastAsia="宋体" w:cs="Times New Roman"/>
          <w:color w:val="000000" w:themeColor="text1"/>
          <w:sz w:val="24"/>
          <w:szCs w:val="24"/>
        </w:rPr>
        <w:t>1</w:t>
      </w:r>
      <w:r>
        <w:rPr>
          <w:rFonts w:eastAsia="宋体" w:cs="Times New Roman" w:hint="eastAsia"/>
          <w:color w:val="000000" w:themeColor="text1"/>
          <w:sz w:val="24"/>
          <w:szCs w:val="24"/>
        </w:rPr>
        <w:t>）清运</w:t>
      </w:r>
    </w:p>
    <w:p>
      <w:pPr>
        <w:spacing w:line="360" w:lineRule="auto"/>
        <w:ind w:firstLine="480" w:firstLineChars="200"/>
        <w:jc w:val="both"/>
        <w:rPr>
          <w:sz w:val="24"/>
          <w:szCs w:val="24"/>
        </w:rPr>
      </w:pPr>
      <w:r>
        <w:rPr>
          <w:sz w:val="24"/>
        </w:rPr>
        <w:t>3#</w:t>
      </w:r>
      <w:r>
        <w:rPr>
          <w:rFonts w:hint="eastAsia"/>
          <w:sz w:val="24"/>
        </w:rPr>
        <w:t>排渣场位于</w:t>
      </w:r>
      <w:r>
        <w:rPr>
          <w:sz w:val="24"/>
        </w:rPr>
        <w:t>3#</w:t>
      </w:r>
      <w:r>
        <w:rPr>
          <w:rFonts w:hint="eastAsia"/>
          <w:sz w:val="24"/>
        </w:rPr>
        <w:t>竖井工业场地东部，</w:t>
      </w:r>
      <w:r>
        <w:rPr>
          <w:rFonts w:hint="eastAsia"/>
          <w:sz w:val="24"/>
          <w:szCs w:val="24"/>
        </w:rPr>
        <w:t>堆方量</w:t>
      </w:r>
      <w:r>
        <w:rPr>
          <w:sz w:val="24"/>
          <w:szCs w:val="24"/>
        </w:rPr>
        <w:t>3421m</w:t>
      </w:r>
      <w:r>
        <w:rPr>
          <w:sz w:val="24"/>
          <w:szCs w:val="24"/>
          <w:vertAlign w:val="superscript"/>
        </w:rPr>
        <w:t>3</w:t>
      </w:r>
      <w:r>
        <w:rPr>
          <w:rFonts w:hint="eastAsia"/>
          <w:sz w:val="24"/>
          <w:szCs w:val="24"/>
        </w:rPr>
        <w:t>。</w:t>
      </w:r>
    </w:p>
    <w:p>
      <w:pPr>
        <w:spacing w:line="360" w:lineRule="auto"/>
        <w:ind w:firstLine="480"/>
        <w:jc w:val="both"/>
        <w:rPr>
          <w:sz w:val="24"/>
          <w:szCs w:val="24"/>
        </w:rPr>
      </w:pPr>
      <w:r>
        <w:rPr>
          <w:rFonts w:hint="eastAsia"/>
          <w:sz w:val="24"/>
          <w:szCs w:val="24"/>
        </w:rPr>
        <w:t>清运方量</w:t>
      </w:r>
      <w:r>
        <w:rPr>
          <w:sz w:val="24"/>
          <w:szCs w:val="24"/>
        </w:rPr>
        <w:t>3421m</w:t>
      </w:r>
      <w:r>
        <w:rPr>
          <w:sz w:val="24"/>
          <w:szCs w:val="24"/>
          <w:vertAlign w:val="superscript"/>
        </w:rPr>
        <w:t>3</w:t>
      </w:r>
      <w:r>
        <w:rPr>
          <w:rFonts w:hint="eastAsia"/>
          <w:sz w:val="24"/>
          <w:szCs w:val="24"/>
        </w:rPr>
        <w:t>。</w:t>
      </w:r>
    </w:p>
    <w:p>
      <w:pPr>
        <w:spacing w:line="360" w:lineRule="auto"/>
        <w:ind w:firstLine="480" w:firstLineChars="200"/>
        <w:jc w:val="both"/>
        <w:rPr>
          <w:bCs/>
          <w:sz w:val="24"/>
        </w:rPr>
      </w:pPr>
      <w:r>
        <w:rPr>
          <w:rFonts w:hint="eastAsia"/>
          <w:bCs/>
          <w:sz w:val="24"/>
        </w:rPr>
        <w:t>（</w:t>
      </w:r>
      <w:r>
        <w:rPr>
          <w:bCs/>
          <w:sz w:val="24"/>
        </w:rPr>
        <w:t>2</w:t>
      </w:r>
      <w:r>
        <w:rPr>
          <w:rFonts w:hint="eastAsia"/>
          <w:bCs/>
          <w:sz w:val="24"/>
        </w:rPr>
        <w:t>）植被恢复</w:t>
      </w:r>
    </w:p>
    <w:p>
      <w:pPr>
        <w:spacing w:line="360" w:lineRule="auto"/>
        <w:ind w:firstLine="480" w:firstLineChars="200"/>
        <w:jc w:val="both"/>
        <w:rPr>
          <w:rFonts w:eastAsia="宋体" w:cs="Times New Roman"/>
          <w:bCs/>
          <w:sz w:val="24"/>
          <w:szCs w:val="20"/>
        </w:rPr>
      </w:pPr>
      <w:r>
        <w:rPr>
          <w:rFonts w:eastAsia="宋体" w:cs="Times New Roman" w:hint="eastAsia"/>
          <w:bCs/>
          <w:sz w:val="24"/>
          <w:szCs w:val="20"/>
        </w:rPr>
        <w:t>该单元复垦方向为草地，草种为针茅、披碱草、羊草、虎尾草、狗尾草等，撒播草量为</w:t>
      </w:r>
      <w:r>
        <w:rPr>
          <w:rFonts w:eastAsia="宋体" w:cs="Times New Roman"/>
          <w:bCs/>
          <w:sz w:val="24"/>
          <w:szCs w:val="20"/>
        </w:rPr>
        <w:t>40kg/hm</w:t>
      </w:r>
      <w:r>
        <w:rPr>
          <w:rFonts w:eastAsia="宋体" w:cs="Times New Roman"/>
          <w:bCs/>
          <w:sz w:val="24"/>
          <w:szCs w:val="20"/>
          <w:vertAlign w:val="superscript"/>
        </w:rPr>
        <w:t>2</w:t>
      </w:r>
      <w:r>
        <w:rPr>
          <w:rFonts w:eastAsia="宋体" w:cs="Times New Roman" w:hint="eastAsia"/>
          <w:bCs/>
          <w:sz w:val="24"/>
          <w:szCs w:val="20"/>
        </w:rPr>
        <w:t>，撒播面积为</w:t>
      </w:r>
      <w:r>
        <w:rPr>
          <w:bCs/>
          <w:sz w:val="24"/>
          <w:szCs w:val="20"/>
        </w:rPr>
        <w:t>1709</w:t>
      </w:r>
      <w:r>
        <w:rPr>
          <w:rFonts w:eastAsia="宋体" w:cs="Times New Roman"/>
          <w:bCs/>
          <w:sz w:val="24"/>
          <w:szCs w:val="20"/>
        </w:rPr>
        <w:t>m</w:t>
      </w:r>
      <w:r>
        <w:rPr>
          <w:rFonts w:eastAsia="宋体" w:cs="Times New Roman"/>
          <w:bCs/>
          <w:sz w:val="24"/>
          <w:szCs w:val="20"/>
          <w:vertAlign w:val="superscript"/>
        </w:rPr>
        <w:t>2</w:t>
      </w:r>
      <w:r>
        <w:rPr>
          <w:rFonts w:eastAsia="宋体" w:cs="Times New Roman" w:hint="eastAsia"/>
          <w:bCs/>
          <w:sz w:val="24"/>
          <w:szCs w:val="20"/>
        </w:rPr>
        <w:t>。</w:t>
      </w:r>
    </w:p>
    <w:p>
      <w:pPr>
        <w:spacing w:line="360" w:lineRule="auto"/>
        <w:ind w:firstLine="480" w:firstLineChars="200"/>
        <w:jc w:val="both"/>
        <w:rPr>
          <w:rFonts w:cs="Times New Roman"/>
          <w:sz w:val="24"/>
          <w:szCs w:val="24"/>
        </w:rPr>
      </w:pPr>
      <w:r>
        <w:rPr>
          <w:rFonts w:cs="Times New Roman" w:hint="eastAsia"/>
          <w:sz w:val="24"/>
          <w:szCs w:val="24"/>
        </w:rPr>
        <w:t>2、实施情况</w:t>
      </w:r>
    </w:p>
    <w:p>
      <w:pPr>
        <w:spacing w:line="360" w:lineRule="auto"/>
        <w:ind w:firstLine="480" w:firstLineChars="200"/>
        <w:jc w:val="both"/>
        <w:rPr>
          <w:rFonts w:eastAsia="宋体" w:cs="Times New Roman"/>
          <w:sz w:val="24"/>
          <w:szCs w:val="24"/>
        </w:rPr>
      </w:pPr>
      <w:r>
        <w:rPr>
          <w:rFonts w:cs="Times New Roman"/>
          <w:sz w:val="24"/>
          <w:szCs w:val="24"/>
        </w:rPr>
        <w:t>经实地查看矿山地质环境现状，矿山已完成</w:t>
      </w:r>
      <w:r>
        <w:rPr>
          <w:rFonts w:cs="Times New Roman" w:hint="eastAsia"/>
          <w:sz w:val="24"/>
          <w:szCs w:val="24"/>
        </w:rPr>
        <w:t>202</w:t>
      </w:r>
      <w:r>
        <w:rPr>
          <w:rFonts w:cs="Times New Roman"/>
          <w:sz w:val="24"/>
          <w:szCs w:val="24"/>
        </w:rPr>
        <w:t>2</w:t>
      </w:r>
      <w:r>
        <w:rPr>
          <w:rFonts w:cs="Times New Roman" w:hint="eastAsia"/>
          <w:sz w:val="24"/>
          <w:szCs w:val="24"/>
        </w:rPr>
        <w:t>年度治理计划</w:t>
      </w:r>
      <w:r>
        <w:rPr>
          <w:rFonts w:cs="Times New Roman"/>
          <w:sz w:val="24"/>
          <w:szCs w:val="24"/>
        </w:rPr>
        <w:t>设计的治理工作，治理费用</w:t>
      </w:r>
      <w:r>
        <w:rPr>
          <w:rFonts w:cs="Times New Roman" w:hint="eastAsia"/>
          <w:sz w:val="24"/>
          <w:szCs w:val="24"/>
        </w:rPr>
        <w:t>1.2</w:t>
      </w:r>
      <w:r>
        <w:rPr>
          <w:rFonts w:cs="Times New Roman"/>
          <w:sz w:val="24"/>
          <w:szCs w:val="24"/>
        </w:rPr>
        <w:t>4万元，治理资金全部由矿山企业自行筹措</w:t>
      </w:r>
      <w:r>
        <w:rPr>
          <w:rFonts w:cs="Times New Roman" w:hint="eastAsia"/>
          <w:sz w:val="24"/>
          <w:szCs w:val="24"/>
        </w:rPr>
        <w:t>。</w:t>
      </w:r>
    </w:p>
    <w:p>
      <w:pPr>
        <w:spacing w:line="360" w:lineRule="auto"/>
        <w:ind w:firstLine="480" w:firstLineChars="200"/>
        <w:jc w:val="both"/>
        <w:rPr>
          <w:rFonts w:eastAsia="宋体" w:cs="Times New Roman"/>
          <w:sz w:val="24"/>
          <w:szCs w:val="24"/>
        </w:rPr>
      </w:pPr>
      <w:r>
        <w:rPr>
          <w:rFonts w:eastAsia="宋体" w:cs="Times New Roman"/>
          <w:sz w:val="24"/>
          <w:szCs w:val="24"/>
        </w:rPr>
        <w:t>（四）</w:t>
      </w:r>
      <w:r>
        <w:rPr>
          <w:rFonts w:eastAsia="宋体" w:cs="Times New Roman" w:hint="eastAsia"/>
          <w:sz w:val="24"/>
          <w:szCs w:val="24"/>
        </w:rPr>
        <w:t>前期</w:t>
      </w:r>
      <w:r>
        <w:rPr>
          <w:rFonts w:eastAsia="宋体" w:cs="Times New Roman"/>
          <w:sz w:val="24"/>
          <w:szCs w:val="24"/>
        </w:rPr>
        <w:t>治理存在问题</w:t>
      </w:r>
    </w:p>
    <w:p>
      <w:pPr>
        <w:spacing w:line="360" w:lineRule="auto"/>
        <w:ind w:firstLine="481"/>
        <w:jc w:val="both"/>
        <w:rPr>
          <w:rFonts w:eastAsia="宋体" w:cs="Times New Roman"/>
          <w:sz w:val="24"/>
          <w:szCs w:val="24"/>
        </w:rPr>
      </w:pPr>
      <w:r>
        <w:rPr>
          <w:rFonts w:eastAsia="宋体" w:cs="Times New Roman"/>
          <w:sz w:val="24"/>
          <w:szCs w:val="24"/>
        </w:rPr>
        <w:t>矿山基本完成了前期治理方案设计的工程内容，工程治理效果基本符合设计要求，治理效果较好，要加强后期对植被的管护工作，保证植被成活率。</w:t>
      </w:r>
    </w:p>
    <w:p>
      <w:pPr>
        <w:spacing w:line="360" w:lineRule="auto"/>
        <w:ind w:firstLine="480" w:firstLineChars="200"/>
        <w:jc w:val="both"/>
        <w:rPr>
          <w:rFonts w:eastAsia="宋体" w:cs="Times New Roman"/>
          <w:sz w:val="24"/>
          <w:szCs w:val="24"/>
        </w:rPr>
        <w:sectPr>
          <w:headerReference w:type="default" r:id="rId32"/>
          <w:footerReference w:type="default" r:id="rId33"/>
          <w:type w:val="nextPage"/>
          <w:pgSz w:w="11906" w:h="16838"/>
          <w:pgMar w:top="1440" w:right="1800" w:bottom="1440" w:left="1800" w:header="851" w:footer="992" w:gutter="0"/>
          <w:pgNumType w:start="9"/>
          <w:cols w:num="1" w:space="425"/>
          <w:titlePg w:val="0"/>
          <w:docGrid w:type="lines" w:linePitch="312" w:charSpace="0"/>
        </w:sectPr>
      </w:pPr>
    </w:p>
    <w:p>
      <w:pPr>
        <w:numPr>
          <w:ilvl w:val="0"/>
          <w:numId w:val="1"/>
        </w:numPr>
        <w:spacing w:line="480" w:lineRule="auto"/>
        <w:outlineLvl w:val="0"/>
        <w:rPr>
          <w:rFonts w:eastAsia="宋体" w:cs="Times New Roman"/>
          <w:b/>
          <w:bCs/>
          <w:color w:val="000000" w:themeColor="text1"/>
          <w:sz w:val="36"/>
          <w:szCs w:val="36"/>
        </w:rPr>
      </w:pPr>
      <w:bookmarkStart w:id="5" w:name="_Toc14451"/>
      <w:r>
        <w:rPr>
          <w:rFonts w:eastAsia="宋体" w:cs="Times New Roman"/>
          <w:b/>
          <w:bCs/>
          <w:color w:val="000000" w:themeColor="text1"/>
          <w:sz w:val="36"/>
          <w:szCs w:val="36"/>
        </w:rPr>
        <w:t>本年度矿山生产计划</w:t>
      </w:r>
      <w:bookmarkEnd w:id="5"/>
    </w:p>
    <w:p>
      <w:pPr>
        <w:numPr>
          <w:ilvl w:val="0"/>
          <w:numId w:val="3"/>
        </w:numPr>
        <w:spacing w:line="360" w:lineRule="auto"/>
        <w:jc w:val="both"/>
        <w:outlineLvl w:val="1"/>
        <w:rPr>
          <w:rFonts w:eastAsia="宋体" w:cs="Times New Roman"/>
          <w:b/>
          <w:bCs/>
          <w:color w:val="000000" w:themeColor="text1"/>
          <w:sz w:val="32"/>
          <w:szCs w:val="32"/>
        </w:rPr>
      </w:pPr>
      <w:bookmarkStart w:id="6" w:name="_Toc26522"/>
      <w:r>
        <w:rPr>
          <w:rFonts w:eastAsia="宋体" w:cs="Times New Roman"/>
          <w:b/>
          <w:bCs/>
          <w:color w:val="000000" w:themeColor="text1"/>
          <w:sz w:val="32"/>
          <w:szCs w:val="32"/>
        </w:rPr>
        <w:t>本年度的主要生产指标计划</w:t>
      </w:r>
      <w:bookmarkEnd w:id="6"/>
    </w:p>
    <w:p>
      <w:pPr>
        <w:spacing w:line="360" w:lineRule="auto"/>
        <w:ind w:firstLine="480" w:firstLineChars="200"/>
        <w:jc w:val="both"/>
        <w:rPr>
          <w:rFonts w:eastAsia="宋体" w:cs="Times New Roman"/>
          <w:b/>
          <w:bCs/>
          <w:sz w:val="22"/>
          <w:szCs w:val="22"/>
        </w:rPr>
        <w:sectPr>
          <w:headerReference w:type="default" r:id="rId34"/>
          <w:footerReference w:type="default" r:id="rId35"/>
          <w:type w:val="nextPage"/>
          <w:pgSz w:w="11906" w:h="16838"/>
          <w:pgMar w:top="1440" w:right="1800" w:bottom="1440" w:left="1800" w:header="851" w:footer="992" w:gutter="0"/>
          <w:pgNumType w:start="10"/>
          <w:cols w:num="1" w:space="425"/>
          <w:titlePg w:val="0"/>
          <w:docGrid w:type="lines" w:linePitch="312" w:charSpace="0"/>
        </w:sectPr>
      </w:pPr>
      <w:r>
        <w:rPr>
          <w:rFonts w:eastAsia="宋体" w:cs="Times New Roman"/>
          <w:color w:val="000000" w:themeColor="text1"/>
          <w:sz w:val="24"/>
          <w:szCs w:val="24"/>
        </w:rPr>
        <w:t>根据矿山采掘计划，矿山从2015年至今处于停产状态，矿山本年度主要工作为延续采矿许可证及设备维护等工作，本年度未计划投入生产，预测地质环境问题与现状一致。</w:t>
      </w:r>
    </w:p>
    <w:p>
      <w:pPr>
        <w:numPr>
          <w:ilvl w:val="0"/>
          <w:numId w:val="1"/>
        </w:numPr>
        <w:spacing w:line="360" w:lineRule="auto"/>
        <w:outlineLvl w:val="0"/>
        <w:rPr>
          <w:rFonts w:eastAsia="宋体" w:cs="Times New Roman"/>
          <w:b/>
          <w:bCs/>
          <w:color w:val="000000" w:themeColor="text1"/>
          <w:sz w:val="36"/>
          <w:szCs w:val="36"/>
        </w:rPr>
      </w:pPr>
      <w:bookmarkStart w:id="7" w:name="_Toc30003"/>
      <w:r>
        <w:rPr>
          <w:rFonts w:eastAsia="宋体" w:cs="Times New Roman"/>
          <w:b/>
          <w:bCs/>
          <w:color w:val="000000" w:themeColor="text1"/>
          <w:sz w:val="36"/>
          <w:szCs w:val="36"/>
        </w:rPr>
        <w:t>矿山地质环境问题</w:t>
      </w:r>
      <w:bookmarkEnd w:id="7"/>
    </w:p>
    <w:p>
      <w:pPr>
        <w:numPr>
          <w:ilvl w:val="0"/>
          <w:numId w:val="4"/>
        </w:numPr>
        <w:spacing w:line="360" w:lineRule="auto"/>
        <w:jc w:val="both"/>
        <w:outlineLvl w:val="1"/>
        <w:rPr>
          <w:rFonts w:eastAsia="宋体" w:cs="Times New Roman"/>
          <w:b/>
          <w:bCs/>
          <w:color w:val="000000" w:themeColor="text1"/>
          <w:sz w:val="32"/>
          <w:szCs w:val="32"/>
        </w:rPr>
      </w:pPr>
      <w:bookmarkStart w:id="8" w:name="_Toc9774"/>
      <w:r>
        <w:rPr>
          <w:rFonts w:eastAsia="宋体" w:cs="Times New Roman"/>
          <w:b/>
          <w:bCs/>
          <w:color w:val="000000" w:themeColor="text1"/>
          <w:sz w:val="32"/>
          <w:szCs w:val="32"/>
        </w:rPr>
        <w:t>矿山地质环境问题现状</w:t>
      </w:r>
      <w:bookmarkEnd w:id="8"/>
    </w:p>
    <w:p>
      <w:pPr>
        <w:adjustRightInd/>
        <w:spacing w:line="360" w:lineRule="auto"/>
        <w:ind w:firstLine="480" w:firstLineChars="200"/>
        <w:jc w:val="left"/>
        <w:rPr>
          <w:rFonts w:eastAsia="宋体" w:cs="Times New Roman"/>
          <w:bCs/>
          <w:color w:val="000000"/>
          <w:sz w:val="24"/>
          <w:szCs w:val="20"/>
        </w:rPr>
      </w:pPr>
      <w:r>
        <w:rPr>
          <w:rFonts w:eastAsia="宋体" w:cs="Times New Roman"/>
          <w:sz w:val="24"/>
          <w:szCs w:val="20"/>
        </w:rPr>
        <w:t>赤峰市元宝山区金美矿业有限公司金矿属于</w:t>
      </w:r>
      <w:r>
        <w:rPr>
          <w:rFonts w:eastAsia="宋体" w:cs="Times New Roman" w:hint="eastAsia"/>
          <w:sz w:val="24"/>
          <w:szCs w:val="20"/>
        </w:rPr>
        <w:t>停</w:t>
      </w:r>
      <w:r>
        <w:rPr>
          <w:rFonts w:eastAsia="宋体" w:cs="Times New Roman"/>
          <w:sz w:val="24"/>
          <w:szCs w:val="20"/>
        </w:rPr>
        <w:t>产矿山。矿山2015年至今一直处于停产阶段，未进行采矿活动。依据现状调查，矿区范围内存在的地面场地包括</w:t>
      </w:r>
      <w:r>
        <w:rPr>
          <w:rFonts w:eastAsia="宋体" w:cs="Times New Roman"/>
          <w:spacing w:val="-6"/>
          <w:sz w:val="24"/>
          <w:szCs w:val="24"/>
        </w:rPr>
        <w:t>采矿工业场地3处(1#竖井工业场地、2#竖井工业场地、3#竖井工业场地)、排渣场2处(1#排渣场、2#排渣场)、办公生活区1处、选厂1处、尾矿库1处、炸药库1处、门卫室1处、矿区道路、采空区</w:t>
      </w:r>
      <w:r>
        <w:rPr>
          <w:rFonts w:eastAsia="宋体" w:cs="Times New Roman"/>
          <w:sz w:val="24"/>
          <w:szCs w:val="20"/>
        </w:rPr>
        <w:t>。</w:t>
      </w:r>
    </w:p>
    <w:p>
      <w:pPr>
        <w:spacing w:line="360" w:lineRule="auto"/>
        <w:ind w:firstLine="480" w:firstLineChars="200"/>
        <w:jc w:val="both"/>
        <w:rPr>
          <w:rFonts w:cs="Times New Roman"/>
          <w:sz w:val="24"/>
        </w:rPr>
      </w:pPr>
      <w:r>
        <w:rPr>
          <w:rFonts w:cs="Times New Roman"/>
          <w:sz w:val="24"/>
        </w:rPr>
        <w:t>1、1#竖井工业场地</w:t>
      </w:r>
    </w:p>
    <w:p>
      <w:pPr>
        <w:spacing w:line="360" w:lineRule="auto"/>
        <w:ind w:firstLine="480" w:firstLineChars="200"/>
        <w:jc w:val="left"/>
        <w:rPr>
          <w:rFonts w:eastAsia="宋体" w:cs="Times New Roman"/>
          <w:sz w:val="24"/>
          <w:szCs w:val="20"/>
        </w:rPr>
      </w:pPr>
      <w:r>
        <w:rPr>
          <w:rFonts w:eastAsia="宋体" w:cs="Times New Roman"/>
          <w:sz w:val="24"/>
          <w:szCs w:val="20"/>
        </w:rPr>
        <w:t>(1)地质灾害现状</w:t>
      </w:r>
    </w:p>
    <w:p>
      <w:pPr>
        <w:spacing w:line="360" w:lineRule="auto"/>
        <w:ind w:firstLine="480" w:firstLineChars="200"/>
        <w:jc w:val="both"/>
        <w:rPr>
          <w:rFonts w:cs="Times New Roman"/>
          <w:sz w:val="24"/>
          <w:szCs w:val="24"/>
        </w:rPr>
      </w:pPr>
      <w:r>
        <w:rPr>
          <w:rFonts w:cs="Times New Roman"/>
          <w:sz w:val="24"/>
          <w:szCs w:val="24"/>
        </w:rPr>
        <w:t>场地位于矿区内西北部，场地占地面积1866m</w:t>
      </w:r>
      <w:r>
        <w:rPr>
          <w:rFonts w:cs="Times New Roman"/>
          <w:sz w:val="24"/>
          <w:szCs w:val="24"/>
          <w:vertAlign w:val="superscript"/>
        </w:rPr>
        <w:t>2</w:t>
      </w:r>
      <w:r>
        <w:rPr>
          <w:rFonts w:cs="Times New Roman"/>
          <w:sz w:val="24"/>
          <w:szCs w:val="24"/>
        </w:rPr>
        <w:t>，</w:t>
      </w:r>
      <w:r>
        <w:rPr>
          <w:rFonts w:cs="Times New Roman"/>
          <w:color w:val="000000"/>
          <w:sz w:val="24"/>
        </w:rPr>
        <w:t>占地面积1866m</w:t>
      </w:r>
      <w:r>
        <w:rPr>
          <w:rFonts w:cs="Times New Roman"/>
          <w:color w:val="000000"/>
          <w:sz w:val="24"/>
          <w:vertAlign w:val="superscript"/>
        </w:rPr>
        <w:t>2</w:t>
      </w:r>
      <w:r>
        <w:rPr>
          <w:rFonts w:cs="Times New Roman"/>
          <w:color w:val="000000"/>
          <w:sz w:val="24"/>
        </w:rPr>
        <w:t>，由卷扬房、配电室、废弃房屋、竖井组成。卷扬房占地面积65m</w:t>
      </w:r>
      <w:r>
        <w:rPr>
          <w:rFonts w:cs="Times New Roman"/>
          <w:color w:val="000000"/>
          <w:sz w:val="24"/>
          <w:vertAlign w:val="superscript"/>
        </w:rPr>
        <w:t>2</w:t>
      </w:r>
      <w:r>
        <w:rPr>
          <w:rFonts w:cs="Times New Roman"/>
          <w:color w:val="000000"/>
          <w:sz w:val="24"/>
        </w:rPr>
        <w:t>，彩钢瓦结构，高约4m；配电室占地面积128m</w:t>
      </w:r>
      <w:r>
        <w:rPr>
          <w:rFonts w:cs="Times New Roman"/>
          <w:color w:val="000000"/>
          <w:sz w:val="24"/>
          <w:vertAlign w:val="superscript"/>
        </w:rPr>
        <w:t>2</w:t>
      </w:r>
      <w:r>
        <w:rPr>
          <w:rFonts w:cs="Times New Roman"/>
          <w:color w:val="000000"/>
          <w:sz w:val="24"/>
        </w:rPr>
        <w:t>，彩钢瓦结构，高约4m；废弃房屋占地面积104m</w:t>
      </w:r>
      <w:r>
        <w:rPr>
          <w:rFonts w:cs="Times New Roman"/>
          <w:color w:val="000000"/>
          <w:sz w:val="24"/>
          <w:vertAlign w:val="superscript"/>
        </w:rPr>
        <w:t>2</w:t>
      </w:r>
      <w:r>
        <w:rPr>
          <w:rFonts w:cs="Times New Roman"/>
          <w:color w:val="000000"/>
          <w:sz w:val="24"/>
        </w:rPr>
        <w:t>，砖混结构，高约3m；SJ1竖井X：4660859.14，Y：40422500.56，深130m，井口规格为2.6×2.8m。</w:t>
      </w:r>
    </w:p>
    <w:p>
      <w:pPr>
        <w:spacing w:line="360" w:lineRule="auto"/>
        <w:ind w:firstLine="480" w:firstLineChars="200"/>
        <w:jc w:val="both"/>
        <w:rPr>
          <w:rFonts w:cs="Times New Roman"/>
          <w:sz w:val="24"/>
          <w:szCs w:val="20"/>
        </w:rPr>
      </w:pPr>
      <w:r>
        <w:rPr>
          <w:rFonts w:cs="Times New Roman"/>
          <w:sz w:val="24"/>
          <w:szCs w:val="20"/>
        </w:rPr>
        <w:t>场地建设对山体造成了切坡，切坡高度约2.5m，坡角约70°，切坡长度约50m。</w:t>
      </w:r>
    </w:p>
    <w:p>
      <w:pPr>
        <w:spacing w:line="360" w:lineRule="auto"/>
        <w:ind w:firstLine="480" w:firstLineChars="200"/>
        <w:jc w:val="both"/>
        <w:rPr>
          <w:rFonts w:cs="Times New Roman"/>
          <w:sz w:val="24"/>
          <w:szCs w:val="20"/>
        </w:rPr>
      </w:pPr>
      <w:r>
        <w:rPr>
          <w:rFonts w:cs="Times New Roman"/>
          <w:sz w:val="24"/>
        </w:rPr>
        <w:t>1#竖井</w:t>
      </w:r>
      <w:r>
        <w:rPr>
          <w:rFonts w:eastAsia="宋体" w:cs="Times New Roman"/>
          <w:bCs/>
          <w:sz w:val="24"/>
          <w:szCs w:val="20"/>
        </w:rPr>
        <w:t>工业场地周围地势较缓</w:t>
      </w:r>
      <w:r>
        <w:rPr>
          <w:rFonts w:eastAsia="宋体" w:cs="Times New Roman"/>
          <w:sz w:val="24"/>
          <w:szCs w:val="20"/>
        </w:rPr>
        <w:t>，依据实地调查，</w:t>
      </w:r>
      <w:r>
        <w:rPr>
          <w:rFonts w:eastAsia="宋体" w:cs="Times New Roman"/>
          <w:bCs/>
          <w:sz w:val="24"/>
          <w:szCs w:val="20"/>
        </w:rPr>
        <w:t>现状地质灾害不发育。</w:t>
      </w:r>
    </w:p>
    <w:p>
      <w:pPr>
        <w:spacing w:line="360" w:lineRule="auto"/>
        <w:ind w:firstLine="480" w:firstLineChars="200"/>
        <w:jc w:val="left"/>
        <w:rPr>
          <w:rFonts w:eastAsia="宋体" w:cs="Times New Roman"/>
          <w:sz w:val="24"/>
          <w:szCs w:val="20"/>
        </w:rPr>
      </w:pPr>
      <w:r>
        <w:rPr>
          <w:rFonts w:eastAsia="宋体" w:cs="Times New Roman"/>
          <w:sz w:val="24"/>
          <w:szCs w:val="20"/>
        </w:rPr>
        <w:t>(2)含水层破坏现状</w:t>
      </w:r>
    </w:p>
    <w:p>
      <w:pPr>
        <w:spacing w:line="360" w:lineRule="auto"/>
        <w:ind w:firstLine="480" w:firstLineChars="200"/>
        <w:jc w:val="both"/>
        <w:rPr>
          <w:rFonts w:cs="Times New Roman"/>
          <w:sz w:val="24"/>
          <w:szCs w:val="20"/>
        </w:rPr>
      </w:pPr>
      <w:r>
        <w:rPr>
          <w:rFonts w:eastAsia="宋体" w:cs="Times New Roman"/>
          <w:bCs/>
          <w:sz w:val="24"/>
          <w:szCs w:val="20"/>
        </w:rPr>
        <w:t>竖井开拓3个水平(820m水平、780m水平、740m水平)，依据矿山自用水井地下水位标高827m，水位埋深42m，</w:t>
      </w:r>
      <w:r>
        <w:rPr>
          <w:rFonts w:eastAsia="宋体" w:cs="Times New Roman"/>
          <w:sz w:val="24"/>
          <w:szCs w:val="20"/>
        </w:rPr>
        <w:t>竖井开拓揭露并破坏了基岩裂隙水的结构。</w:t>
      </w:r>
    </w:p>
    <w:p>
      <w:pPr>
        <w:spacing w:line="360" w:lineRule="auto"/>
        <w:ind w:firstLine="480" w:firstLineChars="200"/>
        <w:jc w:val="left"/>
        <w:rPr>
          <w:rFonts w:eastAsia="宋体" w:cs="Times New Roman"/>
          <w:sz w:val="24"/>
          <w:szCs w:val="20"/>
        </w:rPr>
      </w:pPr>
      <w:r>
        <w:rPr>
          <w:rFonts w:eastAsia="宋体" w:cs="Times New Roman"/>
          <w:sz w:val="24"/>
          <w:szCs w:val="20"/>
        </w:rPr>
        <w:t>(3) 地形地貌景观影响现状</w:t>
      </w:r>
    </w:p>
    <w:p>
      <w:pPr>
        <w:spacing w:line="360" w:lineRule="auto"/>
        <w:ind w:firstLine="480" w:firstLineChars="200"/>
        <w:jc w:val="both"/>
        <w:rPr>
          <w:rFonts w:cs="Times New Roman"/>
          <w:sz w:val="24"/>
          <w:szCs w:val="24"/>
        </w:rPr>
      </w:pPr>
      <w:r>
        <w:rPr>
          <w:rFonts w:eastAsia="宋体" w:cs="Times New Roman"/>
          <w:sz w:val="24"/>
          <w:szCs w:val="20"/>
        </w:rPr>
        <w:t>矿山在建设1#竖井工业场地时，清除了原有植被，对场地进行了平整，破坏了原有的地形地貌景观</w:t>
      </w:r>
      <w:r>
        <w:rPr>
          <w:rFonts w:cs="Times New Roman"/>
          <w:sz w:val="24"/>
          <w:szCs w:val="24"/>
        </w:rPr>
        <w:t>见照片4-1、4-2。</w:t>
      </w:r>
    </w:p>
    <w:p>
      <w:pPr>
        <w:spacing w:line="360" w:lineRule="auto"/>
        <w:ind w:firstLine="480" w:firstLineChars="200"/>
        <w:jc w:val="left"/>
        <w:rPr>
          <w:rFonts w:eastAsia="宋体" w:cs="Times New Roman"/>
          <w:sz w:val="24"/>
          <w:szCs w:val="20"/>
        </w:rPr>
      </w:pPr>
      <w:r>
        <w:rPr>
          <w:rFonts w:eastAsia="宋体" w:cs="Times New Roman"/>
          <w:sz w:val="24"/>
          <w:szCs w:val="20"/>
        </w:rPr>
        <w:t>(4)土地资源影响现状</w:t>
      </w:r>
    </w:p>
    <w:p>
      <w:pPr>
        <w:spacing w:line="360" w:lineRule="auto"/>
        <w:ind w:firstLine="480" w:firstLineChars="200"/>
        <w:jc w:val="both"/>
        <w:rPr>
          <w:rFonts w:cs="Times New Roman"/>
          <w:sz w:val="24"/>
          <w:szCs w:val="24"/>
        </w:rPr>
      </w:pPr>
      <w:r>
        <w:rPr>
          <w:rFonts w:eastAsia="宋体" w:cs="Times New Roman"/>
          <w:sz w:val="24"/>
          <w:szCs w:val="20"/>
        </w:rPr>
        <w:t>1#竖井工业场地占地</w:t>
      </w:r>
      <w:r>
        <w:rPr>
          <w:rFonts w:eastAsia="宋体" w:cs="Times New Roman"/>
          <w:bCs/>
          <w:sz w:val="24"/>
          <w:szCs w:val="20"/>
        </w:rPr>
        <w:t>面积1866m</w:t>
      </w:r>
      <w:r>
        <w:rPr>
          <w:rFonts w:eastAsia="宋体" w:cs="Times New Roman"/>
          <w:bCs/>
          <w:sz w:val="24"/>
          <w:szCs w:val="20"/>
          <w:vertAlign w:val="superscript"/>
        </w:rPr>
        <w:t>2</w:t>
      </w:r>
      <w:r>
        <w:rPr>
          <w:rFonts w:eastAsia="宋体" w:cs="Times New Roman"/>
          <w:bCs/>
          <w:sz w:val="24"/>
          <w:szCs w:val="20"/>
        </w:rPr>
        <w:t>，</w:t>
      </w:r>
      <w:r>
        <w:rPr>
          <w:rFonts w:eastAsia="宋体" w:cs="Times New Roman"/>
          <w:sz w:val="24"/>
          <w:szCs w:val="20"/>
        </w:rPr>
        <w:t>压占土地类型为</w:t>
      </w:r>
      <w:r>
        <w:rPr>
          <w:rFonts w:eastAsia="宋体" w:cs="Times New Roman" w:hint="eastAsia"/>
          <w:sz w:val="24"/>
          <w:szCs w:val="20"/>
        </w:rPr>
        <w:t>乔木</w:t>
      </w:r>
      <w:r>
        <w:rPr>
          <w:rFonts w:eastAsia="宋体" w:cs="Times New Roman"/>
          <w:sz w:val="24"/>
          <w:szCs w:val="20"/>
        </w:rPr>
        <w:t>林地和采矿用地，</w:t>
      </w:r>
      <w:r>
        <w:rPr>
          <w:rFonts w:eastAsia="宋体" w:cs="Times New Roman"/>
          <w:bCs/>
          <w:sz w:val="24"/>
          <w:szCs w:val="20"/>
        </w:rPr>
        <w:t>压占</w:t>
      </w:r>
      <w:r>
        <w:rPr>
          <w:rFonts w:eastAsia="宋体" w:cs="Times New Roman" w:hint="eastAsia"/>
          <w:bCs/>
          <w:sz w:val="24"/>
          <w:szCs w:val="20"/>
        </w:rPr>
        <w:t>乔木</w:t>
      </w:r>
      <w:r>
        <w:rPr>
          <w:rFonts w:eastAsia="宋体" w:cs="Times New Roman"/>
          <w:bCs/>
          <w:sz w:val="24"/>
          <w:szCs w:val="20"/>
        </w:rPr>
        <w:t>林地面积为1499m</w:t>
      </w:r>
      <w:r>
        <w:rPr>
          <w:rFonts w:eastAsia="宋体" w:cs="Times New Roman"/>
          <w:bCs/>
          <w:sz w:val="24"/>
          <w:szCs w:val="20"/>
          <w:vertAlign w:val="superscript"/>
        </w:rPr>
        <w:t>2</w:t>
      </w:r>
      <w:r>
        <w:rPr>
          <w:rFonts w:eastAsia="宋体" w:cs="Times New Roman"/>
          <w:bCs/>
          <w:sz w:val="24"/>
          <w:szCs w:val="20"/>
        </w:rPr>
        <w:t>，压占采矿用地的面积为367m</w:t>
      </w:r>
      <w:r>
        <w:rPr>
          <w:rFonts w:eastAsia="宋体" w:cs="Times New Roman"/>
          <w:bCs/>
          <w:sz w:val="24"/>
          <w:szCs w:val="20"/>
          <w:vertAlign w:val="superscript"/>
        </w:rPr>
        <w:t>2</w:t>
      </w:r>
      <w:r>
        <w:rPr>
          <w:rFonts w:eastAsia="宋体" w:cs="Times New Roman"/>
          <w:bCs/>
          <w:sz w:val="24"/>
          <w:szCs w:val="20"/>
        </w:rPr>
        <w:t>。</w:t>
      </w:r>
      <w:r>
        <w:rPr>
          <w:rFonts w:cs="Times New Roman"/>
          <w:sz w:val="24"/>
          <w:szCs w:val="24"/>
        </w:rPr>
        <w:br/>
      </w:r>
      <w:r>
        <w:rPr>
          <w:rFonts w:cs="Times New Roman"/>
          <w:sz w:val="24"/>
          <w:szCs w:val="24"/>
        </w:rPr>
        <w:br/>
      </w:r>
    </w:p>
    <w:p>
      <w:pPr>
        <w:adjustRightInd/>
        <w:snapToGrid/>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https://d.book118.com/527113151165006024</w:t>
        </w:r>
      </w:hyperlink>
    </w:p>
    <w:p>
      <w:pPr>
        <w:spacing w:line="360" w:lineRule="auto"/>
        <w:ind w:firstLine="480" w:firstLineChars="200"/>
        <w:jc w:val="both"/>
        <w:rPr>
          <w:rFonts w:cs="Times New Roman"/>
          <w:sz w:val="24"/>
          <w:szCs w:val="24"/>
        </w:rPr>
      </w:pPr>
    </w:p>
    <w:sectPr>
      <w:headerReference w:type="default" r:id="rId37"/>
      <w:footerReference w:type="default" r:id="rId38"/>
      <w:type w:val="nextPage"/>
      <w:pgSz w:w="11906" w:h="16838"/>
      <w:pgMar w:top="1440" w:right="1800" w:bottom="1440" w:left="18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
    <w:altName w:val="Calibri"/>
    <w:panose1 w:val="00000000000000000000"/>
    <w:charset w:val="00"/>
    <w:family w:val="auto"/>
    <w:pitch w:val="default"/>
    <w:sig w:usb0="00000000" w:usb1="00000000" w:usb2="00000000" w:usb3="00000000" w:csb0="0000009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新宋体">
    <w:panose1 w:val="02010609030101010101"/>
    <w:charset w:val="86"/>
    <w:family w:val="modern"/>
    <w:pitch w:val="default"/>
    <w:sig w:usb0="00000003" w:usb1="288F0000" w:usb2="0000000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3728736"/>
      <w:docPartObj>
        <w:docPartGallery w:val="autotext"/>
      </w:docPartObj>
    </w:sdtPr>
    <w:sdtContent>
      <w:p>
        <w:pPr>
          <w:pStyle w:val="Footer"/>
        </w:pP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18849982"/>
      <w:docPartObj>
        <w:docPartGallery w:val="autotext"/>
      </w:docPartObj>
    </w:sdtPr>
    <w:sdtContent>
      <w:p>
        <w:pPr>
          <w:pStyle w:val="Footer"/>
        </w:pP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w:t>
    </w:r>
    <w:r>
      <w:rPr>
        <w:lang w:val="zh-CN"/>
      </w:rPr>
      <w:fldChar w:fldCharType="end"/>
    </w:r>
  </w:p>
  <w:p>
    <w:pPr>
      <w:pStyle w:val="Footer"/>
      <w:tabs>
        <w:tab w:val="clear" w:pos="8306"/>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w:t>
    </w:r>
    <w:r>
      <w:rPr>
        <w:lang w:val="zh-CN"/>
      </w:rPr>
      <w:fldChar w:fldCharType="end"/>
    </w:r>
  </w:p>
  <w:p>
    <w:pPr>
      <w:pStyle w:val="Footer"/>
      <w:tabs>
        <w:tab w:val="clear" w:pos="8306"/>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w:t>
    </w:r>
    <w:r>
      <w:rPr>
        <w:lang w:val="zh-CN"/>
      </w:rPr>
      <w:fldChar w:fldCharType="end"/>
    </w:r>
  </w:p>
  <w:p>
    <w:pPr>
      <w:pStyle w:val="Footer"/>
      <w:tabs>
        <w:tab w:val="clear" w:pos="8306"/>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5</w:t>
    </w:r>
    <w:r>
      <w:rPr>
        <w:lang w:val="zh-CN"/>
      </w:rPr>
      <w:fldChar w:fldCharType="end"/>
    </w:r>
  </w:p>
  <w:p>
    <w:pPr>
      <w:pStyle w:val="Footer"/>
      <w:tabs>
        <w:tab w:val="clear" w:pos="8306"/>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5</w:t>
    </w:r>
    <w:r>
      <w:rPr>
        <w:lang w:val="zh-CN"/>
      </w:rPr>
      <w:fldChar w:fldCharType="end"/>
    </w:r>
  </w:p>
  <w:p>
    <w:pPr>
      <w:pStyle w:val="Footer"/>
      <w:tabs>
        <w:tab w:val="clear" w:pos="8306"/>
      </w:tabs>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6</w:t>
    </w:r>
    <w:r>
      <w:rPr>
        <w:lang w:val="zh-CN"/>
      </w:rPr>
      <w:fldChar w:fldCharType="end"/>
    </w:r>
  </w:p>
  <w:p>
    <w:pPr>
      <w:pStyle w:val="Footer"/>
      <w:tabs>
        <w:tab w:val="clear" w:pos="8306"/>
      </w:tabs>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7</w:t>
    </w:r>
    <w:r>
      <w:rPr>
        <w:lang w:val="zh-CN"/>
      </w:rPr>
      <w:fldChar w:fldCharType="end"/>
    </w:r>
  </w:p>
  <w:p>
    <w:pPr>
      <w:pStyle w:val="Footer"/>
      <w:tabs>
        <w:tab w:val="clear" w:pos="8306"/>
      </w:tabs>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8</w:t>
    </w:r>
    <w:r>
      <w:rPr>
        <w:lang w:val="zh-CN"/>
      </w:rPr>
      <w:fldChar w:fldCharType="end"/>
    </w:r>
  </w:p>
  <w:p>
    <w:pPr>
      <w:pStyle w:val="Footer"/>
      <w:tabs>
        <w:tab w:val="clear" w:pos="8306"/>
      </w:tabs>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9</w:t>
    </w:r>
    <w:r>
      <w:rPr>
        <w:lang w:val="zh-CN"/>
      </w:rPr>
      <w:fldChar w:fldCharType="end"/>
    </w:r>
  </w:p>
  <w:p>
    <w:pPr>
      <w:pStyle w:val="Footer"/>
      <w:tabs>
        <w:tab w:val="clear" w:pos="8306"/>
      </w:tabs>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10</w:t>
    </w:r>
    <w:r>
      <w:rPr>
        <w:lang w:val="zh-CN"/>
      </w:rPr>
      <w:fldChar w:fldCharType="end"/>
    </w:r>
  </w:p>
  <w:p>
    <w:pPr>
      <w:pStyle w:val="Footer"/>
      <w:tabs>
        <w:tab w:val="clear" w:pos="8306"/>
      </w:tabs>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11</w:t>
    </w:r>
    <w:r>
      <w:rPr>
        <w:lang w:val="zh-CN"/>
      </w:rPr>
      <w:fldChar w:fldCharType="end"/>
    </w:r>
  </w:p>
  <w:p>
    <w:pPr>
      <w:pStyle w:val="Footer"/>
      <w:tabs>
        <w:tab w:val="clear"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Style w:val="Header"/>
      <w:pBdr>
        <w:top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3054031"/>
    <w:multiLevelType w:val="singleLevel"/>
    <w:tmpl w:val="A3054031"/>
    <w:lvl w:ilvl="0">
      <w:start w:val="1"/>
      <w:numFmt w:val="chineseCounting"/>
      <w:suff w:val="space"/>
      <w:lvlText w:val="第%1章"/>
      <w:lvlJc w:val="left"/>
      <w:rPr>
        <w:rFonts w:hint="eastAsia"/>
      </w:rPr>
    </w:lvl>
  </w:abstractNum>
  <w:abstractNum w:abstractNumId="1">
    <w:nsid w:val="F23AE794"/>
    <w:multiLevelType w:val="singleLevel"/>
    <w:tmpl w:val="F23AE794"/>
    <w:lvl w:ilvl="0">
      <w:start w:val="1"/>
      <w:numFmt w:val="chineseCounting"/>
      <w:suff w:val="nothing"/>
      <w:lvlText w:val="%1、"/>
      <w:lvlJc w:val="left"/>
      <w:rPr>
        <w:rFonts w:hint="eastAsia"/>
      </w:rPr>
    </w:lvl>
  </w:abstractNum>
  <w:abstractNum w:abstractNumId="2">
    <w:nsid w:val="19318544"/>
    <w:multiLevelType w:val="singleLevel"/>
    <w:tmpl w:val="19318544"/>
    <w:lvl w:ilvl="0">
      <w:start w:val="1"/>
      <w:numFmt w:val="chineseCounting"/>
      <w:suff w:val="nothing"/>
      <w:lvlText w:val="%1、"/>
      <w:lvlJc w:val="left"/>
      <w:rPr>
        <w:rFonts w:hint="eastAsia"/>
      </w:rPr>
    </w:lvl>
  </w:abstractNum>
  <w:abstractNum w:abstractNumId="3">
    <w:nsid w:val="63B97F6A"/>
    <w:multiLevelType w:val="singleLevel"/>
    <w:tmpl w:val="63B97F6A"/>
    <w:lvl w:ilvl="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9AB"/>
    <w:rsid w:val="0003677E"/>
    <w:rsid w:val="00043128"/>
    <w:rsid w:val="00057700"/>
    <w:rsid w:val="00074553"/>
    <w:rsid w:val="000D1884"/>
    <w:rsid w:val="00143386"/>
    <w:rsid w:val="00144A4D"/>
    <w:rsid w:val="001461AD"/>
    <w:rsid w:val="001942D6"/>
    <w:rsid w:val="001A15EA"/>
    <w:rsid w:val="001C7010"/>
    <w:rsid w:val="00205233"/>
    <w:rsid w:val="00227CA7"/>
    <w:rsid w:val="0024267C"/>
    <w:rsid w:val="002475F6"/>
    <w:rsid w:val="00247D82"/>
    <w:rsid w:val="002532CB"/>
    <w:rsid w:val="002778A7"/>
    <w:rsid w:val="00277C55"/>
    <w:rsid w:val="00285D7D"/>
    <w:rsid w:val="002C5EB1"/>
    <w:rsid w:val="002F61C0"/>
    <w:rsid w:val="00320502"/>
    <w:rsid w:val="00351991"/>
    <w:rsid w:val="00361177"/>
    <w:rsid w:val="00362FB7"/>
    <w:rsid w:val="003770E8"/>
    <w:rsid w:val="00385E94"/>
    <w:rsid w:val="0038615F"/>
    <w:rsid w:val="003C4753"/>
    <w:rsid w:val="003D27F1"/>
    <w:rsid w:val="003E106A"/>
    <w:rsid w:val="00427ED1"/>
    <w:rsid w:val="00436326"/>
    <w:rsid w:val="00453BA6"/>
    <w:rsid w:val="0046202C"/>
    <w:rsid w:val="00484230"/>
    <w:rsid w:val="004A1E97"/>
    <w:rsid w:val="004A795F"/>
    <w:rsid w:val="00506F2C"/>
    <w:rsid w:val="005070EA"/>
    <w:rsid w:val="005213C4"/>
    <w:rsid w:val="0053325E"/>
    <w:rsid w:val="00536EA7"/>
    <w:rsid w:val="00544A15"/>
    <w:rsid w:val="005B0877"/>
    <w:rsid w:val="005C7C50"/>
    <w:rsid w:val="005C7CA6"/>
    <w:rsid w:val="005D55CA"/>
    <w:rsid w:val="0061514E"/>
    <w:rsid w:val="0062614C"/>
    <w:rsid w:val="006461B2"/>
    <w:rsid w:val="00662DFC"/>
    <w:rsid w:val="00685EC6"/>
    <w:rsid w:val="006866F3"/>
    <w:rsid w:val="00694135"/>
    <w:rsid w:val="006978D8"/>
    <w:rsid w:val="006A1FAF"/>
    <w:rsid w:val="006A2809"/>
    <w:rsid w:val="006B2E91"/>
    <w:rsid w:val="006D2CC3"/>
    <w:rsid w:val="00712C0B"/>
    <w:rsid w:val="00715D87"/>
    <w:rsid w:val="0076224D"/>
    <w:rsid w:val="00785D0C"/>
    <w:rsid w:val="007B7A20"/>
    <w:rsid w:val="007C300C"/>
    <w:rsid w:val="007D23A2"/>
    <w:rsid w:val="008052B2"/>
    <w:rsid w:val="00817A36"/>
    <w:rsid w:val="008328DF"/>
    <w:rsid w:val="00864EF6"/>
    <w:rsid w:val="008754F4"/>
    <w:rsid w:val="0088174B"/>
    <w:rsid w:val="00883106"/>
    <w:rsid w:val="00886405"/>
    <w:rsid w:val="008B3974"/>
    <w:rsid w:val="008C432B"/>
    <w:rsid w:val="0091094F"/>
    <w:rsid w:val="0091363E"/>
    <w:rsid w:val="009618BD"/>
    <w:rsid w:val="0096567B"/>
    <w:rsid w:val="00976AA4"/>
    <w:rsid w:val="009D468A"/>
    <w:rsid w:val="00A22D04"/>
    <w:rsid w:val="00A236AD"/>
    <w:rsid w:val="00A24AF5"/>
    <w:rsid w:val="00A25C7C"/>
    <w:rsid w:val="00A264BC"/>
    <w:rsid w:val="00A433ED"/>
    <w:rsid w:val="00A53138"/>
    <w:rsid w:val="00A61A7C"/>
    <w:rsid w:val="00A64FAC"/>
    <w:rsid w:val="00A77D26"/>
    <w:rsid w:val="00A83311"/>
    <w:rsid w:val="00B2228C"/>
    <w:rsid w:val="00B77936"/>
    <w:rsid w:val="00B809AB"/>
    <w:rsid w:val="00B878B7"/>
    <w:rsid w:val="00B914F3"/>
    <w:rsid w:val="00B936ED"/>
    <w:rsid w:val="00BA3EEE"/>
    <w:rsid w:val="00BB7101"/>
    <w:rsid w:val="00BC1704"/>
    <w:rsid w:val="00BC7CEB"/>
    <w:rsid w:val="00BD29EB"/>
    <w:rsid w:val="00BD3860"/>
    <w:rsid w:val="00BE45D2"/>
    <w:rsid w:val="00C30A8E"/>
    <w:rsid w:val="00C3643B"/>
    <w:rsid w:val="00C62D96"/>
    <w:rsid w:val="00C76D37"/>
    <w:rsid w:val="00C77CC7"/>
    <w:rsid w:val="00C80F91"/>
    <w:rsid w:val="00CA3993"/>
    <w:rsid w:val="00CB3DE2"/>
    <w:rsid w:val="00CB505B"/>
    <w:rsid w:val="00CB5519"/>
    <w:rsid w:val="00CC4D2C"/>
    <w:rsid w:val="00CE5318"/>
    <w:rsid w:val="00D06D5D"/>
    <w:rsid w:val="00D34A87"/>
    <w:rsid w:val="00D53DC1"/>
    <w:rsid w:val="00D82919"/>
    <w:rsid w:val="00D92FE7"/>
    <w:rsid w:val="00DD6C62"/>
    <w:rsid w:val="00E05D70"/>
    <w:rsid w:val="00E16497"/>
    <w:rsid w:val="00E40D68"/>
    <w:rsid w:val="00E973A2"/>
    <w:rsid w:val="00EA0B32"/>
    <w:rsid w:val="00EB3DE3"/>
    <w:rsid w:val="00ED32EB"/>
    <w:rsid w:val="00EE51DC"/>
    <w:rsid w:val="00EF43EF"/>
    <w:rsid w:val="00EF52A5"/>
    <w:rsid w:val="00F067C1"/>
    <w:rsid w:val="00F304FC"/>
    <w:rsid w:val="00F4423F"/>
    <w:rsid w:val="00F52286"/>
    <w:rsid w:val="00F548F9"/>
    <w:rsid w:val="00F56C66"/>
    <w:rsid w:val="00F60376"/>
    <w:rsid w:val="00F803FA"/>
    <w:rsid w:val="00FA2637"/>
    <w:rsid w:val="00FB3713"/>
    <w:rsid w:val="011E3D43"/>
    <w:rsid w:val="014418DF"/>
    <w:rsid w:val="01965FF3"/>
    <w:rsid w:val="01CA5032"/>
    <w:rsid w:val="02032C9E"/>
    <w:rsid w:val="02067528"/>
    <w:rsid w:val="022A18E3"/>
    <w:rsid w:val="024C294B"/>
    <w:rsid w:val="030942E8"/>
    <w:rsid w:val="034E3B4F"/>
    <w:rsid w:val="043344C1"/>
    <w:rsid w:val="045B4090"/>
    <w:rsid w:val="04C27C75"/>
    <w:rsid w:val="04C93D2D"/>
    <w:rsid w:val="04CC620A"/>
    <w:rsid w:val="05697AA6"/>
    <w:rsid w:val="05E94F48"/>
    <w:rsid w:val="06EB0AF0"/>
    <w:rsid w:val="07BB0C50"/>
    <w:rsid w:val="07BB2E24"/>
    <w:rsid w:val="08C12F78"/>
    <w:rsid w:val="093A23D2"/>
    <w:rsid w:val="097A704F"/>
    <w:rsid w:val="09854FD5"/>
    <w:rsid w:val="0A132DAA"/>
    <w:rsid w:val="0A564ED9"/>
    <w:rsid w:val="0A6D7FB6"/>
    <w:rsid w:val="0AA45108"/>
    <w:rsid w:val="0C4A48FF"/>
    <w:rsid w:val="0C4B306E"/>
    <w:rsid w:val="0D082D3D"/>
    <w:rsid w:val="0D2D4420"/>
    <w:rsid w:val="0D7A277D"/>
    <w:rsid w:val="0E345B9A"/>
    <w:rsid w:val="0EB5347D"/>
    <w:rsid w:val="0EF51641"/>
    <w:rsid w:val="0F4B7E64"/>
    <w:rsid w:val="1085134F"/>
    <w:rsid w:val="10C763CC"/>
    <w:rsid w:val="10CA4FC1"/>
    <w:rsid w:val="10FF3B0E"/>
    <w:rsid w:val="117A52B8"/>
    <w:rsid w:val="11AD0AFB"/>
    <w:rsid w:val="1275170D"/>
    <w:rsid w:val="12F02A65"/>
    <w:rsid w:val="13446B33"/>
    <w:rsid w:val="13FD0010"/>
    <w:rsid w:val="14D961E8"/>
    <w:rsid w:val="1546380B"/>
    <w:rsid w:val="158439FA"/>
    <w:rsid w:val="15D1525C"/>
    <w:rsid w:val="15D5651F"/>
    <w:rsid w:val="16556932"/>
    <w:rsid w:val="16BB7D86"/>
    <w:rsid w:val="171F6CC4"/>
    <w:rsid w:val="17721EAB"/>
    <w:rsid w:val="17786F4A"/>
    <w:rsid w:val="17EF4B13"/>
    <w:rsid w:val="17F65C71"/>
    <w:rsid w:val="18743665"/>
    <w:rsid w:val="18765596"/>
    <w:rsid w:val="18E95397"/>
    <w:rsid w:val="18F539DB"/>
    <w:rsid w:val="19260B7A"/>
    <w:rsid w:val="197654E3"/>
    <w:rsid w:val="19843C66"/>
    <w:rsid w:val="19A56F54"/>
    <w:rsid w:val="1A280FA2"/>
    <w:rsid w:val="1B262CFE"/>
    <w:rsid w:val="1B3C078C"/>
    <w:rsid w:val="1B6734EC"/>
    <w:rsid w:val="1B9401EC"/>
    <w:rsid w:val="1BB13699"/>
    <w:rsid w:val="1D785E16"/>
    <w:rsid w:val="1DE20A51"/>
    <w:rsid w:val="1DEE4345"/>
    <w:rsid w:val="1DF30C0A"/>
    <w:rsid w:val="1E321F85"/>
    <w:rsid w:val="1E7E5F8F"/>
    <w:rsid w:val="204542BE"/>
    <w:rsid w:val="20B026EF"/>
    <w:rsid w:val="2238039D"/>
    <w:rsid w:val="22A77439"/>
    <w:rsid w:val="23CD460F"/>
    <w:rsid w:val="2470537B"/>
    <w:rsid w:val="266D1102"/>
    <w:rsid w:val="2765238A"/>
    <w:rsid w:val="28B70237"/>
    <w:rsid w:val="29803008"/>
    <w:rsid w:val="29A10649"/>
    <w:rsid w:val="29DE269D"/>
    <w:rsid w:val="2AF01CFE"/>
    <w:rsid w:val="2B962881"/>
    <w:rsid w:val="2DD22086"/>
    <w:rsid w:val="2E5674A1"/>
    <w:rsid w:val="2F113F69"/>
    <w:rsid w:val="2F832D79"/>
    <w:rsid w:val="2FD54B44"/>
    <w:rsid w:val="30414F71"/>
    <w:rsid w:val="30E13F99"/>
    <w:rsid w:val="3142579E"/>
    <w:rsid w:val="31583D3D"/>
    <w:rsid w:val="31C45F3E"/>
    <w:rsid w:val="325D242F"/>
    <w:rsid w:val="334D6940"/>
    <w:rsid w:val="33FE20EA"/>
    <w:rsid w:val="34A14F49"/>
    <w:rsid w:val="35314387"/>
    <w:rsid w:val="35764940"/>
    <w:rsid w:val="36751866"/>
    <w:rsid w:val="36980DAD"/>
    <w:rsid w:val="36FB5E37"/>
    <w:rsid w:val="38DD16FA"/>
    <w:rsid w:val="39B41523"/>
    <w:rsid w:val="3A43739A"/>
    <w:rsid w:val="3A5A52CA"/>
    <w:rsid w:val="3AC614A8"/>
    <w:rsid w:val="3B521658"/>
    <w:rsid w:val="3B7D3F09"/>
    <w:rsid w:val="3CD21CDA"/>
    <w:rsid w:val="3E043ECA"/>
    <w:rsid w:val="3F9918EF"/>
    <w:rsid w:val="3FE55F30"/>
    <w:rsid w:val="40457603"/>
    <w:rsid w:val="406037CD"/>
    <w:rsid w:val="40667ADC"/>
    <w:rsid w:val="40A30CA0"/>
    <w:rsid w:val="418B4807"/>
    <w:rsid w:val="41926595"/>
    <w:rsid w:val="439F76C4"/>
    <w:rsid w:val="44C56196"/>
    <w:rsid w:val="44CC1549"/>
    <w:rsid w:val="451A68FC"/>
    <w:rsid w:val="456B7C66"/>
    <w:rsid w:val="45971C9D"/>
    <w:rsid w:val="45C26708"/>
    <w:rsid w:val="465B0489"/>
    <w:rsid w:val="467F004C"/>
    <w:rsid w:val="46891F03"/>
    <w:rsid w:val="46A44FE5"/>
    <w:rsid w:val="46B82A2E"/>
    <w:rsid w:val="47312E17"/>
    <w:rsid w:val="47C22BC4"/>
    <w:rsid w:val="482A7041"/>
    <w:rsid w:val="48393665"/>
    <w:rsid w:val="48DA7D60"/>
    <w:rsid w:val="492C124B"/>
    <w:rsid w:val="493A4258"/>
    <w:rsid w:val="4A913566"/>
    <w:rsid w:val="4B076664"/>
    <w:rsid w:val="4B412930"/>
    <w:rsid w:val="4B7024CE"/>
    <w:rsid w:val="4C056678"/>
    <w:rsid w:val="4D1A0C09"/>
    <w:rsid w:val="4D2E637E"/>
    <w:rsid w:val="4D7C7282"/>
    <w:rsid w:val="4D7E16CF"/>
    <w:rsid w:val="4DBD684E"/>
    <w:rsid w:val="4E7604AA"/>
    <w:rsid w:val="4E9706D1"/>
    <w:rsid w:val="4EE13001"/>
    <w:rsid w:val="4EFB7D4E"/>
    <w:rsid w:val="4FED2029"/>
    <w:rsid w:val="510F017C"/>
    <w:rsid w:val="51404C76"/>
    <w:rsid w:val="51E33AA3"/>
    <w:rsid w:val="52044BD2"/>
    <w:rsid w:val="522C3E14"/>
    <w:rsid w:val="52554DDA"/>
    <w:rsid w:val="526A76D7"/>
    <w:rsid w:val="52C66CD9"/>
    <w:rsid w:val="52DD43FF"/>
    <w:rsid w:val="539309FE"/>
    <w:rsid w:val="53E338B5"/>
    <w:rsid w:val="549206AF"/>
    <w:rsid w:val="54D34AB5"/>
    <w:rsid w:val="55B25874"/>
    <w:rsid w:val="562E602E"/>
    <w:rsid w:val="569F0958"/>
    <w:rsid w:val="56A50E88"/>
    <w:rsid w:val="56D638AE"/>
    <w:rsid w:val="58274828"/>
    <w:rsid w:val="5862469C"/>
    <w:rsid w:val="58C9515C"/>
    <w:rsid w:val="58FE47CD"/>
    <w:rsid w:val="591264D8"/>
    <w:rsid w:val="59E46B15"/>
    <w:rsid w:val="5A442108"/>
    <w:rsid w:val="5A6D48E8"/>
    <w:rsid w:val="5AB45A65"/>
    <w:rsid w:val="5AEA0B9D"/>
    <w:rsid w:val="5B000883"/>
    <w:rsid w:val="5B2F042F"/>
    <w:rsid w:val="5BAA14DC"/>
    <w:rsid w:val="5BCD1C57"/>
    <w:rsid w:val="5C5567AD"/>
    <w:rsid w:val="5D8744DC"/>
    <w:rsid w:val="5DF73062"/>
    <w:rsid w:val="5EFC6160"/>
    <w:rsid w:val="5F382705"/>
    <w:rsid w:val="5FD32BB8"/>
    <w:rsid w:val="5FEE3ADD"/>
    <w:rsid w:val="60585785"/>
    <w:rsid w:val="605A06E3"/>
    <w:rsid w:val="610F586A"/>
    <w:rsid w:val="617D3777"/>
    <w:rsid w:val="619C1603"/>
    <w:rsid w:val="61FA5104"/>
    <w:rsid w:val="623A2EAA"/>
    <w:rsid w:val="62421804"/>
    <w:rsid w:val="62CE6969"/>
    <w:rsid w:val="636D40BF"/>
    <w:rsid w:val="63884BEA"/>
    <w:rsid w:val="63E22D45"/>
    <w:rsid w:val="64271546"/>
    <w:rsid w:val="646F12CB"/>
    <w:rsid w:val="64AB6C0B"/>
    <w:rsid w:val="651A1808"/>
    <w:rsid w:val="654F7774"/>
    <w:rsid w:val="659643BF"/>
    <w:rsid w:val="662D50DE"/>
    <w:rsid w:val="668027A8"/>
    <w:rsid w:val="6712307E"/>
    <w:rsid w:val="68152ED5"/>
    <w:rsid w:val="68A634C4"/>
    <w:rsid w:val="68F004D7"/>
    <w:rsid w:val="6A523D0D"/>
    <w:rsid w:val="6A9C3BCE"/>
    <w:rsid w:val="6AC3410F"/>
    <w:rsid w:val="6BAD025B"/>
    <w:rsid w:val="6BE00739"/>
    <w:rsid w:val="6C4E73BF"/>
    <w:rsid w:val="6C845DAE"/>
    <w:rsid w:val="6D131658"/>
    <w:rsid w:val="6DB647C8"/>
    <w:rsid w:val="6DB77A4D"/>
    <w:rsid w:val="6E850BF1"/>
    <w:rsid w:val="6F052C82"/>
    <w:rsid w:val="6F0837FE"/>
    <w:rsid w:val="6F44193B"/>
    <w:rsid w:val="6FC07081"/>
    <w:rsid w:val="6FE96DEC"/>
    <w:rsid w:val="713825F4"/>
    <w:rsid w:val="71871BB4"/>
    <w:rsid w:val="72073A82"/>
    <w:rsid w:val="725910DB"/>
    <w:rsid w:val="72945BDA"/>
    <w:rsid w:val="72B16086"/>
    <w:rsid w:val="737F1BAB"/>
    <w:rsid w:val="73FA576E"/>
    <w:rsid w:val="7496728D"/>
    <w:rsid w:val="75430630"/>
    <w:rsid w:val="755C0EC2"/>
    <w:rsid w:val="75B82EFB"/>
    <w:rsid w:val="78193C33"/>
    <w:rsid w:val="783D33D2"/>
    <w:rsid w:val="78C310AD"/>
    <w:rsid w:val="79344BF6"/>
    <w:rsid w:val="7940677A"/>
    <w:rsid w:val="79663F69"/>
    <w:rsid w:val="7A7C0E99"/>
    <w:rsid w:val="7A832F88"/>
    <w:rsid w:val="7B317B51"/>
    <w:rsid w:val="7B4D6396"/>
    <w:rsid w:val="7B642FDB"/>
    <w:rsid w:val="7BBF3ABD"/>
    <w:rsid w:val="7CB50FC2"/>
    <w:rsid w:val="7CE57A01"/>
    <w:rsid w:val="7E1978F8"/>
    <w:rsid w:val="7E6D6881"/>
    <w:rsid w:val="7EC26EB8"/>
    <w:rsid w:val="7F594E4D"/>
    <w:rsid w:val="7F8C6271"/>
    <w:rsid w:val="7FB06B04"/>
    <w:rsid w:val="7FF1734C"/>
  </w:rsids>
  <w:docVars>
    <w:docVar w:name="commondata" w:val="eyJoZGlkIjoiNDk5ODZkNDc2NmM1YzZmODBlNGQ1ZGFkMmVlODQ5M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semiHidden="0" w:uiPriority="0" w:unhideWhenUsed="0" w:qFormat="1"/>
    <w:lsdException w:name="Body Text 3" w:uiPriority="0"/>
    <w:lsdException w:name="Body Text Indent 2" w:uiPriority="0"/>
    <w:lsdException w:name="Body Text Indent 3" w:uiPriority="0"/>
    <w:lsdException w:name="Block Text" w:uiPriority="0"/>
    <w:lsdException w:name="Hyperlink" w:semiHidden="0" w:qFormat="1"/>
    <w:lsdException w:name="FollowedHyperlink" w:uiPriority="0"/>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adjustRightInd w:val="0"/>
      <w:snapToGrid w:val="0"/>
      <w:jc w:val="center"/>
    </w:pPr>
    <w:rPr>
      <w:rFonts w:ascii="Times New Roman" w:hAnsi="Times New Roman" w:eastAsiaTheme="minorEastAsia" w:cstheme="minorBidi"/>
      <w:kern w:val="2"/>
      <w:sz w:val="21"/>
      <w:szCs w:val="21"/>
      <w:lang w:val="en-US" w:eastAsia="zh-CN" w:bidi="ar-SA"/>
    </w:rPr>
  </w:style>
  <w:style w:type="paragraph" w:styleId="Heading2">
    <w:name w:val="heading 2"/>
    <w:basedOn w:val="Normal"/>
    <w:next w:val="Normal"/>
    <w:link w:val="21"/>
    <w:uiPriority w:val="9"/>
    <w:semiHidden/>
    <w:unhideWhenUsed/>
    <w:qFormat/>
    <w:pPr>
      <w:keepNext/>
      <w:keepLines/>
      <w:widowControl w:val="0"/>
      <w:adjustRightInd/>
      <w:snapToGrid/>
      <w:spacing w:line="360" w:lineRule="auto"/>
      <w:jc w:val="left"/>
      <w:outlineLvl w:val="1"/>
    </w:pPr>
    <w:rPr>
      <w:rFonts w:ascii="Cambria" w:eastAsia="宋体" w:hAnsi="Cambria" w:cs="宋体"/>
      <w:b/>
      <w:bCs/>
      <w:sz w:val="28"/>
      <w:szCs w:val="32"/>
      <w:lang w:val="zh-CN" w:eastAsia="zh-CN"/>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ocumentMap">
    <w:name w:val="Document Map"/>
    <w:basedOn w:val="Normal"/>
    <w:link w:val="a3"/>
    <w:qFormat/>
    <w:rPr>
      <w:rFonts w:ascii="宋体" w:eastAsia="宋体"/>
      <w:sz w:val="18"/>
      <w:szCs w:val="18"/>
    </w:rPr>
  </w:style>
  <w:style w:type="paragraph" w:styleId="PlainText">
    <w:name w:val="Plain Text"/>
    <w:basedOn w:val="Normal"/>
    <w:link w:val="a5"/>
    <w:qFormat/>
    <w:pPr>
      <w:adjustRightInd/>
      <w:snapToGrid/>
      <w:spacing w:after="200" w:line="276" w:lineRule="auto"/>
      <w:jc w:val="left"/>
    </w:pPr>
    <w:rPr>
      <w:rFonts w:ascii="宋体" w:eastAsia="宋体" w:hAnsi="Courier New" w:cs="Times New Roman"/>
      <w:kern w:val="0"/>
      <w:sz w:val="20"/>
      <w:szCs w:val="20"/>
    </w:rPr>
  </w:style>
  <w:style w:type="paragraph" w:styleId="BalloonText">
    <w:name w:val="Balloon Text"/>
    <w:basedOn w:val="Normal"/>
    <w:link w:val="a4"/>
    <w:qFormat/>
    <w:rPr>
      <w:sz w:val="18"/>
      <w:szCs w:val="18"/>
    </w:rPr>
  </w:style>
  <w:style w:type="paragraph" w:styleId="Footer">
    <w:name w:val="footer"/>
    <w:basedOn w:val="Normal"/>
    <w:link w:val="a1"/>
    <w:uiPriority w:val="99"/>
    <w:qFormat/>
    <w:pPr>
      <w:tabs>
        <w:tab w:val="center" w:pos="4153"/>
        <w:tab w:val="right" w:pos="8306"/>
      </w:tabs>
      <w:jc w:val="left"/>
    </w:pPr>
    <w:rPr>
      <w:sz w:val="18"/>
    </w:rPr>
  </w:style>
  <w:style w:type="paragraph" w:styleId="Header">
    <w:name w:val="header"/>
    <w:basedOn w:val="Normal"/>
    <w:link w:val="a0"/>
    <w:uiPriority w:val="99"/>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TOC1">
    <w:name w:val="toc 1"/>
    <w:basedOn w:val="Normal"/>
    <w:next w:val="Normal"/>
    <w:uiPriority w:val="39"/>
    <w:qFormat/>
    <w:pPr>
      <w:spacing w:line="360" w:lineRule="auto"/>
      <w:jc w:val="left"/>
    </w:pPr>
    <w:rPr>
      <w:rFonts w:eastAsia="宋体" w:cs="Times New Roman"/>
      <w:snapToGrid w:val="0"/>
      <w:kern w:val="0"/>
      <w:sz w:val="28"/>
      <w:szCs w:val="28"/>
    </w:rPr>
  </w:style>
  <w:style w:type="paragraph" w:styleId="TOC2">
    <w:name w:val="toc 2"/>
    <w:basedOn w:val="Normal"/>
    <w:next w:val="Normal"/>
    <w:uiPriority w:val="39"/>
    <w:qFormat/>
    <w:pPr>
      <w:spacing w:line="360" w:lineRule="auto"/>
      <w:ind w:left="100" w:leftChars="100"/>
      <w:jc w:val="left"/>
    </w:pPr>
    <w:rPr>
      <w:rFonts w:eastAsia="宋体" w:cs="Times New Roman"/>
      <w:snapToGrid w:val="0"/>
      <w:kern w:val="0"/>
      <w:sz w:val="24"/>
      <w:szCs w:val="24"/>
    </w:rPr>
  </w:style>
  <w:style w:type="paragraph" w:styleId="BodyText2">
    <w:name w:val="Body Text 2"/>
    <w:basedOn w:val="Normal"/>
    <w:link w:val="2"/>
    <w:qFormat/>
    <w:pPr>
      <w:adjustRightInd/>
      <w:snapToGrid/>
      <w:spacing w:after="120" w:line="480" w:lineRule="auto"/>
      <w:jc w:val="left"/>
    </w:pPr>
    <w:rPr>
      <w:rFonts w:eastAsia="宋体" w:cs="Times New Roman"/>
      <w:kern w:val="0"/>
      <w:sz w:val="20"/>
      <w:szCs w:val="2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rPr>
  </w:style>
  <w:style w:type="paragraph" w:customStyle="1" w:styleId="A">
    <w:name w:val="标题A"/>
    <w:basedOn w:val="Normal"/>
    <w:qFormat/>
    <w:pPr>
      <w:spacing w:line="360" w:lineRule="auto"/>
      <w:ind w:firstLine="200" w:firstLineChars="200"/>
      <w:jc w:val="both"/>
    </w:pPr>
    <w:rPr>
      <w:rFonts w:eastAsia="宋体" w:cs="Times New Roman"/>
      <w:snapToGrid w:val="0"/>
      <w:kern w:val="0"/>
      <w:sz w:val="24"/>
      <w:szCs w:val="24"/>
    </w:rPr>
  </w:style>
  <w:style w:type="paragraph" w:customStyle="1" w:styleId="ParaAttribute40">
    <w:name w:val="ParaAttribute40"/>
    <w:qFormat/>
    <w:pPr>
      <w:widowControl w:val="0"/>
      <w:wordWrap w:val="0"/>
      <w:spacing w:line="260" w:lineRule="exact"/>
    </w:pPr>
    <w:rPr>
      <w:rFonts w:ascii="Times New Roman" w:eastAsia="宋体" w:hAnsi="Times New Roman" w:cs="Times New Roman"/>
      <w:lang w:val="en-US" w:eastAsia="zh-CN" w:bidi="ar-SA"/>
    </w:rPr>
  </w:style>
  <w:style w:type="character" w:customStyle="1" w:styleId="CharAttribute12">
    <w:name w:val="CharAttribute12"/>
    <w:qFormat/>
    <w:rPr>
      <w:rFonts w:ascii="??¨¬?" w:eastAsia="??¨¬?" w:hAnsi="??¨¬?"/>
      <w:sz w:val="24"/>
    </w:rPr>
  </w:style>
  <w:style w:type="character" w:customStyle="1" w:styleId="CharAttribute21">
    <w:name w:val="CharAttribute21"/>
    <w:qFormat/>
    <w:rPr>
      <w:rFonts w:ascii="??¨¬?" w:eastAsia="??¨¬?" w:hAnsi="??¨¬?"/>
      <w:sz w:val="12"/>
    </w:rPr>
  </w:style>
  <w:style w:type="paragraph" w:customStyle="1" w:styleId="ParaAttribute47">
    <w:name w:val="ParaAttribute47"/>
    <w:qFormat/>
    <w:pPr>
      <w:widowControl w:val="0"/>
      <w:wordWrap w:val="0"/>
      <w:spacing w:line="206" w:lineRule="exact"/>
    </w:pPr>
    <w:rPr>
      <w:rFonts w:ascii="Times New Roman" w:eastAsia="宋体" w:hAnsi="Times New Roman" w:cs="Times New Roman"/>
      <w:lang w:val="en-US" w:eastAsia="zh-CN" w:bidi="ar-SA"/>
    </w:rPr>
  </w:style>
  <w:style w:type="paragraph" w:customStyle="1" w:styleId="ParaAttribute59">
    <w:name w:val="ParaAttribute59"/>
    <w:qFormat/>
    <w:pPr>
      <w:widowControl w:val="0"/>
      <w:wordWrap w:val="0"/>
      <w:spacing w:line="259" w:lineRule="exact"/>
    </w:pPr>
    <w:rPr>
      <w:rFonts w:ascii="Times New Roman" w:eastAsia="宋体" w:hAnsi="Times New Roman" w:cs="Times New Roman"/>
      <w:lang w:val="en-US" w:eastAsia="zh-CN" w:bidi="ar-SA"/>
    </w:rPr>
  </w:style>
  <w:style w:type="character" w:customStyle="1" w:styleId="CharAttribute0">
    <w:name w:val="CharAttribute0"/>
    <w:qFormat/>
    <w:rPr>
      <w:rFonts w:ascii="Arial" w:eastAsia="Arial" w:hAnsi="Arial"/>
      <w:sz w:val="19"/>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character" w:customStyle="1" w:styleId="font41">
    <w:name w:val="font41"/>
    <w:qFormat/>
    <w:rPr>
      <w:rFonts w:ascii="宋体" w:eastAsia="宋体" w:hAnsi="宋体" w:cs="宋体" w:hint="eastAsia"/>
      <w:color w:val="000000"/>
      <w:sz w:val="21"/>
      <w:szCs w:val="21"/>
      <w:u w:val="none"/>
    </w:rPr>
  </w:style>
  <w:style w:type="character" w:customStyle="1" w:styleId="font71">
    <w:name w:val="font71"/>
    <w:qFormat/>
    <w:rPr>
      <w:rFonts w:ascii="Times New Roman" w:hAnsi="Times New Roman" w:cs="Times New Roman" w:hint="eastAsia"/>
      <w:color w:val="000000"/>
      <w:sz w:val="21"/>
      <w:szCs w:val="21"/>
      <w:u w:val="none"/>
    </w:rPr>
  </w:style>
  <w:style w:type="paragraph" w:styleId="ListParagraph">
    <w:name w:val="List Paragraph"/>
    <w:basedOn w:val="Normal"/>
    <w:uiPriority w:val="99"/>
    <w:qFormat/>
    <w:pPr>
      <w:ind w:firstLine="420" w:firstLineChars="200"/>
    </w:pPr>
  </w:style>
  <w:style w:type="character" w:customStyle="1" w:styleId="a0">
    <w:name w:val="页眉 字符"/>
    <w:basedOn w:val="DefaultParagraphFont"/>
    <w:link w:val="Header"/>
    <w:uiPriority w:val="99"/>
    <w:qFormat/>
    <w:rPr>
      <w:rFonts w:eastAsiaTheme="minorEastAsia" w:cstheme="minorBidi"/>
      <w:kern w:val="2"/>
      <w:sz w:val="18"/>
      <w:szCs w:val="21"/>
    </w:rPr>
  </w:style>
  <w:style w:type="character" w:customStyle="1" w:styleId="a1">
    <w:name w:val="页脚 字符"/>
    <w:basedOn w:val="DefaultParagraphFont"/>
    <w:link w:val="Footer"/>
    <w:uiPriority w:val="99"/>
    <w:qFormat/>
    <w:rPr>
      <w:rFonts w:eastAsiaTheme="minorEastAsia" w:cstheme="minorBidi"/>
      <w:kern w:val="2"/>
      <w:sz w:val="18"/>
      <w:szCs w:val="21"/>
    </w:rPr>
  </w:style>
  <w:style w:type="character" w:customStyle="1" w:styleId="CharChar">
    <w:name w:val="表头 Char Char"/>
    <w:link w:val="a2"/>
    <w:qFormat/>
    <w:rPr>
      <w:rFonts w:ascii="黑体" w:eastAsia="黑体"/>
    </w:rPr>
  </w:style>
  <w:style w:type="paragraph" w:customStyle="1" w:styleId="a2">
    <w:name w:val="表头"/>
    <w:basedOn w:val="Normal"/>
    <w:link w:val="CharChar"/>
    <w:qFormat/>
    <w:pPr>
      <w:adjustRightInd/>
      <w:snapToGrid/>
      <w:spacing w:line="360" w:lineRule="auto"/>
    </w:pPr>
    <w:rPr>
      <w:rFonts w:ascii="黑体" w:eastAsia="黑体" w:cs="Times New Roman"/>
      <w:kern w:val="0"/>
      <w:sz w:val="20"/>
      <w:szCs w:val="20"/>
    </w:rPr>
  </w:style>
  <w:style w:type="paragraph" w:customStyle="1" w:styleId="5">
    <w:name w:val="！正文ａｌｔ＋5"/>
    <w:basedOn w:val="Normal"/>
    <w:qFormat/>
    <w:pPr>
      <w:snapToGrid/>
      <w:spacing w:line="560" w:lineRule="exact"/>
      <w:ind w:firstLine="560"/>
      <w:jc w:val="left"/>
    </w:pPr>
    <w:rPr>
      <w:rFonts w:ascii="仿宋_GB2312" w:eastAsia="仿宋_GB2312"/>
      <w:sz w:val="28"/>
      <w:szCs w:val="28"/>
    </w:rPr>
  </w:style>
  <w:style w:type="character" w:customStyle="1" w:styleId="font81">
    <w:name w:val="font81"/>
    <w:basedOn w:val="DefaultParagraphFont"/>
    <w:qFormat/>
    <w:rPr>
      <w:rFonts w:ascii="宋体" w:eastAsia="宋体" w:hAnsi="宋体" w:cs="宋体" w:hint="eastAsia"/>
      <w:color w:val="000000"/>
      <w:sz w:val="18"/>
      <w:szCs w:val="18"/>
      <w:u w:val="none"/>
    </w:rPr>
  </w:style>
  <w:style w:type="character" w:customStyle="1" w:styleId="font51">
    <w:name w:val="font51"/>
    <w:basedOn w:val="DefaultParagraphFont"/>
    <w:qFormat/>
    <w:rPr>
      <w:rFonts w:ascii="宋体" w:eastAsia="宋体" w:hAnsi="宋体" w:cs="宋体" w:hint="eastAsia"/>
      <w:color w:val="000000"/>
      <w:sz w:val="21"/>
      <w:szCs w:val="21"/>
      <w:u w:val="none"/>
    </w:rPr>
  </w:style>
  <w:style w:type="character" w:customStyle="1" w:styleId="font61">
    <w:name w:val="font6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Times New Roman" w:hAnsi="Times New Roman" w:cs="Times New Roman" w:hint="default"/>
      <w:color w:val="FF0000"/>
      <w:sz w:val="21"/>
      <w:szCs w:val="21"/>
      <w:u w:val="none"/>
    </w:rPr>
  </w:style>
  <w:style w:type="character" w:customStyle="1" w:styleId="font11">
    <w:name w:val="font11"/>
    <w:basedOn w:val="DefaultParagraphFont"/>
    <w:qFormat/>
    <w:rPr>
      <w:rFonts w:ascii="Times New Roman" w:hAnsi="Times New Roman" w:cs="Times New Roman" w:hint="default"/>
      <w:color w:val="000000"/>
      <w:sz w:val="21"/>
      <w:szCs w:val="21"/>
      <w:u w:val="none"/>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a3">
    <w:name w:val="文档结构图 字符"/>
    <w:basedOn w:val="DefaultParagraphFont"/>
    <w:link w:val="DocumentMap"/>
    <w:qFormat/>
    <w:rPr>
      <w:rFonts w:ascii="宋体" w:cstheme="minorBidi"/>
      <w:kern w:val="2"/>
      <w:sz w:val="18"/>
      <w:szCs w:val="18"/>
    </w:rPr>
  </w:style>
  <w:style w:type="character" w:customStyle="1" w:styleId="a4">
    <w:name w:val="批注框文本 字符"/>
    <w:basedOn w:val="DefaultParagraphFont"/>
    <w:link w:val="BalloonText"/>
    <w:qFormat/>
    <w:rPr>
      <w:rFonts w:eastAsiaTheme="minorEastAsia" w:cstheme="minorBidi"/>
      <w:kern w:val="2"/>
      <w:sz w:val="18"/>
      <w:szCs w:val="18"/>
    </w:rPr>
  </w:style>
  <w:style w:type="character" w:customStyle="1" w:styleId="Char3">
    <w:name w:val="纯文本 Char3"/>
    <w:qFormat/>
    <w:rPr>
      <w:rFonts w:ascii="宋体" w:hAnsi="Courier New"/>
    </w:rPr>
  </w:style>
  <w:style w:type="character" w:customStyle="1" w:styleId="a5">
    <w:name w:val="纯文本 字符"/>
    <w:basedOn w:val="DefaultParagraphFont"/>
    <w:link w:val="PlainText"/>
    <w:qFormat/>
    <w:rPr>
      <w:rFonts w:ascii="宋体" w:hAnsi="Courier New" w:cs="Courier New"/>
      <w:kern w:val="2"/>
      <w:sz w:val="21"/>
      <w:szCs w:val="21"/>
    </w:rPr>
  </w:style>
  <w:style w:type="character" w:customStyle="1" w:styleId="2Char1">
    <w:name w:val="正文文本 2 Char1"/>
    <w:qFormat/>
  </w:style>
  <w:style w:type="character" w:customStyle="1" w:styleId="2">
    <w:name w:val="正文文本 2 字符"/>
    <w:basedOn w:val="DefaultParagraphFont"/>
    <w:link w:val="BodyText2"/>
    <w:qFormat/>
    <w:rPr>
      <w:rFonts w:eastAsiaTheme="minorEastAsia" w:cstheme="minorBidi"/>
      <w:kern w:val="2"/>
      <w:sz w:val="21"/>
      <w:szCs w:val="21"/>
    </w:rPr>
  </w:style>
  <w:style w:type="character" w:customStyle="1" w:styleId="20">
    <w:name w:val="标题 2 字符"/>
    <w:basedOn w:val="DefaultParagraphFont"/>
    <w:semiHidden/>
    <w:qFormat/>
    <w:rPr>
      <w:rFonts w:asciiTheme="majorHAnsi" w:eastAsiaTheme="majorEastAsia" w:hAnsiTheme="majorHAnsi" w:cstheme="majorBidi"/>
      <w:b/>
      <w:bCs/>
      <w:kern w:val="2"/>
      <w:sz w:val="32"/>
      <w:szCs w:val="32"/>
    </w:rPr>
  </w:style>
  <w:style w:type="character" w:customStyle="1" w:styleId="21">
    <w:name w:val="标题 2 字符1"/>
    <w:link w:val="Heading2"/>
    <w:uiPriority w:val="9"/>
    <w:semiHidden/>
    <w:qFormat/>
    <w:locked/>
    <w:rPr>
      <w:rFonts w:ascii="Cambria" w:hAnsi="Cambria" w:cs="宋体"/>
      <w:b/>
      <w:bCs/>
      <w:kern w:val="2"/>
      <w:sz w:val="28"/>
      <w:szCs w:val="32"/>
      <w:lang w:val="zh-CN" w:eastAsia="zh-CN"/>
    </w:rPr>
  </w:style>
  <w:style w:type="paragraph" w:customStyle="1" w:styleId="p0">
    <w:name w:val="p0"/>
    <w:basedOn w:val="Normal"/>
    <w:qFormat/>
    <w:pPr>
      <w:adjustRightInd/>
      <w:snapToGrid/>
      <w:spacing w:line="408" w:lineRule="auto"/>
      <w:ind w:left="1"/>
      <w:jc w:val="both"/>
    </w:pPr>
    <w:rPr>
      <w:rFonts w:eastAsia="宋体" w:cs="Times New Roman"/>
      <w:color w:val="000000"/>
      <w:kern w:val="0"/>
      <w:sz w:val="30"/>
      <w:szCs w:val="30"/>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1.jpeg" /><Relationship Id="rId18" Type="http://schemas.openxmlformats.org/officeDocument/2006/relationships/image" Target="media/image2.jpe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3.jpeg"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image" Target="media/image4.jpeg"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5.jpeg" /><Relationship Id="rId28" Type="http://schemas.openxmlformats.org/officeDocument/2006/relationships/image" Target="media/image6.jpe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7.jpeg"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yperlink" Target="https://d.book118.com/527113151165006024" TargetMode="Externa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723A73-597D-414C-8399-A6C52CA9F18C}">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9925</Words>
  <Characters>11755</Characters>
  <Application>Microsoft Office Word</Application>
  <DocSecurity>0</DocSecurity>
  <Lines>99</Lines>
  <Paragraphs>28</Paragraphs>
  <ScaleCrop>false</ScaleCrop>
  <Company/>
  <LinksUpToDate>false</LinksUpToDate>
  <CharactersWithSpaces>12000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委员</cp:lastModifiedBy>
  <cp:revision>83</cp:revision>
  <cp:lastPrinted>2023-02-14T05:18:00Z</cp:lastPrinted>
  <dcterms:created xsi:type="dcterms:W3CDTF">2020-03-30T08:59:00Z</dcterms:created>
  <dcterms:modified xsi:type="dcterms:W3CDTF">2023-04-02T12:31:41Z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B89D510E186F4284B1B47F802035BA6A</vt:lpwstr>
  </property>
  <property fmtid="{D5CDD505-2E9C-101B-9397-08002B2CF9AE}" pid="3" name="KSOProductBuildVer">
    <vt:lpwstr>2052-11.1.0.14036</vt:lpwstr>
  </property>
</Properties>
</file>