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植物稳态营养肥料项目规划设计纲要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72" w:history="1">
        <w:r>
          <w:rPr>
            <w:rFonts w:ascii="仿宋" w:eastAsia="仿宋" w:hAnsi="仿宋" w:cs="仿宋" w:hint="eastAsia"/>
            <w:lang w:eastAsia="zh-CN"/>
          </w:rPr>
          <w:t>概论</w:t>
        </w:r>
        <w:r>
          <w:tab/>
        </w:r>
        <w:r>
          <w:fldChar w:fldCharType="begin"/>
        </w:r>
        <w:r>
          <w:instrText xml:space="preserve"> PAGEREF _Toc14672 \h </w:instrText>
        </w:r>
        <w:r>
          <w:fldChar w:fldCharType="separate"/>
        </w:r>
        <w:r>
          <w:t>3</w:t>
        </w:r>
        <w:r>
          <w:fldChar w:fldCharType="end"/>
        </w:r>
      </w:hyperlink>
    </w:p>
    <w:p>
      <w:pPr>
        <w:pStyle w:val="TOC1"/>
        <w:tabs>
          <w:tab w:val="right" w:leader="dot" w:pos="8306"/>
        </w:tabs>
      </w:pPr>
      <w:hyperlink w:anchor="_Toc21744" w:history="1">
        <w:r>
          <w:rPr>
            <w:rFonts w:ascii="仿宋" w:eastAsia="仿宋" w:hAnsi="仿宋" w:cs="仿宋" w:hint="eastAsia"/>
            <w:lang w:eastAsia="zh-CN"/>
          </w:rPr>
          <w:t>一、植物稳态营养肥料项目建设单位说明</w:t>
        </w:r>
        <w:r>
          <w:tab/>
        </w:r>
        <w:r>
          <w:fldChar w:fldCharType="begin"/>
        </w:r>
        <w:r>
          <w:instrText xml:space="preserve"> PAGEREF _Toc21744 \h </w:instrText>
        </w:r>
        <w:r>
          <w:fldChar w:fldCharType="separate"/>
        </w:r>
        <w:r>
          <w:t>3</w:t>
        </w:r>
        <w:r>
          <w:fldChar w:fldCharType="end"/>
        </w:r>
      </w:hyperlink>
    </w:p>
    <w:p>
      <w:pPr>
        <w:pStyle w:val="TOC2"/>
        <w:tabs>
          <w:tab w:val="right" w:leader="dot" w:pos="8306"/>
        </w:tabs>
      </w:pPr>
      <w:hyperlink w:anchor="_Toc26226" w:history="1">
        <w:r>
          <w:rPr>
            <w:rFonts w:ascii="仿宋" w:eastAsia="仿宋" w:hAnsi="仿宋" w:cs="仿宋" w:hint="eastAsia"/>
            <w:lang w:eastAsia="zh-CN"/>
          </w:rPr>
          <w:t>(一)、植物稳态营养肥料项目承办单位基本情况</w:t>
        </w:r>
        <w:r>
          <w:tab/>
        </w:r>
        <w:r>
          <w:fldChar w:fldCharType="begin"/>
        </w:r>
        <w:r>
          <w:instrText xml:space="preserve"> PAGEREF _Toc26226 \h </w:instrText>
        </w:r>
        <w:r>
          <w:fldChar w:fldCharType="separate"/>
        </w:r>
        <w:r>
          <w:t>3</w:t>
        </w:r>
        <w:r>
          <w:fldChar w:fldCharType="end"/>
        </w:r>
      </w:hyperlink>
    </w:p>
    <w:p>
      <w:pPr>
        <w:pStyle w:val="TOC2"/>
        <w:tabs>
          <w:tab w:val="right" w:leader="dot" w:pos="8306"/>
        </w:tabs>
      </w:pPr>
      <w:hyperlink w:anchor="_Toc19319" w:history="1">
        <w:r>
          <w:rPr>
            <w:rFonts w:ascii="仿宋" w:eastAsia="仿宋" w:hAnsi="仿宋" w:cs="仿宋" w:hint="eastAsia"/>
            <w:lang w:eastAsia="zh-CN"/>
          </w:rPr>
          <w:t>(二)、公司经济效益分析</w:t>
        </w:r>
        <w:r>
          <w:tab/>
        </w:r>
        <w:r>
          <w:fldChar w:fldCharType="begin"/>
        </w:r>
        <w:r>
          <w:instrText xml:space="preserve"> PAGEREF _Toc19319 \h </w:instrText>
        </w:r>
        <w:r>
          <w:fldChar w:fldCharType="separate"/>
        </w:r>
        <w:r>
          <w:t>4</w:t>
        </w:r>
        <w:r>
          <w:fldChar w:fldCharType="end"/>
        </w:r>
      </w:hyperlink>
    </w:p>
    <w:p>
      <w:pPr>
        <w:pStyle w:val="TOC1"/>
        <w:tabs>
          <w:tab w:val="right" w:leader="dot" w:pos="8306"/>
        </w:tabs>
      </w:pPr>
      <w:hyperlink w:anchor="_Toc15291" w:history="1">
        <w:r>
          <w:rPr>
            <w:rFonts w:ascii="仿宋" w:eastAsia="仿宋" w:hAnsi="仿宋" w:cs="仿宋" w:hint="eastAsia"/>
            <w:lang w:eastAsia="zh-CN"/>
          </w:rPr>
          <w:t>二、产品规划分析</w:t>
        </w:r>
        <w:r>
          <w:tab/>
        </w:r>
        <w:r>
          <w:fldChar w:fldCharType="begin"/>
        </w:r>
        <w:r>
          <w:instrText xml:space="preserve"> PAGEREF _Toc15291 \h </w:instrText>
        </w:r>
        <w:r>
          <w:fldChar w:fldCharType="separate"/>
        </w:r>
        <w:r>
          <w:t>5</w:t>
        </w:r>
        <w:r>
          <w:fldChar w:fldCharType="end"/>
        </w:r>
      </w:hyperlink>
    </w:p>
    <w:p>
      <w:pPr>
        <w:pStyle w:val="TOC2"/>
        <w:tabs>
          <w:tab w:val="right" w:leader="dot" w:pos="8306"/>
        </w:tabs>
      </w:pPr>
      <w:hyperlink w:anchor="_Toc2345" w:history="1">
        <w:r>
          <w:rPr>
            <w:rFonts w:ascii="仿宋" w:eastAsia="仿宋" w:hAnsi="仿宋" w:cs="仿宋" w:hint="eastAsia"/>
            <w:lang w:eastAsia="zh-CN"/>
          </w:rPr>
          <w:t>(一)、产品规划</w:t>
        </w:r>
        <w:r>
          <w:tab/>
        </w:r>
        <w:r>
          <w:fldChar w:fldCharType="begin"/>
        </w:r>
        <w:r>
          <w:instrText xml:space="preserve"> PAGEREF _Toc2345 \h </w:instrText>
        </w:r>
        <w:r>
          <w:fldChar w:fldCharType="separate"/>
        </w:r>
        <w:r>
          <w:t>5</w:t>
        </w:r>
        <w:r>
          <w:fldChar w:fldCharType="end"/>
        </w:r>
      </w:hyperlink>
    </w:p>
    <w:p>
      <w:pPr>
        <w:pStyle w:val="TOC2"/>
        <w:tabs>
          <w:tab w:val="right" w:leader="dot" w:pos="8306"/>
        </w:tabs>
      </w:pPr>
      <w:hyperlink w:anchor="_Toc4507" w:history="1">
        <w:r>
          <w:rPr>
            <w:rFonts w:ascii="仿宋" w:eastAsia="仿宋" w:hAnsi="仿宋" w:cs="仿宋" w:hint="eastAsia"/>
            <w:lang w:eastAsia="zh-CN"/>
          </w:rPr>
          <w:t>(二)、建设规模</w:t>
        </w:r>
        <w:r>
          <w:tab/>
        </w:r>
        <w:r>
          <w:fldChar w:fldCharType="begin"/>
        </w:r>
        <w:r>
          <w:instrText xml:space="preserve"> PAGEREF _Toc4507 \h </w:instrText>
        </w:r>
        <w:r>
          <w:fldChar w:fldCharType="separate"/>
        </w:r>
        <w:r>
          <w:t>5</w:t>
        </w:r>
        <w:r>
          <w:fldChar w:fldCharType="end"/>
        </w:r>
      </w:hyperlink>
    </w:p>
    <w:p>
      <w:pPr>
        <w:pStyle w:val="TOC1"/>
        <w:tabs>
          <w:tab w:val="right" w:leader="dot" w:pos="8306"/>
        </w:tabs>
      </w:pPr>
      <w:hyperlink w:anchor="_Toc961" w:history="1">
        <w:r>
          <w:rPr>
            <w:rFonts w:ascii="仿宋" w:eastAsia="仿宋" w:hAnsi="仿宋" w:cs="仿宋" w:hint="eastAsia"/>
            <w:lang w:eastAsia="zh-CN"/>
          </w:rPr>
          <w:t>三、工艺说明</w:t>
        </w:r>
        <w:r>
          <w:tab/>
        </w:r>
        <w:r>
          <w:fldChar w:fldCharType="begin"/>
        </w:r>
        <w:r>
          <w:instrText xml:space="preserve"> PAGEREF _Toc961 \h </w:instrText>
        </w:r>
        <w:r>
          <w:fldChar w:fldCharType="separate"/>
        </w:r>
        <w:r>
          <w:t>7</w:t>
        </w:r>
        <w:r>
          <w:fldChar w:fldCharType="end"/>
        </w:r>
      </w:hyperlink>
    </w:p>
    <w:p>
      <w:pPr>
        <w:pStyle w:val="TOC2"/>
        <w:tabs>
          <w:tab w:val="right" w:leader="dot" w:pos="8306"/>
        </w:tabs>
      </w:pPr>
      <w:hyperlink w:anchor="_Toc12745" w:history="1">
        <w:r>
          <w:rPr>
            <w:rFonts w:ascii="仿宋" w:eastAsia="仿宋" w:hAnsi="仿宋" w:cs="仿宋" w:hint="eastAsia"/>
            <w:lang w:eastAsia="zh-CN"/>
          </w:rPr>
          <w:t>(一)、技术管理特点</w:t>
        </w:r>
        <w:r>
          <w:tab/>
        </w:r>
        <w:r>
          <w:fldChar w:fldCharType="begin"/>
        </w:r>
        <w:r>
          <w:instrText xml:space="preserve"> PAGEREF _Toc12745 \h </w:instrText>
        </w:r>
        <w:r>
          <w:fldChar w:fldCharType="separate"/>
        </w:r>
        <w:r>
          <w:t>7</w:t>
        </w:r>
        <w:r>
          <w:fldChar w:fldCharType="end"/>
        </w:r>
      </w:hyperlink>
    </w:p>
    <w:p>
      <w:pPr>
        <w:pStyle w:val="TOC2"/>
        <w:tabs>
          <w:tab w:val="right" w:leader="dot" w:pos="8306"/>
        </w:tabs>
      </w:pPr>
      <w:hyperlink w:anchor="_Toc25975" w:history="1">
        <w:r>
          <w:rPr>
            <w:rFonts w:ascii="仿宋" w:eastAsia="仿宋" w:hAnsi="仿宋" w:cs="仿宋" w:hint="eastAsia"/>
            <w:lang w:eastAsia="zh-CN"/>
          </w:rPr>
          <w:t>(二)、植物稳态营养肥料项目工艺技术设计方案</w:t>
        </w:r>
        <w:r>
          <w:tab/>
        </w:r>
        <w:r>
          <w:fldChar w:fldCharType="begin"/>
        </w:r>
        <w:r>
          <w:instrText xml:space="preserve"> PAGEREF _Toc25975 \h </w:instrText>
        </w:r>
        <w:r>
          <w:fldChar w:fldCharType="separate"/>
        </w:r>
        <w:r>
          <w:t>8</w:t>
        </w:r>
        <w:r>
          <w:fldChar w:fldCharType="end"/>
        </w:r>
      </w:hyperlink>
    </w:p>
    <w:p>
      <w:pPr>
        <w:pStyle w:val="TOC2"/>
        <w:tabs>
          <w:tab w:val="right" w:leader="dot" w:pos="8306"/>
        </w:tabs>
      </w:pPr>
      <w:hyperlink w:anchor="_Toc28558" w:history="1">
        <w:r>
          <w:rPr>
            <w:rFonts w:ascii="仿宋" w:eastAsia="仿宋" w:hAnsi="仿宋" w:cs="仿宋" w:hint="eastAsia"/>
            <w:lang w:eastAsia="zh-CN"/>
          </w:rPr>
          <w:t>(三)、设备选型方案</w:t>
        </w:r>
        <w:r>
          <w:tab/>
        </w:r>
        <w:r>
          <w:fldChar w:fldCharType="begin"/>
        </w:r>
        <w:r>
          <w:instrText xml:space="preserve"> PAGEREF _Toc28558 \h </w:instrText>
        </w:r>
        <w:r>
          <w:fldChar w:fldCharType="separate"/>
        </w:r>
        <w:r>
          <w:t>9</w:t>
        </w:r>
        <w:r>
          <w:fldChar w:fldCharType="end"/>
        </w:r>
      </w:hyperlink>
    </w:p>
    <w:p>
      <w:pPr>
        <w:pStyle w:val="TOC1"/>
        <w:tabs>
          <w:tab w:val="right" w:leader="dot" w:pos="8306"/>
        </w:tabs>
      </w:pPr>
      <w:hyperlink w:anchor="_Toc1685" w:history="1">
        <w:r>
          <w:rPr>
            <w:rFonts w:ascii="仿宋" w:eastAsia="仿宋" w:hAnsi="仿宋" w:cs="仿宋" w:hint="eastAsia"/>
            <w:lang w:eastAsia="zh-CN"/>
          </w:rPr>
          <w:t>四、植物稳态营养肥料项目建设背景及必要性分析</w:t>
        </w:r>
        <w:r>
          <w:tab/>
        </w:r>
        <w:r>
          <w:fldChar w:fldCharType="begin"/>
        </w:r>
        <w:r>
          <w:instrText xml:space="preserve"> PAGEREF _Toc1685 \h </w:instrText>
        </w:r>
        <w:r>
          <w:fldChar w:fldCharType="separate"/>
        </w:r>
        <w:r>
          <w:t>11</w:t>
        </w:r>
        <w:r>
          <w:fldChar w:fldCharType="end"/>
        </w:r>
      </w:hyperlink>
    </w:p>
    <w:p>
      <w:pPr>
        <w:pStyle w:val="TOC2"/>
        <w:tabs>
          <w:tab w:val="right" w:leader="dot" w:pos="8306"/>
        </w:tabs>
      </w:pPr>
      <w:hyperlink w:anchor="_Toc29582" w:history="1">
        <w:r>
          <w:rPr>
            <w:rFonts w:ascii="仿宋" w:eastAsia="仿宋" w:hAnsi="仿宋" w:cs="仿宋" w:hint="eastAsia"/>
            <w:lang w:eastAsia="zh-CN"/>
          </w:rPr>
          <w:t>(一)、植物稳态营养肥料项目背景分析</w:t>
        </w:r>
        <w:r>
          <w:tab/>
        </w:r>
        <w:r>
          <w:fldChar w:fldCharType="begin"/>
        </w:r>
        <w:r>
          <w:instrText xml:space="preserve"> PAGEREF _Toc29582 \h </w:instrText>
        </w:r>
        <w:r>
          <w:fldChar w:fldCharType="separate"/>
        </w:r>
        <w:r>
          <w:t>11</w:t>
        </w:r>
        <w:r>
          <w:fldChar w:fldCharType="end"/>
        </w:r>
      </w:hyperlink>
    </w:p>
    <w:p>
      <w:pPr>
        <w:pStyle w:val="TOC2"/>
        <w:tabs>
          <w:tab w:val="right" w:leader="dot" w:pos="8306"/>
        </w:tabs>
      </w:pPr>
      <w:hyperlink w:anchor="_Toc24749" w:history="1">
        <w:r>
          <w:rPr>
            <w:rFonts w:ascii="仿宋" w:eastAsia="仿宋" w:hAnsi="仿宋" w:cs="仿宋" w:hint="eastAsia"/>
            <w:lang w:eastAsia="zh-CN"/>
          </w:rPr>
          <w:t>(二)、植物稳态营养肥料项目建设必要性分析</w:t>
        </w:r>
        <w:r>
          <w:tab/>
        </w:r>
        <w:r>
          <w:fldChar w:fldCharType="begin"/>
        </w:r>
        <w:r>
          <w:instrText xml:space="preserve"> PAGEREF _Toc24749 \h </w:instrText>
        </w:r>
        <w:r>
          <w:fldChar w:fldCharType="separate"/>
        </w:r>
        <w:r>
          <w:t>12</w:t>
        </w:r>
        <w:r>
          <w:fldChar w:fldCharType="end"/>
        </w:r>
      </w:hyperlink>
    </w:p>
    <w:p>
      <w:pPr>
        <w:pStyle w:val="TOC1"/>
        <w:tabs>
          <w:tab w:val="right" w:leader="dot" w:pos="8306"/>
        </w:tabs>
      </w:pPr>
      <w:hyperlink w:anchor="_Toc24227" w:history="1">
        <w:r>
          <w:rPr>
            <w:rFonts w:ascii="仿宋" w:eastAsia="仿宋" w:hAnsi="仿宋" w:cs="仿宋" w:hint="eastAsia"/>
            <w:lang w:eastAsia="zh-CN"/>
          </w:rPr>
          <w:t>五、植物稳态营养肥料项目选址可行性分析</w:t>
        </w:r>
        <w:r>
          <w:tab/>
        </w:r>
        <w:r>
          <w:fldChar w:fldCharType="begin"/>
        </w:r>
        <w:r>
          <w:instrText xml:space="preserve"> PAGEREF _Toc24227 \h </w:instrText>
        </w:r>
        <w:r>
          <w:fldChar w:fldCharType="separate"/>
        </w:r>
        <w:r>
          <w:t>14</w:t>
        </w:r>
        <w:r>
          <w:fldChar w:fldCharType="end"/>
        </w:r>
      </w:hyperlink>
    </w:p>
    <w:p>
      <w:pPr>
        <w:pStyle w:val="TOC2"/>
        <w:tabs>
          <w:tab w:val="right" w:leader="dot" w:pos="8306"/>
        </w:tabs>
      </w:pPr>
      <w:hyperlink w:anchor="_Toc12407" w:history="1">
        <w:r>
          <w:rPr>
            <w:rFonts w:ascii="仿宋" w:eastAsia="仿宋" w:hAnsi="仿宋" w:cs="仿宋" w:hint="eastAsia"/>
            <w:lang w:eastAsia="zh-CN"/>
          </w:rPr>
          <w:t>(一)、植物稳态营养肥料项目选址</w:t>
        </w:r>
        <w:r>
          <w:tab/>
        </w:r>
        <w:r>
          <w:fldChar w:fldCharType="begin"/>
        </w:r>
        <w:r>
          <w:instrText xml:space="preserve"> PAGEREF _Toc12407 \h </w:instrText>
        </w:r>
        <w:r>
          <w:fldChar w:fldCharType="separate"/>
        </w:r>
        <w:r>
          <w:t>14</w:t>
        </w:r>
        <w:r>
          <w:fldChar w:fldCharType="end"/>
        </w:r>
      </w:hyperlink>
    </w:p>
    <w:p>
      <w:pPr>
        <w:pStyle w:val="TOC2"/>
        <w:tabs>
          <w:tab w:val="right" w:leader="dot" w:pos="8306"/>
        </w:tabs>
      </w:pPr>
      <w:hyperlink w:anchor="_Toc17607" w:history="1">
        <w:r>
          <w:rPr>
            <w:rFonts w:ascii="仿宋" w:eastAsia="仿宋" w:hAnsi="仿宋" w:cs="仿宋" w:hint="eastAsia"/>
            <w:lang w:eastAsia="zh-CN"/>
          </w:rPr>
          <w:t>(二)、用地控制指标</w:t>
        </w:r>
        <w:r>
          <w:tab/>
        </w:r>
        <w:r>
          <w:fldChar w:fldCharType="begin"/>
        </w:r>
        <w:r>
          <w:instrText xml:space="preserve"> PAGEREF _Toc17607 \h </w:instrText>
        </w:r>
        <w:r>
          <w:fldChar w:fldCharType="separate"/>
        </w:r>
        <w:r>
          <w:t>14</w:t>
        </w:r>
        <w:r>
          <w:fldChar w:fldCharType="end"/>
        </w:r>
      </w:hyperlink>
    </w:p>
    <w:p>
      <w:pPr>
        <w:pStyle w:val="TOC2"/>
        <w:tabs>
          <w:tab w:val="right" w:leader="dot" w:pos="8306"/>
        </w:tabs>
      </w:pPr>
      <w:hyperlink w:anchor="_Toc25504" w:history="1">
        <w:r>
          <w:rPr>
            <w:rFonts w:ascii="仿宋" w:eastAsia="仿宋" w:hAnsi="仿宋" w:cs="仿宋" w:hint="eastAsia"/>
            <w:lang w:eastAsia="zh-CN"/>
          </w:rPr>
          <w:t>(三)、节约用地措施</w:t>
        </w:r>
        <w:r>
          <w:tab/>
        </w:r>
        <w:r>
          <w:fldChar w:fldCharType="begin"/>
        </w:r>
        <w:r>
          <w:instrText xml:space="preserve"> PAGEREF _Toc25504 \h </w:instrText>
        </w:r>
        <w:r>
          <w:fldChar w:fldCharType="separate"/>
        </w:r>
        <w:r>
          <w:t>16</w:t>
        </w:r>
        <w:r>
          <w:fldChar w:fldCharType="end"/>
        </w:r>
      </w:hyperlink>
    </w:p>
    <w:p>
      <w:pPr>
        <w:pStyle w:val="TOC2"/>
        <w:tabs>
          <w:tab w:val="right" w:leader="dot" w:pos="8306"/>
        </w:tabs>
      </w:pPr>
      <w:hyperlink w:anchor="_Toc18469" w:history="1">
        <w:r>
          <w:rPr>
            <w:rFonts w:ascii="仿宋" w:eastAsia="仿宋" w:hAnsi="仿宋" w:cs="仿宋" w:hint="eastAsia"/>
            <w:lang w:eastAsia="zh-CN"/>
          </w:rPr>
          <w:t>(四)、总图布置方案</w:t>
        </w:r>
        <w:r>
          <w:tab/>
        </w:r>
        <w:r>
          <w:fldChar w:fldCharType="begin"/>
        </w:r>
        <w:r>
          <w:instrText xml:space="preserve"> PAGEREF _Toc18469 \h </w:instrText>
        </w:r>
        <w:r>
          <w:fldChar w:fldCharType="separate"/>
        </w:r>
        <w:r>
          <w:t>17</w:t>
        </w:r>
        <w:r>
          <w:fldChar w:fldCharType="end"/>
        </w:r>
      </w:hyperlink>
    </w:p>
    <w:p>
      <w:pPr>
        <w:pStyle w:val="TOC2"/>
        <w:tabs>
          <w:tab w:val="right" w:leader="dot" w:pos="8306"/>
        </w:tabs>
      </w:pPr>
      <w:hyperlink w:anchor="_Toc6676" w:history="1">
        <w:r>
          <w:rPr>
            <w:rFonts w:ascii="仿宋" w:eastAsia="仿宋" w:hAnsi="仿宋" w:cs="仿宋" w:hint="eastAsia"/>
            <w:lang w:eastAsia="zh-CN"/>
          </w:rPr>
          <w:t>(五)、选址综合评价</w:t>
        </w:r>
        <w:r>
          <w:tab/>
        </w:r>
        <w:r>
          <w:fldChar w:fldCharType="begin"/>
        </w:r>
        <w:r>
          <w:instrText xml:space="preserve"> PAGEREF _Toc6676 \h </w:instrText>
        </w:r>
        <w:r>
          <w:fldChar w:fldCharType="separate"/>
        </w:r>
        <w:r>
          <w:t>18</w:t>
        </w:r>
        <w:r>
          <w:fldChar w:fldCharType="end"/>
        </w:r>
      </w:hyperlink>
    </w:p>
    <w:p>
      <w:pPr>
        <w:pStyle w:val="TOC1"/>
        <w:tabs>
          <w:tab w:val="right" w:leader="dot" w:pos="8306"/>
        </w:tabs>
      </w:pPr>
      <w:hyperlink w:anchor="_Toc7617" w:history="1">
        <w:r>
          <w:rPr>
            <w:rFonts w:ascii="仿宋" w:eastAsia="仿宋" w:hAnsi="仿宋" w:cs="仿宋" w:hint="eastAsia"/>
            <w:lang w:eastAsia="zh-CN"/>
          </w:rPr>
          <w:t>六、植物稳态营养肥料项目土建工程</w:t>
        </w:r>
        <w:r>
          <w:tab/>
        </w:r>
        <w:r>
          <w:fldChar w:fldCharType="begin"/>
        </w:r>
        <w:r>
          <w:instrText xml:space="preserve"> PAGEREF _Toc7617 \h </w:instrText>
        </w:r>
        <w:r>
          <w:fldChar w:fldCharType="separate"/>
        </w:r>
        <w:r>
          <w:t>19</w:t>
        </w:r>
        <w:r>
          <w:fldChar w:fldCharType="end"/>
        </w:r>
      </w:hyperlink>
    </w:p>
    <w:p>
      <w:pPr>
        <w:pStyle w:val="TOC2"/>
        <w:tabs>
          <w:tab w:val="right" w:leader="dot" w:pos="8306"/>
        </w:tabs>
      </w:pPr>
      <w:hyperlink w:anchor="_Toc32386" w:history="1">
        <w:r>
          <w:rPr>
            <w:rFonts w:ascii="仿宋" w:eastAsia="仿宋" w:hAnsi="仿宋" w:cs="仿宋" w:hint="eastAsia"/>
            <w:lang w:eastAsia="zh-CN"/>
          </w:rPr>
          <w:t>(一)、建筑工程设计原则</w:t>
        </w:r>
        <w:r>
          <w:tab/>
        </w:r>
        <w:r>
          <w:fldChar w:fldCharType="begin"/>
        </w:r>
        <w:r>
          <w:instrText xml:space="preserve"> PAGEREF _Toc32386 \h </w:instrText>
        </w:r>
        <w:r>
          <w:fldChar w:fldCharType="separate"/>
        </w:r>
        <w:r>
          <w:t>19</w:t>
        </w:r>
        <w:r>
          <w:fldChar w:fldCharType="end"/>
        </w:r>
      </w:hyperlink>
    </w:p>
    <w:p>
      <w:pPr>
        <w:pStyle w:val="TOC2"/>
        <w:tabs>
          <w:tab w:val="right" w:leader="dot" w:pos="8306"/>
        </w:tabs>
      </w:pPr>
      <w:hyperlink w:anchor="_Toc20569" w:history="1">
        <w:r>
          <w:rPr>
            <w:rFonts w:ascii="仿宋" w:eastAsia="仿宋" w:hAnsi="仿宋" w:cs="仿宋" w:hint="eastAsia"/>
            <w:lang w:eastAsia="zh-CN"/>
          </w:rPr>
          <w:t>(二)、土建工程设计年限及安全等级</w:t>
        </w:r>
        <w:r>
          <w:tab/>
        </w:r>
        <w:r>
          <w:fldChar w:fldCharType="begin"/>
        </w:r>
        <w:r>
          <w:instrText xml:space="preserve"> PAGEREF _Toc20569 \h </w:instrText>
        </w:r>
        <w:r>
          <w:fldChar w:fldCharType="separate"/>
        </w:r>
        <w:r>
          <w:t>21</w:t>
        </w:r>
        <w:r>
          <w:fldChar w:fldCharType="end"/>
        </w:r>
      </w:hyperlink>
    </w:p>
    <w:p>
      <w:pPr>
        <w:pStyle w:val="TOC2"/>
        <w:tabs>
          <w:tab w:val="right" w:leader="dot" w:pos="8306"/>
        </w:tabs>
      </w:pPr>
      <w:hyperlink w:anchor="_Toc6195" w:history="1">
        <w:r>
          <w:rPr>
            <w:rFonts w:ascii="仿宋" w:eastAsia="仿宋" w:hAnsi="仿宋" w:cs="仿宋" w:hint="eastAsia"/>
            <w:lang w:eastAsia="zh-CN"/>
          </w:rPr>
          <w:t>(三)、建筑工程设计总体要求</w:t>
        </w:r>
        <w:r>
          <w:tab/>
        </w:r>
        <w:r>
          <w:fldChar w:fldCharType="begin"/>
        </w:r>
        <w:r>
          <w:instrText xml:space="preserve"> PAGEREF _Toc6195 \h </w:instrText>
        </w:r>
        <w:r>
          <w:fldChar w:fldCharType="separate"/>
        </w:r>
        <w:r>
          <w:t>22</w:t>
        </w:r>
        <w:r>
          <w:fldChar w:fldCharType="end"/>
        </w:r>
      </w:hyperlink>
    </w:p>
    <w:p>
      <w:pPr>
        <w:pStyle w:val="TOC2"/>
        <w:tabs>
          <w:tab w:val="right" w:leader="dot" w:pos="8306"/>
        </w:tabs>
      </w:pPr>
      <w:hyperlink w:anchor="_Toc31606" w:history="1">
        <w:r>
          <w:rPr>
            <w:rFonts w:ascii="仿宋" w:eastAsia="仿宋" w:hAnsi="仿宋" w:cs="仿宋" w:hint="eastAsia"/>
            <w:lang w:eastAsia="zh-CN"/>
          </w:rPr>
          <w:t>(四)、土建工程建设指标</w:t>
        </w:r>
        <w:r>
          <w:tab/>
        </w:r>
        <w:r>
          <w:fldChar w:fldCharType="begin"/>
        </w:r>
        <w:r>
          <w:instrText xml:space="preserve"> PAGEREF _Toc31606 \h </w:instrText>
        </w:r>
        <w:r>
          <w:fldChar w:fldCharType="separate"/>
        </w:r>
        <w:r>
          <w:t>22</w:t>
        </w:r>
        <w:r>
          <w:fldChar w:fldCharType="end"/>
        </w:r>
      </w:hyperlink>
    </w:p>
    <w:p>
      <w:pPr>
        <w:pStyle w:val="TOC1"/>
        <w:tabs>
          <w:tab w:val="right" w:leader="dot" w:pos="8306"/>
        </w:tabs>
      </w:pPr>
      <w:hyperlink w:anchor="_Toc2155" w:history="1">
        <w:r>
          <w:rPr>
            <w:rFonts w:ascii="仿宋" w:eastAsia="仿宋" w:hAnsi="仿宋" w:cs="仿宋" w:hint="eastAsia"/>
            <w:lang w:eastAsia="zh-CN"/>
          </w:rPr>
          <w:t>七、植物稳态营养肥料项目财务管理</w:t>
        </w:r>
        <w:r>
          <w:tab/>
        </w:r>
        <w:r>
          <w:fldChar w:fldCharType="begin"/>
        </w:r>
        <w:r>
          <w:instrText xml:space="preserve"> PAGEREF _Toc2155 \h </w:instrText>
        </w:r>
        <w:r>
          <w:fldChar w:fldCharType="separate"/>
        </w:r>
        <w:r>
          <w:t>23</w:t>
        </w:r>
        <w:r>
          <w:fldChar w:fldCharType="end"/>
        </w:r>
      </w:hyperlink>
    </w:p>
    <w:p>
      <w:pPr>
        <w:pStyle w:val="TOC2"/>
        <w:tabs>
          <w:tab w:val="right" w:leader="dot" w:pos="8306"/>
        </w:tabs>
      </w:pPr>
      <w:hyperlink w:anchor="_Toc18364" w:history="1">
        <w:r>
          <w:rPr>
            <w:rFonts w:ascii="仿宋" w:eastAsia="仿宋" w:hAnsi="仿宋" w:cs="仿宋" w:hint="eastAsia"/>
            <w:lang w:eastAsia="zh-CN"/>
          </w:rPr>
          <w:t>(一)、资金需求大</w:t>
        </w:r>
        <w:r>
          <w:tab/>
        </w:r>
        <w:r>
          <w:fldChar w:fldCharType="begin"/>
        </w:r>
        <w:r>
          <w:instrText xml:space="preserve"> PAGEREF _Toc18364 \h </w:instrText>
        </w:r>
        <w:r>
          <w:fldChar w:fldCharType="separate"/>
        </w:r>
        <w:r>
          <w:t>23</w:t>
        </w:r>
        <w:r>
          <w:fldChar w:fldCharType="end"/>
        </w:r>
      </w:hyperlink>
    </w:p>
    <w:p>
      <w:pPr>
        <w:pStyle w:val="TOC2"/>
        <w:tabs>
          <w:tab w:val="right" w:leader="dot" w:pos="8306"/>
        </w:tabs>
      </w:pPr>
      <w:hyperlink w:anchor="_Toc30696" w:history="1">
        <w:r>
          <w:rPr>
            <w:rFonts w:ascii="仿宋" w:eastAsia="仿宋" w:hAnsi="仿宋" w:cs="仿宋" w:hint="eastAsia"/>
            <w:lang w:eastAsia="zh-CN"/>
          </w:rPr>
          <w:t>(二)、研发周期长</w:t>
        </w:r>
        <w:r>
          <w:tab/>
        </w:r>
        <w:r>
          <w:fldChar w:fldCharType="begin"/>
        </w:r>
        <w:r>
          <w:instrText xml:space="preserve"> PAGEREF _Toc30696 \h </w:instrText>
        </w:r>
        <w:r>
          <w:fldChar w:fldCharType="separate"/>
        </w:r>
        <w:r>
          <w:t>24</w:t>
        </w:r>
        <w:r>
          <w:fldChar w:fldCharType="end"/>
        </w:r>
      </w:hyperlink>
    </w:p>
    <w:p>
      <w:pPr>
        <w:pStyle w:val="TOC2"/>
        <w:tabs>
          <w:tab w:val="right" w:leader="dot" w:pos="8306"/>
        </w:tabs>
      </w:pPr>
      <w:hyperlink w:anchor="_Toc31481" w:history="1">
        <w:r>
          <w:rPr>
            <w:rFonts w:ascii="仿宋" w:eastAsia="仿宋" w:hAnsi="仿宋" w:cs="仿宋" w:hint="eastAsia"/>
            <w:lang w:eastAsia="zh-CN"/>
          </w:rPr>
          <w:t>(三)、市场风险大</w:t>
        </w:r>
        <w:r>
          <w:tab/>
        </w:r>
        <w:r>
          <w:fldChar w:fldCharType="begin"/>
        </w:r>
        <w:r>
          <w:instrText xml:space="preserve"> PAGEREF _Toc31481 \h </w:instrText>
        </w:r>
        <w:r>
          <w:fldChar w:fldCharType="separate"/>
        </w:r>
        <w:r>
          <w:t>25</w:t>
        </w:r>
        <w:r>
          <w:fldChar w:fldCharType="end"/>
        </w:r>
      </w:hyperlink>
    </w:p>
    <w:p>
      <w:pPr>
        <w:pStyle w:val="TOC2"/>
        <w:tabs>
          <w:tab w:val="right" w:leader="dot" w:pos="8306"/>
        </w:tabs>
      </w:pPr>
      <w:hyperlink w:anchor="_Toc23865" w:history="1">
        <w:r>
          <w:rPr>
            <w:rFonts w:ascii="仿宋" w:eastAsia="仿宋" w:hAnsi="仿宋" w:cs="仿宋" w:hint="eastAsia"/>
            <w:lang w:eastAsia="zh-CN"/>
          </w:rPr>
          <w:t>(四)、利润率高</w:t>
        </w:r>
        <w:r>
          <w:tab/>
        </w:r>
        <w:r>
          <w:fldChar w:fldCharType="begin"/>
        </w:r>
        <w:r>
          <w:instrText xml:space="preserve"> PAGEREF _Toc23865 \h </w:instrText>
        </w:r>
        <w:r>
          <w:fldChar w:fldCharType="separate"/>
        </w:r>
        <w:r>
          <w:t>28</w:t>
        </w:r>
        <w:r>
          <w:fldChar w:fldCharType="end"/>
        </w:r>
      </w:hyperlink>
    </w:p>
    <w:p>
      <w:pPr>
        <w:pStyle w:val="TOC1"/>
        <w:tabs>
          <w:tab w:val="right" w:leader="dot" w:pos="8306"/>
        </w:tabs>
      </w:pPr>
      <w:hyperlink w:anchor="_Toc16781" w:history="1">
        <w:r>
          <w:rPr>
            <w:rFonts w:ascii="仿宋" w:eastAsia="仿宋" w:hAnsi="仿宋" w:cs="仿宋" w:hint="eastAsia"/>
            <w:lang w:eastAsia="zh-CN"/>
          </w:rPr>
          <w:t>八、植物稳态营养肥料项目人力资源培养与发展</w:t>
        </w:r>
        <w:r>
          <w:tab/>
        </w:r>
        <w:r>
          <w:fldChar w:fldCharType="begin"/>
        </w:r>
        <w:r>
          <w:instrText xml:space="preserve"> PAGEREF _Toc16781 \h </w:instrText>
        </w:r>
        <w:r>
          <w:fldChar w:fldCharType="separate"/>
        </w:r>
        <w:r>
          <w:t>30</w:t>
        </w:r>
        <w:r>
          <w:fldChar w:fldCharType="end"/>
        </w:r>
      </w:hyperlink>
    </w:p>
    <w:p>
      <w:pPr>
        <w:pStyle w:val="TOC2"/>
        <w:tabs>
          <w:tab w:val="right" w:leader="dot" w:pos="8306"/>
        </w:tabs>
      </w:pPr>
      <w:hyperlink w:anchor="_Toc19210" w:history="1">
        <w:r>
          <w:rPr>
            <w:rFonts w:ascii="仿宋" w:eastAsia="仿宋" w:hAnsi="仿宋" w:cs="仿宋" w:hint="eastAsia"/>
            <w:lang w:eastAsia="zh-CN"/>
          </w:rPr>
          <w:t>(一)、人才需求与规划</w:t>
        </w:r>
        <w:r>
          <w:tab/>
        </w:r>
        <w:r>
          <w:fldChar w:fldCharType="begin"/>
        </w:r>
        <w:r>
          <w:instrText xml:space="preserve"> PAGEREF _Toc19210 \h </w:instrText>
        </w:r>
        <w:r>
          <w:fldChar w:fldCharType="separate"/>
        </w:r>
        <w:r>
          <w:t>30</w:t>
        </w:r>
        <w:r>
          <w:fldChar w:fldCharType="end"/>
        </w:r>
      </w:hyperlink>
    </w:p>
    <w:p>
      <w:pPr>
        <w:pStyle w:val="TOC2"/>
        <w:tabs>
          <w:tab w:val="right" w:leader="dot" w:pos="8306"/>
        </w:tabs>
      </w:pPr>
      <w:hyperlink w:anchor="_Toc17429" w:history="1">
        <w:r>
          <w:rPr>
            <w:rFonts w:ascii="仿宋" w:eastAsia="仿宋" w:hAnsi="仿宋" w:cs="仿宋" w:hint="eastAsia"/>
            <w:lang w:eastAsia="zh-CN"/>
          </w:rPr>
          <w:t>(二)、培训与发展计划</w:t>
        </w:r>
        <w:r>
          <w:tab/>
        </w:r>
        <w:r>
          <w:fldChar w:fldCharType="begin"/>
        </w:r>
        <w:r>
          <w:instrText xml:space="preserve"> PAGEREF _Toc17429 \h </w:instrText>
        </w:r>
        <w:r>
          <w:fldChar w:fldCharType="separate"/>
        </w:r>
        <w:r>
          <w:t>30</w:t>
        </w:r>
        <w:r>
          <w:fldChar w:fldCharType="end"/>
        </w:r>
      </w:hyperlink>
    </w:p>
    <w:p>
      <w:pPr>
        <w:pStyle w:val="TOC1"/>
        <w:tabs>
          <w:tab w:val="right" w:leader="dot" w:pos="8306"/>
        </w:tabs>
      </w:pPr>
      <w:hyperlink w:anchor="_Toc11674" w:history="1">
        <w:r>
          <w:rPr>
            <w:rFonts w:ascii="仿宋" w:eastAsia="仿宋" w:hAnsi="仿宋" w:cs="仿宋" w:hint="eastAsia"/>
            <w:lang w:eastAsia="zh-CN"/>
          </w:rPr>
          <w:t>九、植物稳态营养肥料项目创新与研发</w:t>
        </w:r>
        <w:r>
          <w:tab/>
        </w:r>
        <w:r>
          <w:fldChar w:fldCharType="begin"/>
        </w:r>
        <w:r>
          <w:instrText xml:space="preserve"> PAGEREF _Toc11674 \h </w:instrText>
        </w:r>
        <w:r>
          <w:fldChar w:fldCharType="separate"/>
        </w:r>
        <w:r>
          <w:t>31</w:t>
        </w:r>
        <w:r>
          <w:fldChar w:fldCharType="end"/>
        </w:r>
      </w:hyperlink>
    </w:p>
    <w:p>
      <w:pPr>
        <w:pStyle w:val="TOC2"/>
        <w:tabs>
          <w:tab w:val="right" w:leader="dot" w:pos="8306"/>
        </w:tabs>
      </w:pPr>
      <w:hyperlink w:anchor="_Toc29579" w:history="1">
        <w:r>
          <w:rPr>
            <w:rFonts w:ascii="仿宋" w:eastAsia="仿宋" w:hAnsi="仿宋" w:cs="仿宋" w:hint="eastAsia"/>
            <w:lang w:eastAsia="zh-CN"/>
          </w:rPr>
          <w:t>(一)、创新策略与方向</w:t>
        </w:r>
        <w:r>
          <w:tab/>
        </w:r>
        <w:r>
          <w:fldChar w:fldCharType="begin"/>
        </w:r>
        <w:r>
          <w:instrText xml:space="preserve"> PAGEREF _Toc29579 \h </w:instrText>
        </w:r>
        <w:r>
          <w:fldChar w:fldCharType="separate"/>
        </w:r>
        <w:r>
          <w:t>31</w:t>
        </w:r>
        <w:r>
          <w:fldChar w:fldCharType="end"/>
        </w:r>
      </w:hyperlink>
    </w:p>
    <w:p>
      <w:pPr>
        <w:pStyle w:val="TOC2"/>
        <w:tabs>
          <w:tab w:val="right" w:leader="dot" w:pos="8306"/>
        </w:tabs>
      </w:pPr>
      <w:hyperlink w:anchor="_Toc22760" w:history="1">
        <w:r>
          <w:rPr>
            <w:rFonts w:ascii="仿宋" w:eastAsia="仿宋" w:hAnsi="仿宋" w:cs="仿宋" w:hint="eastAsia"/>
            <w:lang w:eastAsia="zh-CN"/>
          </w:rPr>
          <w:t>(二)、研发规划与投入</w:t>
        </w:r>
        <w:r>
          <w:tab/>
        </w:r>
        <w:r>
          <w:fldChar w:fldCharType="begin"/>
        </w:r>
        <w:r>
          <w:instrText xml:space="preserve"> PAGEREF _Toc22760 \h </w:instrText>
        </w:r>
        <w:r>
          <w:fldChar w:fldCharType="separate"/>
        </w:r>
        <w:r>
          <w:t>32</w:t>
        </w:r>
        <w:r>
          <w:fldChar w:fldCharType="end"/>
        </w:r>
      </w:hyperlink>
    </w:p>
    <w:p>
      <w:pPr>
        <w:pStyle w:val="TOC1"/>
        <w:tabs>
          <w:tab w:val="right" w:leader="dot" w:pos="8306"/>
        </w:tabs>
      </w:pPr>
      <w:hyperlink w:anchor="_Toc1841" w:history="1">
        <w:r>
          <w:rPr>
            <w:rFonts w:ascii="仿宋" w:eastAsia="仿宋" w:hAnsi="仿宋" w:cs="仿宋" w:hint="eastAsia"/>
            <w:lang w:eastAsia="zh-CN"/>
          </w:rPr>
          <w:t>十、植物稳态营养肥料项目风险管理</w:t>
        </w:r>
        <w:r>
          <w:tab/>
        </w:r>
        <w:r>
          <w:fldChar w:fldCharType="begin"/>
        </w:r>
        <w:r>
          <w:instrText xml:space="preserve"> PAGEREF _Toc1841 \h </w:instrText>
        </w:r>
        <w:r>
          <w:fldChar w:fldCharType="separate"/>
        </w:r>
        <w:r>
          <w:t>34</w:t>
        </w:r>
        <w:r>
          <w:fldChar w:fldCharType="end"/>
        </w:r>
      </w:hyperlink>
    </w:p>
    <w:p>
      <w:pPr>
        <w:pStyle w:val="TOC2"/>
        <w:tabs>
          <w:tab w:val="right" w:leader="dot" w:pos="8306"/>
        </w:tabs>
      </w:pPr>
      <w:hyperlink w:anchor="_Toc5479" w:history="1">
        <w:r>
          <w:rPr>
            <w:rFonts w:ascii="仿宋" w:eastAsia="仿宋" w:hAnsi="仿宋" w:cs="仿宋" w:hint="eastAsia"/>
            <w:lang w:eastAsia="zh-CN"/>
          </w:rPr>
          <w:t>(一)、风险识别与评估</w:t>
        </w:r>
        <w:r>
          <w:tab/>
        </w:r>
        <w:r>
          <w:fldChar w:fldCharType="begin"/>
        </w:r>
        <w:r>
          <w:instrText xml:space="preserve"> PAGEREF _Toc5479 \h </w:instrText>
        </w:r>
        <w:r>
          <w:fldChar w:fldCharType="separate"/>
        </w:r>
        <w:r>
          <w:t>34</w:t>
        </w:r>
        <w:r>
          <w:fldChar w:fldCharType="end"/>
        </w:r>
      </w:hyperlink>
    </w:p>
    <w:p>
      <w:pPr>
        <w:pStyle w:val="TOC2"/>
        <w:tabs>
          <w:tab w:val="right" w:leader="dot" w:pos="8306"/>
        </w:tabs>
      </w:pPr>
      <w:hyperlink w:anchor="_Toc17152" w:history="1">
        <w:r>
          <w:rPr>
            <w:rFonts w:ascii="仿宋" w:eastAsia="仿宋" w:hAnsi="仿宋" w:cs="仿宋" w:hint="eastAsia"/>
            <w:lang w:eastAsia="zh-CN"/>
          </w:rPr>
          <w:t>(二)、风险应对策略</w:t>
        </w:r>
        <w:r>
          <w:tab/>
        </w:r>
        <w:r>
          <w:fldChar w:fldCharType="begin"/>
        </w:r>
        <w:r>
          <w:instrText xml:space="preserve"> PAGEREF _Toc17152 \h </w:instrText>
        </w:r>
        <w:r>
          <w:fldChar w:fldCharType="separate"/>
        </w:r>
        <w:r>
          <w:t>35</w:t>
        </w:r>
        <w:r>
          <w:fldChar w:fldCharType="end"/>
        </w:r>
      </w:hyperlink>
    </w:p>
    <w:p>
      <w:pPr>
        <w:pStyle w:val="TOC2"/>
        <w:tabs>
          <w:tab w:val="right" w:leader="dot" w:pos="8306"/>
        </w:tabs>
      </w:pPr>
      <w:hyperlink w:anchor="_Toc1848" w:history="1">
        <w:r>
          <w:rPr>
            <w:rFonts w:ascii="仿宋" w:eastAsia="仿宋" w:hAnsi="仿宋" w:cs="仿宋" w:hint="eastAsia"/>
            <w:lang w:eastAsia="zh-CN"/>
          </w:rPr>
          <w:t>(三)、风险监控与控制</w:t>
        </w:r>
        <w:r>
          <w:tab/>
        </w:r>
        <w:r>
          <w:fldChar w:fldCharType="begin"/>
        </w:r>
        <w:r>
          <w:instrText xml:space="preserve"> PAGEREF _Toc1848 \h </w:instrText>
        </w:r>
        <w:r>
          <w:fldChar w:fldCharType="separate"/>
        </w:r>
        <w:r>
          <w:t>37</w:t>
        </w:r>
        <w:r>
          <w:fldChar w:fldCharType="end"/>
        </w:r>
      </w:hyperlink>
    </w:p>
    <w:p>
      <w:pPr>
        <w:pStyle w:val="TOC1"/>
        <w:tabs>
          <w:tab w:val="right" w:leader="dot" w:pos="8306"/>
        </w:tabs>
      </w:pPr>
      <w:hyperlink w:anchor="_Toc4727" w:history="1">
        <w:r>
          <w:rPr>
            <w:rFonts w:ascii="仿宋" w:eastAsia="仿宋" w:hAnsi="仿宋" w:cs="仿宋" w:hint="eastAsia"/>
            <w:lang w:eastAsia="zh-CN"/>
          </w:rPr>
          <w:t>十一、植物稳态营养肥料项目投资规划</w:t>
        </w:r>
        <w:r>
          <w:tab/>
        </w:r>
        <w:r>
          <w:fldChar w:fldCharType="begin"/>
        </w:r>
        <w:r>
          <w:instrText xml:space="preserve"> PAGEREF _Toc4727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0" w:history="1">
        <w:r>
          <w:rPr>
            <w:rFonts w:ascii="仿宋" w:eastAsia="仿宋" w:hAnsi="仿宋" w:cs="仿宋" w:hint="eastAsia"/>
            <w:lang w:eastAsia="zh-CN"/>
          </w:rPr>
          <w:t>(一)、植物稳态营养肥料项目总投资估算</w:t>
        </w:r>
        <w:r>
          <w:tab/>
        </w:r>
        <w:r>
          <w:fldChar w:fldCharType="begin"/>
        </w:r>
        <w:r>
          <w:instrText xml:space="preserve"> PAGEREF _Toc27700 \h </w:instrText>
        </w:r>
        <w:r>
          <w:fldChar w:fldCharType="separate"/>
        </w:r>
        <w:r>
          <w:t>38</w:t>
        </w:r>
        <w:r>
          <w:fldChar w:fldCharType="end"/>
        </w:r>
      </w:hyperlink>
    </w:p>
    <w:p>
      <w:pPr>
        <w:pStyle w:val="TOC2"/>
        <w:tabs>
          <w:tab w:val="right" w:leader="dot" w:pos="8306"/>
        </w:tabs>
      </w:pPr>
      <w:hyperlink w:anchor="_Toc8958" w:history="1">
        <w:r>
          <w:rPr>
            <w:rFonts w:ascii="仿宋" w:eastAsia="仿宋" w:hAnsi="仿宋" w:cs="仿宋" w:hint="eastAsia"/>
            <w:lang w:eastAsia="zh-CN"/>
          </w:rPr>
          <w:t>(二)、资金筹措</w:t>
        </w:r>
        <w:r>
          <w:tab/>
        </w:r>
        <w:r>
          <w:fldChar w:fldCharType="begin"/>
        </w:r>
        <w:r>
          <w:instrText xml:space="preserve"> PAGEREF _Toc8958 \h </w:instrText>
        </w:r>
        <w:r>
          <w:fldChar w:fldCharType="separate"/>
        </w:r>
        <w:r>
          <w:t>40</w:t>
        </w:r>
        <w:r>
          <w:fldChar w:fldCharType="end"/>
        </w:r>
      </w:hyperlink>
    </w:p>
    <w:p>
      <w:pPr>
        <w:pStyle w:val="TOC1"/>
        <w:tabs>
          <w:tab w:val="right" w:leader="dot" w:pos="8306"/>
        </w:tabs>
      </w:pPr>
      <w:hyperlink w:anchor="_Toc20304" w:history="1">
        <w:r>
          <w:rPr>
            <w:rFonts w:ascii="仿宋" w:eastAsia="仿宋" w:hAnsi="仿宋" w:cs="仿宋" w:hint="eastAsia"/>
            <w:lang w:eastAsia="zh-CN"/>
          </w:rPr>
          <w:t>十二、植物稳态营养肥料项目计划安排</w:t>
        </w:r>
        <w:r>
          <w:tab/>
        </w:r>
        <w:r>
          <w:fldChar w:fldCharType="begin"/>
        </w:r>
        <w:r>
          <w:instrText xml:space="preserve"> PAGEREF _Toc20304 \h </w:instrText>
        </w:r>
        <w:r>
          <w:fldChar w:fldCharType="separate"/>
        </w:r>
        <w:r>
          <w:t>40</w:t>
        </w:r>
        <w:r>
          <w:fldChar w:fldCharType="end"/>
        </w:r>
      </w:hyperlink>
    </w:p>
    <w:p>
      <w:pPr>
        <w:pStyle w:val="TOC2"/>
        <w:tabs>
          <w:tab w:val="right" w:leader="dot" w:pos="8306"/>
        </w:tabs>
      </w:pPr>
      <w:hyperlink w:anchor="_Toc16950" w:history="1">
        <w:r>
          <w:rPr>
            <w:rFonts w:ascii="仿宋" w:eastAsia="仿宋" w:hAnsi="仿宋" w:cs="仿宋" w:hint="eastAsia"/>
            <w:lang w:eastAsia="zh-CN"/>
          </w:rPr>
          <w:t>(一)、建设周期</w:t>
        </w:r>
        <w:r>
          <w:tab/>
        </w:r>
        <w:r>
          <w:fldChar w:fldCharType="begin"/>
        </w:r>
        <w:r>
          <w:instrText xml:space="preserve"> PAGEREF _Toc16950 \h </w:instrText>
        </w:r>
        <w:r>
          <w:fldChar w:fldCharType="separate"/>
        </w:r>
        <w:r>
          <w:t>40</w:t>
        </w:r>
        <w:r>
          <w:fldChar w:fldCharType="end"/>
        </w:r>
      </w:hyperlink>
    </w:p>
    <w:p>
      <w:pPr>
        <w:pStyle w:val="TOC2"/>
        <w:tabs>
          <w:tab w:val="right" w:leader="dot" w:pos="8306"/>
        </w:tabs>
      </w:pPr>
      <w:hyperlink w:anchor="_Toc1061" w:history="1">
        <w:r>
          <w:rPr>
            <w:rFonts w:ascii="仿宋" w:eastAsia="仿宋" w:hAnsi="仿宋" w:cs="仿宋" w:hint="eastAsia"/>
            <w:lang w:eastAsia="zh-CN"/>
          </w:rPr>
          <w:t>(二)、建设进度</w:t>
        </w:r>
        <w:r>
          <w:tab/>
        </w:r>
        <w:r>
          <w:fldChar w:fldCharType="begin"/>
        </w:r>
        <w:r>
          <w:instrText xml:space="preserve"> PAGEREF _Toc1061 \h </w:instrText>
        </w:r>
        <w:r>
          <w:fldChar w:fldCharType="separate"/>
        </w:r>
        <w:r>
          <w:t>41</w:t>
        </w:r>
        <w:r>
          <w:fldChar w:fldCharType="end"/>
        </w:r>
      </w:hyperlink>
    </w:p>
    <w:p>
      <w:pPr>
        <w:pStyle w:val="TOC2"/>
        <w:tabs>
          <w:tab w:val="right" w:leader="dot" w:pos="8306"/>
        </w:tabs>
      </w:pPr>
      <w:hyperlink w:anchor="_Toc10217" w:history="1">
        <w:r>
          <w:rPr>
            <w:rFonts w:ascii="仿宋" w:eastAsia="仿宋" w:hAnsi="仿宋" w:cs="仿宋" w:hint="eastAsia"/>
            <w:lang w:eastAsia="zh-CN"/>
          </w:rPr>
          <w:t>(三)、进度安排注意事项</w:t>
        </w:r>
        <w:r>
          <w:tab/>
        </w:r>
        <w:r>
          <w:fldChar w:fldCharType="begin"/>
        </w:r>
        <w:r>
          <w:instrText xml:space="preserve"> PAGEREF _Toc10217 \h </w:instrText>
        </w:r>
        <w:r>
          <w:fldChar w:fldCharType="separate"/>
        </w:r>
        <w:r>
          <w:t>42</w:t>
        </w:r>
        <w:r>
          <w:fldChar w:fldCharType="end"/>
        </w:r>
      </w:hyperlink>
    </w:p>
    <w:p>
      <w:pPr>
        <w:pStyle w:val="TOC2"/>
        <w:tabs>
          <w:tab w:val="right" w:leader="dot" w:pos="8306"/>
        </w:tabs>
      </w:pPr>
      <w:hyperlink w:anchor="_Toc5017" w:history="1">
        <w:r>
          <w:rPr>
            <w:rFonts w:ascii="仿宋" w:eastAsia="仿宋" w:hAnsi="仿宋" w:cs="仿宋" w:hint="eastAsia"/>
            <w:lang w:eastAsia="zh-CN"/>
          </w:rPr>
          <w:t>(四)、人力资源配置</w:t>
        </w:r>
        <w:r>
          <w:tab/>
        </w:r>
        <w:r>
          <w:fldChar w:fldCharType="begin"/>
        </w:r>
        <w:r>
          <w:instrText xml:space="preserve"> PAGEREF _Toc5017 \h </w:instrText>
        </w:r>
        <w:r>
          <w:fldChar w:fldCharType="separate"/>
        </w:r>
        <w:r>
          <w:t>44</w:t>
        </w:r>
        <w:r>
          <w:fldChar w:fldCharType="end"/>
        </w:r>
      </w:hyperlink>
    </w:p>
    <w:p>
      <w:pPr>
        <w:pStyle w:val="TOC1"/>
        <w:tabs>
          <w:tab w:val="right" w:leader="dot" w:pos="8306"/>
        </w:tabs>
      </w:pPr>
      <w:hyperlink w:anchor="_Toc20612" w:history="1">
        <w:r>
          <w:rPr>
            <w:rFonts w:ascii="仿宋" w:eastAsia="仿宋" w:hAnsi="仿宋" w:cs="仿宋" w:hint="eastAsia"/>
            <w:lang w:eastAsia="zh-CN"/>
          </w:rPr>
          <w:t>十三、营销与推广策略</w:t>
        </w:r>
        <w:r>
          <w:tab/>
        </w:r>
        <w:r>
          <w:fldChar w:fldCharType="begin"/>
        </w:r>
        <w:r>
          <w:instrText xml:space="preserve"> PAGEREF _Toc20612 \h </w:instrText>
        </w:r>
        <w:r>
          <w:fldChar w:fldCharType="separate"/>
        </w:r>
        <w:r>
          <w:t>45</w:t>
        </w:r>
        <w:r>
          <w:fldChar w:fldCharType="end"/>
        </w:r>
      </w:hyperlink>
    </w:p>
    <w:p>
      <w:pPr>
        <w:pStyle w:val="TOC2"/>
        <w:tabs>
          <w:tab w:val="right" w:leader="dot" w:pos="8306"/>
        </w:tabs>
      </w:pPr>
      <w:hyperlink w:anchor="_Toc19203" w:history="1">
        <w:r>
          <w:rPr>
            <w:rFonts w:ascii="仿宋" w:eastAsia="仿宋" w:hAnsi="仿宋" w:cs="仿宋" w:hint="eastAsia"/>
            <w:lang w:eastAsia="zh-CN"/>
          </w:rPr>
          <w:t>(一)、产品/服务定位与特点</w:t>
        </w:r>
        <w:r>
          <w:tab/>
        </w:r>
        <w:r>
          <w:fldChar w:fldCharType="begin"/>
        </w:r>
        <w:r>
          <w:instrText xml:space="preserve"> PAGEREF _Toc19203 \h </w:instrText>
        </w:r>
        <w:r>
          <w:fldChar w:fldCharType="separate"/>
        </w:r>
        <w:r>
          <w:t>45</w:t>
        </w:r>
        <w:r>
          <w:fldChar w:fldCharType="end"/>
        </w:r>
      </w:hyperlink>
    </w:p>
    <w:p>
      <w:pPr>
        <w:pStyle w:val="TOC2"/>
        <w:tabs>
          <w:tab w:val="right" w:leader="dot" w:pos="8306"/>
        </w:tabs>
      </w:pPr>
      <w:hyperlink w:anchor="_Toc29749" w:history="1">
        <w:r>
          <w:rPr>
            <w:rFonts w:ascii="仿宋" w:eastAsia="仿宋" w:hAnsi="仿宋" w:cs="仿宋" w:hint="eastAsia"/>
            <w:lang w:eastAsia="zh-CN"/>
          </w:rPr>
          <w:t>(二)、市场定位与竞争分析</w:t>
        </w:r>
        <w:r>
          <w:tab/>
        </w:r>
        <w:r>
          <w:fldChar w:fldCharType="begin"/>
        </w:r>
        <w:r>
          <w:instrText xml:space="preserve"> PAGEREF _Toc29749 \h </w:instrText>
        </w:r>
        <w:r>
          <w:fldChar w:fldCharType="separate"/>
        </w:r>
        <w:r>
          <w:t>46</w:t>
        </w:r>
        <w:r>
          <w:fldChar w:fldCharType="end"/>
        </w:r>
      </w:hyperlink>
    </w:p>
    <w:p>
      <w:pPr>
        <w:pStyle w:val="TOC2"/>
        <w:tabs>
          <w:tab w:val="right" w:leader="dot" w:pos="8306"/>
        </w:tabs>
      </w:pPr>
      <w:hyperlink w:anchor="_Toc26944" w:history="1">
        <w:r>
          <w:rPr>
            <w:rFonts w:ascii="仿宋" w:eastAsia="仿宋" w:hAnsi="仿宋" w:cs="仿宋" w:hint="eastAsia"/>
            <w:lang w:eastAsia="zh-CN"/>
          </w:rPr>
          <w:t>(三)、营销渠道与策略</w:t>
        </w:r>
        <w:r>
          <w:tab/>
        </w:r>
        <w:r>
          <w:fldChar w:fldCharType="begin"/>
        </w:r>
        <w:r>
          <w:instrText xml:space="preserve"> PAGEREF _Toc26944 \h </w:instrText>
        </w:r>
        <w:r>
          <w:fldChar w:fldCharType="separate"/>
        </w:r>
        <w:r>
          <w:t>47</w:t>
        </w:r>
        <w:r>
          <w:fldChar w:fldCharType="end"/>
        </w:r>
      </w:hyperlink>
    </w:p>
    <w:p>
      <w:pPr>
        <w:pStyle w:val="TOC2"/>
        <w:tabs>
          <w:tab w:val="right" w:leader="dot" w:pos="8306"/>
        </w:tabs>
      </w:pPr>
      <w:hyperlink w:anchor="_Toc18471" w:history="1">
        <w:r>
          <w:rPr>
            <w:rFonts w:ascii="仿宋" w:eastAsia="仿宋" w:hAnsi="仿宋" w:cs="仿宋" w:hint="eastAsia"/>
            <w:lang w:eastAsia="zh-CN"/>
          </w:rPr>
          <w:t>(四)、推广与宣传活动</w:t>
        </w:r>
        <w:r>
          <w:tab/>
        </w:r>
        <w:r>
          <w:fldChar w:fldCharType="begin"/>
        </w:r>
        <w:r>
          <w:instrText xml:space="preserve"> PAGEREF _Toc18471 \h </w:instrText>
        </w:r>
        <w:r>
          <w:fldChar w:fldCharType="separate"/>
        </w:r>
        <w:r>
          <w:t>48</w:t>
        </w:r>
        <w:r>
          <w:fldChar w:fldCharType="end"/>
        </w:r>
      </w:hyperlink>
    </w:p>
    <w:p>
      <w:pPr>
        <w:pStyle w:val="TOC1"/>
        <w:tabs>
          <w:tab w:val="right" w:leader="dot" w:pos="8306"/>
        </w:tabs>
      </w:pPr>
      <w:hyperlink w:anchor="_Toc398" w:history="1">
        <w:r>
          <w:rPr>
            <w:rFonts w:ascii="仿宋" w:eastAsia="仿宋" w:hAnsi="仿宋" w:cs="仿宋" w:hint="eastAsia"/>
            <w:lang w:eastAsia="zh-CN"/>
          </w:rPr>
          <w:t>十四、供应链管理</w:t>
        </w:r>
        <w:r>
          <w:tab/>
        </w:r>
        <w:r>
          <w:fldChar w:fldCharType="begin"/>
        </w:r>
        <w:r>
          <w:instrText xml:space="preserve"> PAGEREF _Toc398 \h </w:instrText>
        </w:r>
        <w:r>
          <w:fldChar w:fldCharType="separate"/>
        </w:r>
        <w:r>
          <w:t>54</w:t>
        </w:r>
        <w:r>
          <w:fldChar w:fldCharType="end"/>
        </w:r>
      </w:hyperlink>
    </w:p>
    <w:p>
      <w:pPr>
        <w:pStyle w:val="TOC2"/>
        <w:tabs>
          <w:tab w:val="right" w:leader="dot" w:pos="8306"/>
        </w:tabs>
      </w:pPr>
      <w:hyperlink w:anchor="_Toc25201" w:history="1">
        <w:r>
          <w:rPr>
            <w:rFonts w:ascii="仿宋" w:eastAsia="仿宋" w:hAnsi="仿宋" w:cs="仿宋" w:hint="eastAsia"/>
            <w:lang w:eastAsia="zh-CN"/>
          </w:rPr>
          <w:t>(一)、供应链战略规划</w:t>
        </w:r>
        <w:r>
          <w:tab/>
        </w:r>
        <w:r>
          <w:fldChar w:fldCharType="begin"/>
        </w:r>
        <w:r>
          <w:instrText xml:space="preserve"> PAGEREF _Toc25201 \h </w:instrText>
        </w:r>
        <w:r>
          <w:fldChar w:fldCharType="separate"/>
        </w:r>
        <w:r>
          <w:t>54</w:t>
        </w:r>
        <w:r>
          <w:fldChar w:fldCharType="end"/>
        </w:r>
      </w:hyperlink>
    </w:p>
    <w:p>
      <w:pPr>
        <w:pStyle w:val="TOC2"/>
        <w:tabs>
          <w:tab w:val="right" w:leader="dot" w:pos="8306"/>
        </w:tabs>
      </w:pPr>
      <w:hyperlink w:anchor="_Toc10798" w:history="1">
        <w:r>
          <w:rPr>
            <w:rFonts w:ascii="仿宋" w:eastAsia="仿宋" w:hAnsi="仿宋" w:cs="仿宋" w:hint="eastAsia"/>
            <w:lang w:eastAsia="zh-CN"/>
          </w:rPr>
          <w:t>(二)、供应商选择与合作</w:t>
        </w:r>
        <w:r>
          <w:tab/>
        </w:r>
        <w:r>
          <w:fldChar w:fldCharType="begin"/>
        </w:r>
        <w:r>
          <w:instrText xml:space="preserve"> PAGEREF _Toc10798 \h </w:instrText>
        </w:r>
        <w:r>
          <w:fldChar w:fldCharType="separate"/>
        </w:r>
        <w:r>
          <w:t>55</w:t>
        </w:r>
        <w:r>
          <w:fldChar w:fldCharType="end"/>
        </w:r>
      </w:hyperlink>
    </w:p>
    <w:p>
      <w:pPr>
        <w:pStyle w:val="TOC2"/>
        <w:tabs>
          <w:tab w:val="right" w:leader="dot" w:pos="8306"/>
        </w:tabs>
      </w:pPr>
      <w:hyperlink w:anchor="_Toc7862" w:history="1">
        <w:r>
          <w:rPr>
            <w:rFonts w:ascii="仿宋" w:eastAsia="仿宋" w:hAnsi="仿宋" w:cs="仿宋" w:hint="eastAsia"/>
            <w:lang w:eastAsia="zh-CN"/>
          </w:rPr>
          <w:t>(三)、物流与库存管理</w:t>
        </w:r>
        <w:r>
          <w:tab/>
        </w:r>
        <w:r>
          <w:fldChar w:fldCharType="begin"/>
        </w:r>
        <w:r>
          <w:instrText xml:space="preserve"> PAGEREF _Toc7862 \h </w:instrText>
        </w:r>
        <w:r>
          <w:fldChar w:fldCharType="separate"/>
        </w:r>
        <w:r>
          <w:t>57</w:t>
        </w:r>
        <w:r>
          <w:fldChar w:fldCharType="end"/>
        </w:r>
      </w:hyperlink>
    </w:p>
    <w:p>
      <w:pPr>
        <w:pStyle w:val="TOC1"/>
        <w:tabs>
          <w:tab w:val="right" w:leader="dot" w:pos="8306"/>
        </w:tabs>
      </w:pPr>
      <w:hyperlink w:anchor="_Toc32021" w:history="1">
        <w:r>
          <w:rPr>
            <w:rFonts w:ascii="仿宋" w:eastAsia="仿宋" w:hAnsi="仿宋" w:cs="仿宋" w:hint="eastAsia"/>
            <w:lang w:eastAsia="zh-CN"/>
          </w:rPr>
          <w:t>十五、植物稳态营养肥料项目变更管理</w:t>
        </w:r>
        <w:r>
          <w:tab/>
        </w:r>
        <w:r>
          <w:fldChar w:fldCharType="begin"/>
        </w:r>
        <w:r>
          <w:instrText xml:space="preserve"> PAGEREF _Toc32021 \h </w:instrText>
        </w:r>
        <w:r>
          <w:fldChar w:fldCharType="separate"/>
        </w:r>
        <w:r>
          <w:t>58</w:t>
        </w:r>
        <w:r>
          <w:fldChar w:fldCharType="end"/>
        </w:r>
      </w:hyperlink>
    </w:p>
    <w:p>
      <w:pPr>
        <w:pStyle w:val="TOC2"/>
        <w:tabs>
          <w:tab w:val="right" w:leader="dot" w:pos="8306"/>
        </w:tabs>
      </w:pPr>
      <w:hyperlink w:anchor="_Toc4229" w:history="1">
        <w:r>
          <w:rPr>
            <w:rFonts w:ascii="仿宋" w:eastAsia="仿宋" w:hAnsi="仿宋" w:cs="仿宋" w:hint="eastAsia"/>
            <w:lang w:eastAsia="zh-CN"/>
          </w:rPr>
          <w:t>(一)、变更申请与评估</w:t>
        </w:r>
        <w:r>
          <w:tab/>
        </w:r>
        <w:r>
          <w:fldChar w:fldCharType="begin"/>
        </w:r>
        <w:r>
          <w:instrText xml:space="preserve"> PAGEREF _Toc4229 \h </w:instrText>
        </w:r>
        <w:r>
          <w:fldChar w:fldCharType="separate"/>
        </w:r>
        <w:r>
          <w:t>58</w:t>
        </w:r>
        <w:r>
          <w:fldChar w:fldCharType="end"/>
        </w:r>
      </w:hyperlink>
    </w:p>
    <w:p>
      <w:pPr>
        <w:pStyle w:val="TOC2"/>
        <w:tabs>
          <w:tab w:val="right" w:leader="dot" w:pos="8306"/>
        </w:tabs>
      </w:pPr>
      <w:hyperlink w:anchor="_Toc25403" w:history="1">
        <w:r>
          <w:rPr>
            <w:rFonts w:ascii="仿宋" w:eastAsia="仿宋" w:hAnsi="仿宋" w:cs="仿宋" w:hint="eastAsia"/>
            <w:lang w:eastAsia="zh-CN"/>
          </w:rPr>
          <w:t>(二)、变更实施与控制</w:t>
        </w:r>
        <w:r>
          <w:tab/>
        </w:r>
        <w:r>
          <w:fldChar w:fldCharType="begin"/>
        </w:r>
        <w:r>
          <w:instrText xml:space="preserve"> PAGEREF _Toc25403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44"/>
      <w:r>
        <w:rPr>
          <w:rFonts w:ascii="仿宋" w:eastAsia="仿宋" w:hAnsi="仿宋" w:cs="仿宋" w:hint="eastAsia"/>
          <w:sz w:val="28"/>
          <w:lang w:eastAsia="zh-CN"/>
        </w:rPr>
        <w:t>一、植物稳态营养肥料项目建设单位说明</w:t>
      </w:r>
      <w:bookmarkEnd w:id="2"/>
    </w:p>
    <w:p>
      <w:pPr>
        <w:pStyle w:val="Heading2"/>
        <w:rPr>
          <w:rFonts w:ascii="仿宋" w:eastAsia="仿宋" w:hAnsi="仿宋" w:cs="仿宋" w:hint="eastAsia"/>
          <w:lang w:eastAsia="zh-CN"/>
        </w:rPr>
      </w:pPr>
      <w:bookmarkStart w:id="3" w:name="_Toc26226"/>
      <w:r>
        <w:rPr>
          <w:rFonts w:ascii="仿宋" w:eastAsia="仿宋" w:hAnsi="仿宋" w:cs="仿宋" w:hint="eastAsia"/>
          <w:lang w:eastAsia="zh-CN"/>
        </w:rPr>
        <w:t>(一)、植物稳态营养肥料项目承办单位基本情况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31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植物稳态营养肥料项目承办单位的XXXX，我们着眼于实现可持续的经济效益。通过技术创新和解决方案的提供，公司预计在植物稳态营养肥料项目执行期间将获得可观的收入增长。这一收入来源主要包括植物稳态营养肥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同时，我们注重成本控制和效率提升，以确保植物稳态营养肥料项目的可持续盈利。透过精细的管理和资源优化，公司期望实现植物稳态营养肥料项目利润最大化。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植物稳态营养肥料项目实施进行全面的投资评估，包括植物稳态营养肥料项目启动阶段的资金投入和后续运营成本。通过对植物稳态营养肥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植物稳态营养肥料项目实施过程中具备足够的资金流动性，公司将进行详尽的现金流分析。这包括资金需求的合理预测、植物稳态营养肥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29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4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植物稳态营养肥料项目的主要产品是XXXX，预计年产值为XXX万元。这一产品在市场中占据着重要的地位，其广泛的应用范围使得该植物稳态营养肥料项目的市场前景非常广阔。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植物稳态营养肥料项目的xxx产品作为重要的原材料之一，将在多个领域发挥关键作用。其在建筑、交通、能源等方面的广泛应用将为整个产业链提供强大的支持，形成产业协同效应。植物稳态营养肥料项目的年产值XXX万XXX万XXX万万元不仅反映了其在市场上的巨大潜力，更预示着它对国民经济的积极贡献。这种关联度高、涉及面广的产业关系，使得该植物稳态营养肥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50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总征地面积为XXXX平方米，相当于约XX.XX亩，其中净用地面积为XXXX平方米，红线范围内相当于约XX.XX亩。这一用地规模充分考虑了植物稳态营养肥料项目的建设需求，保障了植物稳态营养肥料项目在合适的空间内得以充分发展。植物稳态营养肥料项目规划的总建筑面积为XXXX平方米，其中主体工程建设占XXXX平方米，计容建筑面积达XXXX平方米。预计建筑工程的投资将达到XXXX万元，为植物稳态营养肥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计划购置的设备共计XXXX台（套），设备购置费用为XXXX万元。这一设备购置计划充分考虑到植物稳态营养肥料项目的生产需求和技术要求，确保了植物稳态营养肥料项目在生产运营中具备先进的技术装备和高效的生产能力。设备的合理配置将为植物稳态营养肥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植物稳态营养肥料项目计划总投资为XXXX万元，预计年实现营业收入为XXXX万元。这一产能规模的设定旨在确保植物稳态营养肥料项目能够在投资与回报之间取得平衡，实现长期可持续的发展。植物稳态营养肥料项目的总投资充分考虑到各个方面的需求，包括用地建设、设备购置等多个环节，以确保植物稳态营养肥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6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274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的技术管理特点体现在其创新导向。通过引入最先进的技术趋势和解决方案，植物稳态营养肥料项目致力于提升科技含量、提高质量和效率水平。这意味着我们将采用最新的工具和方法，确保植物稳态营养肥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植物稳态营养肥料项目技术管理的显著特征。通过整合不同领域的技术资源，我们实现了跨学科的协同工作。这有助于优化技术架构，提高整体效能。此外，整合性策略还促进了不同技术团队之间的紧密沟通和高效合作，确保植物稳态营养肥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植物稳态营养肥料项目所采用的技术。通过不断优化技术方案，植物稳态营养肥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植物稳态营养肥料项目团队将在植物稳态营养肥料项目初期识别可能的技术风险，并采取相应的预防和应对措施。通过建立健全的风险评估机制，植物稳态营养肥料项目能够在实施过程中及时发现并解决潜在的技术问题，保障植物稳态营养肥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植物稳态营养肥料项目中，技术将成为植物稳态营养肥料项目成功的有力支持。这一深度剖析揭示了技术管理在植物稳态营养肥料项目实施中的关键作用，为植物稳态营养肥料项目的技术基础奠定了坚实的基础。</w:t>
      </w:r>
    </w:p>
    <w:p>
      <w:pPr>
        <w:pStyle w:val="Heading2"/>
        <w:ind w:firstLine="560" w:firstLineChars="200"/>
        <w:rPr>
          <w:rFonts w:ascii="仿宋" w:eastAsia="仿宋" w:hAnsi="仿宋" w:cs="仿宋" w:hint="eastAsia"/>
          <w:sz w:val="28"/>
          <w:lang w:eastAsia="zh-CN"/>
        </w:rPr>
      </w:pPr>
      <w:bookmarkStart w:id="10" w:name="_Toc25975"/>
      <w:r>
        <w:rPr>
          <w:rFonts w:ascii="仿宋" w:eastAsia="仿宋" w:hAnsi="仿宋" w:cs="仿宋" w:hint="eastAsia"/>
          <w:sz w:val="28"/>
          <w:lang w:eastAsia="zh-CN"/>
        </w:rPr>
        <w:t>(二)、植物稳态营养肥料项目工艺技术设计方案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植物稳态营养肥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植物稳态营养肥料项目将严格按照相关行业规范要求进行组织。通过有效控制产品质量，植物稳态营养肥料项目将致力于为顾客提供优质的植物稳态营养肥料项目产品和良好的服务。这体现了植物稳态营养肥料项目对于生产活动合规性和质量标准的高度重视，为植物稳态营养肥料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植物稳态营养肥料项目注重生态效益和清洁生产原则。植物稳态营养肥料项目建设将紧密结合地方特色经济发展，与社会经济发展规划和区域环境保护规划方案相协调一致。通过与当地区域自然生态系统的结合，植物稳态营养肥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植物稳态营养肥料项目产品具有多样化的客户需求和个性化的特点。因此，植物稳态营养肥料项目产品规格品种多样，且单批生产数量较小。为满足这一特点，植物稳态营养肥料项目承办单位将建设先进的柔性制造生产线。通过广泛应用柔性制造技术，植物稳态营养肥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植物稳态营养肥料项目采用的技术具有较高的技术含量和自动化水平，处于国内先进水平。这一技术选用不仅体现了对生产效率、质量和环境友好性的高标准要求，同时为植物稳态营养肥料项目的可持续发展奠定了坚实的基础。</w:t>
      </w:r>
    </w:p>
    <w:p>
      <w:pPr>
        <w:pStyle w:val="Heading2"/>
        <w:ind w:firstLine="560" w:firstLineChars="200"/>
        <w:rPr>
          <w:rFonts w:ascii="仿宋" w:eastAsia="仿宋" w:hAnsi="仿宋" w:cs="仿宋" w:hint="eastAsia"/>
          <w:sz w:val="28"/>
          <w:lang w:eastAsia="zh-CN"/>
        </w:rPr>
      </w:pPr>
      <w:bookmarkStart w:id="11" w:name="_Toc2855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为确保植物稳态营养肥料项目的高效生产和技术实施，我们制定了一套精心设计的设备选型方案，以满足植物稳态营养肥料项目生产、质量和环保的要求。该方案的主要特点如下：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植物稳态营养肥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针对植物稳态营养肥料项目产品的多样性和小批量生产的特点，我们将建设柔性制造生产线。通过在设备选型中考虑柔性制造技术，可以灵活应对不同产品规格和生产需求，实现生产线的高度灵活性和适应性。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85"/>
      <w:r>
        <w:rPr>
          <w:rFonts w:ascii="仿宋" w:eastAsia="仿宋" w:hAnsi="仿宋" w:cs="仿宋" w:hint="eastAsia"/>
          <w:sz w:val="28"/>
          <w:lang w:eastAsia="zh-CN"/>
        </w:rPr>
        <w:t>四、植物稳态营养肥料项目建设背景及必要性分析</w:t>
      </w:r>
      <w:bookmarkEnd w:id="12"/>
    </w:p>
    <w:p>
      <w:pPr>
        <w:pStyle w:val="Heading2"/>
        <w:rPr>
          <w:rFonts w:ascii="仿宋" w:eastAsia="仿宋" w:hAnsi="仿宋" w:cs="仿宋" w:hint="eastAsia"/>
          <w:lang w:eastAsia="zh-CN"/>
        </w:rPr>
      </w:pPr>
      <w:bookmarkStart w:id="13" w:name="_Toc29582"/>
      <w:r>
        <w:rPr>
          <w:rFonts w:ascii="仿宋" w:eastAsia="仿宋" w:hAnsi="仿宋" w:cs="仿宋" w:hint="eastAsia"/>
          <w:lang w:eastAsia="zh-CN"/>
        </w:rPr>
        <w:t>(一)、植物稳态营养肥料项目背景分析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植物稳态营养肥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植物稳态营养肥料项目在这个潮流中的定位。同时，我们将关注行业内涌现的新兴机遇，以便植物稳态营养肥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植物稳态营养肥料项目提供了强大的发展动力。我们将聚焦于行业内最新的技术发展趋势，包括但不限于人工智能、大数据分析、物联网等领域。通过深度的技术研究，我们将确保植物稳态营养肥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植物稳态营养肥料项目发展的源泉。我们将投入更多的精力对市场需求进行深入剖析，超越表面的需求，深入挖掘潜在的市场痛点和机遇。通过对市场需求的细致了解，植物稳态营养肥料项目将更有针对性地设计解决方案，满足市场的多样化需求，从而更好地促进植物稳态营养肥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植物稳态营养肥料项目战略至关重要。我们将对竞争态势进行更为深入的分析，包括但不限于市场份额、产品特点、客户满意度等多个维度。通过深度的竞争分析，植物稳态营养肥料项目将能够更准确地把握市场脉搏，制定具有竞争力的植物稳态营养肥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植物稳态营养肥料项目的发展具有直接的影响。我们将进行更为全面的法规和政策分析，了解行业发展中的潜在法律风险和合规挑战。通过充分了解和遵守相关法规，植物稳态营养肥料项目将确保在法律框架内合法合规运营，为植物稳态营养肥料项目的稳健发展提供有力支持。</w:t>
      </w:r>
    </w:p>
    <w:p>
      <w:pPr>
        <w:pStyle w:val="Heading2"/>
        <w:ind w:firstLine="560" w:firstLineChars="200"/>
        <w:rPr>
          <w:rFonts w:ascii="仿宋" w:eastAsia="仿宋" w:hAnsi="仿宋" w:cs="仿宋" w:hint="eastAsia"/>
          <w:sz w:val="28"/>
          <w:lang w:eastAsia="zh-CN"/>
        </w:rPr>
      </w:pPr>
      <w:bookmarkStart w:id="14" w:name="_Toc24749"/>
      <w:r>
        <w:rPr>
          <w:rFonts w:ascii="仿宋" w:eastAsia="仿宋" w:hAnsi="仿宋" w:cs="仿宋" w:hint="eastAsia"/>
          <w:sz w:val="28"/>
          <w:lang w:eastAsia="zh-CN"/>
        </w:rPr>
        <w:t>(二)、植物稳态营养肥料项目建设必要性分析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建设的迫切性源于对行业发展趋势的深刻洞察。我们正处于一个行业变革的时代，科技创新、数字化转型成为企业发展的关键动力。植物稳态营养肥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建设不仅仅是为了跟上潮流，更是为了通过技术创新推动企业的持续发展。通过引入先进的技术和解决方案，植物稳态营养肥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植物稳态营养肥料项目的建设成为必然选择，通过提高产品质量、拓展服务领域，从而在竞争中获得更多的机会。植物稳态营养肥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植物稳态营养肥料项目建设的必要性体现在对客户需求更精准的满足。通过植物稳态营养肥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建设的背后是对企业持续创新的追求。只有通过不断创新，企业才能在竞争中立于不败之地。植物稳态营养肥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227"/>
      <w:r>
        <w:rPr>
          <w:rFonts w:ascii="仿宋" w:eastAsia="仿宋" w:hAnsi="仿宋" w:cs="仿宋" w:hint="eastAsia"/>
          <w:sz w:val="28"/>
          <w:lang w:eastAsia="zh-CN"/>
        </w:rPr>
        <w:t>五、植物稳态营养肥料项目选址可行性分析</w:t>
      </w:r>
      <w:bookmarkEnd w:id="15"/>
    </w:p>
    <w:p>
      <w:pPr>
        <w:pStyle w:val="Heading2"/>
        <w:rPr>
          <w:rFonts w:ascii="仿宋" w:eastAsia="仿宋" w:hAnsi="仿宋" w:cs="仿宋" w:hint="eastAsia"/>
          <w:lang w:eastAsia="zh-CN"/>
        </w:rPr>
      </w:pPr>
      <w:bookmarkStart w:id="16" w:name="_Toc12407"/>
      <w:r>
        <w:rPr>
          <w:rFonts w:ascii="仿宋" w:eastAsia="仿宋" w:hAnsi="仿宋" w:cs="仿宋" w:hint="eastAsia"/>
          <w:lang w:eastAsia="zh-CN"/>
        </w:rPr>
        <w:t>(一)、植物稳态营养肥料项目选址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该植物稳态营养肥料项目选址位于XX省XX市XX区XXX街道</w:t>
      </w:r>
    </w:p>
    <w:p>
      <w:pPr>
        <w:pStyle w:val="Heading2"/>
        <w:ind w:firstLine="560" w:firstLineChars="200"/>
        <w:rPr>
          <w:rFonts w:ascii="仿宋" w:eastAsia="仿宋" w:hAnsi="仿宋" w:cs="仿宋" w:hint="eastAsia"/>
          <w:sz w:val="28"/>
          <w:lang w:eastAsia="zh-CN"/>
        </w:rPr>
      </w:pPr>
      <w:bookmarkStart w:id="17" w:name="_Toc1760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植物稳态营养肥料项目的征地面积将根据植物稳态营养肥料项目的实际规模和需求进行精确规划。具体面积XXX平方米，旨在确保植物稳态营养肥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净用地面积是在征地面积基础上去除不可利用面积后的实际可开发用地。具体面积XXX平方米，考虑到环保、交通、安全等多方面因素，以确保植物稳态营养肥料项目在整体利用效率上达到最优。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植物稳态营养肥料项目计划建设的建筑总规模具体面积XXX平方米。这一规模的确定综合考虑了植物稳态营养肥料项目的性质、规模，以及城市规划的相关要求，确保建筑布局与周边环境协调一致。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绿地率是植物稳态营养肥料项目用地中被规划为绿地的比例。具体面积XXX平方米，旨在通过合理规划绿地，改善植物稳态营养肥料项目周边环境，提升居民生活质量，并符合城市整体绿化规划。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容积率是用地上可以建设的建筑总体积与用地面积之比。具体面积XXX，通过合理的容积率规划，确保植物稳态营养肥料项目建筑规模与周边环境和谐共生。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植物稳态营养肥料项目选址与当地城市规划相一致，具体面积XXX平方米。通过与城市规划部门深入沟通，确保植物稳态营养肥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植物稳态营养肥料项目选址符合当地产业政策，具体面积XXX平方米。这包括植物稳态营养肥料项目对当地经济的促进作用，以及对相关产业的带动效应，确保植物稳态营养肥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用地总体要求必须符合环保和可持续发展的原则，具体面积XXX平方米。通过采用绿色建筑设计、节能减排等措施，确保植物稳态营养肥料项目在建设和运营过程中对环境的影响最小化，达到可持续发展的要求。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确保植物稳态营养肥料项目选址具备必要的公共设施配套，具体面积XXX平方米。这包括交通便利性、教育、医疗等基础设施，以提高居民生活品质，使得植物稳态营养肥料项目选址更具吸引力。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考虑用地总体要求对当地社会稳定性的影响，具体面积XXX平方米。通过深入了解当地社区反馈，确保植物稳态营养肥料项目的选址和建设过程对当地社会和谐稳定产生积极作用。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植物稳态营养肥料项目选址不仅符合法规和规划，还在实际操作中具有可行性。这一全面规划将为植物稳态营养肥料项目的成功实施提供坚实的基础，确保植物稳态营养肥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550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稳态营养肥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https://d.book118.com/527120066030006031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206430"/>
    <w:rsid w:val="532064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20066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2024-01-12T09:51:00Z</dcterms:created>
  <dcterms:modified xsi:type="dcterms:W3CDTF">2024-01-12T09:51:47Z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40CADDBFEC6745ADBE5D0CE1C76D2080_11</vt:lpwstr>
  </property>
  <property fmtid="{D5CDD505-2E9C-101B-9397-08002B2CF9AE}" pid="3" name="KSOProductBuildVer">
    <vt:lpwstr>2052-12.1.0.16120</vt:lpwstr>
  </property>
</Properties>
</file>