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往复式压缩机相关行业公司成立方案及可行性研究报告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(七)、往复式压缩机项目建设必要性分析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二、往复式压缩机筹建公司基本信息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_Toc15311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六、往复式压缩机项目风险分析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(一)、往复式压缩机项目风险分析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eastAsia="zh-CN"/>
          </w:rPr>
          <w:t>(二)、往复式压缩机项目风险对策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(五)、往复式压缩机项目总投资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(一)、往复式压缩机项目进度安排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(二)、往复式压缩机项目实施保障措施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(二)、合作往复式压缩机项目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_Toc32121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eastAsia="zh-CN"/>
          </w:rPr>
          <w:t>(一)、社会责任往复式压缩机项目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3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93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6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https://d.book118.com/527140053020006034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往复式压缩机相关行业公司成立方案及可行性研究报告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140053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2023-12-28T13:28:00Z</dcterms:created>
  <dcterms:modified xsi:type="dcterms:W3CDTF">2023-12-28T13:28:19Z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E667F34E6FAA45FCB80729152F491755_11</vt:lpwstr>
  </property>
  <property fmtid="{D5CDD505-2E9C-101B-9397-08002B2CF9AE}" pid="3" name="KSOProductBuildVer">
    <vt:lpwstr>2052-12.1.0.16120</vt:lpwstr>
  </property>
</Properties>
</file>