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仿真软件相关行业公司成立报告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一、仿真软件筹建公司基本信息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_Toc25363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_Toc3845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(一)、仿真软件项目选址原则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_Toc16873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(五)、仿真软件项目选址综合评价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(一)、仿真软件项目进度安排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(二)、仿真软件项目实施保障措施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_Toc18283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(五)、仿真软件项目总投资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九、仿真软件项目经济效益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(三)、仿真软件项目盈利能力分析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8" w:history="1">
        <w:r>
          <w:rPr>
            <w:rFonts w:ascii="仿宋" w:eastAsia="仿宋" w:hAnsi="仿宋" w:cs="仿宋" w:hint="eastAsia"/>
            <w:lang w:eastAsia="zh-CN"/>
          </w:rPr>
          <w:t>(一)、仿真软件项目背景分析</w:t>
        </w:r>
        <w:r>
          <w:tab/>
        </w:r>
        <w:r>
          <w:fldChar w:fldCharType="begin"/>
        </w:r>
        <w:r>
          <w:instrText xml:space="preserve"> PAGEREF _Toc15728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(二)、仿真软件项目建设必要性分析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" w:history="1">
        <w:r>
          <w:rPr>
            <w:rFonts w:ascii="仿宋" w:eastAsia="仿宋" w:hAnsi="仿宋" w:cs="仿宋" w:hint="eastAsia"/>
            <w:lang w:eastAsia="zh-CN"/>
          </w:rPr>
          <w:t>(二)、合作仿真软件项目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十五、仿真软件项目总结分析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79"/>
      <w:r>
        <w:rPr>
          <w:rFonts w:ascii="仿宋" w:eastAsia="仿宋" w:hAnsi="仿宋" w:cs="仿宋" w:hint="eastAsia"/>
          <w:sz w:val="28"/>
          <w:lang w:eastAsia="zh-CN"/>
        </w:rPr>
        <w:t>一、仿真软件筹建公司基本信息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4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36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15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22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经营范围：从事XXX相关业务(企业依法自主选择经营仿真软件项目，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开展经营活动；依法须经批准的仿真软件项目，经相关部门批准后依批准的内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容开展经营活动；不得从事本市产业政策禁止和限制类仿真软件项目的经营活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51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https://d.book118.com/527161154116006041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仿真软件相关行业公司成立报告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仿真软件相关行业公司成立报告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仿真软件相关行业公司成立报告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仿真软件相关行业公司成立报告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仿真软件相关行业公司成立报告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7161154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2024-02-07T23:46:00Z</dcterms:created>
  <dcterms:modified xsi:type="dcterms:W3CDTF">2024-02-07T23:46:26Z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554B9278AD2948F9A293F3180C80373D_11</vt:lpwstr>
  </property>
  <property fmtid="{D5CDD505-2E9C-101B-9397-08002B2CF9AE}" pid="3" name="KSOProductBuildVer">
    <vt:lpwstr>2052-12.1.0.16250</vt:lpwstr>
  </property>
</Properties>
</file>