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8" w:lineRule="auto"/>
      </w:pPr>
    </w:p>
    <w:p>
      <w:pPr>
        <w:spacing w:line="248" w:lineRule="auto"/>
      </w:pPr>
    </w:p>
    <w:p>
      <w:pPr>
        <w:spacing w:line="248" w:lineRule="auto"/>
      </w:pPr>
    </w:p>
    <w:p>
      <w:pPr>
        <w:spacing w:line="248" w:lineRule="auto"/>
      </w:pPr>
    </w:p>
    <w:p>
      <w:pPr>
        <w:pStyle w:val="BodyText"/>
        <w:spacing w:before="100" w:line="227" w:lineRule="auto"/>
        <w:ind w:left="4301"/>
        <w:outlineLvl w:val="0"/>
        <w:rPr>
          <w:sz w:val="31"/>
          <w:szCs w:val="31"/>
        </w:rPr>
      </w:pPr>
      <w:r>
        <w:rPr>
          <w:spacing w:val="-22"/>
          <w:sz w:val="31"/>
          <w:szCs w:val="31"/>
          <w14:textOutline w14:w="5793" w14:cap="sq">
            <w14:solidFill>
              <w14:srgbClr w14:val="000000"/>
            </w14:solidFill>
            <w14:prstDash w14:val="solid"/>
            <w14:bevel/>
          </w14:textOutline>
        </w:rPr>
        <w:t>目</w:t>
      </w:r>
      <w:r>
        <w:rPr>
          <w:spacing w:val="10"/>
          <w:sz w:val="31"/>
          <w:szCs w:val="31"/>
        </w:rPr>
        <w:t xml:space="preserve">    </w:t>
      </w:r>
      <w:r>
        <w:rPr>
          <w:spacing w:val="-22"/>
          <w:sz w:val="31"/>
          <w:szCs w:val="31"/>
          <w14:textOutline w14:w="5793" w14:cap="sq">
            <w14:solidFill>
              <w14:srgbClr w14:val="000000"/>
            </w14:solidFill>
            <w14:prstDash w14:val="solid"/>
            <w14:bevel/>
          </w14:textOutline>
        </w:rPr>
        <w:t>录</w:t>
      </w:r>
    </w:p>
    <w:p>
      <w:pPr>
        <w:spacing w:line="283" w:lineRule="auto"/>
      </w:pPr>
    </w:p>
    <w:p>
      <w:pPr>
        <w:spacing w:line="283" w:lineRule="auto"/>
      </w:pPr>
    </w:p>
    <w:p>
      <w:pPr>
        <w:spacing w:line="283" w:lineRule="auto"/>
      </w:pPr>
    </w:p>
    <w:p>
      <w:pPr>
        <w:spacing w:line="283" w:lineRule="auto"/>
      </w:pPr>
    </w:p>
    <w:p>
      <w:pPr>
        <w:pStyle w:val="BodyText"/>
        <w:spacing w:before="78" w:line="222" w:lineRule="auto"/>
        <w:ind w:left="750"/>
      </w:pPr>
      <w:r>
        <w:rPr>
          <w:spacing w:val="-1"/>
        </w:rPr>
        <w:t>一、审计报告………………………………………………………………第</w:t>
      </w:r>
      <w:r>
        <w:rPr>
          <w:spacing w:val="-39"/>
        </w:rPr>
        <w:t xml:space="preserve"> </w:t>
      </w:r>
      <w:r>
        <w:rPr>
          <w:spacing w:val="-1"/>
        </w:rPr>
        <w:t>1—3</w:t>
      </w:r>
      <w:r>
        <w:rPr>
          <w:spacing w:val="-45"/>
        </w:rPr>
        <w:t xml:space="preserve"> </w:t>
      </w:r>
      <w:r>
        <w:rPr>
          <w:spacing w:val="-1"/>
        </w:rPr>
        <w:t>页</w:t>
      </w:r>
    </w:p>
    <w:p>
      <w:pPr>
        <w:spacing w:line="292" w:lineRule="auto"/>
      </w:pPr>
    </w:p>
    <w:p>
      <w:pPr>
        <w:spacing w:line="292" w:lineRule="auto"/>
      </w:pPr>
    </w:p>
    <w:p>
      <w:pPr>
        <w:spacing w:line="292" w:lineRule="auto"/>
      </w:pPr>
    </w:p>
    <w:p>
      <w:pPr>
        <w:pStyle w:val="BodyText"/>
        <w:spacing w:before="78" w:line="221" w:lineRule="auto"/>
        <w:ind w:left="750"/>
      </w:pPr>
      <w:r>
        <w:rPr>
          <w:spacing w:val="-3"/>
        </w:rPr>
        <w:t>二、财务报表………………………………………………………………第</w:t>
      </w:r>
      <w:r>
        <w:rPr>
          <w:spacing w:val="-56"/>
        </w:rPr>
        <w:t xml:space="preserve"> </w:t>
      </w:r>
      <w:r>
        <w:rPr>
          <w:spacing w:val="-3"/>
        </w:rPr>
        <w:t>4—11</w:t>
      </w:r>
      <w:r>
        <w:rPr>
          <w:spacing w:val="-44"/>
        </w:rPr>
        <w:t xml:space="preserve"> </w:t>
      </w:r>
      <w:r>
        <w:rPr>
          <w:spacing w:val="-3"/>
        </w:rPr>
        <w:t>页</w:t>
      </w:r>
    </w:p>
    <w:p>
      <w:pPr>
        <w:spacing w:line="257" w:lineRule="auto"/>
      </w:pPr>
    </w:p>
    <w:p>
      <w:pPr>
        <w:pStyle w:val="BodyText"/>
        <w:spacing w:before="78" w:line="221" w:lineRule="auto"/>
        <w:ind w:left="767"/>
      </w:pPr>
      <w:r>
        <w:rPr>
          <w:spacing w:val="-4"/>
        </w:rPr>
        <w:t>（一）合并资产负债表…………………………………………………………第</w:t>
      </w:r>
      <w:r>
        <w:rPr>
          <w:spacing w:val="-40"/>
        </w:rPr>
        <w:t xml:space="preserve"> </w:t>
      </w:r>
      <w:r>
        <w:rPr>
          <w:spacing w:val="-4"/>
        </w:rPr>
        <w:t>4</w:t>
      </w:r>
      <w:r>
        <w:rPr>
          <w:spacing w:val="-45"/>
        </w:rPr>
        <w:t xml:space="preserve"> </w:t>
      </w:r>
      <w:r>
        <w:rPr>
          <w:spacing w:val="-4"/>
        </w:rPr>
        <w:t>页</w:t>
      </w:r>
    </w:p>
    <w:p>
      <w:pPr>
        <w:spacing w:line="257" w:lineRule="auto"/>
      </w:pPr>
    </w:p>
    <w:p>
      <w:pPr>
        <w:pStyle w:val="BodyText"/>
        <w:spacing w:before="78" w:line="221" w:lineRule="auto"/>
        <w:ind w:left="767"/>
      </w:pPr>
      <w:r>
        <w:rPr>
          <w:spacing w:val="-4"/>
        </w:rPr>
        <w:t>（二）母公司资产负债表………………………………………………………第</w:t>
      </w:r>
      <w:r>
        <w:rPr>
          <w:spacing w:val="-40"/>
        </w:rPr>
        <w:t xml:space="preserve"> </w:t>
      </w:r>
      <w:r>
        <w:rPr>
          <w:spacing w:val="-4"/>
        </w:rPr>
        <w:t>5</w:t>
      </w:r>
      <w:r>
        <w:rPr>
          <w:spacing w:val="-45"/>
        </w:rPr>
        <w:t xml:space="preserve"> </w:t>
      </w:r>
      <w:r>
        <w:rPr>
          <w:spacing w:val="-4"/>
        </w:rPr>
        <w:t>页</w:t>
      </w:r>
    </w:p>
    <w:p>
      <w:pPr>
        <w:spacing w:line="257" w:lineRule="auto"/>
      </w:pPr>
    </w:p>
    <w:p>
      <w:pPr>
        <w:pStyle w:val="BodyText"/>
        <w:spacing w:before="78" w:line="221" w:lineRule="auto"/>
        <w:ind w:left="767"/>
      </w:pPr>
      <w:r>
        <w:rPr>
          <w:spacing w:val="-4"/>
        </w:rPr>
        <w:t>（三）合并利润表………………………………………………………………第</w:t>
      </w:r>
      <w:r>
        <w:rPr>
          <w:spacing w:val="-40"/>
        </w:rPr>
        <w:t xml:space="preserve"> </w:t>
      </w:r>
      <w:r>
        <w:rPr>
          <w:spacing w:val="-4"/>
        </w:rPr>
        <w:t>6</w:t>
      </w:r>
      <w:r>
        <w:rPr>
          <w:spacing w:val="-45"/>
        </w:rPr>
        <w:t xml:space="preserve"> </w:t>
      </w:r>
      <w:r>
        <w:rPr>
          <w:spacing w:val="-4"/>
        </w:rPr>
        <w:t>页</w:t>
      </w:r>
    </w:p>
    <w:p>
      <w:pPr>
        <w:spacing w:line="257" w:lineRule="auto"/>
      </w:pPr>
    </w:p>
    <w:p>
      <w:pPr>
        <w:pStyle w:val="BodyText"/>
        <w:spacing w:before="78" w:line="221" w:lineRule="auto"/>
        <w:ind w:left="767"/>
      </w:pPr>
      <w:r>
        <w:rPr>
          <w:spacing w:val="-4"/>
        </w:rPr>
        <w:t>（四）母公司利润表……………………………………………………………第</w:t>
      </w:r>
      <w:r>
        <w:rPr>
          <w:spacing w:val="-40"/>
        </w:rPr>
        <w:t xml:space="preserve"> </w:t>
      </w:r>
      <w:r>
        <w:rPr>
          <w:spacing w:val="-4"/>
        </w:rPr>
        <w:t>7</w:t>
      </w:r>
      <w:r>
        <w:rPr>
          <w:spacing w:val="-45"/>
        </w:rPr>
        <w:t xml:space="preserve"> </w:t>
      </w:r>
      <w:r>
        <w:rPr>
          <w:spacing w:val="-4"/>
        </w:rPr>
        <w:t>页</w:t>
      </w:r>
    </w:p>
    <w:p>
      <w:pPr>
        <w:spacing w:line="257" w:lineRule="auto"/>
      </w:pPr>
    </w:p>
    <w:p>
      <w:pPr>
        <w:pStyle w:val="BodyText"/>
        <w:spacing w:before="78" w:line="221" w:lineRule="auto"/>
        <w:ind w:left="767"/>
      </w:pPr>
      <w:r>
        <w:rPr>
          <w:spacing w:val="-4"/>
        </w:rPr>
        <w:t>（五）合并现金流量表…………………………………………………………第</w:t>
      </w:r>
      <w:r>
        <w:rPr>
          <w:spacing w:val="-40"/>
        </w:rPr>
        <w:t xml:space="preserve"> </w:t>
      </w:r>
      <w:r>
        <w:rPr>
          <w:spacing w:val="-4"/>
        </w:rPr>
        <w:t>8</w:t>
      </w:r>
      <w:r>
        <w:rPr>
          <w:spacing w:val="-45"/>
        </w:rPr>
        <w:t xml:space="preserve"> </w:t>
      </w:r>
      <w:r>
        <w:rPr>
          <w:spacing w:val="-4"/>
        </w:rPr>
        <w:t>页</w:t>
      </w:r>
    </w:p>
    <w:p>
      <w:pPr>
        <w:spacing w:line="257" w:lineRule="auto"/>
      </w:pPr>
    </w:p>
    <w:p>
      <w:pPr>
        <w:pStyle w:val="BodyText"/>
        <w:spacing w:before="78" w:line="221" w:lineRule="auto"/>
        <w:ind w:left="767"/>
      </w:pPr>
      <w:r>
        <w:rPr>
          <w:spacing w:val="-4"/>
        </w:rPr>
        <w:t>（六）母公司现金流量表………………………………………………………第</w:t>
      </w:r>
      <w:r>
        <w:rPr>
          <w:spacing w:val="-40"/>
        </w:rPr>
        <w:t xml:space="preserve"> </w:t>
      </w:r>
      <w:r>
        <w:rPr>
          <w:spacing w:val="-4"/>
        </w:rPr>
        <w:t>9</w:t>
      </w:r>
      <w:r>
        <w:rPr>
          <w:spacing w:val="-45"/>
        </w:rPr>
        <w:t xml:space="preserve"> </w:t>
      </w:r>
      <w:r>
        <w:rPr>
          <w:spacing w:val="-4"/>
        </w:rPr>
        <w:t>页</w:t>
      </w:r>
    </w:p>
    <w:p>
      <w:pPr>
        <w:spacing w:line="256" w:lineRule="auto"/>
      </w:pPr>
    </w:p>
    <w:p>
      <w:pPr>
        <w:pStyle w:val="BodyText"/>
        <w:spacing w:before="78" w:line="222" w:lineRule="auto"/>
        <w:ind w:left="767"/>
      </w:pPr>
      <w:r>
        <w:rPr>
          <w:spacing w:val="-2"/>
        </w:rPr>
        <w:t>（七）合并所有者权益变动表………………………………………………第</w:t>
      </w:r>
      <w:r>
        <w:rPr>
          <w:spacing w:val="-22"/>
        </w:rPr>
        <w:t xml:space="preserve"> </w:t>
      </w:r>
      <w:r>
        <w:rPr>
          <w:spacing w:val="-2"/>
        </w:rPr>
        <w:t>10</w:t>
      </w:r>
      <w:r>
        <w:rPr>
          <w:spacing w:val="-44"/>
        </w:rPr>
        <w:t xml:space="preserve"> </w:t>
      </w:r>
      <w:r>
        <w:rPr>
          <w:spacing w:val="-2"/>
        </w:rPr>
        <w:t>页</w:t>
      </w:r>
    </w:p>
    <w:p>
      <w:pPr>
        <w:spacing w:line="255" w:lineRule="auto"/>
      </w:pPr>
    </w:p>
    <w:p>
      <w:pPr>
        <w:pStyle w:val="BodyText"/>
        <w:spacing w:before="79" w:line="222" w:lineRule="auto"/>
        <w:ind w:left="767"/>
      </w:pPr>
      <w:r>
        <w:rPr>
          <w:spacing w:val="-2"/>
        </w:rPr>
        <w:t>（八）母公司所有者权益变动表……………………………………………第</w:t>
      </w:r>
      <w:r>
        <w:rPr>
          <w:spacing w:val="-22"/>
        </w:rPr>
        <w:t xml:space="preserve"> </w:t>
      </w:r>
      <w:r>
        <w:rPr>
          <w:spacing w:val="-2"/>
        </w:rPr>
        <w:t>11</w:t>
      </w:r>
      <w:r>
        <w:rPr>
          <w:spacing w:val="-44"/>
        </w:rPr>
        <w:t xml:space="preserve"> </w:t>
      </w:r>
      <w:r>
        <w:rPr>
          <w:spacing w:val="-2"/>
        </w:rPr>
        <w:t>页</w:t>
      </w:r>
    </w:p>
    <w:p>
      <w:pPr>
        <w:spacing w:line="292" w:lineRule="auto"/>
      </w:pPr>
    </w:p>
    <w:p>
      <w:pPr>
        <w:spacing w:line="292" w:lineRule="auto"/>
      </w:pPr>
    </w:p>
    <w:p>
      <w:pPr>
        <w:spacing w:line="292" w:lineRule="auto"/>
      </w:pPr>
    </w:p>
    <w:p>
      <w:pPr>
        <w:pStyle w:val="BodyText"/>
        <w:spacing w:before="79" w:line="221" w:lineRule="auto"/>
        <w:ind w:left="751"/>
      </w:pPr>
      <w:r>
        <w:rPr>
          <w:spacing w:val="-1"/>
        </w:rPr>
        <w:t>三、财务报表附注………………………………………………………第</w:t>
      </w:r>
      <w:r>
        <w:rPr>
          <w:spacing w:val="-39"/>
        </w:rPr>
        <w:t xml:space="preserve"> </w:t>
      </w:r>
      <w:r>
        <w:rPr>
          <w:spacing w:val="-1"/>
        </w:rPr>
        <w:t>12—55</w:t>
      </w:r>
      <w:r>
        <w:rPr>
          <w:spacing w:val="-45"/>
        </w:rPr>
        <w:t xml:space="preserve"> </w:t>
      </w:r>
      <w:r>
        <w:rPr>
          <w:spacing w:val="-1"/>
        </w:rPr>
        <w:t>页</w:t>
      </w:r>
    </w:p>
    <w:p>
      <w:pPr>
        <w:spacing w:line="292" w:lineRule="auto"/>
      </w:pPr>
    </w:p>
    <w:p>
      <w:pPr>
        <w:spacing w:line="292" w:lineRule="auto"/>
      </w:pPr>
    </w:p>
    <w:p>
      <w:pPr>
        <w:spacing w:line="292" w:lineRule="auto"/>
      </w:pPr>
    </w:p>
    <w:p>
      <w:pPr>
        <w:pStyle w:val="BodyText"/>
        <w:spacing w:before="79" w:line="222" w:lineRule="auto"/>
        <w:ind w:left="761"/>
      </w:pPr>
      <w:r>
        <w:rPr>
          <w:spacing w:val="-1"/>
        </w:rPr>
        <w:t>四、附件 ……………………………………………</w:t>
      </w:r>
      <w:r>
        <w:rPr>
          <w:spacing w:val="-2"/>
        </w:rPr>
        <w:t>………………… 第 56—59</w:t>
      </w:r>
      <w:r>
        <w:rPr>
          <w:spacing w:val="-44"/>
        </w:rPr>
        <w:t xml:space="preserve"> </w:t>
      </w:r>
      <w:r>
        <w:rPr>
          <w:spacing w:val="-2"/>
        </w:rPr>
        <w:t>页</w:t>
      </w:r>
    </w:p>
    <w:p>
      <w:pPr>
        <w:spacing w:line="256" w:lineRule="auto"/>
      </w:pPr>
    </w:p>
    <w:p>
      <w:pPr>
        <w:pStyle w:val="BodyText"/>
        <w:spacing w:before="79" w:line="219" w:lineRule="auto"/>
        <w:ind w:left="767"/>
      </w:pPr>
      <w:bookmarkStart w:id="0" w:name="_GoBack"/>
      <w:bookmarkEnd w:id="0"/>
      <w:r>
        <w:rPr>
          <w:spacing w:val="-2"/>
        </w:rPr>
        <w:t>（一）本所执业证书复印件…………………………………………………第 56</w:t>
      </w:r>
      <w:r>
        <w:rPr>
          <w:spacing w:val="-33"/>
        </w:rPr>
        <w:t xml:space="preserve"> </w:t>
      </w:r>
      <w:r>
        <w:rPr>
          <w:spacing w:val="-2"/>
        </w:rPr>
        <w:t>页</w:t>
      </w:r>
    </w:p>
    <w:p>
      <w:pPr>
        <w:spacing w:line="259" w:lineRule="auto"/>
      </w:pPr>
    </w:p>
    <w:p>
      <w:pPr>
        <w:pStyle w:val="BodyText"/>
        <w:spacing w:before="78" w:line="219" w:lineRule="auto"/>
        <w:ind w:left="767"/>
      </w:pPr>
      <w:r>
        <w:rPr>
          <w:spacing w:val="-2"/>
        </w:rPr>
        <w:t>（二）本所营业执照复印件…………………………………………………第 57</w:t>
      </w:r>
      <w:r>
        <w:rPr>
          <w:spacing w:val="-33"/>
        </w:rPr>
        <w:t xml:space="preserve"> </w:t>
      </w:r>
      <w:r>
        <w:rPr>
          <w:spacing w:val="-2"/>
        </w:rPr>
        <w:t>页</w:t>
      </w:r>
    </w:p>
    <w:p>
      <w:pPr>
        <w:spacing w:line="259" w:lineRule="auto"/>
      </w:pPr>
    </w:p>
    <w:p>
      <w:pPr>
        <w:pStyle w:val="BodyText"/>
        <w:spacing w:before="79" w:line="219" w:lineRule="auto"/>
        <w:ind w:left="767"/>
      </w:pPr>
      <w:r>
        <w:rPr>
          <w:spacing w:val="-3"/>
        </w:rPr>
        <w:t>（三）本所注册会计师执业证书复印件 ………………</w:t>
      </w:r>
      <w:r>
        <w:rPr>
          <w:spacing w:val="-4"/>
        </w:rPr>
        <w:t>………………第</w:t>
      </w:r>
      <w:r>
        <w:rPr>
          <w:spacing w:val="-57"/>
        </w:rPr>
        <w:t xml:space="preserve"> </w:t>
      </w:r>
      <w:r>
        <w:rPr>
          <w:spacing w:val="-4"/>
        </w:rPr>
        <w:t>58—59</w:t>
      </w:r>
      <w:r>
        <w:rPr>
          <w:spacing w:val="-44"/>
        </w:rPr>
        <w:t xml:space="preserve"> </w:t>
      </w:r>
      <w:r>
        <w:rPr>
          <w:spacing w:val="-4"/>
        </w:rPr>
        <w:t>页</w:t>
      </w:r>
    </w:p>
    <w:p>
      <w:pPr>
        <w:spacing w:line="255" w:lineRule="auto"/>
      </w:pPr>
    </w:p>
    <w:p>
      <w:pPr>
        <w:spacing w:line="256" w:lineRule="auto"/>
      </w:pPr>
    </w:p>
    <w:p>
      <w:pPr>
        <w:spacing w:line="1062" w:lineRule="exact"/>
        <w:ind w:firstLine="2898"/>
      </w:pPr>
    </w:p>
    <w:p>
      <w:pPr>
        <w:spacing w:line="1062" w:lineRule="exact"/>
        <w:sectPr>
          <w:footerReference w:type="default" r:id="rId5"/>
          <w:pgSz w:w="11906" w:h="16839"/>
          <w:pgMar w:top="1431" w:right="259" w:bottom="1" w:left="1060" w:header="0" w:footer="0" w:gutter="0"/>
          <w:cols w:num="1" w:space="720"/>
        </w:sectPr>
      </w:pPr>
    </w:p>
    <w:p>
      <w:pPr>
        <w:spacing w:line="269" w:lineRule="auto"/>
      </w:pPr>
    </w:p>
    <w:p>
      <w:pPr>
        <w:spacing w:line="269" w:lineRule="auto"/>
      </w:pPr>
    </w:p>
    <w:p>
      <w:pPr>
        <w:spacing w:line="269" w:lineRule="auto"/>
      </w:pPr>
    </w:p>
    <w:p>
      <w:pPr>
        <w:spacing w:line="269" w:lineRule="auto"/>
      </w:pPr>
    </w:p>
    <w:p>
      <w:pPr>
        <w:spacing w:line="269" w:lineRule="auto"/>
      </w:pPr>
    </w:p>
    <w:p>
      <w:pPr>
        <w:spacing w:line="270" w:lineRule="auto"/>
      </w:pPr>
    </w:p>
    <w:p>
      <w:pPr>
        <w:spacing w:line="270" w:lineRule="auto"/>
      </w:pPr>
    </w:p>
    <w:p>
      <w:pPr>
        <w:pStyle w:val="BodyText"/>
        <w:spacing w:before="114" w:line="228" w:lineRule="auto"/>
        <w:ind w:left="4710"/>
        <w:rPr>
          <w:sz w:val="35"/>
          <w:szCs w:val="35"/>
        </w:rPr>
      </w:pPr>
      <w:r>
        <w:rPr>
          <w:spacing w:val="-6"/>
          <w:sz w:val="35"/>
          <w:szCs w:val="35"/>
          <w14:textOutline w14:w="6537" w14:cap="sq">
            <w14:solidFill>
              <w14:srgbClr w14:val="000000"/>
            </w14:solidFill>
            <w14:prstDash w14:val="solid"/>
            <w14:bevel/>
          </w14:textOutline>
        </w:rPr>
        <w:t>审</w:t>
      </w:r>
      <w:r>
        <w:rPr>
          <w:spacing w:val="15"/>
          <w:sz w:val="35"/>
          <w:szCs w:val="35"/>
        </w:rPr>
        <w:t xml:space="preserve">  </w:t>
      </w:r>
      <w:r>
        <w:rPr>
          <w:spacing w:val="-6"/>
          <w:sz w:val="35"/>
          <w:szCs w:val="35"/>
          <w14:textOutline w14:w="6537" w14:cap="sq">
            <w14:solidFill>
              <w14:srgbClr w14:val="000000"/>
            </w14:solidFill>
            <w14:prstDash w14:val="solid"/>
            <w14:bevel/>
          </w14:textOutline>
        </w:rPr>
        <w:t>计</w:t>
      </w:r>
      <w:r>
        <w:rPr>
          <w:spacing w:val="12"/>
          <w:sz w:val="35"/>
          <w:szCs w:val="35"/>
        </w:rPr>
        <w:t xml:space="preserve">  </w:t>
      </w:r>
      <w:r>
        <w:rPr>
          <w:spacing w:val="-6"/>
          <w:sz w:val="35"/>
          <w:szCs w:val="35"/>
          <w14:textOutline w14:w="6537" w14:cap="sq">
            <w14:solidFill>
              <w14:srgbClr w14:val="000000"/>
            </w14:solidFill>
            <w14:prstDash w14:val="solid"/>
            <w14:bevel/>
          </w14:textOutline>
        </w:rPr>
        <w:t>报</w:t>
      </w:r>
      <w:r>
        <w:rPr>
          <w:spacing w:val="17"/>
          <w:sz w:val="35"/>
          <w:szCs w:val="35"/>
        </w:rPr>
        <w:t xml:space="preserve">  </w:t>
      </w:r>
      <w:r>
        <w:rPr>
          <w:spacing w:val="-6"/>
          <w:sz w:val="35"/>
          <w:szCs w:val="35"/>
          <w14:textOutline w14:w="6537" w14:cap="sq">
            <w14:solidFill>
              <w14:srgbClr w14:val="000000"/>
            </w14:solidFill>
            <w14:prstDash w14:val="solid"/>
            <w14:bevel/>
          </w14:textOutline>
        </w:rPr>
        <w:t>告</w:t>
      </w:r>
    </w:p>
    <w:p>
      <w:pPr>
        <w:pStyle w:val="BodyText"/>
        <w:spacing w:before="205" w:line="221" w:lineRule="auto"/>
        <w:ind w:left="5036"/>
        <w:rPr>
          <w:sz w:val="18"/>
          <w:szCs w:val="18"/>
        </w:rPr>
      </w:pPr>
      <w:r>
        <w:rPr>
          <w:spacing w:val="-1"/>
          <w:sz w:val="18"/>
          <w:szCs w:val="18"/>
        </w:rPr>
        <w:t>天健审〔2024〕3-15</w:t>
      </w:r>
      <w:r>
        <w:rPr>
          <w:spacing w:val="-28"/>
          <w:sz w:val="18"/>
          <w:szCs w:val="18"/>
        </w:rPr>
        <w:t xml:space="preserve"> </w:t>
      </w:r>
      <w:r>
        <w:rPr>
          <w:spacing w:val="-1"/>
          <w:sz w:val="18"/>
          <w:szCs w:val="18"/>
        </w:rPr>
        <w:t>号</w:t>
      </w:r>
    </w:p>
    <w:p>
      <w:pPr>
        <w:spacing w:line="304" w:lineRule="auto"/>
      </w:pPr>
    </w:p>
    <w:p>
      <w:pPr>
        <w:spacing w:line="304" w:lineRule="auto"/>
      </w:pPr>
    </w:p>
    <w:p>
      <w:pPr>
        <w:spacing w:before="78" w:line="219" w:lineRule="auto"/>
        <w:ind w:left="1806"/>
        <w:rPr>
          <w:rFonts w:ascii="宋体" w:eastAsia="宋体" w:hAnsi="宋体" w:cs="宋体"/>
          <w:sz w:val="24"/>
          <w:szCs w:val="24"/>
        </w:rPr>
      </w:pPr>
      <w:r>
        <w:rPr>
          <w:rFonts w:ascii="宋体" w:eastAsia="宋体" w:hAnsi="宋体" w:cs="宋体"/>
          <w:spacing w:val="-1"/>
          <w:sz w:val="24"/>
          <w:szCs w:val="24"/>
        </w:rPr>
        <w:t>广东天机智能系统有限公司全体股东：</w:t>
      </w:r>
    </w:p>
    <w:p>
      <w:pPr>
        <w:spacing w:line="285" w:lineRule="auto"/>
      </w:pPr>
    </w:p>
    <w:p>
      <w:pPr>
        <w:spacing w:line="285" w:lineRule="auto"/>
      </w:pPr>
    </w:p>
    <w:p>
      <w:pPr>
        <w:pStyle w:val="BodyText"/>
        <w:spacing w:before="78" w:line="221" w:lineRule="auto"/>
        <w:ind w:left="2290"/>
        <w:outlineLvl w:val="0"/>
      </w:pPr>
      <w:r>
        <w:rPr>
          <w:spacing w:val="-2"/>
          <w14:textOutline w14:w="4358" w14:cap="sq">
            <w14:solidFill>
              <w14:srgbClr w14:val="000000"/>
            </w14:solidFill>
            <w14:prstDash w14:val="solid"/>
            <w14:bevel/>
          </w14:textOutline>
        </w:rPr>
        <w:t>一、审计意见</w:t>
      </w:r>
    </w:p>
    <w:p>
      <w:pPr>
        <w:spacing w:before="180" w:line="360" w:lineRule="auto"/>
        <w:ind w:left="1806" w:right="1475" w:firstLine="481"/>
        <w:jc w:val="both"/>
        <w:rPr>
          <w:rFonts w:ascii="宋体" w:eastAsia="宋体" w:hAnsi="宋体" w:cs="宋体"/>
          <w:sz w:val="24"/>
          <w:szCs w:val="24"/>
        </w:rPr>
      </w:pPr>
      <w:r>
        <w:rPr>
          <w:rFonts w:ascii="宋体" w:eastAsia="宋体" w:hAnsi="宋体" w:cs="宋体"/>
          <w:spacing w:val="-8"/>
          <w:sz w:val="24"/>
          <w:szCs w:val="24"/>
        </w:rPr>
        <w:t>我们审计了广东天机智能系统有限公司（以下简称天机智能</w:t>
      </w:r>
      <w:r>
        <w:rPr>
          <w:rFonts w:ascii="宋体" w:eastAsia="宋体" w:hAnsi="宋体" w:cs="宋体"/>
          <w:spacing w:val="-9"/>
          <w:sz w:val="24"/>
          <w:szCs w:val="24"/>
        </w:rPr>
        <w:t>公司）财务报表，</w:t>
      </w:r>
      <w:r>
        <w:rPr>
          <w:rFonts w:ascii="宋体" w:eastAsia="宋体" w:hAnsi="宋体" w:cs="宋体"/>
          <w:sz w:val="24"/>
          <w:szCs w:val="24"/>
        </w:rPr>
        <w:t xml:space="preserve"> </w:t>
      </w:r>
      <w:r>
        <w:rPr>
          <w:rFonts w:ascii="宋体" w:eastAsia="宋体" w:hAnsi="宋体" w:cs="宋体"/>
          <w:spacing w:val="-5"/>
          <w:sz w:val="24"/>
          <w:szCs w:val="24"/>
        </w:rPr>
        <w:t>包括</w:t>
      </w:r>
      <w:r>
        <w:rPr>
          <w:rFonts w:ascii="宋体" w:eastAsia="宋体" w:hAnsi="宋体" w:cs="宋体"/>
          <w:spacing w:val="-37"/>
          <w:sz w:val="24"/>
          <w:szCs w:val="24"/>
        </w:rPr>
        <w:t xml:space="preserve"> </w:t>
      </w:r>
      <w:r>
        <w:rPr>
          <w:rFonts w:ascii="宋体" w:eastAsia="宋体" w:hAnsi="宋体" w:cs="宋体"/>
          <w:spacing w:val="-5"/>
          <w:sz w:val="24"/>
          <w:szCs w:val="24"/>
        </w:rPr>
        <w:t>2023</w:t>
      </w:r>
      <w:r>
        <w:rPr>
          <w:rFonts w:ascii="宋体" w:eastAsia="宋体" w:hAnsi="宋体" w:cs="宋体"/>
          <w:spacing w:val="-49"/>
          <w:sz w:val="24"/>
          <w:szCs w:val="24"/>
        </w:rPr>
        <w:t xml:space="preserve"> </w:t>
      </w:r>
      <w:r>
        <w:rPr>
          <w:rFonts w:ascii="宋体" w:eastAsia="宋体" w:hAnsi="宋体" w:cs="宋体"/>
          <w:spacing w:val="-5"/>
          <w:sz w:val="24"/>
          <w:szCs w:val="24"/>
        </w:rPr>
        <w:t>年</w:t>
      </w:r>
      <w:r>
        <w:rPr>
          <w:rFonts w:ascii="宋体" w:eastAsia="宋体" w:hAnsi="宋体" w:cs="宋体"/>
          <w:spacing w:val="-33"/>
          <w:sz w:val="24"/>
          <w:szCs w:val="24"/>
        </w:rPr>
        <w:t xml:space="preserve"> </w:t>
      </w:r>
      <w:r>
        <w:rPr>
          <w:rFonts w:ascii="宋体" w:eastAsia="宋体" w:hAnsi="宋体" w:cs="宋体"/>
          <w:spacing w:val="-5"/>
          <w:sz w:val="24"/>
          <w:szCs w:val="24"/>
        </w:rPr>
        <w:t>12</w:t>
      </w:r>
      <w:r>
        <w:rPr>
          <w:rFonts w:ascii="宋体" w:eastAsia="宋体" w:hAnsi="宋体" w:cs="宋体"/>
          <w:spacing w:val="-45"/>
          <w:sz w:val="24"/>
          <w:szCs w:val="24"/>
        </w:rPr>
        <w:t xml:space="preserve"> </w:t>
      </w:r>
      <w:r>
        <w:rPr>
          <w:rFonts w:ascii="宋体" w:eastAsia="宋体" w:hAnsi="宋体" w:cs="宋体"/>
          <w:spacing w:val="-5"/>
          <w:sz w:val="24"/>
          <w:szCs w:val="24"/>
        </w:rPr>
        <w:t>月</w:t>
      </w:r>
      <w:r>
        <w:rPr>
          <w:rFonts w:ascii="宋体" w:eastAsia="宋体" w:hAnsi="宋体" w:cs="宋体"/>
          <w:spacing w:val="-46"/>
          <w:sz w:val="24"/>
          <w:szCs w:val="24"/>
        </w:rPr>
        <w:t xml:space="preserve"> </w:t>
      </w:r>
      <w:r>
        <w:rPr>
          <w:rFonts w:ascii="宋体" w:eastAsia="宋体" w:hAnsi="宋体" w:cs="宋体"/>
          <w:spacing w:val="-5"/>
          <w:sz w:val="24"/>
          <w:szCs w:val="24"/>
        </w:rPr>
        <w:t>31 日的合并及母公司资产负债表，2023</w:t>
      </w:r>
      <w:r>
        <w:rPr>
          <w:rFonts w:ascii="宋体" w:eastAsia="宋体" w:hAnsi="宋体" w:cs="宋体"/>
          <w:spacing w:val="-50"/>
          <w:sz w:val="24"/>
          <w:szCs w:val="24"/>
        </w:rPr>
        <w:t xml:space="preserve"> </w:t>
      </w:r>
      <w:r>
        <w:rPr>
          <w:rFonts w:ascii="宋体" w:eastAsia="宋体" w:hAnsi="宋体" w:cs="宋体"/>
          <w:spacing w:val="-5"/>
          <w:sz w:val="24"/>
          <w:szCs w:val="24"/>
        </w:rPr>
        <w:t>年度的合并及母公司</w:t>
      </w:r>
      <w:r>
        <w:rPr>
          <w:rFonts w:ascii="宋体" w:eastAsia="宋体" w:hAnsi="宋体" w:cs="宋体"/>
          <w:sz w:val="24"/>
          <w:szCs w:val="24"/>
        </w:rPr>
        <w:t xml:space="preserve"> </w:t>
      </w:r>
      <w:r>
        <w:rPr>
          <w:rFonts w:ascii="宋体" w:eastAsia="宋体" w:hAnsi="宋体" w:cs="宋体"/>
          <w:spacing w:val="-3"/>
          <w:sz w:val="24"/>
          <w:szCs w:val="24"/>
        </w:rPr>
        <w:t>利润表、合并及母公司现金流量表、合并及母公司所有者权益变动表，以及相关</w:t>
      </w:r>
    </w:p>
    <w:p>
      <w:pPr>
        <w:spacing w:line="218" w:lineRule="auto"/>
        <w:ind w:left="1807"/>
        <w:rPr>
          <w:rFonts w:ascii="宋体" w:eastAsia="宋体" w:hAnsi="宋体" w:cs="宋体"/>
          <w:sz w:val="24"/>
          <w:szCs w:val="24"/>
        </w:rPr>
      </w:pPr>
      <w:r>
        <w:rPr>
          <w:rFonts w:ascii="宋体" w:eastAsia="宋体" w:hAnsi="宋体" w:cs="宋体"/>
          <w:spacing w:val="-2"/>
          <w:sz w:val="24"/>
          <w:szCs w:val="24"/>
        </w:rPr>
        <w:t>财务报表附注。</w:t>
      </w:r>
    </w:p>
    <w:p>
      <w:pPr>
        <w:spacing w:before="184" w:line="360" w:lineRule="auto"/>
        <w:ind w:left="1814" w:right="1507" w:firstLine="474"/>
        <w:jc w:val="both"/>
        <w:rPr>
          <w:rFonts w:ascii="宋体" w:eastAsia="宋体" w:hAnsi="宋体" w:cs="宋体"/>
          <w:sz w:val="24"/>
          <w:szCs w:val="24"/>
        </w:rPr>
      </w:pPr>
      <w:r>
        <w:rPr>
          <w:rFonts w:ascii="宋体" w:eastAsia="宋体" w:hAnsi="宋体" w:cs="宋体"/>
          <w:spacing w:val="-2"/>
          <w:sz w:val="24"/>
          <w:szCs w:val="24"/>
        </w:rPr>
        <w:t>我们认为，后附的财务报表在所有重大方面按照企业会计准则的</w:t>
      </w:r>
      <w:r>
        <w:rPr>
          <w:rFonts w:ascii="宋体" w:eastAsia="宋体" w:hAnsi="宋体" w:cs="宋体"/>
          <w:spacing w:val="-3"/>
          <w:sz w:val="24"/>
          <w:szCs w:val="24"/>
        </w:rPr>
        <w:t>规定编制，</w:t>
      </w:r>
      <w:r>
        <w:rPr>
          <w:rFonts w:ascii="宋体" w:eastAsia="宋体" w:hAnsi="宋体" w:cs="宋体"/>
          <w:sz w:val="24"/>
          <w:szCs w:val="24"/>
        </w:rPr>
        <w:t xml:space="preserve"> </w:t>
      </w:r>
      <w:r>
        <w:rPr>
          <w:rFonts w:ascii="宋体" w:eastAsia="宋体" w:hAnsi="宋体" w:cs="宋体"/>
          <w:spacing w:val="-7"/>
          <w:sz w:val="24"/>
          <w:szCs w:val="24"/>
        </w:rPr>
        <w:t>公允反映了天机智能公司</w:t>
      </w:r>
      <w:r>
        <w:rPr>
          <w:rFonts w:ascii="宋体" w:eastAsia="宋体" w:hAnsi="宋体" w:cs="宋体"/>
          <w:spacing w:val="-70"/>
          <w:sz w:val="24"/>
          <w:szCs w:val="24"/>
        </w:rPr>
        <w:t xml:space="preserve"> </w:t>
      </w:r>
      <w:r>
        <w:rPr>
          <w:rFonts w:ascii="宋体" w:eastAsia="宋体" w:hAnsi="宋体" w:cs="宋体"/>
          <w:spacing w:val="-7"/>
          <w:sz w:val="24"/>
          <w:szCs w:val="24"/>
        </w:rPr>
        <w:t>2023</w:t>
      </w:r>
      <w:r>
        <w:rPr>
          <w:rFonts w:ascii="宋体" w:eastAsia="宋体" w:hAnsi="宋体" w:cs="宋体"/>
          <w:spacing w:val="-71"/>
          <w:sz w:val="24"/>
          <w:szCs w:val="24"/>
        </w:rPr>
        <w:t xml:space="preserve"> </w:t>
      </w:r>
      <w:r>
        <w:rPr>
          <w:rFonts w:ascii="宋体" w:eastAsia="宋体" w:hAnsi="宋体" w:cs="宋体"/>
          <w:spacing w:val="-7"/>
          <w:sz w:val="24"/>
          <w:szCs w:val="24"/>
        </w:rPr>
        <w:t>年</w:t>
      </w:r>
      <w:r>
        <w:rPr>
          <w:rFonts w:ascii="宋体" w:eastAsia="宋体" w:hAnsi="宋体" w:cs="宋体"/>
          <w:spacing w:val="-54"/>
          <w:sz w:val="24"/>
          <w:szCs w:val="24"/>
        </w:rPr>
        <w:t xml:space="preserve"> </w:t>
      </w:r>
      <w:r>
        <w:rPr>
          <w:rFonts w:ascii="宋体" w:eastAsia="宋体" w:hAnsi="宋体" w:cs="宋体"/>
          <w:spacing w:val="-7"/>
          <w:sz w:val="24"/>
          <w:szCs w:val="24"/>
        </w:rPr>
        <w:t>12</w:t>
      </w:r>
      <w:r>
        <w:rPr>
          <w:rFonts w:ascii="宋体" w:eastAsia="宋体" w:hAnsi="宋体" w:cs="宋体"/>
          <w:spacing w:val="-67"/>
          <w:sz w:val="24"/>
          <w:szCs w:val="24"/>
        </w:rPr>
        <w:t xml:space="preserve"> </w:t>
      </w:r>
      <w:r>
        <w:rPr>
          <w:rFonts w:ascii="宋体" w:eastAsia="宋体" w:hAnsi="宋体" w:cs="宋体"/>
          <w:spacing w:val="-7"/>
          <w:sz w:val="24"/>
          <w:szCs w:val="24"/>
        </w:rPr>
        <w:t>月</w:t>
      </w:r>
      <w:r>
        <w:rPr>
          <w:rFonts w:ascii="宋体" w:eastAsia="宋体" w:hAnsi="宋体" w:cs="宋体"/>
          <w:spacing w:val="-65"/>
          <w:sz w:val="24"/>
          <w:szCs w:val="24"/>
        </w:rPr>
        <w:t xml:space="preserve"> </w:t>
      </w:r>
      <w:r>
        <w:rPr>
          <w:rFonts w:ascii="宋体" w:eastAsia="宋体" w:hAnsi="宋体" w:cs="宋体"/>
          <w:spacing w:val="-7"/>
          <w:sz w:val="24"/>
          <w:szCs w:val="24"/>
        </w:rPr>
        <w:t>31</w:t>
      </w:r>
      <w:r>
        <w:rPr>
          <w:rFonts w:ascii="宋体" w:eastAsia="宋体" w:hAnsi="宋体" w:cs="宋体"/>
          <w:spacing w:val="-31"/>
          <w:sz w:val="24"/>
          <w:szCs w:val="24"/>
        </w:rPr>
        <w:t xml:space="preserve"> </w:t>
      </w:r>
      <w:r>
        <w:rPr>
          <w:rFonts w:ascii="宋体" w:eastAsia="宋体" w:hAnsi="宋体" w:cs="宋体"/>
          <w:spacing w:val="-7"/>
          <w:sz w:val="24"/>
          <w:szCs w:val="24"/>
        </w:rPr>
        <w:t>日的合并及母公司财务状况，以及</w:t>
      </w:r>
      <w:r>
        <w:rPr>
          <w:rFonts w:ascii="宋体" w:eastAsia="宋体" w:hAnsi="宋体" w:cs="宋体"/>
          <w:spacing w:val="-69"/>
          <w:sz w:val="24"/>
          <w:szCs w:val="24"/>
        </w:rPr>
        <w:t xml:space="preserve"> </w:t>
      </w:r>
      <w:r>
        <w:rPr>
          <w:rFonts w:ascii="宋体" w:eastAsia="宋体" w:hAnsi="宋体" w:cs="宋体"/>
          <w:spacing w:val="-7"/>
          <w:sz w:val="24"/>
          <w:szCs w:val="24"/>
        </w:rPr>
        <w:t>2023</w:t>
      </w:r>
    </w:p>
    <w:p>
      <w:pPr>
        <w:spacing w:before="1" w:line="219" w:lineRule="auto"/>
        <w:ind w:left="1807"/>
        <w:rPr>
          <w:rFonts w:ascii="宋体" w:eastAsia="宋体" w:hAnsi="宋体" w:cs="宋体"/>
          <w:sz w:val="24"/>
          <w:szCs w:val="24"/>
        </w:rPr>
      </w:pPr>
      <w:r>
        <w:rPr>
          <w:rFonts w:ascii="宋体" w:eastAsia="宋体" w:hAnsi="宋体" w:cs="宋体"/>
          <w:spacing w:val="-1"/>
          <w:sz w:val="24"/>
          <w:szCs w:val="24"/>
        </w:rPr>
        <w:t>年度的合并及母公司经营成果和现金流量。</w:t>
      </w:r>
    </w:p>
    <w:p>
      <w:pPr>
        <w:spacing w:line="284" w:lineRule="auto"/>
      </w:pPr>
    </w:p>
    <w:p>
      <w:pPr>
        <w:spacing w:line="285" w:lineRule="auto"/>
      </w:pPr>
    </w:p>
    <w:p>
      <w:pPr>
        <w:pStyle w:val="BodyText"/>
        <w:spacing w:before="78" w:line="221" w:lineRule="auto"/>
        <w:ind w:left="2290"/>
        <w:outlineLvl w:val="0"/>
      </w:pPr>
      <w:r>
        <w:rPr>
          <w:spacing w:val="-1"/>
          <w14:textOutline w14:w="4358" w14:cap="sq">
            <w14:solidFill>
              <w14:srgbClr w14:val="000000"/>
            </w14:solidFill>
            <w14:prstDash w14:val="solid"/>
            <w14:bevel/>
          </w14:textOutline>
        </w:rPr>
        <w:t>二、形成审计意见的基础</w:t>
      </w:r>
    </w:p>
    <w:p>
      <w:pPr>
        <w:spacing w:before="181" w:line="360" w:lineRule="auto"/>
        <w:ind w:left="1806" w:right="1488" w:firstLine="481"/>
        <w:jc w:val="both"/>
        <w:rPr>
          <w:rFonts w:ascii="宋体" w:eastAsia="宋体" w:hAnsi="宋体" w:cs="宋体"/>
          <w:sz w:val="24"/>
          <w:szCs w:val="24"/>
        </w:rPr>
      </w:pPr>
      <w:r>
        <w:rPr>
          <w:rFonts w:ascii="宋体" w:eastAsia="宋体" w:hAnsi="宋体" w:cs="宋体"/>
          <w:spacing w:val="-3"/>
          <w:sz w:val="24"/>
          <w:szCs w:val="24"/>
        </w:rPr>
        <w:t>我们按照中国注册会计师审计准则的规定执行了审计工作。审计报告</w:t>
      </w:r>
      <w:r>
        <w:rPr>
          <w:rFonts w:ascii="宋体" w:eastAsia="宋体" w:hAnsi="宋体" w:cs="宋体"/>
          <w:spacing w:val="-4"/>
          <w:sz w:val="24"/>
          <w:szCs w:val="24"/>
        </w:rPr>
        <w:t>的“注</w:t>
      </w:r>
      <w:r>
        <w:rPr>
          <w:rFonts w:ascii="宋体" w:eastAsia="宋体" w:hAnsi="宋体" w:cs="宋体"/>
          <w:sz w:val="24"/>
          <w:szCs w:val="24"/>
        </w:rPr>
        <w:t xml:space="preserve"> </w:t>
      </w:r>
      <w:r>
        <w:rPr>
          <w:rFonts w:ascii="宋体" w:eastAsia="宋体" w:hAnsi="宋体" w:cs="宋体"/>
          <w:spacing w:val="-2"/>
          <w:sz w:val="24"/>
          <w:szCs w:val="24"/>
        </w:rPr>
        <w:t>册会计师对财务报表审计的责任</w:t>
      </w:r>
      <w:r>
        <w:rPr>
          <w:rFonts w:ascii="宋体" w:eastAsia="宋体" w:hAnsi="宋体" w:cs="宋体"/>
          <w:spacing w:val="-88"/>
          <w:sz w:val="24"/>
          <w:szCs w:val="24"/>
        </w:rPr>
        <w:t xml:space="preserve"> </w:t>
      </w:r>
      <w:r>
        <w:rPr>
          <w:rFonts w:ascii="宋体" w:eastAsia="宋体" w:hAnsi="宋体" w:cs="宋体"/>
          <w:spacing w:val="-2"/>
          <w:sz w:val="24"/>
          <w:szCs w:val="24"/>
        </w:rPr>
        <w:t>”部分进一步阐述</w:t>
      </w:r>
      <w:r>
        <w:rPr>
          <w:rFonts w:ascii="宋体" w:eastAsia="宋体" w:hAnsi="宋体" w:cs="宋体"/>
          <w:spacing w:val="-3"/>
          <w:sz w:val="24"/>
          <w:szCs w:val="24"/>
        </w:rPr>
        <w:t>了我们在这些准则下的责任。</w:t>
      </w:r>
      <w:r>
        <w:rPr>
          <w:rFonts w:ascii="宋体" w:eastAsia="宋体" w:hAnsi="宋体" w:cs="宋体"/>
          <w:sz w:val="24"/>
          <w:szCs w:val="24"/>
        </w:rPr>
        <w:t xml:space="preserve"> </w:t>
      </w:r>
      <w:r>
        <w:rPr>
          <w:rFonts w:ascii="宋体" w:eastAsia="宋体" w:hAnsi="宋体" w:cs="宋体"/>
          <w:spacing w:val="-3"/>
          <w:sz w:val="24"/>
          <w:szCs w:val="24"/>
        </w:rPr>
        <w:t>按照中国注册会计师职业道德守则，我们独立于天机智能公司，并履行了职业道</w:t>
      </w:r>
      <w:r>
        <w:rPr>
          <w:rFonts w:ascii="宋体" w:eastAsia="宋体" w:hAnsi="宋体" w:cs="宋体"/>
          <w:spacing w:val="5"/>
          <w:sz w:val="24"/>
          <w:szCs w:val="24"/>
        </w:rPr>
        <w:t xml:space="preserve"> </w:t>
      </w:r>
      <w:r>
        <w:rPr>
          <w:rFonts w:ascii="宋体" w:eastAsia="宋体" w:hAnsi="宋体" w:cs="宋体"/>
          <w:spacing w:val="-3"/>
          <w:sz w:val="24"/>
          <w:szCs w:val="24"/>
        </w:rPr>
        <w:t>德方面的其他责任。我们相信，我们获取的审计证据是充分、适当的，为发表审</w:t>
      </w:r>
    </w:p>
    <w:p>
      <w:pPr>
        <w:spacing w:before="1" w:line="218" w:lineRule="auto"/>
        <w:ind w:left="1806"/>
        <w:rPr>
          <w:rFonts w:ascii="宋体" w:eastAsia="宋体" w:hAnsi="宋体" w:cs="宋体"/>
          <w:sz w:val="24"/>
          <w:szCs w:val="24"/>
        </w:rPr>
      </w:pPr>
      <w:r>
        <w:rPr>
          <w:rFonts w:ascii="宋体" w:eastAsia="宋体" w:hAnsi="宋体" w:cs="宋体"/>
          <w:spacing w:val="-2"/>
          <w:sz w:val="24"/>
          <w:szCs w:val="24"/>
        </w:rPr>
        <w:t>计意见提供了基础。</w:t>
      </w:r>
    </w:p>
    <w:p>
      <w:pPr>
        <w:spacing w:line="285" w:lineRule="auto"/>
      </w:pPr>
    </w:p>
    <w:p>
      <w:pPr>
        <w:spacing w:line="285" w:lineRule="auto"/>
      </w:pPr>
    </w:p>
    <w:p>
      <w:pPr>
        <w:pStyle w:val="BodyText"/>
        <w:spacing w:before="78" w:line="221" w:lineRule="auto"/>
        <w:ind w:left="2291"/>
        <w:outlineLvl w:val="0"/>
      </w:pPr>
      <w:r>
        <w:rPr>
          <w14:textOutline w14:w="4358" w14:cap="sq">
            <w14:solidFill>
              <w14:srgbClr w14:val="000000"/>
            </w14:solidFill>
            <w14:prstDash w14:val="solid"/>
            <w14:bevel/>
          </w14:textOutline>
        </w:rPr>
        <w:t>三、管理层和治理层对财务报表的责任</w:t>
      </w:r>
    </w:p>
    <w:p>
      <w:pPr>
        <w:spacing w:before="181" w:line="360" w:lineRule="auto"/>
        <w:ind w:left="1807" w:right="1537" w:firstLine="483"/>
        <w:jc w:val="both"/>
        <w:rPr>
          <w:rFonts w:ascii="宋体" w:eastAsia="宋体" w:hAnsi="宋体" w:cs="宋体"/>
          <w:sz w:val="24"/>
          <w:szCs w:val="24"/>
        </w:rPr>
      </w:pPr>
      <w:r>
        <w:rPr>
          <w:rFonts w:ascii="宋体" w:eastAsia="宋体" w:hAnsi="宋体" w:cs="宋体"/>
          <w:spacing w:val="-3"/>
          <w:sz w:val="24"/>
          <w:szCs w:val="24"/>
        </w:rPr>
        <w:t>天机智能公司管理层（以下简称管理层）负责按照企业会计准则</w:t>
      </w:r>
      <w:r>
        <w:rPr>
          <w:rFonts w:ascii="宋体" w:eastAsia="宋体" w:hAnsi="宋体" w:cs="宋体"/>
          <w:spacing w:val="-4"/>
          <w:sz w:val="24"/>
          <w:szCs w:val="24"/>
        </w:rPr>
        <w:t>的规定编制</w:t>
      </w:r>
      <w:r>
        <w:rPr>
          <w:rFonts w:ascii="宋体" w:eastAsia="宋体" w:hAnsi="宋体" w:cs="宋体"/>
          <w:sz w:val="24"/>
          <w:szCs w:val="24"/>
        </w:rPr>
        <w:t xml:space="preserve"> </w:t>
      </w:r>
      <w:r>
        <w:rPr>
          <w:rFonts w:ascii="宋体" w:eastAsia="宋体" w:hAnsi="宋体" w:cs="宋体"/>
          <w:spacing w:val="-3"/>
          <w:sz w:val="24"/>
          <w:szCs w:val="24"/>
        </w:rPr>
        <w:t>财务报表，使其实现公允反映，并设计、执行和维护必要的内部控制，以使财务</w:t>
      </w:r>
    </w:p>
    <w:p>
      <w:pPr>
        <w:spacing w:line="219" w:lineRule="auto"/>
        <w:ind w:left="1805"/>
        <w:rPr>
          <w:rFonts w:ascii="宋体" w:eastAsia="宋体" w:hAnsi="宋体" w:cs="宋体"/>
          <w:sz w:val="24"/>
          <w:szCs w:val="24"/>
        </w:rPr>
      </w:pPr>
      <w:r>
        <w:rPr>
          <w:rFonts w:ascii="宋体" w:eastAsia="宋体" w:hAnsi="宋体" w:cs="宋体"/>
          <w:spacing w:val="-1"/>
          <w:sz w:val="24"/>
          <w:szCs w:val="24"/>
        </w:rPr>
        <w:t>报表不存在由于舞弊或错误导致的重大错报。</w:t>
      </w:r>
    </w:p>
    <w:p>
      <w:pPr>
        <w:spacing w:line="255" w:lineRule="auto"/>
      </w:pPr>
    </w:p>
    <w:p>
      <w:pPr>
        <w:spacing w:line="256" w:lineRule="auto"/>
      </w:pPr>
    </w:p>
    <w:p>
      <w:pPr>
        <w:spacing w:before="59" w:line="219" w:lineRule="auto"/>
        <w:ind w:left="5239"/>
        <w:rPr>
          <w:rFonts w:ascii="宋体" w:eastAsia="宋体" w:hAnsi="宋体" w:cs="宋体"/>
          <w:sz w:val="18"/>
          <w:szCs w:val="18"/>
        </w:rPr>
      </w:pPr>
      <w:r>
        <w:rPr>
          <w:rFonts w:ascii="宋体" w:eastAsia="宋体" w:hAnsi="宋体" w:cs="宋体"/>
          <w:spacing w:val="-8"/>
          <w:sz w:val="18"/>
          <w:szCs w:val="18"/>
        </w:rPr>
        <w:t>第</w:t>
      </w:r>
      <w:r>
        <w:rPr>
          <w:rFonts w:ascii="宋体" w:eastAsia="宋体" w:hAnsi="宋体" w:cs="宋体"/>
          <w:spacing w:val="22"/>
          <w:sz w:val="18"/>
          <w:szCs w:val="18"/>
        </w:rPr>
        <w:t xml:space="preserve"> </w:t>
      </w:r>
      <w:r>
        <w:rPr>
          <w:rFonts w:ascii="宋体" w:eastAsia="宋体" w:hAnsi="宋体" w:cs="宋体"/>
          <w:spacing w:val="-8"/>
          <w:sz w:val="18"/>
          <w:szCs w:val="18"/>
        </w:rPr>
        <w:t>1</w:t>
      </w:r>
      <w:r>
        <w:rPr>
          <w:rFonts w:ascii="宋体" w:eastAsia="宋体" w:hAnsi="宋体" w:cs="宋体"/>
          <w:spacing w:val="11"/>
          <w:sz w:val="18"/>
          <w:szCs w:val="18"/>
        </w:rPr>
        <w:t xml:space="preserve"> </w:t>
      </w:r>
      <w:r>
        <w:rPr>
          <w:rFonts w:ascii="宋体" w:eastAsia="宋体" w:hAnsi="宋体" w:cs="宋体"/>
          <w:spacing w:val="-8"/>
          <w:sz w:val="18"/>
          <w:szCs w:val="18"/>
        </w:rPr>
        <w:t>页</w:t>
      </w:r>
      <w:r>
        <w:rPr>
          <w:rFonts w:ascii="宋体" w:eastAsia="宋体" w:hAnsi="宋体" w:cs="宋体"/>
          <w:spacing w:val="5"/>
          <w:sz w:val="18"/>
          <w:szCs w:val="18"/>
        </w:rPr>
        <w:t xml:space="preserve"> </w:t>
      </w:r>
      <w:r>
        <w:rPr>
          <w:rFonts w:ascii="宋体" w:eastAsia="宋体" w:hAnsi="宋体" w:cs="宋体"/>
          <w:spacing w:val="-8"/>
          <w:sz w:val="18"/>
          <w:szCs w:val="18"/>
        </w:rPr>
        <w:t>共</w:t>
      </w:r>
      <w:r>
        <w:rPr>
          <w:rFonts w:ascii="宋体" w:eastAsia="宋体" w:hAnsi="宋体" w:cs="宋体"/>
          <w:spacing w:val="12"/>
          <w:sz w:val="18"/>
          <w:szCs w:val="18"/>
        </w:rPr>
        <w:t xml:space="preserve"> </w:t>
      </w:r>
      <w:r>
        <w:rPr>
          <w:rFonts w:ascii="宋体" w:eastAsia="宋体" w:hAnsi="宋体" w:cs="宋体"/>
          <w:spacing w:val="-8"/>
          <w:sz w:val="18"/>
          <w:szCs w:val="18"/>
        </w:rPr>
        <w:t>59</w:t>
      </w:r>
      <w:r>
        <w:rPr>
          <w:rFonts w:ascii="宋体" w:eastAsia="宋体" w:hAnsi="宋体" w:cs="宋体"/>
          <w:spacing w:val="9"/>
          <w:sz w:val="18"/>
          <w:szCs w:val="18"/>
        </w:rPr>
        <w:t xml:space="preserve"> </w:t>
      </w:r>
      <w:r>
        <w:rPr>
          <w:rFonts w:ascii="宋体" w:eastAsia="宋体" w:hAnsi="宋体" w:cs="宋体"/>
          <w:spacing w:val="-8"/>
          <w:sz w:val="18"/>
          <w:szCs w:val="18"/>
        </w:rPr>
        <w:t>页</w:t>
      </w:r>
    </w:p>
    <w:p>
      <w:pPr>
        <w:spacing w:line="219" w:lineRule="auto"/>
        <w:rPr>
          <w:rFonts w:ascii="宋体" w:eastAsia="宋体" w:hAnsi="宋体" w:cs="宋体"/>
          <w:sz w:val="18"/>
          <w:szCs w:val="18"/>
        </w:rPr>
        <w:sectPr>
          <w:footerReference w:type="default" r:id="rId6"/>
          <w:pgSz w:w="11906" w:h="16839"/>
          <w:pgMar w:top="1431" w:right="259" w:bottom="400" w:left="0" w:header="0" w:footer="0" w:gutter="0"/>
          <w:pgNumType w:start="2"/>
          <w:cols w:num="1" w:space="720"/>
        </w:sectPr>
      </w:pPr>
    </w:p>
    <w:p>
      <w:pPr>
        <w:spacing w:before="122" w:line="360" w:lineRule="auto"/>
        <w:ind w:left="23" w:right="1537" w:firstLine="476"/>
        <w:jc w:val="both"/>
        <w:rPr>
          <w:rFonts w:ascii="宋体" w:eastAsia="宋体" w:hAnsi="宋体" w:cs="宋体"/>
          <w:sz w:val="24"/>
          <w:szCs w:val="24"/>
        </w:rPr>
      </w:pPr>
      <w:r>
        <w:rPr>
          <w:rFonts w:ascii="宋体" w:eastAsia="宋体" w:hAnsi="宋体" w:cs="宋体"/>
          <w:spacing w:val="-3"/>
          <w:sz w:val="24"/>
          <w:szCs w:val="24"/>
        </w:rPr>
        <w:t>在编制财务报表时，管理层负责评估天机智能公司的持续经营能力，披露与</w:t>
      </w:r>
      <w:r>
        <w:rPr>
          <w:rFonts w:ascii="宋体" w:eastAsia="宋体" w:hAnsi="宋体" w:cs="宋体"/>
          <w:sz w:val="24"/>
          <w:szCs w:val="24"/>
        </w:rPr>
        <w:t xml:space="preserve"> 持续经营相关的事项（如适用</w:t>
      </w:r>
      <w:r>
        <w:rPr>
          <w:rFonts w:ascii="宋体" w:eastAsia="宋体" w:hAnsi="宋体" w:cs="宋体"/>
          <w:spacing w:val="-52"/>
          <w:sz w:val="24"/>
          <w:szCs w:val="24"/>
        </w:rPr>
        <w:t>），</w:t>
      </w:r>
      <w:r>
        <w:rPr>
          <w:rFonts w:ascii="宋体" w:eastAsia="宋体" w:hAnsi="宋体" w:cs="宋体"/>
          <w:sz w:val="24"/>
          <w:szCs w:val="24"/>
        </w:rPr>
        <w:t>并运用持续经营假设，除非计划进行清算、终</w:t>
      </w:r>
    </w:p>
    <w:p>
      <w:pPr>
        <w:spacing w:line="220" w:lineRule="auto"/>
        <w:ind w:left="22"/>
        <w:rPr>
          <w:rFonts w:ascii="宋体" w:eastAsia="宋体" w:hAnsi="宋体" w:cs="宋体"/>
          <w:sz w:val="24"/>
          <w:szCs w:val="24"/>
        </w:rPr>
      </w:pPr>
      <w:r>
        <w:rPr>
          <w:rFonts w:ascii="宋体" w:eastAsia="宋体" w:hAnsi="宋体" w:cs="宋体"/>
          <w:spacing w:val="-1"/>
          <w:sz w:val="24"/>
          <w:szCs w:val="24"/>
        </w:rPr>
        <w:t>止运营或别无其他现实的选择。</w:t>
      </w:r>
    </w:p>
    <w:p>
      <w:pPr>
        <w:spacing w:before="181" w:line="468" w:lineRule="exact"/>
        <w:ind w:left="505"/>
        <w:rPr>
          <w:rFonts w:ascii="宋体" w:eastAsia="宋体" w:hAnsi="宋体" w:cs="宋体"/>
          <w:sz w:val="24"/>
          <w:szCs w:val="24"/>
        </w:rPr>
      </w:pPr>
      <w:r>
        <w:rPr>
          <w:rFonts w:ascii="宋体" w:eastAsia="宋体" w:hAnsi="宋体" w:cs="宋体"/>
          <w:spacing w:val="-3"/>
          <w:position w:val="17"/>
          <w:sz w:val="24"/>
          <w:szCs w:val="24"/>
        </w:rPr>
        <w:t>天机智能公司治理层（以下简称治理层）负责监督天机智能公司</w:t>
      </w:r>
      <w:r>
        <w:rPr>
          <w:rFonts w:ascii="宋体" w:eastAsia="宋体" w:hAnsi="宋体" w:cs="宋体"/>
          <w:spacing w:val="-4"/>
          <w:position w:val="17"/>
          <w:sz w:val="24"/>
          <w:szCs w:val="24"/>
        </w:rPr>
        <w:t>的财务报告</w:t>
      </w:r>
    </w:p>
    <w:p>
      <w:pPr>
        <w:spacing w:line="220" w:lineRule="auto"/>
        <w:ind w:left="22"/>
        <w:rPr>
          <w:rFonts w:ascii="宋体" w:eastAsia="宋体" w:hAnsi="宋体" w:cs="宋体"/>
          <w:sz w:val="24"/>
          <w:szCs w:val="24"/>
        </w:rPr>
      </w:pPr>
      <w:r>
        <w:rPr>
          <w:rFonts w:ascii="宋体" w:eastAsia="宋体" w:hAnsi="宋体" w:cs="宋体"/>
          <w:spacing w:val="-4"/>
          <w:sz w:val="24"/>
          <w:szCs w:val="24"/>
        </w:rPr>
        <w:t>过程。</w:t>
      </w:r>
    </w:p>
    <w:p>
      <w:pPr>
        <w:spacing w:line="284" w:lineRule="auto"/>
      </w:pPr>
    </w:p>
    <w:p>
      <w:pPr>
        <w:spacing w:line="284" w:lineRule="auto"/>
      </w:pPr>
    </w:p>
    <w:p>
      <w:pPr>
        <w:pStyle w:val="BodyText"/>
        <w:spacing w:before="78" w:line="221" w:lineRule="auto"/>
        <w:ind w:left="515"/>
        <w:outlineLvl w:val="0"/>
      </w:pPr>
      <w:r>
        <w:rPr>
          <w:spacing w:val="-1"/>
          <w14:textOutline w14:w="4358" w14:cap="sq">
            <w14:solidFill>
              <w14:srgbClr w14:val="000000"/>
            </w14:solidFill>
            <w14:prstDash w14:val="solid"/>
            <w14:bevel/>
          </w14:textOutline>
        </w:rPr>
        <w:t>四、注册会计师对财务报表审计的责任</w:t>
      </w:r>
    </w:p>
    <w:p>
      <w:pPr>
        <w:spacing w:before="180" w:line="360" w:lineRule="auto"/>
        <w:ind w:left="24" w:right="1537" w:firstLine="478"/>
        <w:rPr>
          <w:rFonts w:ascii="宋体" w:eastAsia="宋体" w:hAnsi="宋体" w:cs="宋体"/>
          <w:sz w:val="24"/>
          <w:szCs w:val="24"/>
        </w:rPr>
      </w:pPr>
      <w:r>
        <w:rPr>
          <w:rFonts w:ascii="宋体" w:eastAsia="宋体" w:hAnsi="宋体" w:cs="宋体"/>
          <w:spacing w:val="4"/>
          <w:sz w:val="24"/>
          <w:szCs w:val="24"/>
        </w:rPr>
        <w:t>我们的目标是对财务报表整体是否不存在由于舞弊或错误导致的重大错报</w:t>
      </w:r>
      <w:r>
        <w:rPr>
          <w:rFonts w:ascii="宋体" w:eastAsia="宋体" w:hAnsi="宋体" w:cs="宋体"/>
          <w:spacing w:val="10"/>
          <w:sz w:val="24"/>
          <w:szCs w:val="24"/>
        </w:rPr>
        <w:t xml:space="preserve"> </w:t>
      </w:r>
      <w:r>
        <w:rPr>
          <w:rFonts w:ascii="宋体" w:eastAsia="宋体" w:hAnsi="宋体" w:cs="宋体"/>
          <w:spacing w:val="-3"/>
          <w:sz w:val="24"/>
          <w:szCs w:val="24"/>
        </w:rPr>
        <w:t>获取合理保证，并出具包含审计意见的审计报告。合理保证是高水平的保证，但</w:t>
      </w:r>
      <w:r>
        <w:rPr>
          <w:rFonts w:ascii="宋体" w:eastAsia="宋体" w:hAnsi="宋体" w:cs="宋体"/>
          <w:spacing w:val="1"/>
          <w:sz w:val="24"/>
          <w:szCs w:val="24"/>
        </w:rPr>
        <w:t xml:space="preserve"> </w:t>
      </w:r>
      <w:r>
        <w:rPr>
          <w:rFonts w:ascii="宋体" w:eastAsia="宋体" w:hAnsi="宋体" w:cs="宋体"/>
          <w:spacing w:val="-3"/>
          <w:sz w:val="24"/>
          <w:szCs w:val="24"/>
        </w:rPr>
        <w:t>并不能保证按照审计准则执行的审计在某一重大错报存在时总能发现。错报可能</w:t>
      </w:r>
      <w:r>
        <w:rPr>
          <w:rFonts w:ascii="宋体" w:eastAsia="宋体" w:hAnsi="宋体" w:cs="宋体"/>
          <w:spacing w:val="1"/>
          <w:sz w:val="24"/>
          <w:szCs w:val="24"/>
        </w:rPr>
        <w:t xml:space="preserve"> </w:t>
      </w:r>
      <w:r>
        <w:rPr>
          <w:rFonts w:ascii="宋体" w:eastAsia="宋体" w:hAnsi="宋体" w:cs="宋体"/>
          <w:spacing w:val="-3"/>
          <w:sz w:val="24"/>
          <w:szCs w:val="24"/>
        </w:rPr>
        <w:t>由于舞弊或错误导致，如果合理预期错报单独或汇总起来可能影响财务报表使用</w:t>
      </w:r>
    </w:p>
    <w:p>
      <w:pPr>
        <w:spacing w:before="1" w:line="218" w:lineRule="auto"/>
        <w:ind w:left="22"/>
        <w:rPr>
          <w:rFonts w:ascii="宋体" w:eastAsia="宋体" w:hAnsi="宋体" w:cs="宋体"/>
          <w:sz w:val="24"/>
          <w:szCs w:val="24"/>
        </w:rPr>
      </w:pPr>
      <w:r>
        <w:rPr>
          <w:rFonts w:ascii="宋体" w:eastAsia="宋体" w:hAnsi="宋体" w:cs="宋体"/>
          <w:spacing w:val="-1"/>
          <w:sz w:val="24"/>
          <w:szCs w:val="24"/>
        </w:rPr>
        <w:t>者依据财务报表作出的经济决策，则通常认为错报是重大的。</w:t>
      </w:r>
    </w:p>
    <w:p>
      <w:pPr>
        <w:spacing w:before="184" w:line="468" w:lineRule="exact"/>
        <w:ind w:left="500"/>
        <w:rPr>
          <w:rFonts w:ascii="宋体" w:eastAsia="宋体" w:hAnsi="宋体" w:cs="宋体"/>
          <w:sz w:val="24"/>
          <w:szCs w:val="24"/>
        </w:rPr>
      </w:pPr>
      <w:r>
        <w:rPr>
          <w:rFonts w:ascii="宋体" w:eastAsia="宋体" w:hAnsi="宋体" w:cs="宋体"/>
          <w:spacing w:val="-3"/>
          <w:position w:val="17"/>
          <w:sz w:val="24"/>
          <w:szCs w:val="24"/>
        </w:rPr>
        <w:t>在按照审计准则执行审计工作的过程中，我们运用职业判断，并保持职业怀</w:t>
      </w:r>
    </w:p>
    <w:p>
      <w:pPr>
        <w:spacing w:before="1" w:line="219" w:lineRule="auto"/>
        <w:ind w:left="23"/>
        <w:rPr>
          <w:rFonts w:ascii="宋体" w:eastAsia="宋体" w:hAnsi="宋体" w:cs="宋体"/>
          <w:sz w:val="24"/>
          <w:szCs w:val="24"/>
        </w:rPr>
      </w:pPr>
      <w:r>
        <w:rPr>
          <w:rFonts w:ascii="宋体" w:eastAsia="宋体" w:hAnsi="宋体" w:cs="宋体"/>
          <w:spacing w:val="-1"/>
          <w:sz w:val="24"/>
          <w:szCs w:val="24"/>
        </w:rPr>
        <w:t>疑。同时，我们也执行以下工作：</w:t>
      </w:r>
    </w:p>
    <w:p>
      <w:pPr>
        <w:spacing w:before="182" w:line="360" w:lineRule="auto"/>
        <w:ind w:left="20" w:right="1537" w:firstLine="523"/>
        <w:rPr>
          <w:rFonts w:ascii="宋体" w:eastAsia="宋体" w:hAnsi="宋体" w:cs="宋体"/>
          <w:sz w:val="24"/>
          <w:szCs w:val="24"/>
        </w:rPr>
      </w:pPr>
      <w:r>
        <w:rPr>
          <w:rFonts w:ascii="宋体" w:eastAsia="宋体" w:hAnsi="宋体" w:cs="宋体"/>
          <w:spacing w:val="-1"/>
          <w:sz w:val="24"/>
          <w:szCs w:val="24"/>
        </w:rPr>
        <w:t>(一) 识别和评估由于舞弊或错误导致的财务报表重大错报风险，设计和实</w:t>
      </w:r>
      <w:r>
        <w:rPr>
          <w:rFonts w:ascii="宋体" w:eastAsia="宋体" w:hAnsi="宋体" w:cs="宋体"/>
          <w:spacing w:val="12"/>
          <w:sz w:val="24"/>
          <w:szCs w:val="24"/>
        </w:rPr>
        <w:t xml:space="preserve"> </w:t>
      </w:r>
      <w:r>
        <w:rPr>
          <w:rFonts w:ascii="宋体" w:eastAsia="宋体" w:hAnsi="宋体" w:cs="宋体"/>
          <w:spacing w:val="-3"/>
          <w:sz w:val="24"/>
          <w:szCs w:val="24"/>
        </w:rPr>
        <w:t>施审计程序以应对这些风险，并获取充分、适当的审计证据，作为发表审计意见</w:t>
      </w:r>
      <w:r>
        <w:rPr>
          <w:rFonts w:ascii="宋体" w:eastAsia="宋体" w:hAnsi="宋体" w:cs="宋体"/>
          <w:spacing w:val="6"/>
          <w:sz w:val="24"/>
          <w:szCs w:val="24"/>
        </w:rPr>
        <w:t xml:space="preserve"> </w:t>
      </w:r>
      <w:r>
        <w:rPr>
          <w:rFonts w:ascii="宋体" w:eastAsia="宋体" w:hAnsi="宋体" w:cs="宋体"/>
          <w:spacing w:val="-3"/>
          <w:sz w:val="24"/>
          <w:szCs w:val="24"/>
        </w:rPr>
        <w:t>的基础。由于舞弊可能涉及串通、伪造、故意遗漏、虚假陈述或凌驾于内部控制</w:t>
      </w:r>
      <w:r>
        <w:rPr>
          <w:rFonts w:ascii="宋体" w:eastAsia="宋体" w:hAnsi="宋体" w:cs="宋体"/>
          <w:spacing w:val="6"/>
          <w:sz w:val="24"/>
          <w:szCs w:val="24"/>
        </w:rPr>
        <w:t xml:space="preserve"> </w:t>
      </w:r>
      <w:r>
        <w:rPr>
          <w:rFonts w:ascii="宋体" w:eastAsia="宋体" w:hAnsi="宋体" w:cs="宋体"/>
          <w:spacing w:val="-3"/>
          <w:sz w:val="24"/>
          <w:szCs w:val="24"/>
        </w:rPr>
        <w:t>之上，未能发现由于舞弊导致的重大错报的风险高于未能发现由于错误导致的重</w:t>
      </w:r>
    </w:p>
    <w:p>
      <w:pPr>
        <w:spacing w:before="1" w:line="219" w:lineRule="auto"/>
        <w:ind w:left="23"/>
        <w:rPr>
          <w:rFonts w:ascii="宋体" w:eastAsia="宋体" w:hAnsi="宋体" w:cs="宋体"/>
          <w:sz w:val="24"/>
          <w:szCs w:val="24"/>
        </w:rPr>
      </w:pPr>
      <w:r>
        <w:rPr>
          <w:rFonts w:ascii="宋体" w:eastAsia="宋体" w:hAnsi="宋体" w:cs="宋体"/>
          <w:spacing w:val="-2"/>
          <w:sz w:val="24"/>
          <w:szCs w:val="24"/>
        </w:rPr>
        <w:t>大错报的风险。</w:t>
      </w:r>
    </w:p>
    <w:p>
      <w:pPr>
        <w:spacing w:before="183" w:line="468" w:lineRule="exact"/>
        <w:ind w:left="543"/>
        <w:rPr>
          <w:rFonts w:ascii="宋体" w:eastAsia="宋体" w:hAnsi="宋体" w:cs="宋体"/>
          <w:sz w:val="24"/>
          <w:szCs w:val="24"/>
        </w:rPr>
      </w:pPr>
      <w:r>
        <w:rPr>
          <w:rFonts w:ascii="宋体" w:eastAsia="宋体" w:hAnsi="宋体" w:cs="宋体"/>
          <w:spacing w:val="-2"/>
          <w:position w:val="17"/>
          <w:sz w:val="24"/>
          <w:szCs w:val="24"/>
        </w:rPr>
        <w:t>(二)</w:t>
      </w:r>
      <w:r>
        <w:rPr>
          <w:rFonts w:ascii="宋体" w:eastAsia="宋体" w:hAnsi="宋体" w:cs="宋体"/>
          <w:spacing w:val="44"/>
          <w:position w:val="17"/>
          <w:sz w:val="24"/>
          <w:szCs w:val="24"/>
        </w:rPr>
        <w:t xml:space="preserve"> </w:t>
      </w:r>
      <w:r>
        <w:rPr>
          <w:rFonts w:ascii="宋体" w:eastAsia="宋体" w:hAnsi="宋体" w:cs="宋体"/>
          <w:spacing w:val="-2"/>
          <w:position w:val="17"/>
          <w:sz w:val="24"/>
          <w:szCs w:val="24"/>
        </w:rPr>
        <w:t>了解与审计相关的内部控制，以设计恰当的审计程序，但目的并非对</w:t>
      </w:r>
    </w:p>
    <w:p>
      <w:pPr>
        <w:spacing w:line="219" w:lineRule="auto"/>
        <w:ind w:left="50"/>
        <w:rPr>
          <w:rFonts w:ascii="宋体" w:eastAsia="宋体" w:hAnsi="宋体" w:cs="宋体"/>
          <w:sz w:val="24"/>
          <w:szCs w:val="24"/>
        </w:rPr>
      </w:pPr>
      <w:r>
        <w:rPr>
          <w:rFonts w:ascii="宋体" w:eastAsia="宋体" w:hAnsi="宋体" w:cs="宋体"/>
          <w:spacing w:val="-3"/>
          <w:sz w:val="24"/>
          <w:szCs w:val="24"/>
        </w:rPr>
        <w:t>内部控制的有效性发表意见。</w:t>
      </w:r>
    </w:p>
    <w:p>
      <w:pPr>
        <w:spacing w:before="183" w:line="468" w:lineRule="exact"/>
        <w:ind w:left="543"/>
        <w:rPr>
          <w:rFonts w:ascii="宋体" w:eastAsia="宋体" w:hAnsi="宋体" w:cs="宋体"/>
          <w:sz w:val="24"/>
          <w:szCs w:val="24"/>
        </w:rPr>
      </w:pPr>
      <w:r>
        <w:rPr>
          <w:rFonts w:ascii="宋体" w:eastAsia="宋体" w:hAnsi="宋体" w:cs="宋体"/>
          <w:spacing w:val="-1"/>
          <w:position w:val="17"/>
          <w:sz w:val="24"/>
          <w:szCs w:val="24"/>
        </w:rPr>
        <w:t>(三) 评价管理层选用会计政策的恰当性和作出会计估计及相关披露的合理</w:t>
      </w:r>
    </w:p>
    <w:p>
      <w:pPr>
        <w:spacing w:before="1" w:line="220" w:lineRule="auto"/>
        <w:ind w:left="23"/>
        <w:rPr>
          <w:rFonts w:ascii="宋体" w:eastAsia="宋体" w:hAnsi="宋体" w:cs="宋体"/>
          <w:sz w:val="24"/>
          <w:szCs w:val="24"/>
        </w:rPr>
      </w:pPr>
      <w:r>
        <w:rPr>
          <w:rFonts w:ascii="宋体" w:eastAsia="宋体" w:hAnsi="宋体" w:cs="宋体"/>
          <w:spacing w:val="-7"/>
          <w:sz w:val="24"/>
          <w:szCs w:val="24"/>
        </w:rPr>
        <w:t>性。</w:t>
      </w:r>
    </w:p>
    <w:p>
      <w:pPr>
        <w:spacing w:before="181" w:line="360" w:lineRule="auto"/>
        <w:ind w:left="21" w:right="1537" w:firstLine="522"/>
        <w:rPr>
          <w:rFonts w:ascii="宋体" w:eastAsia="宋体" w:hAnsi="宋体" w:cs="宋体"/>
          <w:sz w:val="24"/>
          <w:szCs w:val="24"/>
        </w:rPr>
      </w:pPr>
      <w:r>
        <w:rPr>
          <w:rFonts w:ascii="宋体" w:eastAsia="宋体" w:hAnsi="宋体" w:cs="宋体"/>
          <w:spacing w:val="-1"/>
          <w:sz w:val="24"/>
          <w:szCs w:val="24"/>
        </w:rPr>
        <w:t>(四) 对管理层使用持续经营假设的恰当性得出结论。同时，根据获取的审</w:t>
      </w:r>
      <w:r>
        <w:rPr>
          <w:rFonts w:ascii="宋体" w:eastAsia="宋体" w:hAnsi="宋体" w:cs="宋体"/>
          <w:spacing w:val="12"/>
          <w:sz w:val="24"/>
          <w:szCs w:val="24"/>
        </w:rPr>
        <w:t xml:space="preserve"> </w:t>
      </w:r>
      <w:r>
        <w:rPr>
          <w:rFonts w:ascii="宋体" w:eastAsia="宋体" w:hAnsi="宋体" w:cs="宋体"/>
          <w:spacing w:val="-3"/>
          <w:sz w:val="24"/>
          <w:szCs w:val="24"/>
        </w:rPr>
        <w:t>计证据，就可能导致对天机智能公司持续经营能力产生重大疑虑的事项或情况是</w:t>
      </w:r>
      <w:r>
        <w:rPr>
          <w:rFonts w:ascii="宋体" w:eastAsia="宋体" w:hAnsi="宋体" w:cs="宋体"/>
          <w:spacing w:val="5"/>
          <w:sz w:val="24"/>
          <w:szCs w:val="24"/>
        </w:rPr>
        <w:t xml:space="preserve"> </w:t>
      </w:r>
      <w:r>
        <w:rPr>
          <w:rFonts w:ascii="宋体" w:eastAsia="宋体" w:hAnsi="宋体" w:cs="宋体"/>
          <w:spacing w:val="-3"/>
          <w:sz w:val="24"/>
          <w:szCs w:val="24"/>
        </w:rPr>
        <w:t>否存在重大不确定性得出结论。如果我们得出结论认为存在重大不确定性，审计</w:t>
      </w:r>
      <w:r>
        <w:rPr>
          <w:rFonts w:ascii="宋体" w:eastAsia="宋体" w:hAnsi="宋体" w:cs="宋体"/>
          <w:spacing w:val="5"/>
          <w:sz w:val="24"/>
          <w:szCs w:val="24"/>
        </w:rPr>
        <w:t xml:space="preserve"> </w:t>
      </w:r>
      <w:r>
        <w:rPr>
          <w:rFonts w:ascii="宋体" w:eastAsia="宋体" w:hAnsi="宋体" w:cs="宋体"/>
          <w:spacing w:val="-3"/>
          <w:sz w:val="24"/>
          <w:szCs w:val="24"/>
        </w:rPr>
        <w:t>准则要求我们在审计报告中提请报表使用者注意财务报表中的相关披露；如果披</w:t>
      </w:r>
      <w:r>
        <w:rPr>
          <w:rFonts w:ascii="宋体" w:eastAsia="宋体" w:hAnsi="宋体" w:cs="宋体"/>
          <w:spacing w:val="5"/>
          <w:sz w:val="24"/>
          <w:szCs w:val="24"/>
        </w:rPr>
        <w:t xml:space="preserve"> </w:t>
      </w:r>
      <w:r>
        <w:rPr>
          <w:rFonts w:ascii="宋体" w:eastAsia="宋体" w:hAnsi="宋体" w:cs="宋体"/>
          <w:spacing w:val="-3"/>
          <w:sz w:val="24"/>
          <w:szCs w:val="24"/>
        </w:rPr>
        <w:t>露不充分，我们应当发表非无保留意见。我们的结论基于截至审计报告日可获得</w:t>
      </w:r>
    </w:p>
    <w:p>
      <w:pPr>
        <w:spacing w:before="1" w:line="218" w:lineRule="auto"/>
        <w:ind w:left="40"/>
        <w:rPr>
          <w:rFonts w:ascii="宋体" w:eastAsia="宋体" w:hAnsi="宋体" w:cs="宋体"/>
          <w:sz w:val="24"/>
          <w:szCs w:val="24"/>
        </w:rPr>
      </w:pPr>
      <w:r>
        <w:rPr>
          <w:rFonts w:ascii="宋体" w:eastAsia="宋体" w:hAnsi="宋体" w:cs="宋体"/>
          <w:spacing w:val="-1"/>
          <w:sz w:val="24"/>
          <w:szCs w:val="24"/>
        </w:rPr>
        <w:t>的信息。然而，未来的事项或情况可能导致天机智能公司不能持续经营。</w:t>
      </w:r>
    </w:p>
    <w:p>
      <w:pPr>
        <w:spacing w:line="333" w:lineRule="auto"/>
      </w:pPr>
    </w:p>
    <w:p>
      <w:pPr>
        <w:spacing w:line="334" w:lineRule="auto"/>
      </w:pPr>
    </w:p>
    <w:p>
      <w:pPr>
        <w:spacing w:before="59" w:line="219" w:lineRule="auto"/>
        <w:ind w:left="3453"/>
        <w:rPr>
          <w:rFonts w:ascii="宋体" w:eastAsia="宋体" w:hAnsi="宋体" w:cs="宋体"/>
          <w:sz w:val="18"/>
          <w:szCs w:val="18"/>
        </w:rPr>
      </w:pPr>
      <w:r>
        <w:rPr>
          <w:rFonts w:ascii="宋体" w:eastAsia="宋体" w:hAnsi="宋体" w:cs="宋体"/>
          <w:spacing w:val="-5"/>
          <w:sz w:val="18"/>
          <w:szCs w:val="18"/>
        </w:rPr>
        <w:t>第</w:t>
      </w:r>
      <w:r>
        <w:rPr>
          <w:rFonts w:ascii="宋体" w:eastAsia="宋体" w:hAnsi="宋体" w:cs="宋体"/>
          <w:spacing w:val="11"/>
          <w:sz w:val="18"/>
          <w:szCs w:val="18"/>
        </w:rPr>
        <w:t xml:space="preserve"> </w:t>
      </w:r>
      <w:r>
        <w:rPr>
          <w:rFonts w:ascii="宋体" w:eastAsia="宋体" w:hAnsi="宋体" w:cs="宋体"/>
          <w:spacing w:val="-5"/>
          <w:sz w:val="18"/>
          <w:szCs w:val="18"/>
        </w:rPr>
        <w:t>2</w:t>
      </w:r>
      <w:r>
        <w:rPr>
          <w:rFonts w:ascii="宋体" w:eastAsia="宋体" w:hAnsi="宋体" w:cs="宋体"/>
          <w:spacing w:val="11"/>
          <w:sz w:val="18"/>
          <w:szCs w:val="18"/>
        </w:rPr>
        <w:t xml:space="preserve"> </w:t>
      </w:r>
      <w:r>
        <w:rPr>
          <w:rFonts w:ascii="宋体" w:eastAsia="宋体" w:hAnsi="宋体" w:cs="宋体"/>
          <w:spacing w:val="-5"/>
          <w:sz w:val="18"/>
          <w:szCs w:val="18"/>
        </w:rPr>
        <w:t>页 共</w:t>
      </w:r>
      <w:r>
        <w:rPr>
          <w:rFonts w:ascii="宋体" w:eastAsia="宋体" w:hAnsi="宋体" w:cs="宋体"/>
          <w:spacing w:val="12"/>
          <w:sz w:val="18"/>
          <w:szCs w:val="18"/>
        </w:rPr>
        <w:t xml:space="preserve"> </w:t>
      </w:r>
      <w:r>
        <w:rPr>
          <w:rFonts w:ascii="宋体" w:eastAsia="宋体" w:hAnsi="宋体" w:cs="宋体"/>
          <w:spacing w:val="-5"/>
          <w:sz w:val="18"/>
          <w:szCs w:val="18"/>
        </w:rPr>
        <w:t>59</w:t>
      </w:r>
      <w:r>
        <w:rPr>
          <w:rFonts w:ascii="宋体" w:eastAsia="宋体" w:hAnsi="宋体" w:cs="宋体"/>
          <w:spacing w:val="9"/>
          <w:sz w:val="18"/>
          <w:szCs w:val="18"/>
        </w:rPr>
        <w:t xml:space="preserve"> </w:t>
      </w:r>
      <w:r>
        <w:rPr>
          <w:rFonts w:ascii="宋体" w:eastAsia="宋体" w:hAnsi="宋体" w:cs="宋体"/>
          <w:spacing w:val="-5"/>
          <w:sz w:val="18"/>
          <w:szCs w:val="18"/>
        </w:rPr>
        <w:t>页</w:t>
      </w:r>
    </w:p>
    <w:p>
      <w:pPr>
        <w:spacing w:line="219" w:lineRule="auto"/>
        <w:rPr>
          <w:rFonts w:ascii="宋体" w:eastAsia="宋体" w:hAnsi="宋体" w:cs="宋体"/>
          <w:sz w:val="18"/>
          <w:szCs w:val="18"/>
        </w:rPr>
        <w:sectPr>
          <w:footerReference w:type="default" r:id="rId7"/>
          <w:pgSz w:w="11906" w:h="16839"/>
          <w:pgMar w:top="1431" w:right="259" w:bottom="400" w:left="1785" w:header="0" w:footer="0" w:gutter="0"/>
          <w:pgNumType w:start="3"/>
          <w:cols w:num="1" w:space="720"/>
        </w:sectPr>
      </w:pPr>
    </w:p>
    <w:p>
      <w:pPr>
        <w:spacing w:before="122" w:line="468" w:lineRule="exact"/>
        <w:ind w:left="543"/>
        <w:rPr>
          <w:rFonts w:ascii="宋体" w:eastAsia="宋体" w:hAnsi="宋体" w:cs="宋体"/>
          <w:sz w:val="24"/>
          <w:szCs w:val="24"/>
        </w:rPr>
      </w:pPr>
      <w:r>
        <w:rPr>
          <w:rFonts w:ascii="宋体" w:eastAsia="宋体" w:hAnsi="宋体" w:cs="宋体"/>
          <w:spacing w:val="-1"/>
          <w:position w:val="17"/>
          <w:sz w:val="24"/>
          <w:szCs w:val="24"/>
        </w:rPr>
        <w:t>(五) 评价财务报表的总体列报、结构和内容，并评价财务报表是否公允反</w:t>
      </w:r>
    </w:p>
    <w:p>
      <w:pPr>
        <w:spacing w:line="220" w:lineRule="auto"/>
        <w:ind w:left="34"/>
        <w:rPr>
          <w:rFonts w:ascii="宋体" w:eastAsia="宋体" w:hAnsi="宋体" w:cs="宋体"/>
          <w:sz w:val="24"/>
          <w:szCs w:val="24"/>
        </w:rPr>
      </w:pPr>
      <w:r>
        <w:rPr>
          <w:rFonts w:ascii="宋体" w:eastAsia="宋体" w:hAnsi="宋体" w:cs="宋体"/>
          <w:spacing w:val="-3"/>
          <w:sz w:val="24"/>
          <w:szCs w:val="24"/>
        </w:rPr>
        <w:t>映相关交易和事项。</w:t>
      </w:r>
    </w:p>
    <w:p>
      <w:pPr>
        <w:spacing w:before="181" w:line="360" w:lineRule="auto"/>
        <w:ind w:left="21" w:right="1537" w:firstLine="522"/>
        <w:rPr>
          <w:rFonts w:ascii="宋体" w:eastAsia="宋体" w:hAnsi="宋体" w:cs="宋体"/>
          <w:sz w:val="24"/>
          <w:szCs w:val="24"/>
        </w:rPr>
      </w:pPr>
      <w:r>
        <w:rPr>
          <w:rFonts w:ascii="宋体" w:eastAsia="宋体" w:hAnsi="宋体" w:cs="宋体"/>
          <w:spacing w:val="-1"/>
          <w:sz w:val="24"/>
          <w:szCs w:val="24"/>
        </w:rPr>
        <w:t>(六) 就天机智能公司中实体或业务活动的财务信息获取充分、适当的审计</w:t>
      </w:r>
      <w:r>
        <w:rPr>
          <w:rFonts w:ascii="宋体" w:eastAsia="宋体" w:hAnsi="宋体" w:cs="宋体"/>
          <w:spacing w:val="12"/>
          <w:sz w:val="24"/>
          <w:szCs w:val="24"/>
        </w:rPr>
        <w:t xml:space="preserve"> </w:t>
      </w:r>
      <w:r>
        <w:rPr>
          <w:rFonts w:ascii="宋体" w:eastAsia="宋体" w:hAnsi="宋体" w:cs="宋体"/>
          <w:spacing w:val="-3"/>
          <w:sz w:val="24"/>
          <w:szCs w:val="24"/>
        </w:rPr>
        <w:t>证据，以对财务报表发表审计意见。我们负责指导、监督和执行集团审计，并对</w:t>
      </w:r>
    </w:p>
    <w:p>
      <w:pPr>
        <w:spacing w:line="219" w:lineRule="auto"/>
        <w:ind w:left="33"/>
        <w:rPr>
          <w:rFonts w:ascii="宋体" w:eastAsia="宋体" w:hAnsi="宋体" w:cs="宋体"/>
          <w:sz w:val="24"/>
          <w:szCs w:val="24"/>
        </w:rPr>
      </w:pPr>
      <w:r>
        <w:rPr>
          <w:rFonts w:ascii="宋体" w:eastAsia="宋体" w:hAnsi="宋体" w:cs="宋体"/>
          <w:spacing w:val="-2"/>
          <w:sz w:val="24"/>
          <w:szCs w:val="24"/>
        </w:rPr>
        <w:t>审计意见承担全部责任。</w:t>
      </w:r>
    </w:p>
    <w:p>
      <w:pPr>
        <w:spacing w:before="183" w:line="468" w:lineRule="exact"/>
        <w:ind w:left="502"/>
        <w:rPr>
          <w:rFonts w:ascii="宋体" w:eastAsia="宋体" w:hAnsi="宋体" w:cs="宋体"/>
          <w:sz w:val="24"/>
          <w:szCs w:val="24"/>
        </w:rPr>
      </w:pPr>
      <w:r>
        <w:rPr>
          <w:rFonts w:ascii="宋体" w:eastAsia="宋体" w:hAnsi="宋体" w:cs="宋体"/>
          <w:spacing w:val="-3"/>
          <w:position w:val="17"/>
          <w:sz w:val="24"/>
          <w:szCs w:val="24"/>
        </w:rPr>
        <w:t>我们与治理层就计划的审计范围、时间安排和重大审计发现等事项进行沟通，</w:t>
      </w:r>
    </w:p>
    <w:p>
      <w:pPr>
        <w:spacing w:line="219" w:lineRule="auto"/>
        <w:ind w:left="21"/>
        <w:rPr>
          <w:rFonts w:ascii="宋体" w:eastAsia="宋体" w:hAnsi="宋体" w:cs="宋体"/>
          <w:sz w:val="24"/>
          <w:szCs w:val="24"/>
        </w:rPr>
      </w:pPr>
      <w:r>
        <w:rPr>
          <w:rFonts w:ascii="宋体" w:eastAsia="宋体" w:hAnsi="宋体" w:cs="宋体"/>
          <w:spacing w:val="-1"/>
          <w:sz w:val="24"/>
          <w:szCs w:val="24"/>
        </w:rPr>
        <w:t>包括沟通我们在审计中识别出的值得关注的内部控制缺陷。</w:t>
      </w:r>
    </w:p>
    <w:p>
      <w:pPr>
        <w:spacing w:line="249" w:lineRule="auto"/>
      </w:pPr>
    </w:p>
    <w:p>
      <w:pPr>
        <w:spacing w:line="250" w:lineRule="auto"/>
      </w:pPr>
    </w:p>
    <w:p>
      <w:pPr>
        <w:spacing w:line="250" w:lineRule="auto"/>
      </w:pPr>
    </w:p>
    <w:p>
      <w:pPr>
        <w:spacing w:line="250" w:lineRule="auto"/>
      </w:pPr>
    </w:p>
    <w:p>
      <w:pPr>
        <w:spacing w:line="250" w:lineRule="auto"/>
      </w:pPr>
    </w:p>
    <w:p>
      <w:pPr>
        <w:spacing w:line="250" w:lineRule="auto"/>
      </w:pPr>
    </w:p>
    <w:p>
      <w:pPr>
        <w:spacing w:before="78" w:line="219" w:lineRule="auto"/>
        <w:ind w:left="4243"/>
        <w:rPr>
          <w:rFonts w:ascii="宋体" w:eastAsia="宋体" w:hAnsi="宋体" w:cs="宋体"/>
          <w:sz w:val="24"/>
          <w:szCs w:val="24"/>
        </w:rPr>
      </w:pPr>
      <w:r>
        <w:pict>
          <v:shapetype id="_x0000_t202" coordsize="21600,21600" o:spt="202" path="m,l,21600r21600,l21600,xe">
            <v:stroke joinstyle="miter"/>
            <v:path gradientshapeok="t" o:connecttype="rect"/>
          </v:shapetype>
          <v:shape id="_x0000_s1026" o:spid="_x0000_s1025" type="#_x0000_t202" style="width:192.25pt;height:63.05pt;margin-top:2.9pt;margin-left:0.25pt;mso-height-relative:page;mso-width-relative:page;position:absolute;z-index:251658240" coordsize="21600,21600" filled="f" stroked="f">
            <o:lock v:ext="edit" aspectratio="f"/>
            <v:textbox inset="0,0,0,0">
              <w:txbxContent>
                <w:p>
                  <w:pPr>
                    <w:spacing w:before="19" w:line="219" w:lineRule="auto"/>
                    <w:jc w:val="right"/>
                    <w:rPr>
                      <w:rFonts w:ascii="宋体" w:eastAsia="宋体" w:hAnsi="宋体" w:cs="宋体"/>
                      <w:sz w:val="24"/>
                      <w:szCs w:val="24"/>
                    </w:rPr>
                  </w:pPr>
                  <w:r>
                    <w:rPr>
                      <w:rFonts w:ascii="宋体" w:eastAsia="宋体" w:hAnsi="宋体" w:cs="宋体"/>
                      <w:spacing w:val="-3"/>
                      <w:sz w:val="24"/>
                      <w:szCs w:val="24"/>
                    </w:rPr>
                    <w:t>天健会计师事务所（特殊普通合伙）</w:t>
                  </w:r>
                </w:p>
                <w:p>
                  <w:pPr>
                    <w:spacing w:line="284" w:lineRule="auto"/>
                  </w:pPr>
                </w:p>
                <w:p>
                  <w:pPr>
                    <w:spacing w:line="285" w:lineRule="auto"/>
                  </w:pPr>
                </w:p>
                <w:p>
                  <w:pPr>
                    <w:spacing w:before="78" w:line="219" w:lineRule="auto"/>
                    <w:ind w:left="1297"/>
                    <w:rPr>
                      <w:rFonts w:ascii="宋体" w:eastAsia="宋体" w:hAnsi="宋体" w:cs="宋体"/>
                      <w:sz w:val="24"/>
                      <w:szCs w:val="24"/>
                    </w:rPr>
                  </w:pPr>
                  <w:r>
                    <w:rPr>
                      <w:rFonts w:ascii="宋体" w:eastAsia="宋体" w:hAnsi="宋体" w:cs="宋体"/>
                      <w:spacing w:val="-7"/>
                      <w:sz w:val="24"/>
                      <w:szCs w:val="24"/>
                    </w:rPr>
                    <w:t>中国·杭州</w:t>
                  </w:r>
                </w:p>
              </w:txbxContent>
            </v:textbox>
          </v:shape>
        </w:pict>
      </w:r>
      <w:r>
        <w:rPr>
          <w:rFonts w:ascii="宋体" w:eastAsia="宋体" w:hAnsi="宋体" w:cs="宋体"/>
          <w:spacing w:val="-4"/>
          <w:sz w:val="24"/>
          <w:szCs w:val="24"/>
        </w:rPr>
        <w:t>中国注册会计师：</w:t>
      </w:r>
    </w:p>
    <w:p>
      <w:pPr>
        <w:spacing w:line="284" w:lineRule="auto"/>
      </w:pPr>
    </w:p>
    <w:p>
      <w:pPr>
        <w:spacing w:line="285" w:lineRule="auto"/>
      </w:pPr>
    </w:p>
    <w:p>
      <w:pPr>
        <w:spacing w:before="79" w:line="219" w:lineRule="auto"/>
        <w:ind w:left="4243"/>
        <w:rPr>
          <w:rFonts w:ascii="宋体" w:eastAsia="宋体" w:hAnsi="宋体" w:cs="宋体"/>
          <w:sz w:val="24"/>
          <w:szCs w:val="24"/>
        </w:rPr>
      </w:pPr>
      <w:r>
        <w:rPr>
          <w:rFonts w:ascii="宋体" w:eastAsia="宋体" w:hAnsi="宋体" w:cs="宋体"/>
          <w:spacing w:val="-4"/>
          <w:sz w:val="24"/>
          <w:szCs w:val="24"/>
        </w:rPr>
        <w:t>中国注册会计师：</w:t>
      </w:r>
    </w:p>
    <w:p>
      <w:pPr>
        <w:spacing w:line="285" w:lineRule="auto"/>
      </w:pPr>
    </w:p>
    <w:p>
      <w:pPr>
        <w:spacing w:line="285" w:lineRule="auto"/>
      </w:pPr>
    </w:p>
    <w:p>
      <w:pPr>
        <w:spacing w:before="79" w:line="219" w:lineRule="auto"/>
        <w:ind w:left="4224"/>
        <w:rPr>
          <w:rFonts w:ascii="宋体" w:eastAsia="宋体" w:hAnsi="宋体" w:cs="宋体"/>
          <w:sz w:val="24"/>
          <w:szCs w:val="24"/>
        </w:rPr>
      </w:pPr>
      <w:r>
        <w:rPr>
          <w:rFonts w:ascii="宋体" w:eastAsia="宋体" w:hAnsi="宋体" w:cs="宋体"/>
          <w:spacing w:val="-2"/>
          <w:sz w:val="24"/>
          <w:szCs w:val="24"/>
        </w:rPr>
        <w:t>二〇二四年二月二十一</w:t>
      </w:r>
      <w:r>
        <w:rPr>
          <w:rFonts w:ascii="宋体" w:eastAsia="宋体" w:hAnsi="宋体" w:cs="宋体"/>
          <w:spacing w:val="-62"/>
          <w:sz w:val="24"/>
          <w:szCs w:val="24"/>
        </w:rPr>
        <w:t xml:space="preserve"> </w:t>
      </w:r>
      <w:r>
        <w:rPr>
          <w:rFonts w:ascii="宋体" w:eastAsia="宋体" w:hAnsi="宋体" w:cs="宋体"/>
          <w:spacing w:val="-2"/>
          <w:sz w:val="24"/>
          <w:szCs w:val="24"/>
        </w:rPr>
        <w:t>日</w:t>
      </w: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before="59" w:line="219" w:lineRule="auto"/>
        <w:ind w:left="3453"/>
        <w:rPr>
          <w:rFonts w:ascii="宋体" w:eastAsia="宋体" w:hAnsi="宋体" w:cs="宋体"/>
          <w:sz w:val="18"/>
          <w:szCs w:val="18"/>
        </w:rPr>
      </w:pPr>
      <w:r>
        <w:rPr>
          <w:rFonts w:ascii="宋体" w:eastAsia="宋体" w:hAnsi="宋体" w:cs="宋体"/>
          <w:spacing w:val="-5"/>
          <w:sz w:val="18"/>
          <w:szCs w:val="18"/>
        </w:rPr>
        <w:t>第</w:t>
      </w:r>
      <w:r>
        <w:rPr>
          <w:rFonts w:ascii="宋体" w:eastAsia="宋体" w:hAnsi="宋体" w:cs="宋体"/>
          <w:spacing w:val="11"/>
          <w:sz w:val="18"/>
          <w:szCs w:val="18"/>
        </w:rPr>
        <w:t xml:space="preserve"> </w:t>
      </w:r>
      <w:r>
        <w:rPr>
          <w:rFonts w:ascii="宋体" w:eastAsia="宋体" w:hAnsi="宋体" w:cs="宋体"/>
          <w:spacing w:val="-5"/>
          <w:sz w:val="18"/>
          <w:szCs w:val="18"/>
        </w:rPr>
        <w:t>3</w:t>
      </w:r>
      <w:r>
        <w:rPr>
          <w:rFonts w:ascii="宋体" w:eastAsia="宋体" w:hAnsi="宋体" w:cs="宋体"/>
          <w:spacing w:val="11"/>
          <w:sz w:val="18"/>
          <w:szCs w:val="18"/>
        </w:rPr>
        <w:t xml:space="preserve"> </w:t>
      </w:r>
      <w:r>
        <w:rPr>
          <w:rFonts w:ascii="宋体" w:eastAsia="宋体" w:hAnsi="宋体" w:cs="宋体"/>
          <w:spacing w:val="-5"/>
          <w:sz w:val="18"/>
          <w:szCs w:val="18"/>
        </w:rPr>
        <w:t>页 共</w:t>
      </w:r>
      <w:r>
        <w:rPr>
          <w:rFonts w:ascii="宋体" w:eastAsia="宋体" w:hAnsi="宋体" w:cs="宋体"/>
          <w:spacing w:val="12"/>
          <w:sz w:val="18"/>
          <w:szCs w:val="18"/>
        </w:rPr>
        <w:t xml:space="preserve"> </w:t>
      </w:r>
      <w:r>
        <w:rPr>
          <w:rFonts w:ascii="宋体" w:eastAsia="宋体" w:hAnsi="宋体" w:cs="宋体"/>
          <w:spacing w:val="-5"/>
          <w:sz w:val="18"/>
          <w:szCs w:val="18"/>
        </w:rPr>
        <w:t>59</w:t>
      </w:r>
      <w:r>
        <w:rPr>
          <w:rFonts w:ascii="宋体" w:eastAsia="宋体" w:hAnsi="宋体" w:cs="宋体"/>
          <w:spacing w:val="9"/>
          <w:sz w:val="18"/>
          <w:szCs w:val="18"/>
        </w:rPr>
        <w:t xml:space="preserve"> </w:t>
      </w:r>
      <w:r>
        <w:rPr>
          <w:rFonts w:ascii="宋体" w:eastAsia="宋体" w:hAnsi="宋体" w:cs="宋体"/>
          <w:spacing w:val="-5"/>
          <w:sz w:val="18"/>
          <w:szCs w:val="18"/>
        </w:rPr>
        <w:t>页</w:t>
      </w:r>
    </w:p>
    <w:p>
      <w:pPr>
        <w:spacing w:line="219" w:lineRule="auto"/>
        <w:rPr>
          <w:rFonts w:ascii="宋体" w:eastAsia="宋体" w:hAnsi="宋体" w:cs="宋体"/>
          <w:sz w:val="18"/>
          <w:szCs w:val="18"/>
        </w:rPr>
        <w:sectPr>
          <w:footerReference w:type="default" r:id="rId8"/>
          <w:pgSz w:w="11906" w:h="16839"/>
          <w:pgMar w:top="1431" w:right="259" w:bottom="400" w:left="1785" w:header="0" w:footer="0" w:gutter="0"/>
          <w:pgNumType w:start="4"/>
          <w:cols w:num="1" w:space="720"/>
        </w:sectPr>
      </w:pPr>
    </w:p>
    <w:p>
      <w:pPr>
        <w:spacing w:line="16824" w:lineRule="exact"/>
      </w:pPr>
      <w:r>
        <w:rPr>
          <w:position w:val="-336"/>
        </w:rPr>
        <w:drawing>
          <wp:inline distT="0" distB="0" distL="0" distR="0">
            <wp:extent cx="7559675" cy="1068324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9"/>
                    <a:stretch>
                      <a:fillRect/>
                    </a:stretch>
                  </pic:blipFill>
                  <pic:spPr>
                    <a:xfrm>
                      <a:off x="0" y="0"/>
                      <a:ext cx="7559802" cy="10683519"/>
                    </a:xfrm>
                    <a:prstGeom prst="rect">
                      <a:avLst/>
                    </a:prstGeom>
                  </pic:spPr>
                </pic:pic>
              </a:graphicData>
            </a:graphic>
          </wp:inline>
        </w:drawing>
      </w:r>
    </w:p>
    <w:p>
      <w:pPr>
        <w:spacing w:line="16824" w:lineRule="exact"/>
        <w:sectPr>
          <w:headerReference w:type="default" r:id="rId10"/>
          <w:footerReference w:type="default" r:id="rId11"/>
          <w:pgSz w:w="11906" w:h="16838"/>
          <w:pgMar w:top="1" w:right="0" w:bottom="1" w:left="0" w:header="0" w:footer="0" w:gutter="0"/>
          <w:pgNumType w:start="5"/>
          <w:cols w:num="1" w:space="720"/>
        </w:sectPr>
      </w:pPr>
    </w:p>
    <w:p>
      <w:pPr>
        <w:spacing w:line="16824" w:lineRule="exact"/>
      </w:pPr>
      <w:r>
        <w:rPr>
          <w:position w:val="-336"/>
        </w:rPr>
        <w:drawing>
          <wp:inline distT="0" distB="0" distL="0" distR="0">
            <wp:extent cx="7559675" cy="1068324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2"/>
                    <a:stretch>
                      <a:fillRect/>
                    </a:stretch>
                  </pic:blipFill>
                  <pic:spPr>
                    <a:xfrm>
                      <a:off x="0" y="0"/>
                      <a:ext cx="7559802" cy="10683519"/>
                    </a:xfrm>
                    <a:prstGeom prst="rect">
                      <a:avLst/>
                    </a:prstGeom>
                  </pic:spPr>
                </pic:pic>
              </a:graphicData>
            </a:graphic>
          </wp:inline>
        </w:drawing>
      </w:r>
    </w:p>
    <w:p>
      <w:pPr>
        <w:spacing w:line="16824" w:lineRule="exact"/>
        <w:sectPr>
          <w:headerReference w:type="default" r:id="rId13"/>
          <w:footerReference w:type="default" r:id="rId14"/>
          <w:pgSz w:w="11906" w:h="16838"/>
          <w:pgMar w:top="1" w:right="0" w:bottom="1" w:left="0" w:header="0" w:footer="0" w:gutter="0"/>
          <w:pgNumType w:start="6"/>
          <w:cols w:num="1" w:space="720"/>
        </w:sectPr>
      </w:pPr>
    </w:p>
    <w:p>
      <w:pPr>
        <w:spacing w:line="16824" w:lineRule="exact"/>
      </w:pPr>
      <w:r>
        <w:rPr>
          <w:position w:val="-336"/>
        </w:rPr>
        <w:drawing>
          <wp:inline distT="0" distB="0" distL="0" distR="0">
            <wp:extent cx="7559675" cy="1068324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5"/>
                    <a:stretch>
                      <a:fillRect/>
                    </a:stretch>
                  </pic:blipFill>
                  <pic:spPr>
                    <a:xfrm>
                      <a:off x="0" y="0"/>
                      <a:ext cx="7559802" cy="10683519"/>
                    </a:xfrm>
                    <a:prstGeom prst="rect">
                      <a:avLst/>
                    </a:prstGeom>
                  </pic:spPr>
                </pic:pic>
              </a:graphicData>
            </a:graphic>
          </wp:inline>
        </w:drawing>
      </w:r>
    </w:p>
    <w:p>
      <w:pPr>
        <w:spacing w:line="16824" w:lineRule="exact"/>
        <w:sectPr>
          <w:headerReference w:type="default" r:id="rId16"/>
          <w:footerReference w:type="default" r:id="rId17"/>
          <w:pgSz w:w="11906" w:h="16838"/>
          <w:pgMar w:top="1" w:right="0" w:bottom="1" w:left="0" w:header="0" w:footer="0" w:gutter="0"/>
          <w:pgNumType w:start="7"/>
          <w:cols w:num="1" w:space="720"/>
        </w:sectPr>
      </w:pPr>
    </w:p>
    <w:p>
      <w:pPr>
        <w:spacing w:line="16824" w:lineRule="exact"/>
      </w:pPr>
      <w:r>
        <w:rPr>
          <w:position w:val="-336"/>
        </w:rPr>
        <w:drawing>
          <wp:inline distT="0" distB="0" distL="0" distR="0">
            <wp:extent cx="7559675" cy="1068324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8"/>
                    <a:stretch>
                      <a:fillRect/>
                    </a:stretch>
                  </pic:blipFill>
                  <pic:spPr>
                    <a:xfrm>
                      <a:off x="0" y="0"/>
                      <a:ext cx="7559802" cy="10683519"/>
                    </a:xfrm>
                    <a:prstGeom prst="rect">
                      <a:avLst/>
                    </a:prstGeom>
                  </pic:spPr>
                </pic:pic>
              </a:graphicData>
            </a:graphic>
          </wp:inline>
        </w:drawing>
      </w:r>
    </w:p>
    <w:p>
      <w:pPr>
        <w:spacing w:line="16824" w:lineRule="exact"/>
        <w:sectPr>
          <w:headerReference w:type="default" r:id="rId19"/>
          <w:footerReference w:type="default" r:id="rId20"/>
          <w:pgSz w:w="11906" w:h="16838"/>
          <w:pgMar w:top="1" w:right="0" w:bottom="1" w:left="0" w:header="0" w:footer="0" w:gutter="0"/>
          <w:pgNumType w:start="8"/>
          <w:cols w:num="1" w:space="720"/>
        </w:sectPr>
      </w:pPr>
    </w:p>
    <w:p>
      <w:pPr>
        <w:spacing w:line="16824" w:lineRule="exact"/>
      </w:pPr>
      <w:r>
        <w:rPr>
          <w:position w:val="-336"/>
        </w:rPr>
        <w:drawing>
          <wp:inline distT="0" distB="0" distL="0" distR="0">
            <wp:extent cx="7559675" cy="1068324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1"/>
                    <a:stretch>
                      <a:fillRect/>
                    </a:stretch>
                  </pic:blipFill>
                  <pic:spPr>
                    <a:xfrm>
                      <a:off x="0" y="0"/>
                      <a:ext cx="7559802" cy="10683519"/>
                    </a:xfrm>
                    <a:prstGeom prst="rect">
                      <a:avLst/>
                    </a:prstGeom>
                  </pic:spPr>
                </pic:pic>
              </a:graphicData>
            </a:graphic>
          </wp:inline>
        </w:drawing>
      </w:r>
    </w:p>
    <w:p>
      <w:pPr>
        <w:spacing w:line="16824" w:lineRule="exact"/>
        <w:sectPr>
          <w:headerReference w:type="default" r:id="rId22"/>
          <w:footerReference w:type="default" r:id="rId23"/>
          <w:pgSz w:w="11906" w:h="16838"/>
          <w:pgMar w:top="1" w:right="0" w:bottom="1" w:left="0" w:header="0" w:footer="0" w:gutter="0"/>
          <w:pgNumType w:start="9"/>
          <w:cols w:num="1" w:space="720"/>
        </w:sectPr>
      </w:pPr>
    </w:p>
    <w:p>
      <w:pPr>
        <w:spacing w:line="16824" w:lineRule="exact"/>
      </w:pPr>
      <w:r>
        <w:rPr>
          <w:position w:val="-336"/>
        </w:rPr>
        <w:drawing>
          <wp:inline distT="0" distB="0" distL="0" distR="0">
            <wp:extent cx="7559675" cy="1068324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4"/>
                    <a:stretch>
                      <a:fillRect/>
                    </a:stretch>
                  </pic:blipFill>
                  <pic:spPr>
                    <a:xfrm>
                      <a:off x="0" y="0"/>
                      <a:ext cx="7559802" cy="10683519"/>
                    </a:xfrm>
                    <a:prstGeom prst="rect">
                      <a:avLst/>
                    </a:prstGeom>
                  </pic:spPr>
                </pic:pic>
              </a:graphicData>
            </a:graphic>
          </wp:inline>
        </w:drawing>
      </w:r>
    </w:p>
    <w:p>
      <w:pPr>
        <w:spacing w:line="16824" w:lineRule="exact"/>
        <w:sectPr>
          <w:headerReference w:type="default" r:id="rId25"/>
          <w:footerReference w:type="default" r:id="rId26"/>
          <w:pgSz w:w="11906" w:h="16838"/>
          <w:pgMar w:top="1" w:right="0" w:bottom="1" w:left="0" w:header="0" w:footer="0" w:gutter="0"/>
          <w:pgNumType w:start="10"/>
          <w:cols w:num="1" w:space="720"/>
        </w:sectPr>
      </w:pPr>
    </w:p>
    <w:p>
      <w:pPr>
        <w:spacing w:line="11892" w:lineRule="exact"/>
      </w:pPr>
      <w:r>
        <w:rPr>
          <w:position w:val="-237"/>
        </w:rPr>
        <w:drawing>
          <wp:inline distT="0" distB="0" distL="0" distR="0">
            <wp:extent cx="10691495" cy="755142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7"/>
                    <a:stretch>
                      <a:fillRect/>
                    </a:stretch>
                  </pic:blipFill>
                  <pic:spPr>
                    <a:xfrm>
                      <a:off x="0" y="0"/>
                      <a:ext cx="10691621" cy="7551700"/>
                    </a:xfrm>
                    <a:prstGeom prst="rect">
                      <a:avLst/>
                    </a:prstGeom>
                  </pic:spPr>
                </pic:pic>
              </a:graphicData>
            </a:graphic>
          </wp:inline>
        </w:drawing>
      </w:r>
    </w:p>
    <w:p>
      <w:pPr>
        <w:spacing w:line="11892" w:lineRule="exact"/>
        <w:sectPr>
          <w:headerReference w:type="default" r:id="rId28"/>
          <w:footerReference w:type="default" r:id="rId29"/>
          <w:pgSz w:w="16838" w:h="11906"/>
          <w:pgMar w:top="1" w:right="0" w:bottom="1" w:left="0" w:header="0" w:footer="0" w:gutter="0"/>
          <w:pgNumType w:start="11"/>
          <w:cols w:num="1" w:space="720"/>
        </w:sectPr>
      </w:pPr>
    </w:p>
    <w:p>
      <w:pPr>
        <w:spacing w:line="11892" w:lineRule="exact"/>
      </w:pPr>
      <w:r>
        <w:rPr>
          <w:position w:val="-237"/>
        </w:rPr>
        <w:drawing>
          <wp:inline distT="0" distB="0" distL="0" distR="0">
            <wp:extent cx="10691495" cy="755142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0"/>
                    <a:stretch>
                      <a:fillRect/>
                    </a:stretch>
                  </pic:blipFill>
                  <pic:spPr>
                    <a:xfrm>
                      <a:off x="0" y="0"/>
                      <a:ext cx="10691621" cy="7551700"/>
                    </a:xfrm>
                    <a:prstGeom prst="rect">
                      <a:avLst/>
                    </a:prstGeom>
                  </pic:spPr>
                </pic:pic>
              </a:graphicData>
            </a:graphic>
          </wp:inline>
        </w:drawing>
      </w:r>
    </w:p>
    <w:p>
      <w:pPr>
        <w:spacing w:line="11892" w:lineRule="exact"/>
        <w:sectPr>
          <w:headerReference w:type="default" r:id="rId31"/>
          <w:footerReference w:type="default" r:id="rId32"/>
          <w:pgSz w:w="16838" w:h="11906"/>
          <w:pgMar w:top="1" w:right="0" w:bottom="1" w:left="0" w:header="0" w:footer="0" w:gutter="0"/>
          <w:pgNumType w:start="12"/>
          <w:cols w:num="1" w:space="720"/>
        </w:sectPr>
      </w:pPr>
    </w:p>
    <w:p>
      <w:pPr>
        <w:spacing w:line="255" w:lineRule="auto"/>
      </w:pPr>
    </w:p>
    <w:p>
      <w:pPr>
        <w:spacing w:line="255" w:lineRule="auto"/>
      </w:pPr>
    </w:p>
    <w:p>
      <w:pPr>
        <w:spacing w:line="255" w:lineRule="auto"/>
      </w:pPr>
    </w:p>
    <w:p>
      <w:pPr>
        <w:spacing w:line="255" w:lineRule="auto"/>
      </w:pPr>
    </w:p>
    <w:p>
      <w:pPr>
        <w:spacing w:line="256" w:lineRule="auto"/>
      </w:pPr>
    </w:p>
    <w:p>
      <w:pPr>
        <w:spacing w:line="256" w:lineRule="auto"/>
      </w:pPr>
    </w:p>
    <w:p>
      <w:pPr>
        <w:spacing w:line="256" w:lineRule="auto"/>
      </w:pPr>
    </w:p>
    <w:p>
      <w:pPr>
        <w:spacing w:line="256" w:lineRule="auto"/>
      </w:pPr>
    </w:p>
    <w:p>
      <w:pPr>
        <w:pStyle w:val="BodyText"/>
        <w:spacing w:before="91" w:line="624" w:lineRule="exact"/>
        <w:ind w:left="2488"/>
        <w:rPr>
          <w:sz w:val="28"/>
          <w:szCs w:val="28"/>
        </w:rPr>
      </w:pPr>
      <w:r>
        <w:rPr>
          <w:position w:val="26"/>
          <w:sz w:val="28"/>
          <w:szCs w:val="28"/>
          <w14:textOutline w14:w="5103" w14:cap="sq">
            <w14:solidFill>
              <w14:srgbClr w14:val="000000"/>
            </w14:solidFill>
            <w14:prstDash w14:val="solid"/>
            <w14:bevel/>
          </w14:textOutline>
        </w:rPr>
        <w:t>广东天机智能系统有限公司</w:t>
      </w:r>
    </w:p>
    <w:p>
      <w:pPr>
        <w:pStyle w:val="BodyText"/>
        <w:spacing w:line="221" w:lineRule="auto"/>
        <w:ind w:left="3336"/>
        <w:rPr>
          <w:sz w:val="28"/>
          <w:szCs w:val="28"/>
        </w:rPr>
      </w:pPr>
      <w:r>
        <w:rPr>
          <w:spacing w:val="-1"/>
          <w:sz w:val="28"/>
          <w:szCs w:val="28"/>
          <w14:textOutline w14:w="5103" w14:cap="sq">
            <w14:solidFill>
              <w14:srgbClr w14:val="000000"/>
            </w14:solidFill>
            <w14:prstDash w14:val="solid"/>
            <w14:bevel/>
          </w14:textOutline>
        </w:rPr>
        <w:t>财务报表附注</w:t>
      </w:r>
    </w:p>
    <w:p>
      <w:pPr>
        <w:spacing w:before="205" w:line="228" w:lineRule="auto"/>
        <w:ind w:left="3730"/>
        <w:rPr>
          <w:rFonts w:ascii="宋体" w:eastAsia="宋体" w:hAnsi="宋体" w:cs="宋体"/>
          <w:sz w:val="20"/>
          <w:szCs w:val="20"/>
        </w:rPr>
      </w:pPr>
      <w:r>
        <w:rPr>
          <w:rFonts w:ascii="宋体" w:eastAsia="宋体" w:hAnsi="宋体" w:cs="宋体"/>
          <w:spacing w:val="3"/>
          <w:sz w:val="20"/>
          <w:szCs w:val="20"/>
        </w:rPr>
        <w:t>2023</w:t>
      </w:r>
      <w:r>
        <w:rPr>
          <w:rFonts w:ascii="宋体" w:eastAsia="宋体" w:hAnsi="宋体" w:cs="宋体"/>
          <w:spacing w:val="-40"/>
          <w:sz w:val="20"/>
          <w:szCs w:val="20"/>
        </w:rPr>
        <w:t xml:space="preserve"> </w:t>
      </w:r>
      <w:r>
        <w:rPr>
          <w:rFonts w:ascii="宋体" w:eastAsia="宋体" w:hAnsi="宋体" w:cs="宋体"/>
          <w:spacing w:val="3"/>
          <w:sz w:val="20"/>
          <w:szCs w:val="20"/>
        </w:rPr>
        <w:t>年度</w:t>
      </w:r>
    </w:p>
    <w:p>
      <w:pPr>
        <w:spacing w:before="302" w:line="227" w:lineRule="auto"/>
        <w:ind w:left="6443"/>
        <w:rPr>
          <w:rFonts w:ascii="宋体" w:eastAsia="宋体" w:hAnsi="宋体" w:cs="宋体"/>
          <w:sz w:val="20"/>
          <w:szCs w:val="20"/>
        </w:rPr>
      </w:pPr>
      <w:r>
        <w:rPr>
          <w:rFonts w:ascii="宋体" w:eastAsia="宋体" w:hAnsi="宋体" w:cs="宋体"/>
          <w:spacing w:val="8"/>
          <w:sz w:val="20"/>
          <w:szCs w:val="20"/>
        </w:rPr>
        <w:t>金额单位：人民币元</w:t>
      </w:r>
    </w:p>
    <w:p>
      <w:pPr>
        <w:pStyle w:val="BodyText"/>
        <w:spacing w:before="223" w:line="231" w:lineRule="auto"/>
        <w:ind w:left="443"/>
        <w:outlineLvl w:val="0"/>
        <w:rPr>
          <w:sz w:val="20"/>
          <w:szCs w:val="20"/>
        </w:rPr>
      </w:pPr>
      <w:r>
        <w:rPr>
          <w:spacing w:val="9"/>
          <w:sz w:val="20"/>
          <w:szCs w:val="20"/>
          <w14:textOutline w14:w="3795" w14:cap="sq">
            <w14:solidFill>
              <w14:srgbClr w14:val="000000"/>
            </w14:solidFill>
            <w14:prstDash w14:val="solid"/>
            <w14:bevel/>
          </w14:textOutline>
        </w:rPr>
        <w:t>一、公司基本情况</w:t>
      </w:r>
    </w:p>
    <w:p>
      <w:pPr>
        <w:spacing w:before="217" w:line="432" w:lineRule="auto"/>
        <w:ind w:left="20" w:right="1537" w:firstLine="419"/>
        <w:jc w:val="both"/>
        <w:rPr>
          <w:rFonts w:ascii="宋体" w:eastAsia="宋体" w:hAnsi="宋体" w:cs="宋体"/>
          <w:sz w:val="20"/>
          <w:szCs w:val="20"/>
        </w:rPr>
      </w:pPr>
      <w:r>
        <w:rPr>
          <w:rFonts w:ascii="宋体" w:eastAsia="宋体" w:hAnsi="宋体" w:cs="宋体"/>
          <w:spacing w:val="7"/>
          <w:sz w:val="20"/>
          <w:szCs w:val="20"/>
        </w:rPr>
        <w:t>广东天机智能系统有限公司（以下简称公司或本公司）系由深圳市长盈精密技术股份有</w:t>
      </w:r>
      <w:r>
        <w:rPr>
          <w:rFonts w:ascii="宋体" w:eastAsia="宋体" w:hAnsi="宋体" w:cs="宋体"/>
          <w:spacing w:val="13"/>
          <w:sz w:val="20"/>
          <w:szCs w:val="20"/>
        </w:rPr>
        <w:t xml:space="preserve"> </w:t>
      </w:r>
      <w:r>
        <w:rPr>
          <w:rFonts w:ascii="宋体" w:eastAsia="宋体" w:hAnsi="宋体" w:cs="宋体"/>
          <w:spacing w:val="4"/>
          <w:sz w:val="20"/>
          <w:szCs w:val="20"/>
        </w:rPr>
        <w:t>限公司投资设立，于</w:t>
      </w:r>
      <w:r>
        <w:rPr>
          <w:rFonts w:ascii="宋体" w:eastAsia="宋体" w:hAnsi="宋体" w:cs="宋体"/>
          <w:spacing w:val="-34"/>
          <w:sz w:val="20"/>
          <w:szCs w:val="20"/>
        </w:rPr>
        <w:t xml:space="preserve"> </w:t>
      </w:r>
      <w:r>
        <w:rPr>
          <w:rFonts w:ascii="宋体" w:eastAsia="宋体" w:hAnsi="宋体" w:cs="宋体"/>
          <w:spacing w:val="4"/>
          <w:sz w:val="20"/>
          <w:szCs w:val="20"/>
        </w:rPr>
        <w:t>2015</w:t>
      </w:r>
      <w:r>
        <w:rPr>
          <w:rFonts w:ascii="宋体" w:eastAsia="宋体" w:hAnsi="宋体" w:cs="宋体"/>
          <w:spacing w:val="-37"/>
          <w:sz w:val="20"/>
          <w:szCs w:val="20"/>
        </w:rPr>
        <w:t xml:space="preserve"> </w:t>
      </w:r>
      <w:r>
        <w:rPr>
          <w:rFonts w:ascii="宋体" w:eastAsia="宋体" w:hAnsi="宋体" w:cs="宋体"/>
          <w:spacing w:val="4"/>
          <w:sz w:val="20"/>
          <w:szCs w:val="20"/>
        </w:rPr>
        <w:t>年</w:t>
      </w:r>
      <w:r>
        <w:rPr>
          <w:rFonts w:ascii="宋体" w:eastAsia="宋体" w:hAnsi="宋体" w:cs="宋体"/>
          <w:spacing w:val="-35"/>
          <w:sz w:val="20"/>
          <w:szCs w:val="20"/>
        </w:rPr>
        <w:t xml:space="preserve"> </w:t>
      </w:r>
      <w:r>
        <w:rPr>
          <w:rFonts w:ascii="宋体" w:eastAsia="宋体" w:hAnsi="宋体" w:cs="宋体"/>
          <w:spacing w:val="4"/>
          <w:sz w:val="20"/>
          <w:szCs w:val="20"/>
        </w:rPr>
        <w:t>5</w:t>
      </w:r>
      <w:r>
        <w:rPr>
          <w:rFonts w:ascii="宋体" w:eastAsia="宋体" w:hAnsi="宋体" w:cs="宋体"/>
          <w:spacing w:val="-33"/>
          <w:sz w:val="20"/>
          <w:szCs w:val="20"/>
        </w:rPr>
        <w:t xml:space="preserve"> </w:t>
      </w:r>
      <w:r>
        <w:rPr>
          <w:rFonts w:ascii="宋体" w:eastAsia="宋体" w:hAnsi="宋体" w:cs="宋体"/>
          <w:spacing w:val="4"/>
          <w:sz w:val="20"/>
          <w:szCs w:val="20"/>
        </w:rPr>
        <w:t>月</w:t>
      </w:r>
      <w:r>
        <w:rPr>
          <w:rFonts w:ascii="宋体" w:eastAsia="宋体" w:hAnsi="宋体" w:cs="宋体"/>
          <w:spacing w:val="-24"/>
          <w:sz w:val="20"/>
          <w:szCs w:val="20"/>
        </w:rPr>
        <w:t xml:space="preserve"> </w:t>
      </w:r>
      <w:r>
        <w:rPr>
          <w:rFonts w:ascii="宋体" w:eastAsia="宋体" w:hAnsi="宋体" w:cs="宋体"/>
          <w:spacing w:val="4"/>
          <w:sz w:val="20"/>
          <w:szCs w:val="20"/>
        </w:rPr>
        <w:t>18 日在东莞市市场监督管理局登记注册</w:t>
      </w:r>
      <w:r>
        <w:rPr>
          <w:rFonts w:ascii="宋体" w:eastAsia="宋体" w:hAnsi="宋体" w:cs="宋体"/>
          <w:spacing w:val="3"/>
          <w:sz w:val="20"/>
          <w:szCs w:val="20"/>
        </w:rPr>
        <w:t>，总部位于广东省</w:t>
      </w:r>
      <w:r>
        <w:rPr>
          <w:rFonts w:ascii="宋体" w:eastAsia="宋体" w:hAnsi="宋体" w:cs="宋体"/>
          <w:sz w:val="20"/>
          <w:szCs w:val="20"/>
        </w:rPr>
        <w:t xml:space="preserve"> </w:t>
      </w:r>
      <w:r>
        <w:rPr>
          <w:rFonts w:ascii="宋体" w:eastAsia="宋体" w:hAnsi="宋体" w:cs="宋体"/>
          <w:spacing w:val="7"/>
          <w:sz w:val="20"/>
          <w:szCs w:val="20"/>
        </w:rPr>
        <w:t>东莞市。经股权变更后，公司现股东为深圳市长盈精密技术股份有限公司、陈曦、深圳市中</w:t>
      </w:r>
      <w:r>
        <w:rPr>
          <w:rFonts w:ascii="宋体" w:eastAsia="宋体" w:hAnsi="宋体" w:cs="宋体"/>
          <w:spacing w:val="18"/>
          <w:sz w:val="20"/>
          <w:szCs w:val="20"/>
        </w:rPr>
        <w:t xml:space="preserve"> </w:t>
      </w:r>
      <w:r>
        <w:rPr>
          <w:rFonts w:ascii="宋体" w:eastAsia="宋体" w:hAnsi="宋体" w:cs="宋体"/>
          <w:spacing w:val="7"/>
          <w:sz w:val="20"/>
          <w:szCs w:val="20"/>
        </w:rPr>
        <w:t>盈星光咨询合伙企业（有限合伙）和深圳市中泽星光咨询合伙企业（有限合伙）。公司现持</w:t>
      </w:r>
    </w:p>
    <w:p>
      <w:pPr>
        <w:spacing w:before="1" w:line="224" w:lineRule="auto"/>
        <w:ind w:left="20"/>
        <w:rPr>
          <w:rFonts w:ascii="宋体" w:eastAsia="宋体" w:hAnsi="宋体" w:cs="宋体"/>
          <w:sz w:val="20"/>
          <w:szCs w:val="20"/>
        </w:rPr>
      </w:pPr>
      <w:r>
        <w:rPr>
          <w:rFonts w:ascii="宋体" w:eastAsia="宋体" w:hAnsi="宋体" w:cs="宋体"/>
          <w:spacing w:val="5"/>
          <w:sz w:val="20"/>
          <w:szCs w:val="20"/>
        </w:rPr>
        <w:t>有统一社会信用代码为</w:t>
      </w:r>
      <w:r>
        <w:rPr>
          <w:rFonts w:ascii="宋体" w:eastAsia="宋体" w:hAnsi="宋体" w:cs="宋体"/>
          <w:spacing w:val="-22"/>
          <w:sz w:val="20"/>
          <w:szCs w:val="20"/>
        </w:rPr>
        <w:t xml:space="preserve"> </w:t>
      </w:r>
      <w:r>
        <w:rPr>
          <w:rFonts w:ascii="宋体" w:eastAsia="宋体" w:hAnsi="宋体" w:cs="宋体"/>
          <w:spacing w:val="5"/>
          <w:sz w:val="20"/>
          <w:szCs w:val="20"/>
        </w:rPr>
        <w:t>91441900337900581C</w:t>
      </w:r>
      <w:r>
        <w:rPr>
          <w:rFonts w:ascii="宋体" w:eastAsia="宋体" w:hAnsi="宋体" w:cs="宋体"/>
          <w:spacing w:val="-21"/>
          <w:sz w:val="20"/>
          <w:szCs w:val="20"/>
        </w:rPr>
        <w:t xml:space="preserve"> </w:t>
      </w:r>
      <w:r>
        <w:rPr>
          <w:rFonts w:ascii="宋体" w:eastAsia="宋体" w:hAnsi="宋体" w:cs="宋体"/>
          <w:spacing w:val="5"/>
          <w:sz w:val="20"/>
          <w:szCs w:val="20"/>
        </w:rPr>
        <w:t>的营业执照，注册资本</w:t>
      </w:r>
      <w:r>
        <w:rPr>
          <w:rFonts w:ascii="宋体" w:eastAsia="宋体" w:hAnsi="宋体" w:cs="宋体"/>
          <w:spacing w:val="-21"/>
          <w:sz w:val="20"/>
          <w:szCs w:val="20"/>
        </w:rPr>
        <w:t xml:space="preserve"> </w:t>
      </w:r>
      <w:r>
        <w:rPr>
          <w:rFonts w:ascii="宋体" w:eastAsia="宋体" w:hAnsi="宋体" w:cs="宋体"/>
          <w:spacing w:val="5"/>
          <w:sz w:val="20"/>
          <w:szCs w:val="20"/>
        </w:rPr>
        <w:t>10,000.00</w:t>
      </w:r>
      <w:r>
        <w:rPr>
          <w:rFonts w:ascii="宋体" w:eastAsia="宋体" w:hAnsi="宋体" w:cs="宋体"/>
          <w:spacing w:val="-35"/>
          <w:sz w:val="20"/>
          <w:szCs w:val="20"/>
        </w:rPr>
        <w:t xml:space="preserve"> </w:t>
      </w:r>
      <w:r>
        <w:rPr>
          <w:rFonts w:ascii="宋体" w:eastAsia="宋体" w:hAnsi="宋体" w:cs="宋体"/>
          <w:spacing w:val="5"/>
          <w:sz w:val="20"/>
          <w:szCs w:val="20"/>
        </w:rPr>
        <w:t>万元。</w:t>
      </w:r>
    </w:p>
    <w:p>
      <w:pPr>
        <w:spacing w:before="225" w:line="432" w:lineRule="auto"/>
        <w:ind w:left="22" w:right="1487" w:firstLine="418"/>
        <w:jc w:val="both"/>
        <w:rPr>
          <w:rFonts w:ascii="宋体" w:eastAsia="宋体" w:hAnsi="宋体" w:cs="宋体"/>
          <w:sz w:val="20"/>
          <w:szCs w:val="20"/>
        </w:rPr>
      </w:pPr>
      <w:r>
        <w:rPr>
          <w:rFonts w:ascii="宋体" w:eastAsia="宋体" w:hAnsi="宋体" w:cs="宋体"/>
          <w:spacing w:val="3"/>
          <w:sz w:val="20"/>
          <w:szCs w:val="20"/>
        </w:rPr>
        <w:t>本公司经营范围：工业智能系统方案开发、设计；工业智能设备集成；机器人开发制造；</w:t>
      </w:r>
      <w:r>
        <w:rPr>
          <w:rFonts w:ascii="宋体" w:eastAsia="宋体" w:hAnsi="宋体" w:cs="宋体"/>
          <w:spacing w:val="14"/>
          <w:sz w:val="20"/>
          <w:szCs w:val="20"/>
        </w:rPr>
        <w:t xml:space="preserve"> </w:t>
      </w:r>
      <w:r>
        <w:rPr>
          <w:rFonts w:ascii="宋体" w:eastAsia="宋体" w:hAnsi="宋体" w:cs="宋体"/>
          <w:spacing w:val="8"/>
          <w:sz w:val="20"/>
          <w:szCs w:val="20"/>
        </w:rPr>
        <w:t>工业智能设备开发制造；工业智能系统技术</w:t>
      </w:r>
      <w:r>
        <w:rPr>
          <w:rFonts w:ascii="宋体" w:eastAsia="宋体" w:hAnsi="宋体" w:cs="宋体"/>
          <w:spacing w:val="7"/>
          <w:sz w:val="20"/>
          <w:szCs w:val="20"/>
        </w:rPr>
        <w:t>咨询及工程服务；产销第二类医疗器械（医用口</w:t>
      </w:r>
    </w:p>
    <w:p>
      <w:pPr>
        <w:spacing w:before="1" w:line="226" w:lineRule="auto"/>
        <w:ind w:left="19"/>
        <w:rPr>
          <w:rFonts w:ascii="宋体" w:eastAsia="宋体" w:hAnsi="宋体" w:cs="宋体"/>
          <w:sz w:val="20"/>
          <w:szCs w:val="20"/>
        </w:rPr>
      </w:pPr>
      <w:r>
        <w:rPr>
          <w:rFonts w:ascii="宋体" w:eastAsia="宋体" w:hAnsi="宋体" w:cs="宋体"/>
          <w:spacing w:val="5"/>
          <w:sz w:val="20"/>
          <w:szCs w:val="20"/>
        </w:rPr>
        <w:t>罩）、</w:t>
      </w:r>
      <w:r>
        <w:rPr>
          <w:rFonts w:ascii="宋体" w:eastAsia="宋体" w:hAnsi="宋体" w:cs="宋体"/>
          <w:spacing w:val="-49"/>
          <w:sz w:val="20"/>
          <w:szCs w:val="20"/>
        </w:rPr>
        <w:t xml:space="preserve"> </w:t>
      </w:r>
      <w:r>
        <w:rPr>
          <w:rFonts w:ascii="宋体" w:eastAsia="宋体" w:hAnsi="宋体" w:cs="宋体"/>
          <w:spacing w:val="5"/>
          <w:sz w:val="20"/>
          <w:szCs w:val="20"/>
        </w:rPr>
        <w:t>日用口罩（非医用</w:t>
      </w:r>
      <w:r>
        <w:rPr>
          <w:rFonts w:ascii="宋体" w:eastAsia="宋体" w:hAnsi="宋体" w:cs="宋体"/>
          <w:spacing w:val="24"/>
          <w:sz w:val="20"/>
          <w:szCs w:val="20"/>
        </w:rPr>
        <w:t>）；</w:t>
      </w:r>
      <w:r>
        <w:rPr>
          <w:rFonts w:ascii="宋体" w:eastAsia="宋体" w:hAnsi="宋体" w:cs="宋体"/>
          <w:spacing w:val="5"/>
          <w:sz w:val="20"/>
          <w:szCs w:val="20"/>
        </w:rPr>
        <w:t>货物或技术进出口。</w:t>
      </w:r>
    </w:p>
    <w:p>
      <w:pPr>
        <w:spacing w:line="310" w:lineRule="auto"/>
      </w:pPr>
    </w:p>
    <w:p>
      <w:pPr>
        <w:spacing w:line="311" w:lineRule="auto"/>
      </w:pPr>
    </w:p>
    <w:p>
      <w:pPr>
        <w:pStyle w:val="BodyText"/>
        <w:spacing w:before="65" w:line="229" w:lineRule="auto"/>
        <w:ind w:left="443"/>
        <w:outlineLvl w:val="0"/>
        <w:rPr>
          <w:sz w:val="20"/>
          <w:szCs w:val="20"/>
        </w:rPr>
      </w:pPr>
      <w:r>
        <w:rPr>
          <w:spacing w:val="9"/>
          <w:sz w:val="20"/>
          <w:szCs w:val="20"/>
          <w14:textOutline w14:w="3795" w14:cap="sq">
            <w14:solidFill>
              <w14:srgbClr w14:val="000000"/>
            </w14:solidFill>
            <w14:prstDash w14:val="solid"/>
            <w14:bevel/>
          </w14:textOutline>
        </w:rPr>
        <w:t>二、财务报表的编制基础</w:t>
      </w:r>
    </w:p>
    <w:p>
      <w:pPr>
        <w:spacing w:before="220" w:line="228" w:lineRule="auto"/>
        <w:ind w:left="476"/>
        <w:outlineLvl w:val="1"/>
        <w:rPr>
          <w:rFonts w:ascii="宋体" w:eastAsia="宋体" w:hAnsi="宋体" w:cs="宋体"/>
          <w:sz w:val="20"/>
          <w:szCs w:val="20"/>
        </w:rPr>
      </w:pPr>
      <w:r>
        <w:rPr>
          <w:rFonts w:ascii="宋体" w:eastAsia="宋体" w:hAnsi="宋体" w:cs="宋体"/>
          <w:sz w:val="20"/>
          <w:szCs w:val="20"/>
        </w:rPr>
        <w:t>(一)</w:t>
      </w:r>
      <w:r>
        <w:rPr>
          <w:rFonts w:ascii="宋体" w:eastAsia="宋体" w:hAnsi="宋体" w:cs="宋体"/>
          <w:spacing w:val="15"/>
          <w:sz w:val="20"/>
          <w:szCs w:val="20"/>
        </w:rPr>
        <w:t xml:space="preserve"> </w:t>
      </w:r>
      <w:r>
        <w:rPr>
          <w:rFonts w:ascii="宋体" w:eastAsia="宋体" w:hAnsi="宋体" w:cs="宋体"/>
          <w:sz w:val="20"/>
          <w:szCs w:val="20"/>
        </w:rPr>
        <w:t>编制基础</w:t>
      </w:r>
    </w:p>
    <w:p>
      <w:pPr>
        <w:spacing w:before="221" w:line="227" w:lineRule="auto"/>
        <w:ind w:left="440"/>
        <w:rPr>
          <w:rFonts w:ascii="宋体" w:eastAsia="宋体" w:hAnsi="宋体" w:cs="宋体"/>
          <w:sz w:val="20"/>
          <w:szCs w:val="20"/>
        </w:rPr>
      </w:pPr>
      <w:r>
        <w:rPr>
          <w:rFonts w:ascii="宋体" w:eastAsia="宋体" w:hAnsi="宋体" w:cs="宋体"/>
          <w:spacing w:val="8"/>
          <w:sz w:val="20"/>
          <w:szCs w:val="20"/>
        </w:rPr>
        <w:t>本公司财务报表以持续经营为编制基础。</w:t>
      </w:r>
    </w:p>
    <w:p>
      <w:pPr>
        <w:spacing w:before="222" w:line="226" w:lineRule="auto"/>
        <w:ind w:left="476"/>
        <w:outlineLvl w:val="1"/>
        <w:rPr>
          <w:rFonts w:ascii="宋体" w:eastAsia="宋体" w:hAnsi="宋体" w:cs="宋体"/>
          <w:sz w:val="20"/>
          <w:szCs w:val="20"/>
        </w:rPr>
      </w:pPr>
      <w:r>
        <w:rPr>
          <w:rFonts w:ascii="宋体" w:eastAsia="宋体" w:hAnsi="宋体" w:cs="宋体"/>
          <w:spacing w:val="4"/>
          <w:sz w:val="20"/>
          <w:szCs w:val="20"/>
        </w:rPr>
        <w:t>(二) 持续经营能力评价</w:t>
      </w:r>
    </w:p>
    <w:p>
      <w:pPr>
        <w:spacing w:before="223" w:line="226" w:lineRule="auto"/>
        <w:ind w:left="440"/>
        <w:rPr>
          <w:rFonts w:ascii="宋体" w:eastAsia="宋体" w:hAnsi="宋体" w:cs="宋体"/>
          <w:sz w:val="20"/>
          <w:szCs w:val="20"/>
        </w:rPr>
      </w:pPr>
      <w:r>
        <w:rPr>
          <w:rFonts w:ascii="宋体" w:eastAsia="宋体" w:hAnsi="宋体" w:cs="宋体"/>
          <w:spacing w:val="8"/>
          <w:sz w:val="20"/>
          <w:szCs w:val="20"/>
        </w:rPr>
        <w:t>本公司不存在导致对报告期末起</w:t>
      </w:r>
      <w:r>
        <w:rPr>
          <w:rFonts w:ascii="宋体" w:eastAsia="宋体" w:hAnsi="宋体" w:cs="宋体"/>
          <w:spacing w:val="-12"/>
          <w:sz w:val="20"/>
          <w:szCs w:val="20"/>
        </w:rPr>
        <w:t xml:space="preserve"> </w:t>
      </w:r>
      <w:r>
        <w:rPr>
          <w:rFonts w:ascii="宋体" w:eastAsia="宋体" w:hAnsi="宋体" w:cs="宋体"/>
          <w:spacing w:val="8"/>
          <w:sz w:val="20"/>
          <w:szCs w:val="20"/>
        </w:rPr>
        <w:t>12</w:t>
      </w:r>
      <w:r>
        <w:rPr>
          <w:rFonts w:ascii="宋体" w:eastAsia="宋体" w:hAnsi="宋体" w:cs="宋体"/>
          <w:spacing w:val="-38"/>
          <w:sz w:val="20"/>
          <w:szCs w:val="20"/>
        </w:rPr>
        <w:t xml:space="preserve"> </w:t>
      </w:r>
      <w:r>
        <w:rPr>
          <w:rFonts w:ascii="宋体" w:eastAsia="宋体" w:hAnsi="宋体" w:cs="宋体"/>
          <w:spacing w:val="8"/>
          <w:sz w:val="20"/>
          <w:szCs w:val="20"/>
        </w:rPr>
        <w:t>个月内的持续经营能力产生重大疑虑的事项或情况。</w:t>
      </w:r>
    </w:p>
    <w:p>
      <w:pPr>
        <w:spacing w:line="311" w:lineRule="auto"/>
      </w:pPr>
    </w:p>
    <w:p>
      <w:pPr>
        <w:spacing w:line="311" w:lineRule="auto"/>
      </w:pPr>
    </w:p>
    <w:p>
      <w:pPr>
        <w:pStyle w:val="BodyText"/>
        <w:spacing w:before="66" w:line="230" w:lineRule="auto"/>
        <w:ind w:left="444"/>
        <w:outlineLvl w:val="0"/>
        <w:rPr>
          <w:sz w:val="20"/>
          <w:szCs w:val="20"/>
        </w:rPr>
      </w:pPr>
      <w:r>
        <w:rPr>
          <w:spacing w:val="9"/>
          <w:sz w:val="20"/>
          <w:szCs w:val="20"/>
          <w14:textOutline w14:w="3795" w14:cap="sq">
            <w14:solidFill>
              <w14:srgbClr w14:val="000000"/>
            </w14:solidFill>
            <w14:prstDash w14:val="solid"/>
            <w14:bevel/>
          </w14:textOutline>
        </w:rPr>
        <w:t>三、重要会计政策及会计估计</w:t>
      </w:r>
    </w:p>
    <w:p>
      <w:pPr>
        <w:spacing w:before="218" w:line="227" w:lineRule="auto"/>
        <w:ind w:left="476"/>
        <w:outlineLvl w:val="1"/>
        <w:rPr>
          <w:rFonts w:ascii="宋体" w:eastAsia="宋体" w:hAnsi="宋体" w:cs="宋体"/>
          <w:sz w:val="20"/>
          <w:szCs w:val="20"/>
        </w:rPr>
      </w:pPr>
      <w:r>
        <w:rPr>
          <w:rFonts w:ascii="宋体" w:eastAsia="宋体" w:hAnsi="宋体" w:cs="宋体"/>
          <w:spacing w:val="5"/>
          <w:sz w:val="20"/>
          <w:szCs w:val="20"/>
        </w:rPr>
        <w:t>(一) 遵循企业会计准则的声明</w:t>
      </w:r>
    </w:p>
    <w:p>
      <w:pPr>
        <w:spacing w:before="222" w:line="468" w:lineRule="exact"/>
        <w:ind w:left="440"/>
        <w:rPr>
          <w:rFonts w:ascii="宋体" w:eastAsia="宋体" w:hAnsi="宋体" w:cs="宋体"/>
          <w:sz w:val="20"/>
          <w:szCs w:val="20"/>
        </w:rPr>
      </w:pPr>
      <w:r>
        <w:rPr>
          <w:rFonts w:ascii="宋体" w:eastAsia="宋体" w:hAnsi="宋体" w:cs="宋体"/>
          <w:spacing w:val="7"/>
          <w:position w:val="20"/>
          <w:sz w:val="20"/>
          <w:szCs w:val="20"/>
        </w:rPr>
        <w:t>本公司所编制的财务报表符合企业会计准则的要求，真实、完整地反映了公司的财务状</w:t>
      </w:r>
    </w:p>
    <w:p>
      <w:pPr>
        <w:spacing w:before="1" w:line="227" w:lineRule="auto"/>
        <w:ind w:left="21"/>
        <w:rPr>
          <w:rFonts w:ascii="宋体" w:eastAsia="宋体" w:hAnsi="宋体" w:cs="宋体"/>
          <w:sz w:val="20"/>
          <w:szCs w:val="20"/>
        </w:rPr>
      </w:pPr>
      <w:r>
        <w:rPr>
          <w:rFonts w:ascii="宋体" w:eastAsia="宋体" w:hAnsi="宋体" w:cs="宋体"/>
          <w:spacing w:val="8"/>
          <w:sz w:val="20"/>
          <w:szCs w:val="20"/>
        </w:rPr>
        <w:t>况、经营成果和现金流量等有关信息。</w:t>
      </w:r>
    </w:p>
    <w:p>
      <w:pPr>
        <w:spacing w:before="221" w:line="227" w:lineRule="auto"/>
        <w:ind w:left="476"/>
        <w:outlineLvl w:val="1"/>
        <w:rPr>
          <w:rFonts w:ascii="宋体" w:eastAsia="宋体" w:hAnsi="宋体" w:cs="宋体"/>
          <w:sz w:val="20"/>
          <w:szCs w:val="20"/>
        </w:rPr>
      </w:pPr>
      <w:r>
        <w:rPr>
          <w:rFonts w:ascii="宋体" w:eastAsia="宋体" w:hAnsi="宋体" w:cs="宋体"/>
          <w:spacing w:val="2"/>
          <w:sz w:val="20"/>
          <w:szCs w:val="20"/>
        </w:rPr>
        <w:t>(二) 会计期间</w:t>
      </w:r>
    </w:p>
    <w:p>
      <w:pPr>
        <w:spacing w:before="223" w:line="227" w:lineRule="auto"/>
        <w:ind w:left="439"/>
        <w:rPr>
          <w:rFonts w:ascii="宋体" w:eastAsia="宋体" w:hAnsi="宋体" w:cs="宋体"/>
          <w:sz w:val="20"/>
          <w:szCs w:val="20"/>
        </w:rPr>
      </w:pPr>
      <w:r>
        <w:rPr>
          <w:rFonts w:ascii="宋体" w:eastAsia="宋体" w:hAnsi="宋体" w:cs="宋体"/>
          <w:spacing w:val="-2"/>
          <w:sz w:val="20"/>
          <w:szCs w:val="20"/>
        </w:rPr>
        <w:t>会计年度自公历</w:t>
      </w:r>
      <w:r>
        <w:rPr>
          <w:rFonts w:ascii="宋体" w:eastAsia="宋体" w:hAnsi="宋体" w:cs="宋体"/>
          <w:spacing w:val="-24"/>
          <w:sz w:val="20"/>
          <w:szCs w:val="20"/>
        </w:rPr>
        <w:t xml:space="preserve"> </w:t>
      </w:r>
      <w:r>
        <w:rPr>
          <w:rFonts w:ascii="宋体" w:eastAsia="宋体" w:hAnsi="宋体" w:cs="宋体"/>
          <w:spacing w:val="-2"/>
          <w:sz w:val="20"/>
          <w:szCs w:val="20"/>
        </w:rPr>
        <w:t>1</w:t>
      </w:r>
      <w:r>
        <w:rPr>
          <w:rFonts w:ascii="宋体" w:eastAsia="宋体" w:hAnsi="宋体" w:cs="宋体"/>
          <w:spacing w:val="-33"/>
          <w:sz w:val="20"/>
          <w:szCs w:val="20"/>
        </w:rPr>
        <w:t xml:space="preserve"> </w:t>
      </w:r>
      <w:r>
        <w:rPr>
          <w:rFonts w:ascii="宋体" w:eastAsia="宋体" w:hAnsi="宋体" w:cs="宋体"/>
          <w:spacing w:val="-2"/>
          <w:sz w:val="20"/>
          <w:szCs w:val="20"/>
        </w:rPr>
        <w:t>月</w:t>
      </w:r>
      <w:r>
        <w:rPr>
          <w:rFonts w:ascii="宋体" w:eastAsia="宋体" w:hAnsi="宋体" w:cs="宋体"/>
          <w:spacing w:val="-23"/>
          <w:sz w:val="20"/>
          <w:szCs w:val="20"/>
        </w:rPr>
        <w:t xml:space="preserve"> </w:t>
      </w:r>
      <w:r>
        <w:rPr>
          <w:rFonts w:ascii="宋体" w:eastAsia="宋体" w:hAnsi="宋体" w:cs="宋体"/>
          <w:spacing w:val="-2"/>
          <w:sz w:val="20"/>
          <w:szCs w:val="20"/>
        </w:rPr>
        <w:t>1 日起至</w:t>
      </w:r>
      <w:r>
        <w:rPr>
          <w:rFonts w:ascii="宋体" w:eastAsia="宋体" w:hAnsi="宋体" w:cs="宋体"/>
          <w:spacing w:val="-24"/>
          <w:sz w:val="20"/>
          <w:szCs w:val="20"/>
        </w:rPr>
        <w:t xml:space="preserve"> </w:t>
      </w:r>
      <w:r>
        <w:rPr>
          <w:rFonts w:ascii="宋体" w:eastAsia="宋体" w:hAnsi="宋体" w:cs="宋体"/>
          <w:spacing w:val="-2"/>
          <w:sz w:val="20"/>
          <w:szCs w:val="20"/>
        </w:rPr>
        <w:t>12</w:t>
      </w:r>
      <w:r>
        <w:rPr>
          <w:rFonts w:ascii="宋体" w:eastAsia="宋体" w:hAnsi="宋体" w:cs="宋体"/>
          <w:spacing w:val="-36"/>
          <w:sz w:val="20"/>
          <w:szCs w:val="20"/>
        </w:rPr>
        <w:t xml:space="preserve"> </w:t>
      </w:r>
      <w:r>
        <w:rPr>
          <w:rFonts w:ascii="宋体" w:eastAsia="宋体" w:hAnsi="宋体" w:cs="宋体"/>
          <w:spacing w:val="-2"/>
          <w:sz w:val="20"/>
          <w:szCs w:val="20"/>
        </w:rPr>
        <w:t>月</w:t>
      </w:r>
      <w:r>
        <w:rPr>
          <w:rFonts w:ascii="宋体" w:eastAsia="宋体" w:hAnsi="宋体" w:cs="宋体"/>
          <w:spacing w:val="-32"/>
          <w:sz w:val="20"/>
          <w:szCs w:val="20"/>
        </w:rPr>
        <w:t xml:space="preserve"> </w:t>
      </w:r>
      <w:r>
        <w:rPr>
          <w:rFonts w:ascii="宋体" w:eastAsia="宋体" w:hAnsi="宋体" w:cs="宋体"/>
          <w:spacing w:val="-2"/>
          <w:sz w:val="20"/>
          <w:szCs w:val="20"/>
        </w:rPr>
        <w:t>31</w:t>
      </w:r>
      <w:r>
        <w:rPr>
          <w:rFonts w:ascii="宋体" w:eastAsia="宋体" w:hAnsi="宋体" w:cs="宋体"/>
          <w:spacing w:val="-3"/>
          <w:sz w:val="20"/>
          <w:szCs w:val="20"/>
        </w:rPr>
        <w:t xml:space="preserve"> 日止。</w:t>
      </w:r>
    </w:p>
    <w:p>
      <w:pPr>
        <w:spacing w:before="222" w:line="228" w:lineRule="auto"/>
        <w:ind w:left="476"/>
        <w:outlineLvl w:val="1"/>
        <w:rPr>
          <w:rFonts w:ascii="宋体" w:eastAsia="宋体" w:hAnsi="宋体" w:cs="宋体"/>
          <w:sz w:val="20"/>
          <w:szCs w:val="20"/>
        </w:rPr>
      </w:pPr>
      <w:r>
        <w:rPr>
          <w:rFonts w:ascii="宋体" w:eastAsia="宋体" w:hAnsi="宋体" w:cs="宋体"/>
          <w:spacing w:val="-1"/>
          <w:sz w:val="20"/>
          <w:szCs w:val="20"/>
        </w:rPr>
        <w:t>(三)</w:t>
      </w:r>
      <w:r>
        <w:rPr>
          <w:rFonts w:ascii="宋体" w:eastAsia="宋体" w:hAnsi="宋体" w:cs="宋体"/>
          <w:spacing w:val="22"/>
          <w:sz w:val="20"/>
          <w:szCs w:val="20"/>
        </w:rPr>
        <w:t xml:space="preserve"> </w:t>
      </w:r>
      <w:r>
        <w:rPr>
          <w:rFonts w:ascii="宋体" w:eastAsia="宋体" w:hAnsi="宋体" w:cs="宋体"/>
          <w:spacing w:val="-1"/>
          <w:sz w:val="20"/>
          <w:szCs w:val="20"/>
        </w:rPr>
        <w:t>营业周期</w:t>
      </w:r>
    </w:p>
    <w:p>
      <w:pPr>
        <w:spacing w:line="305" w:lineRule="auto"/>
      </w:pPr>
    </w:p>
    <w:p>
      <w:pPr>
        <w:spacing w:before="59" w:line="219" w:lineRule="auto"/>
        <w:ind w:left="3409"/>
        <w:rPr>
          <w:rFonts w:ascii="宋体" w:eastAsia="宋体" w:hAnsi="宋体" w:cs="宋体"/>
          <w:sz w:val="18"/>
          <w:szCs w:val="18"/>
        </w:rPr>
      </w:pPr>
      <w:r>
        <w:rPr>
          <w:rFonts w:ascii="宋体" w:eastAsia="宋体" w:hAnsi="宋体" w:cs="宋体"/>
          <w:spacing w:val="-6"/>
          <w:sz w:val="18"/>
          <w:szCs w:val="18"/>
        </w:rPr>
        <w:t>第</w:t>
      </w:r>
      <w:r>
        <w:rPr>
          <w:rFonts w:ascii="宋体" w:eastAsia="宋体" w:hAnsi="宋体" w:cs="宋体"/>
          <w:spacing w:val="23"/>
          <w:w w:val="101"/>
          <w:sz w:val="18"/>
          <w:szCs w:val="18"/>
        </w:rPr>
        <w:t xml:space="preserve"> </w:t>
      </w:r>
      <w:r>
        <w:rPr>
          <w:rFonts w:ascii="宋体" w:eastAsia="宋体" w:hAnsi="宋体" w:cs="宋体"/>
          <w:spacing w:val="-6"/>
          <w:sz w:val="18"/>
          <w:szCs w:val="18"/>
        </w:rPr>
        <w:t>12</w:t>
      </w:r>
      <w:r>
        <w:rPr>
          <w:rFonts w:ascii="宋体" w:eastAsia="宋体" w:hAnsi="宋体" w:cs="宋体"/>
          <w:spacing w:val="11"/>
          <w:sz w:val="18"/>
          <w:szCs w:val="18"/>
        </w:rPr>
        <w:t xml:space="preserve"> </w:t>
      </w:r>
      <w:r>
        <w:rPr>
          <w:rFonts w:ascii="宋体" w:eastAsia="宋体" w:hAnsi="宋体" w:cs="宋体"/>
          <w:spacing w:val="-6"/>
          <w:sz w:val="18"/>
          <w:szCs w:val="18"/>
        </w:rPr>
        <w:t>页 共</w:t>
      </w:r>
      <w:r>
        <w:rPr>
          <w:rFonts w:ascii="宋体" w:eastAsia="宋体" w:hAnsi="宋体" w:cs="宋体"/>
          <w:spacing w:val="12"/>
          <w:sz w:val="18"/>
          <w:szCs w:val="18"/>
        </w:rPr>
        <w:t xml:space="preserve"> </w:t>
      </w:r>
      <w:r>
        <w:rPr>
          <w:rFonts w:ascii="宋体" w:eastAsia="宋体" w:hAnsi="宋体" w:cs="宋体"/>
          <w:spacing w:val="-6"/>
          <w:sz w:val="18"/>
          <w:szCs w:val="18"/>
        </w:rPr>
        <w:t>59</w:t>
      </w:r>
      <w:r>
        <w:rPr>
          <w:rFonts w:ascii="宋体" w:eastAsia="宋体" w:hAnsi="宋体" w:cs="宋体"/>
          <w:spacing w:val="9"/>
          <w:sz w:val="18"/>
          <w:szCs w:val="18"/>
        </w:rPr>
        <w:t xml:space="preserve"> </w:t>
      </w:r>
      <w:r>
        <w:rPr>
          <w:rFonts w:ascii="宋体" w:eastAsia="宋体" w:hAnsi="宋体" w:cs="宋体"/>
          <w:spacing w:val="-6"/>
          <w:sz w:val="18"/>
          <w:szCs w:val="18"/>
        </w:rPr>
        <w:t>页</w:t>
      </w:r>
    </w:p>
    <w:p>
      <w:pPr>
        <w:spacing w:line="219" w:lineRule="auto"/>
        <w:rPr>
          <w:rFonts w:ascii="宋体" w:eastAsia="宋体" w:hAnsi="宋体" w:cs="宋体"/>
          <w:sz w:val="18"/>
          <w:szCs w:val="18"/>
        </w:rPr>
        <w:sectPr>
          <w:headerReference w:type="default" r:id="rId33"/>
          <w:footerReference w:type="default" r:id="rId34"/>
          <w:pgSz w:w="11906" w:h="16839"/>
          <w:pgMar w:top="400" w:right="259" w:bottom="400" w:left="1785" w:header="0" w:footer="0" w:gutter="0"/>
          <w:pgNumType w:start="13"/>
          <w:cols w:num="1" w:space="720"/>
        </w:sectPr>
      </w:pPr>
    </w:p>
    <w:p>
      <w:pPr>
        <w:spacing w:line="274" w:lineRule="auto"/>
      </w:pPr>
    </w:p>
    <w:p>
      <w:pPr>
        <w:spacing w:line="274" w:lineRule="auto"/>
      </w:pPr>
    </w:p>
    <w:p>
      <w:pPr>
        <w:spacing w:line="274" w:lineRule="auto"/>
      </w:pPr>
    </w:p>
    <w:p>
      <w:pPr>
        <w:spacing w:line="274" w:lineRule="auto"/>
      </w:pPr>
    </w:p>
    <w:p>
      <w:pPr>
        <w:spacing w:before="65" w:line="228" w:lineRule="auto"/>
        <w:ind w:left="446"/>
        <w:rPr>
          <w:rFonts w:ascii="宋体" w:eastAsia="宋体" w:hAnsi="宋体" w:cs="宋体"/>
          <w:sz w:val="20"/>
          <w:szCs w:val="20"/>
        </w:rPr>
      </w:pPr>
      <w:r>
        <w:rPr>
          <w:rFonts w:ascii="宋体" w:eastAsia="宋体" w:hAnsi="宋体" w:cs="宋体"/>
          <w:spacing w:val="7"/>
          <w:sz w:val="20"/>
          <w:szCs w:val="20"/>
        </w:rPr>
        <w:t>公司经营业务的营业周期较短，</w:t>
      </w:r>
      <w:r>
        <w:rPr>
          <w:rFonts w:ascii="宋体" w:eastAsia="宋体" w:hAnsi="宋体" w:cs="宋体"/>
          <w:spacing w:val="-59"/>
          <w:sz w:val="20"/>
          <w:szCs w:val="20"/>
        </w:rPr>
        <w:t xml:space="preserve"> </w:t>
      </w:r>
      <w:r>
        <w:rPr>
          <w:rFonts w:ascii="宋体" w:eastAsia="宋体" w:hAnsi="宋体" w:cs="宋体"/>
          <w:spacing w:val="7"/>
          <w:sz w:val="20"/>
          <w:szCs w:val="20"/>
        </w:rPr>
        <w:t>以</w:t>
      </w:r>
      <w:r>
        <w:rPr>
          <w:rFonts w:ascii="宋体" w:eastAsia="宋体" w:hAnsi="宋体" w:cs="宋体"/>
          <w:spacing w:val="-24"/>
          <w:sz w:val="20"/>
          <w:szCs w:val="20"/>
        </w:rPr>
        <w:t xml:space="preserve"> </w:t>
      </w:r>
      <w:r>
        <w:rPr>
          <w:rFonts w:ascii="宋体" w:eastAsia="宋体" w:hAnsi="宋体" w:cs="宋体"/>
          <w:spacing w:val="7"/>
          <w:sz w:val="20"/>
          <w:szCs w:val="20"/>
        </w:rPr>
        <w:t>12</w:t>
      </w:r>
      <w:r>
        <w:rPr>
          <w:rFonts w:ascii="宋体" w:eastAsia="宋体" w:hAnsi="宋体" w:cs="宋体"/>
          <w:spacing w:val="-40"/>
          <w:sz w:val="20"/>
          <w:szCs w:val="20"/>
        </w:rPr>
        <w:t xml:space="preserve"> </w:t>
      </w:r>
      <w:r>
        <w:rPr>
          <w:rFonts w:ascii="宋体" w:eastAsia="宋体" w:hAnsi="宋体" w:cs="宋体"/>
          <w:spacing w:val="7"/>
          <w:sz w:val="20"/>
          <w:szCs w:val="20"/>
        </w:rPr>
        <w:t>个月作为资产和负债的流动</w:t>
      </w:r>
      <w:r>
        <w:rPr>
          <w:rFonts w:ascii="宋体" w:eastAsia="宋体" w:hAnsi="宋体" w:cs="宋体"/>
          <w:spacing w:val="6"/>
          <w:sz w:val="20"/>
          <w:szCs w:val="20"/>
        </w:rPr>
        <w:t>性划分标准。</w:t>
      </w:r>
    </w:p>
    <w:p>
      <w:pPr>
        <w:spacing w:before="221" w:line="227" w:lineRule="auto"/>
        <w:ind w:left="476"/>
        <w:outlineLvl w:val="1"/>
        <w:rPr>
          <w:rFonts w:ascii="宋体" w:eastAsia="宋体" w:hAnsi="宋体" w:cs="宋体"/>
          <w:sz w:val="20"/>
          <w:szCs w:val="20"/>
        </w:rPr>
      </w:pPr>
      <w:r>
        <w:rPr>
          <w:rFonts w:ascii="宋体" w:eastAsia="宋体" w:hAnsi="宋体" w:cs="宋体"/>
          <w:spacing w:val="3"/>
          <w:sz w:val="20"/>
          <w:szCs w:val="20"/>
        </w:rPr>
        <w:t>(四) 记账本位币</w:t>
      </w:r>
    </w:p>
    <w:p>
      <w:pPr>
        <w:spacing w:before="222" w:line="227" w:lineRule="auto"/>
        <w:ind w:left="439"/>
        <w:rPr>
          <w:rFonts w:ascii="宋体" w:eastAsia="宋体" w:hAnsi="宋体" w:cs="宋体"/>
          <w:sz w:val="20"/>
          <w:szCs w:val="20"/>
        </w:rPr>
      </w:pPr>
      <w:r>
        <w:rPr>
          <w:rFonts w:ascii="宋体" w:eastAsia="宋体" w:hAnsi="宋体" w:cs="宋体"/>
          <w:spacing w:val="8"/>
          <w:sz w:val="20"/>
          <w:szCs w:val="20"/>
        </w:rPr>
        <w:t>采用人民币为记账本位币。</w:t>
      </w:r>
    </w:p>
    <w:p>
      <w:pPr>
        <w:spacing w:before="222" w:line="227" w:lineRule="auto"/>
        <w:ind w:left="476"/>
        <w:outlineLvl w:val="1"/>
        <w:rPr>
          <w:rFonts w:ascii="宋体" w:eastAsia="宋体" w:hAnsi="宋体" w:cs="宋体"/>
          <w:sz w:val="20"/>
          <w:szCs w:val="20"/>
        </w:rPr>
      </w:pPr>
      <w:r>
        <w:rPr>
          <w:rFonts w:ascii="宋体" w:eastAsia="宋体" w:hAnsi="宋体" w:cs="宋体"/>
          <w:spacing w:val="6"/>
          <w:sz w:val="20"/>
          <w:szCs w:val="20"/>
        </w:rPr>
        <w:t>(五)</w:t>
      </w:r>
      <w:r>
        <w:rPr>
          <w:rFonts w:ascii="宋体" w:eastAsia="宋体" w:hAnsi="宋体" w:cs="宋体"/>
          <w:spacing w:val="50"/>
          <w:sz w:val="20"/>
          <w:szCs w:val="20"/>
        </w:rPr>
        <w:t xml:space="preserve"> </w:t>
      </w:r>
      <w:r>
        <w:rPr>
          <w:rFonts w:ascii="宋体" w:eastAsia="宋体" w:hAnsi="宋体" w:cs="宋体"/>
          <w:spacing w:val="6"/>
          <w:sz w:val="20"/>
          <w:szCs w:val="20"/>
        </w:rPr>
        <w:t>同一控制下和非同一控制下企业合并的会计处理方法</w:t>
      </w:r>
    </w:p>
    <w:p>
      <w:pPr>
        <w:spacing w:before="222" w:line="227" w:lineRule="auto"/>
        <w:ind w:left="455"/>
        <w:outlineLvl w:val="2"/>
        <w:rPr>
          <w:rFonts w:ascii="宋体" w:eastAsia="宋体" w:hAnsi="宋体" w:cs="宋体"/>
          <w:sz w:val="20"/>
          <w:szCs w:val="20"/>
        </w:rPr>
      </w:pPr>
      <w:r>
        <w:rPr>
          <w:rFonts w:ascii="宋体" w:eastAsia="宋体" w:hAnsi="宋体" w:cs="宋体"/>
          <w:spacing w:val="6"/>
          <w:sz w:val="20"/>
          <w:szCs w:val="20"/>
        </w:rPr>
        <w:t>1.</w:t>
      </w:r>
      <w:r>
        <w:rPr>
          <w:rFonts w:ascii="宋体" w:eastAsia="宋体" w:hAnsi="宋体" w:cs="宋体"/>
          <w:spacing w:val="39"/>
          <w:sz w:val="20"/>
          <w:szCs w:val="20"/>
        </w:rPr>
        <w:t xml:space="preserve"> </w:t>
      </w:r>
      <w:r>
        <w:rPr>
          <w:rFonts w:ascii="宋体" w:eastAsia="宋体" w:hAnsi="宋体" w:cs="宋体"/>
          <w:spacing w:val="6"/>
          <w:sz w:val="20"/>
          <w:szCs w:val="20"/>
        </w:rPr>
        <w:t>同一控制下企业合并的会计处理方法</w:t>
      </w:r>
    </w:p>
    <w:p>
      <w:pPr>
        <w:spacing w:before="222" w:line="432" w:lineRule="auto"/>
        <w:ind w:left="19" w:right="1537" w:firstLine="426"/>
        <w:jc w:val="both"/>
        <w:rPr>
          <w:rFonts w:ascii="宋体" w:eastAsia="宋体" w:hAnsi="宋体" w:cs="宋体"/>
          <w:sz w:val="20"/>
          <w:szCs w:val="20"/>
        </w:rPr>
      </w:pPr>
      <w:r>
        <w:rPr>
          <w:rFonts w:ascii="宋体" w:eastAsia="宋体" w:hAnsi="宋体" w:cs="宋体"/>
          <w:spacing w:val="7"/>
          <w:sz w:val="20"/>
          <w:szCs w:val="20"/>
        </w:rPr>
        <w:t>公司在企业合并中取得的资产和负债，按照合并日被合并方在最终控制方合并财务报表</w:t>
      </w:r>
      <w:r>
        <w:rPr>
          <w:rFonts w:ascii="宋体" w:eastAsia="宋体" w:hAnsi="宋体" w:cs="宋体"/>
          <w:spacing w:val="9"/>
          <w:sz w:val="20"/>
          <w:szCs w:val="20"/>
        </w:rPr>
        <w:t xml:space="preserve"> </w:t>
      </w:r>
      <w:r>
        <w:rPr>
          <w:rFonts w:ascii="宋体" w:eastAsia="宋体" w:hAnsi="宋体" w:cs="宋体"/>
          <w:spacing w:val="8"/>
          <w:sz w:val="20"/>
          <w:szCs w:val="20"/>
        </w:rPr>
        <w:t>中的账面价值计量。公司按照被合并方所有者权益</w:t>
      </w:r>
      <w:r>
        <w:rPr>
          <w:rFonts w:ascii="宋体" w:eastAsia="宋体" w:hAnsi="宋体" w:cs="宋体"/>
          <w:spacing w:val="7"/>
          <w:sz w:val="20"/>
          <w:szCs w:val="20"/>
        </w:rPr>
        <w:t>在最终控制方合并财务报表中的账面价值</w:t>
      </w:r>
      <w:r>
        <w:rPr>
          <w:rFonts w:ascii="宋体" w:eastAsia="宋体" w:hAnsi="宋体" w:cs="宋体"/>
          <w:sz w:val="20"/>
          <w:szCs w:val="20"/>
        </w:rPr>
        <w:t xml:space="preserve"> </w:t>
      </w:r>
      <w:r>
        <w:rPr>
          <w:rFonts w:ascii="宋体" w:eastAsia="宋体" w:hAnsi="宋体" w:cs="宋体"/>
          <w:spacing w:val="8"/>
          <w:sz w:val="20"/>
          <w:szCs w:val="20"/>
        </w:rPr>
        <w:t>份额与支付的合并对价账面价值或发行股份</w:t>
      </w:r>
      <w:r>
        <w:rPr>
          <w:rFonts w:ascii="宋体" w:eastAsia="宋体" w:hAnsi="宋体" w:cs="宋体"/>
          <w:spacing w:val="7"/>
          <w:sz w:val="20"/>
          <w:szCs w:val="20"/>
        </w:rPr>
        <w:t>面值总额的差额，调整资本公积；资本公积不足</w:t>
      </w:r>
    </w:p>
    <w:p>
      <w:pPr>
        <w:spacing w:line="227" w:lineRule="auto"/>
        <w:ind w:left="20"/>
        <w:rPr>
          <w:rFonts w:ascii="宋体" w:eastAsia="宋体" w:hAnsi="宋体" w:cs="宋体"/>
          <w:sz w:val="20"/>
          <w:szCs w:val="20"/>
        </w:rPr>
      </w:pPr>
      <w:r>
        <w:rPr>
          <w:rFonts w:ascii="宋体" w:eastAsia="宋体" w:hAnsi="宋体" w:cs="宋体"/>
          <w:spacing w:val="8"/>
          <w:sz w:val="20"/>
          <w:szCs w:val="20"/>
        </w:rPr>
        <w:t>冲减的，调整留存收益。</w:t>
      </w:r>
    </w:p>
    <w:p>
      <w:pPr>
        <w:spacing w:before="221" w:line="227" w:lineRule="auto"/>
        <w:ind w:left="442"/>
        <w:outlineLvl w:val="2"/>
        <w:rPr>
          <w:rFonts w:ascii="宋体" w:eastAsia="宋体" w:hAnsi="宋体" w:cs="宋体"/>
          <w:sz w:val="20"/>
          <w:szCs w:val="20"/>
        </w:rPr>
      </w:pPr>
      <w:r>
        <w:rPr>
          <w:rFonts w:ascii="宋体" w:eastAsia="宋体" w:hAnsi="宋体" w:cs="宋体"/>
          <w:spacing w:val="8"/>
          <w:sz w:val="20"/>
          <w:szCs w:val="20"/>
        </w:rPr>
        <w:t>2. 非同一控制下企业合并的会计处理方法</w:t>
      </w:r>
    </w:p>
    <w:p>
      <w:pPr>
        <w:spacing w:before="222" w:line="432" w:lineRule="auto"/>
        <w:ind w:left="19" w:right="1537" w:firstLine="426"/>
        <w:jc w:val="both"/>
        <w:rPr>
          <w:rFonts w:ascii="宋体" w:eastAsia="宋体" w:hAnsi="宋体" w:cs="宋体"/>
          <w:sz w:val="20"/>
          <w:szCs w:val="20"/>
        </w:rPr>
      </w:pPr>
      <w:r>
        <w:rPr>
          <w:rFonts w:ascii="宋体" w:eastAsia="宋体" w:hAnsi="宋体" w:cs="宋体"/>
          <w:spacing w:val="13"/>
          <w:sz w:val="20"/>
          <w:szCs w:val="20"/>
        </w:rPr>
        <w:t>公司在购买日对合并成本大于合并中取得的被购买方可辨认净资产公允</w:t>
      </w:r>
      <w:r>
        <w:rPr>
          <w:rFonts w:ascii="宋体" w:eastAsia="宋体" w:hAnsi="宋体" w:cs="宋体"/>
          <w:spacing w:val="12"/>
          <w:sz w:val="20"/>
          <w:szCs w:val="20"/>
        </w:rPr>
        <w:t>价值份额的差</w:t>
      </w:r>
      <w:r>
        <w:rPr>
          <w:rFonts w:ascii="宋体" w:eastAsia="宋体" w:hAnsi="宋体" w:cs="宋体"/>
          <w:sz w:val="20"/>
          <w:szCs w:val="20"/>
        </w:rPr>
        <w:t xml:space="preserve"> </w:t>
      </w:r>
      <w:r>
        <w:rPr>
          <w:rFonts w:ascii="宋体" w:eastAsia="宋体" w:hAnsi="宋体" w:cs="宋体"/>
          <w:spacing w:val="8"/>
          <w:sz w:val="20"/>
          <w:szCs w:val="20"/>
        </w:rPr>
        <w:t>额，确认为商誉；如果合并成本小于合并中取得的</w:t>
      </w:r>
      <w:r>
        <w:rPr>
          <w:rFonts w:ascii="宋体" w:eastAsia="宋体" w:hAnsi="宋体" w:cs="宋体"/>
          <w:spacing w:val="7"/>
          <w:sz w:val="20"/>
          <w:szCs w:val="20"/>
        </w:rPr>
        <w:t>被购买方可辨认净资产公允价值份额，首</w:t>
      </w:r>
      <w:r>
        <w:rPr>
          <w:rFonts w:ascii="宋体" w:eastAsia="宋体" w:hAnsi="宋体" w:cs="宋体"/>
          <w:sz w:val="20"/>
          <w:szCs w:val="20"/>
        </w:rPr>
        <w:t xml:space="preserve"> </w:t>
      </w:r>
      <w:r>
        <w:rPr>
          <w:rFonts w:ascii="宋体" w:eastAsia="宋体" w:hAnsi="宋体" w:cs="宋体"/>
          <w:spacing w:val="8"/>
          <w:sz w:val="20"/>
          <w:szCs w:val="20"/>
        </w:rPr>
        <w:t>先对取得的被购买方各项可辨认资产、负债及或有</w:t>
      </w:r>
      <w:r>
        <w:rPr>
          <w:rFonts w:ascii="宋体" w:eastAsia="宋体" w:hAnsi="宋体" w:cs="宋体"/>
          <w:spacing w:val="7"/>
          <w:sz w:val="20"/>
          <w:szCs w:val="20"/>
        </w:rPr>
        <w:t>负债的公允价值以及合并成本的计量进行</w:t>
      </w:r>
      <w:r>
        <w:rPr>
          <w:rFonts w:ascii="宋体" w:eastAsia="宋体" w:hAnsi="宋体" w:cs="宋体"/>
          <w:sz w:val="20"/>
          <w:szCs w:val="20"/>
        </w:rPr>
        <w:t xml:space="preserve"> </w:t>
      </w:r>
      <w:r>
        <w:rPr>
          <w:rFonts w:ascii="宋体" w:eastAsia="宋体" w:hAnsi="宋体" w:cs="宋体"/>
          <w:spacing w:val="8"/>
          <w:sz w:val="20"/>
          <w:szCs w:val="20"/>
        </w:rPr>
        <w:t>复核，经复核后合并成本仍小于合并中取得</w:t>
      </w:r>
      <w:r>
        <w:rPr>
          <w:rFonts w:ascii="宋体" w:eastAsia="宋体" w:hAnsi="宋体" w:cs="宋体"/>
          <w:spacing w:val="7"/>
          <w:sz w:val="20"/>
          <w:szCs w:val="20"/>
        </w:rPr>
        <w:t>的被购买方可辨认净资产公允价值份额的，其差</w:t>
      </w:r>
    </w:p>
    <w:p>
      <w:pPr>
        <w:spacing w:before="1" w:line="227" w:lineRule="auto"/>
        <w:ind w:left="19"/>
        <w:rPr>
          <w:rFonts w:ascii="宋体" w:eastAsia="宋体" w:hAnsi="宋体" w:cs="宋体"/>
          <w:sz w:val="20"/>
          <w:szCs w:val="20"/>
        </w:rPr>
      </w:pPr>
      <w:r>
        <w:rPr>
          <w:rFonts w:ascii="宋体" w:eastAsia="宋体" w:hAnsi="宋体" w:cs="宋体"/>
          <w:spacing w:val="7"/>
          <w:sz w:val="20"/>
          <w:szCs w:val="20"/>
        </w:rPr>
        <w:t>额计入当期损益。</w:t>
      </w:r>
    </w:p>
    <w:p>
      <w:pPr>
        <w:spacing w:before="221" w:line="228" w:lineRule="auto"/>
        <w:ind w:left="476"/>
        <w:outlineLvl w:val="1"/>
        <w:rPr>
          <w:rFonts w:ascii="宋体" w:eastAsia="宋体" w:hAnsi="宋体" w:cs="宋体"/>
          <w:sz w:val="20"/>
          <w:szCs w:val="20"/>
        </w:rPr>
      </w:pPr>
      <w:r>
        <w:rPr>
          <w:rFonts w:ascii="宋体" w:eastAsia="宋体" w:hAnsi="宋体" w:cs="宋体"/>
          <w:spacing w:val="5"/>
          <w:sz w:val="20"/>
          <w:szCs w:val="20"/>
        </w:rPr>
        <w:t>(六) 合并财务报表的编制方法</w:t>
      </w:r>
    </w:p>
    <w:p>
      <w:pPr>
        <w:spacing w:before="221" w:line="432" w:lineRule="auto"/>
        <w:ind w:left="20" w:right="1537" w:firstLine="419"/>
        <w:jc w:val="both"/>
        <w:rPr>
          <w:rFonts w:ascii="宋体" w:eastAsia="宋体" w:hAnsi="宋体" w:cs="宋体"/>
          <w:sz w:val="20"/>
          <w:szCs w:val="20"/>
        </w:rPr>
      </w:pPr>
      <w:r>
        <w:rPr>
          <w:rFonts w:ascii="宋体" w:eastAsia="宋体" w:hAnsi="宋体" w:cs="宋体"/>
          <w:spacing w:val="7"/>
          <w:sz w:val="20"/>
          <w:szCs w:val="20"/>
        </w:rPr>
        <w:t>母公司将其控制的所有子公司纳入合并财务报表的合并范围。合并财务报表以母公司及</w:t>
      </w:r>
      <w:r>
        <w:rPr>
          <w:rFonts w:ascii="宋体" w:eastAsia="宋体" w:hAnsi="宋体" w:cs="宋体"/>
          <w:spacing w:val="16"/>
          <w:sz w:val="20"/>
          <w:szCs w:val="20"/>
        </w:rPr>
        <w:t xml:space="preserve"> </w:t>
      </w:r>
      <w:r>
        <w:rPr>
          <w:rFonts w:ascii="宋体" w:eastAsia="宋体" w:hAnsi="宋体" w:cs="宋体"/>
          <w:spacing w:val="9"/>
          <w:sz w:val="20"/>
          <w:szCs w:val="20"/>
        </w:rPr>
        <w:t>其子公司的财务报表为基础，根据其他有关资料由母公司按照《企业会计准则第</w:t>
      </w:r>
      <w:r>
        <w:rPr>
          <w:rFonts w:ascii="宋体" w:eastAsia="宋体" w:hAnsi="宋体" w:cs="宋体"/>
          <w:spacing w:val="-24"/>
          <w:sz w:val="20"/>
          <w:szCs w:val="20"/>
        </w:rPr>
        <w:t xml:space="preserve"> </w:t>
      </w:r>
      <w:r>
        <w:rPr>
          <w:rFonts w:ascii="宋体" w:eastAsia="宋体" w:hAnsi="宋体" w:cs="宋体"/>
          <w:spacing w:val="9"/>
          <w:sz w:val="20"/>
          <w:szCs w:val="20"/>
        </w:rPr>
        <w:t>33</w:t>
      </w:r>
      <w:r>
        <w:rPr>
          <w:rFonts w:ascii="宋体" w:eastAsia="宋体" w:hAnsi="宋体" w:cs="宋体"/>
          <w:spacing w:val="-35"/>
          <w:sz w:val="20"/>
          <w:szCs w:val="20"/>
        </w:rPr>
        <w:t xml:space="preserve"> </w:t>
      </w:r>
      <w:r>
        <w:rPr>
          <w:rFonts w:ascii="宋体" w:eastAsia="宋体" w:hAnsi="宋体" w:cs="宋体"/>
          <w:spacing w:val="9"/>
          <w:sz w:val="20"/>
          <w:szCs w:val="20"/>
        </w:rPr>
        <w:t>号——</w:t>
      </w:r>
    </w:p>
    <w:p>
      <w:pPr>
        <w:spacing w:before="1" w:line="227" w:lineRule="auto"/>
        <w:ind w:left="20"/>
        <w:rPr>
          <w:rFonts w:ascii="宋体" w:eastAsia="宋体" w:hAnsi="宋体" w:cs="宋体"/>
          <w:sz w:val="20"/>
          <w:szCs w:val="20"/>
        </w:rPr>
      </w:pPr>
      <w:r>
        <w:rPr>
          <w:rFonts w:ascii="宋体" w:eastAsia="宋体" w:hAnsi="宋体" w:cs="宋体"/>
          <w:spacing w:val="7"/>
          <w:sz w:val="20"/>
          <w:szCs w:val="20"/>
        </w:rPr>
        <w:t>合并财务报表》编制。</w:t>
      </w:r>
    </w:p>
    <w:p>
      <w:pPr>
        <w:spacing w:before="221" w:line="226" w:lineRule="auto"/>
        <w:ind w:left="476"/>
        <w:outlineLvl w:val="1"/>
        <w:rPr>
          <w:rFonts w:ascii="宋体" w:eastAsia="宋体" w:hAnsi="宋体" w:cs="宋体"/>
          <w:sz w:val="20"/>
          <w:szCs w:val="20"/>
        </w:rPr>
      </w:pPr>
      <w:r>
        <w:rPr>
          <w:rFonts w:ascii="宋体" w:eastAsia="宋体" w:hAnsi="宋体" w:cs="宋体"/>
          <w:spacing w:val="6"/>
          <w:sz w:val="20"/>
          <w:szCs w:val="20"/>
        </w:rPr>
        <w:t>(七) 现金及现金等价物的确定标准</w:t>
      </w:r>
    </w:p>
    <w:p>
      <w:pPr>
        <w:spacing w:before="223" w:line="468" w:lineRule="exact"/>
        <w:ind w:left="444"/>
        <w:rPr>
          <w:rFonts w:ascii="宋体" w:eastAsia="宋体" w:hAnsi="宋体" w:cs="宋体"/>
          <w:sz w:val="20"/>
          <w:szCs w:val="20"/>
        </w:rPr>
      </w:pPr>
      <w:r>
        <w:rPr>
          <w:rFonts w:ascii="宋体" w:eastAsia="宋体" w:hAnsi="宋体" w:cs="宋体"/>
          <w:spacing w:val="7"/>
          <w:position w:val="20"/>
          <w:sz w:val="20"/>
          <w:szCs w:val="20"/>
        </w:rPr>
        <w:t>列示于现金流量表中的现金是指库存现金以及可以随时用于支付的存款。现金等价物是</w:t>
      </w:r>
    </w:p>
    <w:p>
      <w:pPr>
        <w:spacing w:line="226" w:lineRule="auto"/>
        <w:ind w:left="22"/>
        <w:rPr>
          <w:rFonts w:ascii="宋体" w:eastAsia="宋体" w:hAnsi="宋体" w:cs="宋体"/>
          <w:sz w:val="20"/>
          <w:szCs w:val="20"/>
        </w:rPr>
      </w:pPr>
      <w:r>
        <w:rPr>
          <w:rFonts w:ascii="宋体" w:eastAsia="宋体" w:hAnsi="宋体" w:cs="宋体"/>
          <w:spacing w:val="9"/>
          <w:sz w:val="20"/>
          <w:szCs w:val="20"/>
        </w:rPr>
        <w:t>指企业持有的期限短、流动性强、易于转换为已知金额现金、价值变动风险很小的投资。</w:t>
      </w:r>
    </w:p>
    <w:p>
      <w:pPr>
        <w:spacing w:before="223" w:line="227" w:lineRule="auto"/>
        <w:ind w:left="476"/>
        <w:outlineLvl w:val="1"/>
        <w:rPr>
          <w:rFonts w:ascii="宋体" w:eastAsia="宋体" w:hAnsi="宋体" w:cs="宋体"/>
          <w:sz w:val="20"/>
          <w:szCs w:val="20"/>
        </w:rPr>
      </w:pPr>
      <w:r>
        <w:rPr>
          <w:rFonts w:ascii="宋体" w:eastAsia="宋体" w:hAnsi="宋体" w:cs="宋体"/>
          <w:spacing w:val="-1"/>
          <w:sz w:val="20"/>
          <w:szCs w:val="20"/>
        </w:rPr>
        <w:t>(八)</w:t>
      </w:r>
      <w:r>
        <w:rPr>
          <w:rFonts w:ascii="宋体" w:eastAsia="宋体" w:hAnsi="宋体" w:cs="宋体"/>
          <w:spacing w:val="22"/>
          <w:sz w:val="20"/>
          <w:szCs w:val="20"/>
        </w:rPr>
        <w:t xml:space="preserve"> </w:t>
      </w:r>
      <w:r>
        <w:rPr>
          <w:rFonts w:ascii="宋体" w:eastAsia="宋体" w:hAnsi="宋体" w:cs="宋体"/>
          <w:spacing w:val="-1"/>
          <w:sz w:val="20"/>
          <w:szCs w:val="20"/>
        </w:rPr>
        <w:t>外币业务</w:t>
      </w:r>
    </w:p>
    <w:p>
      <w:pPr>
        <w:spacing w:before="222" w:line="227" w:lineRule="auto"/>
        <w:ind w:left="444"/>
        <w:outlineLvl w:val="2"/>
        <w:rPr>
          <w:rFonts w:ascii="宋体" w:eastAsia="宋体" w:hAnsi="宋体" w:cs="宋体"/>
          <w:sz w:val="20"/>
          <w:szCs w:val="20"/>
        </w:rPr>
      </w:pPr>
      <w:r>
        <w:rPr>
          <w:rFonts w:ascii="宋体" w:eastAsia="宋体" w:hAnsi="宋体" w:cs="宋体"/>
          <w:spacing w:val="7"/>
          <w:sz w:val="20"/>
          <w:szCs w:val="20"/>
        </w:rPr>
        <w:t>外币业务折算</w:t>
      </w:r>
    </w:p>
    <w:p>
      <w:pPr>
        <w:spacing w:before="223" w:line="432" w:lineRule="auto"/>
        <w:ind w:left="21" w:right="1381" w:firstLine="422"/>
        <w:rPr>
          <w:rFonts w:ascii="宋体" w:eastAsia="宋体" w:hAnsi="宋体" w:cs="宋体"/>
          <w:sz w:val="20"/>
          <w:szCs w:val="20"/>
        </w:rPr>
      </w:pPr>
      <w:r>
        <w:rPr>
          <w:rFonts w:ascii="宋体" w:eastAsia="宋体" w:hAnsi="宋体" w:cs="宋体"/>
          <w:spacing w:val="6"/>
          <w:sz w:val="20"/>
          <w:szCs w:val="20"/>
        </w:rPr>
        <w:t xml:space="preserve">外币交易在初始确认时，采用交易发生日即期汇率的近似汇率折算为人民币金额。资产  </w:t>
      </w:r>
      <w:r>
        <w:rPr>
          <w:rFonts w:ascii="宋体" w:eastAsia="宋体" w:hAnsi="宋体" w:cs="宋体"/>
          <w:spacing w:val="5"/>
          <w:sz w:val="20"/>
          <w:szCs w:val="20"/>
        </w:rPr>
        <w:t>负债表日，外币货币性项目采用资产负债表日即期汇率折算，因汇率不同而产生的汇兑差额，</w:t>
      </w:r>
      <w:r>
        <w:rPr>
          <w:rFonts w:ascii="宋体" w:eastAsia="宋体" w:hAnsi="宋体" w:cs="宋体"/>
          <w:spacing w:val="15"/>
          <w:sz w:val="20"/>
          <w:szCs w:val="20"/>
        </w:rPr>
        <w:t xml:space="preserve"> </w:t>
      </w:r>
      <w:r>
        <w:rPr>
          <w:rFonts w:ascii="宋体" w:eastAsia="宋体" w:hAnsi="宋体" w:cs="宋体"/>
          <w:spacing w:val="6"/>
          <w:sz w:val="20"/>
          <w:szCs w:val="20"/>
        </w:rPr>
        <w:t>除与购建符合资本化条件资产有关的外币专门借款本金及利息的汇兑差额外，计入当期损益；</w:t>
      </w:r>
      <w:r>
        <w:rPr>
          <w:rFonts w:ascii="宋体" w:eastAsia="宋体" w:hAnsi="宋体" w:cs="宋体"/>
          <w:spacing w:val="9"/>
          <w:sz w:val="20"/>
          <w:szCs w:val="20"/>
        </w:rPr>
        <w:t xml:space="preserve"> </w:t>
      </w:r>
      <w:r>
        <w:rPr>
          <w:rFonts w:ascii="宋体" w:eastAsia="宋体" w:hAnsi="宋体" w:cs="宋体"/>
          <w:spacing w:val="7"/>
          <w:sz w:val="20"/>
          <w:szCs w:val="20"/>
        </w:rPr>
        <w:t>以历史成本计量的外币非货币性项目仍采用交易发生</w:t>
      </w:r>
      <w:r>
        <w:rPr>
          <w:rFonts w:ascii="宋体" w:eastAsia="宋体" w:hAnsi="宋体" w:cs="宋体"/>
          <w:spacing w:val="6"/>
          <w:sz w:val="20"/>
          <w:szCs w:val="20"/>
        </w:rPr>
        <w:t xml:space="preserve">日即期汇率的近似汇率折算，不改变其  </w:t>
      </w:r>
      <w:r>
        <w:rPr>
          <w:rFonts w:ascii="宋体" w:eastAsia="宋体" w:hAnsi="宋体" w:cs="宋体"/>
          <w:spacing w:val="8"/>
          <w:sz w:val="20"/>
          <w:szCs w:val="20"/>
        </w:rPr>
        <w:t>人民币金额；</w:t>
      </w:r>
      <w:r>
        <w:rPr>
          <w:rFonts w:ascii="宋体" w:eastAsia="宋体" w:hAnsi="宋体" w:cs="宋体"/>
          <w:spacing w:val="-43"/>
          <w:sz w:val="20"/>
          <w:szCs w:val="20"/>
        </w:rPr>
        <w:t xml:space="preserve"> </w:t>
      </w:r>
      <w:r>
        <w:rPr>
          <w:rFonts w:ascii="宋体" w:eastAsia="宋体" w:hAnsi="宋体" w:cs="宋体"/>
          <w:spacing w:val="8"/>
          <w:sz w:val="20"/>
          <w:szCs w:val="20"/>
        </w:rPr>
        <w:t>以公允价值计量的外币非货币性项目，采用公允价值确定日的即期汇率折算，</w:t>
      </w:r>
    </w:p>
    <w:p>
      <w:pPr>
        <w:spacing w:line="227" w:lineRule="auto"/>
        <w:ind w:left="22"/>
        <w:rPr>
          <w:rFonts w:ascii="宋体" w:eastAsia="宋体" w:hAnsi="宋体" w:cs="宋体"/>
          <w:sz w:val="20"/>
          <w:szCs w:val="20"/>
        </w:rPr>
      </w:pPr>
      <w:r>
        <w:rPr>
          <w:rFonts w:ascii="宋体" w:eastAsia="宋体" w:hAnsi="宋体" w:cs="宋体"/>
          <w:spacing w:val="8"/>
          <w:sz w:val="20"/>
          <w:szCs w:val="20"/>
        </w:rPr>
        <w:t>差额计入当期损益或其他综合收益。</w:t>
      </w:r>
    </w:p>
    <w:p>
      <w:pPr>
        <w:spacing w:before="254" w:line="219" w:lineRule="auto"/>
        <w:ind w:left="3409"/>
        <w:rPr>
          <w:rFonts w:ascii="宋体" w:eastAsia="宋体" w:hAnsi="宋体" w:cs="宋体"/>
          <w:sz w:val="18"/>
          <w:szCs w:val="18"/>
        </w:rPr>
      </w:pPr>
      <w:r>
        <w:rPr>
          <w:rFonts w:ascii="宋体" w:eastAsia="宋体" w:hAnsi="宋体" w:cs="宋体"/>
          <w:spacing w:val="-6"/>
          <w:sz w:val="18"/>
          <w:szCs w:val="18"/>
        </w:rPr>
        <w:t>第</w:t>
      </w:r>
      <w:r>
        <w:rPr>
          <w:rFonts w:ascii="宋体" w:eastAsia="宋体" w:hAnsi="宋体" w:cs="宋体"/>
          <w:spacing w:val="23"/>
          <w:w w:val="101"/>
          <w:sz w:val="18"/>
          <w:szCs w:val="18"/>
        </w:rPr>
        <w:t xml:space="preserve"> </w:t>
      </w:r>
      <w:r>
        <w:rPr>
          <w:rFonts w:ascii="宋体" w:eastAsia="宋体" w:hAnsi="宋体" w:cs="宋体"/>
          <w:spacing w:val="-6"/>
          <w:sz w:val="18"/>
          <w:szCs w:val="18"/>
        </w:rPr>
        <w:t>13</w:t>
      </w:r>
      <w:r>
        <w:rPr>
          <w:rFonts w:ascii="宋体" w:eastAsia="宋体" w:hAnsi="宋体" w:cs="宋体"/>
          <w:spacing w:val="11"/>
          <w:sz w:val="18"/>
          <w:szCs w:val="18"/>
        </w:rPr>
        <w:t xml:space="preserve"> </w:t>
      </w:r>
      <w:r>
        <w:rPr>
          <w:rFonts w:ascii="宋体" w:eastAsia="宋体" w:hAnsi="宋体" w:cs="宋体"/>
          <w:spacing w:val="-6"/>
          <w:sz w:val="18"/>
          <w:szCs w:val="18"/>
        </w:rPr>
        <w:t>页 共</w:t>
      </w:r>
      <w:r>
        <w:rPr>
          <w:rFonts w:ascii="宋体" w:eastAsia="宋体" w:hAnsi="宋体" w:cs="宋体"/>
          <w:spacing w:val="12"/>
          <w:sz w:val="18"/>
          <w:szCs w:val="18"/>
        </w:rPr>
        <w:t xml:space="preserve"> </w:t>
      </w:r>
      <w:r>
        <w:rPr>
          <w:rFonts w:ascii="宋体" w:eastAsia="宋体" w:hAnsi="宋体" w:cs="宋体"/>
          <w:spacing w:val="-6"/>
          <w:sz w:val="18"/>
          <w:szCs w:val="18"/>
        </w:rPr>
        <w:t>59</w:t>
      </w:r>
      <w:r>
        <w:rPr>
          <w:rFonts w:ascii="宋体" w:eastAsia="宋体" w:hAnsi="宋体" w:cs="宋体"/>
          <w:spacing w:val="9"/>
          <w:sz w:val="18"/>
          <w:szCs w:val="18"/>
        </w:rPr>
        <w:t xml:space="preserve"> </w:t>
      </w:r>
      <w:r>
        <w:rPr>
          <w:rFonts w:ascii="宋体" w:eastAsia="宋体" w:hAnsi="宋体" w:cs="宋体"/>
          <w:spacing w:val="-6"/>
          <w:sz w:val="18"/>
          <w:szCs w:val="18"/>
        </w:rPr>
        <w:t>页</w:t>
      </w:r>
    </w:p>
    <w:p>
      <w:pPr>
        <w:spacing w:line="219" w:lineRule="auto"/>
        <w:rPr>
          <w:rFonts w:ascii="宋体" w:eastAsia="宋体" w:hAnsi="宋体" w:cs="宋体"/>
          <w:sz w:val="18"/>
          <w:szCs w:val="18"/>
        </w:rPr>
        <w:sectPr>
          <w:headerReference w:type="default" r:id="rId35"/>
          <w:footerReference w:type="default" r:id="rId36"/>
          <w:pgSz w:w="11906" w:h="16839"/>
          <w:pgMar w:top="400" w:right="259" w:bottom="400" w:left="1785" w:header="0" w:footer="0" w:gutter="0"/>
          <w:pgNumType w:start="14"/>
          <w:cols w:num="1" w:space="720"/>
        </w:sectPr>
      </w:pPr>
    </w:p>
    <w:p>
      <w:pPr>
        <w:spacing w:line="274" w:lineRule="auto"/>
      </w:pPr>
    </w:p>
    <w:p>
      <w:pPr>
        <w:spacing w:line="274" w:lineRule="auto"/>
      </w:pPr>
    </w:p>
    <w:p>
      <w:pPr>
        <w:spacing w:line="274" w:lineRule="auto"/>
      </w:pPr>
    </w:p>
    <w:p>
      <w:pPr>
        <w:spacing w:line="274" w:lineRule="auto"/>
      </w:pPr>
    </w:p>
    <w:p>
      <w:pPr>
        <w:spacing w:before="65" w:line="229" w:lineRule="auto"/>
        <w:ind w:left="476"/>
        <w:outlineLvl w:val="1"/>
        <w:rPr>
          <w:rFonts w:ascii="宋体" w:eastAsia="宋体" w:hAnsi="宋体" w:cs="宋体"/>
          <w:sz w:val="20"/>
          <w:szCs w:val="20"/>
        </w:rPr>
      </w:pPr>
      <w:r>
        <w:rPr>
          <w:rFonts w:ascii="宋体" w:eastAsia="宋体" w:hAnsi="宋体" w:cs="宋体"/>
          <w:sz w:val="20"/>
          <w:szCs w:val="20"/>
        </w:rPr>
        <w:t>(九)</w:t>
      </w:r>
      <w:r>
        <w:rPr>
          <w:rFonts w:ascii="宋体" w:eastAsia="宋体" w:hAnsi="宋体" w:cs="宋体"/>
          <w:spacing w:val="15"/>
          <w:sz w:val="20"/>
          <w:szCs w:val="20"/>
        </w:rPr>
        <w:t xml:space="preserve"> </w:t>
      </w:r>
      <w:r>
        <w:rPr>
          <w:rFonts w:ascii="宋体" w:eastAsia="宋体" w:hAnsi="宋体" w:cs="宋体"/>
          <w:sz w:val="20"/>
          <w:szCs w:val="20"/>
        </w:rPr>
        <w:t>金融工具</w:t>
      </w:r>
    </w:p>
    <w:p>
      <w:pPr>
        <w:spacing w:before="219" w:line="228" w:lineRule="auto"/>
        <w:ind w:left="455"/>
        <w:outlineLvl w:val="2"/>
        <w:rPr>
          <w:rFonts w:ascii="宋体" w:eastAsia="宋体" w:hAnsi="宋体" w:cs="宋体"/>
          <w:sz w:val="20"/>
          <w:szCs w:val="20"/>
        </w:rPr>
      </w:pPr>
      <w:r>
        <w:rPr>
          <w:rFonts w:ascii="宋体" w:eastAsia="宋体" w:hAnsi="宋体" w:cs="宋体"/>
          <w:spacing w:val="7"/>
          <w:sz w:val="20"/>
          <w:szCs w:val="20"/>
        </w:rPr>
        <w:t>1. 金融资产和金融负债的分类</w:t>
      </w:r>
    </w:p>
    <w:p>
      <w:pPr>
        <w:spacing w:before="221" w:line="432" w:lineRule="auto"/>
        <w:ind w:left="20" w:right="1537" w:firstLine="420"/>
        <w:jc w:val="both"/>
        <w:rPr>
          <w:rFonts w:ascii="宋体" w:eastAsia="宋体" w:hAnsi="宋体" w:cs="宋体"/>
          <w:sz w:val="20"/>
          <w:szCs w:val="20"/>
        </w:rPr>
      </w:pPr>
      <w:r>
        <w:rPr>
          <w:rFonts w:ascii="宋体" w:eastAsia="宋体" w:hAnsi="宋体" w:cs="宋体"/>
          <w:spacing w:val="5"/>
          <w:sz w:val="20"/>
          <w:szCs w:val="20"/>
        </w:rPr>
        <w:t>金融资产在初始确认时划分为以下三类：(1)</w:t>
      </w:r>
      <w:r>
        <w:rPr>
          <w:rFonts w:ascii="宋体" w:eastAsia="宋体" w:hAnsi="宋体" w:cs="宋体"/>
          <w:spacing w:val="44"/>
          <w:sz w:val="20"/>
          <w:szCs w:val="20"/>
        </w:rPr>
        <w:t xml:space="preserve"> </w:t>
      </w:r>
      <w:r>
        <w:rPr>
          <w:rFonts w:ascii="宋体" w:eastAsia="宋体" w:hAnsi="宋体" w:cs="宋体"/>
          <w:spacing w:val="5"/>
          <w:sz w:val="20"/>
          <w:szCs w:val="20"/>
        </w:rPr>
        <w:t>以摊余成本计量的金融资产；(2)</w:t>
      </w:r>
      <w:r>
        <w:rPr>
          <w:rFonts w:ascii="宋体" w:eastAsia="宋体" w:hAnsi="宋体" w:cs="宋体"/>
          <w:spacing w:val="36"/>
          <w:sz w:val="20"/>
          <w:szCs w:val="20"/>
        </w:rPr>
        <w:t xml:space="preserve"> </w:t>
      </w:r>
      <w:r>
        <w:rPr>
          <w:rFonts w:ascii="宋体" w:eastAsia="宋体" w:hAnsi="宋体" w:cs="宋体"/>
          <w:spacing w:val="5"/>
          <w:sz w:val="20"/>
          <w:szCs w:val="20"/>
        </w:rPr>
        <w:t>以公允</w:t>
      </w:r>
      <w:r>
        <w:rPr>
          <w:rFonts w:ascii="宋体" w:eastAsia="宋体" w:hAnsi="宋体" w:cs="宋体"/>
          <w:sz w:val="20"/>
          <w:szCs w:val="20"/>
        </w:rPr>
        <w:t xml:space="preserve"> </w:t>
      </w:r>
      <w:r>
        <w:rPr>
          <w:rFonts w:ascii="宋体" w:eastAsia="宋体" w:hAnsi="宋体" w:cs="宋体"/>
          <w:spacing w:val="6"/>
          <w:sz w:val="20"/>
          <w:szCs w:val="20"/>
        </w:rPr>
        <w:t>价值计量且其变动计入其他综合收益的金融资产；(3)</w:t>
      </w:r>
      <w:r>
        <w:rPr>
          <w:rFonts w:ascii="宋体" w:eastAsia="宋体" w:hAnsi="宋体" w:cs="宋体"/>
          <w:spacing w:val="52"/>
          <w:sz w:val="20"/>
          <w:szCs w:val="20"/>
        </w:rPr>
        <w:t xml:space="preserve"> </w:t>
      </w:r>
      <w:r>
        <w:rPr>
          <w:rFonts w:ascii="宋体" w:eastAsia="宋体" w:hAnsi="宋体" w:cs="宋体"/>
          <w:spacing w:val="6"/>
          <w:sz w:val="20"/>
          <w:szCs w:val="20"/>
        </w:rPr>
        <w:t>以公允价值计量且其变动计入当期损</w:t>
      </w:r>
    </w:p>
    <w:p>
      <w:pPr>
        <w:spacing w:line="227" w:lineRule="auto"/>
        <w:ind w:left="21"/>
        <w:rPr>
          <w:rFonts w:ascii="宋体" w:eastAsia="宋体" w:hAnsi="宋体" w:cs="宋体"/>
          <w:sz w:val="20"/>
          <w:szCs w:val="20"/>
        </w:rPr>
      </w:pPr>
      <w:r>
        <w:rPr>
          <w:rFonts w:ascii="宋体" w:eastAsia="宋体" w:hAnsi="宋体" w:cs="宋体"/>
          <w:spacing w:val="6"/>
          <w:sz w:val="20"/>
          <w:szCs w:val="20"/>
        </w:rPr>
        <w:t>益的金融资产。</w:t>
      </w:r>
    </w:p>
    <w:p>
      <w:pPr>
        <w:spacing w:before="221" w:line="432" w:lineRule="auto"/>
        <w:ind w:left="21" w:right="1537" w:firstLine="420"/>
        <w:jc w:val="both"/>
        <w:rPr>
          <w:rFonts w:ascii="宋体" w:eastAsia="宋体" w:hAnsi="宋体" w:cs="宋体"/>
          <w:sz w:val="20"/>
          <w:szCs w:val="20"/>
        </w:rPr>
      </w:pPr>
      <w:r>
        <w:rPr>
          <w:rFonts w:ascii="宋体" w:eastAsia="宋体" w:hAnsi="宋体" w:cs="宋体"/>
          <w:spacing w:val="6"/>
          <w:sz w:val="20"/>
          <w:szCs w:val="20"/>
        </w:rPr>
        <w:t>金融负债在初始确认时划分为以下四类：(1)</w:t>
      </w:r>
      <w:r>
        <w:rPr>
          <w:rFonts w:ascii="宋体" w:eastAsia="宋体" w:hAnsi="宋体" w:cs="宋体"/>
          <w:spacing w:val="44"/>
          <w:sz w:val="20"/>
          <w:szCs w:val="20"/>
        </w:rPr>
        <w:t xml:space="preserve"> </w:t>
      </w:r>
      <w:r>
        <w:rPr>
          <w:rFonts w:ascii="宋体" w:eastAsia="宋体" w:hAnsi="宋体" w:cs="宋体"/>
          <w:spacing w:val="6"/>
          <w:sz w:val="20"/>
          <w:szCs w:val="20"/>
        </w:rPr>
        <w:t>以公允价值计量且其变动计入当期损益的</w:t>
      </w:r>
      <w:r>
        <w:rPr>
          <w:rFonts w:ascii="宋体" w:eastAsia="宋体" w:hAnsi="宋体" w:cs="宋体"/>
          <w:sz w:val="20"/>
          <w:szCs w:val="20"/>
        </w:rPr>
        <w:t xml:space="preserve"> </w:t>
      </w:r>
      <w:r>
        <w:rPr>
          <w:rFonts w:ascii="宋体" w:eastAsia="宋体" w:hAnsi="宋体" w:cs="宋体"/>
          <w:spacing w:val="7"/>
          <w:sz w:val="20"/>
          <w:szCs w:val="20"/>
        </w:rPr>
        <w:t>金融负债；(2) 金融资产转移不符合终止确认条件或继续涉入被转移金融资产所形成的金融</w:t>
      </w:r>
      <w:r>
        <w:rPr>
          <w:rFonts w:ascii="宋体" w:eastAsia="宋体" w:hAnsi="宋体" w:cs="宋体"/>
          <w:spacing w:val="6"/>
          <w:sz w:val="20"/>
          <w:szCs w:val="20"/>
        </w:rPr>
        <w:t xml:space="preserve"> </w:t>
      </w:r>
      <w:r>
        <w:rPr>
          <w:rFonts w:ascii="宋体" w:eastAsia="宋体" w:hAnsi="宋体" w:cs="宋体"/>
          <w:spacing w:val="7"/>
          <w:sz w:val="20"/>
          <w:szCs w:val="20"/>
        </w:rPr>
        <w:t>负债；</w:t>
      </w:r>
      <w:r>
        <w:rPr>
          <w:rFonts w:ascii="宋体" w:eastAsia="宋体" w:hAnsi="宋体" w:cs="宋体"/>
          <w:spacing w:val="-45"/>
          <w:sz w:val="20"/>
          <w:szCs w:val="20"/>
        </w:rPr>
        <w:t xml:space="preserve"> </w:t>
      </w:r>
      <w:r>
        <w:rPr>
          <w:rFonts w:ascii="宋体" w:eastAsia="宋体" w:hAnsi="宋体" w:cs="宋体"/>
          <w:spacing w:val="7"/>
          <w:sz w:val="20"/>
          <w:szCs w:val="20"/>
        </w:rPr>
        <w:t>(3) 不属于上述(1)或(2)的财务担保合同，</w:t>
      </w:r>
      <w:r>
        <w:rPr>
          <w:rFonts w:ascii="宋体" w:eastAsia="宋体" w:hAnsi="宋体" w:cs="宋体"/>
          <w:spacing w:val="-59"/>
          <w:sz w:val="20"/>
          <w:szCs w:val="20"/>
        </w:rPr>
        <w:t xml:space="preserve"> </w:t>
      </w:r>
      <w:r>
        <w:rPr>
          <w:rFonts w:ascii="宋体" w:eastAsia="宋体" w:hAnsi="宋体" w:cs="宋体"/>
          <w:spacing w:val="7"/>
          <w:sz w:val="20"/>
          <w:szCs w:val="20"/>
        </w:rPr>
        <w:t>以</w:t>
      </w:r>
      <w:r>
        <w:rPr>
          <w:rFonts w:ascii="宋体" w:eastAsia="宋体" w:hAnsi="宋体" w:cs="宋体"/>
          <w:spacing w:val="6"/>
          <w:sz w:val="20"/>
          <w:szCs w:val="20"/>
        </w:rPr>
        <w:t>及不属于上述(1)并以低于市场利率贷</w:t>
      </w:r>
    </w:p>
    <w:p>
      <w:pPr>
        <w:spacing w:before="1" w:line="226" w:lineRule="auto"/>
        <w:ind w:left="20"/>
        <w:rPr>
          <w:rFonts w:ascii="宋体" w:eastAsia="宋体" w:hAnsi="宋体" w:cs="宋体"/>
          <w:sz w:val="20"/>
          <w:szCs w:val="20"/>
        </w:rPr>
      </w:pPr>
      <w:r>
        <w:rPr>
          <w:rFonts w:ascii="宋体" w:eastAsia="宋体" w:hAnsi="宋体" w:cs="宋体"/>
          <w:spacing w:val="4"/>
          <w:sz w:val="20"/>
          <w:szCs w:val="20"/>
        </w:rPr>
        <w:t>款的贷款承诺；</w:t>
      </w:r>
      <w:r>
        <w:rPr>
          <w:rFonts w:ascii="宋体" w:eastAsia="宋体" w:hAnsi="宋体" w:cs="宋体"/>
          <w:spacing w:val="-32"/>
          <w:sz w:val="20"/>
          <w:szCs w:val="20"/>
        </w:rPr>
        <w:t xml:space="preserve"> </w:t>
      </w:r>
      <w:r>
        <w:rPr>
          <w:rFonts w:ascii="宋体" w:eastAsia="宋体" w:hAnsi="宋体" w:cs="宋体"/>
          <w:spacing w:val="4"/>
          <w:sz w:val="20"/>
          <w:szCs w:val="20"/>
        </w:rPr>
        <w:t>(4)</w:t>
      </w:r>
      <w:r>
        <w:rPr>
          <w:rFonts w:ascii="宋体" w:eastAsia="宋体" w:hAnsi="宋体" w:cs="宋体"/>
          <w:spacing w:val="36"/>
          <w:sz w:val="20"/>
          <w:szCs w:val="20"/>
        </w:rPr>
        <w:t xml:space="preserve"> </w:t>
      </w:r>
      <w:r>
        <w:rPr>
          <w:rFonts w:ascii="宋体" w:eastAsia="宋体" w:hAnsi="宋体" w:cs="宋体"/>
          <w:spacing w:val="4"/>
          <w:sz w:val="20"/>
          <w:szCs w:val="20"/>
        </w:rPr>
        <w:t>以摊余成本计量的金融负债。</w:t>
      </w:r>
    </w:p>
    <w:p>
      <w:pPr>
        <w:spacing w:before="222" w:line="227" w:lineRule="auto"/>
        <w:ind w:left="442"/>
        <w:outlineLvl w:val="2"/>
        <w:rPr>
          <w:rFonts w:ascii="宋体" w:eastAsia="宋体" w:hAnsi="宋体" w:cs="宋体"/>
          <w:sz w:val="20"/>
          <w:szCs w:val="20"/>
        </w:rPr>
      </w:pPr>
      <w:r>
        <w:rPr>
          <w:rFonts w:ascii="宋体" w:eastAsia="宋体" w:hAnsi="宋体" w:cs="宋体"/>
          <w:spacing w:val="9"/>
          <w:sz w:val="20"/>
          <w:szCs w:val="20"/>
        </w:rPr>
        <w:t>2. 金融资产和金融负债的确认依据、计量方法和终止确认条件</w:t>
      </w:r>
    </w:p>
    <w:p>
      <w:pPr>
        <w:spacing w:before="223" w:line="227" w:lineRule="auto"/>
        <w:ind w:left="476"/>
        <w:outlineLvl w:val="3"/>
        <w:rPr>
          <w:rFonts w:ascii="宋体" w:eastAsia="宋体" w:hAnsi="宋体" w:cs="宋体"/>
          <w:sz w:val="20"/>
          <w:szCs w:val="20"/>
        </w:rPr>
      </w:pPr>
      <w:r>
        <w:rPr>
          <w:rFonts w:ascii="宋体" w:eastAsia="宋体" w:hAnsi="宋体" w:cs="宋体"/>
          <w:spacing w:val="7"/>
          <w:sz w:val="20"/>
          <w:szCs w:val="20"/>
        </w:rPr>
        <w:t>(1) 金融资产和金融负债的确认依据和初始计量方法</w:t>
      </w:r>
    </w:p>
    <w:p>
      <w:pPr>
        <w:spacing w:before="222" w:line="432" w:lineRule="auto"/>
        <w:ind w:left="19" w:right="1537" w:firstLine="426"/>
        <w:jc w:val="both"/>
        <w:rPr>
          <w:rFonts w:ascii="宋体" w:eastAsia="宋体" w:hAnsi="宋体" w:cs="宋体"/>
          <w:sz w:val="20"/>
          <w:szCs w:val="20"/>
        </w:rPr>
      </w:pPr>
      <w:r>
        <w:rPr>
          <w:rFonts w:ascii="宋体" w:eastAsia="宋体" w:hAnsi="宋体" w:cs="宋体"/>
          <w:spacing w:val="7"/>
          <w:sz w:val="20"/>
          <w:szCs w:val="20"/>
        </w:rPr>
        <w:t>公司成为金融工具合同的一方时，确认一项金融资产或金融负债。初始确认金融资产或</w:t>
      </w:r>
      <w:r>
        <w:rPr>
          <w:rFonts w:ascii="宋体" w:eastAsia="宋体" w:hAnsi="宋体" w:cs="宋体"/>
          <w:spacing w:val="9"/>
          <w:sz w:val="20"/>
          <w:szCs w:val="20"/>
        </w:rPr>
        <w:t xml:space="preserve"> </w:t>
      </w:r>
      <w:r>
        <w:rPr>
          <w:rFonts w:ascii="宋体" w:eastAsia="宋体" w:hAnsi="宋体" w:cs="宋体"/>
          <w:spacing w:val="8"/>
          <w:sz w:val="20"/>
          <w:szCs w:val="20"/>
        </w:rPr>
        <w:t>金融负债时，按照公允价值计量；对于以公允价值</w:t>
      </w:r>
      <w:r>
        <w:rPr>
          <w:rFonts w:ascii="宋体" w:eastAsia="宋体" w:hAnsi="宋体" w:cs="宋体"/>
          <w:spacing w:val="7"/>
          <w:sz w:val="20"/>
          <w:szCs w:val="20"/>
        </w:rPr>
        <w:t>计量且其变动计入当期损益的金融资产和</w:t>
      </w:r>
      <w:r>
        <w:rPr>
          <w:rFonts w:ascii="宋体" w:eastAsia="宋体" w:hAnsi="宋体" w:cs="宋体"/>
          <w:sz w:val="20"/>
          <w:szCs w:val="20"/>
        </w:rPr>
        <w:t xml:space="preserve"> </w:t>
      </w:r>
      <w:r>
        <w:rPr>
          <w:rFonts w:ascii="宋体" w:eastAsia="宋体" w:hAnsi="宋体" w:cs="宋体"/>
          <w:spacing w:val="8"/>
          <w:sz w:val="20"/>
          <w:szCs w:val="20"/>
        </w:rPr>
        <w:t>金融负债，相关交易费用直接计入当期损益；对于</w:t>
      </w:r>
      <w:r>
        <w:rPr>
          <w:rFonts w:ascii="宋体" w:eastAsia="宋体" w:hAnsi="宋体" w:cs="宋体"/>
          <w:spacing w:val="7"/>
          <w:sz w:val="20"/>
          <w:szCs w:val="20"/>
        </w:rPr>
        <w:t>其他类别的金融资产或金融负债，相关交</w:t>
      </w:r>
      <w:r>
        <w:rPr>
          <w:rFonts w:ascii="宋体" w:eastAsia="宋体" w:hAnsi="宋体" w:cs="宋体"/>
          <w:sz w:val="20"/>
          <w:szCs w:val="20"/>
        </w:rPr>
        <w:t xml:space="preserve"> </w:t>
      </w:r>
      <w:r>
        <w:rPr>
          <w:rFonts w:ascii="宋体" w:eastAsia="宋体" w:hAnsi="宋体" w:cs="宋体"/>
          <w:spacing w:val="8"/>
          <w:sz w:val="20"/>
          <w:szCs w:val="20"/>
        </w:rPr>
        <w:t>易费用计入初始确认金额。但是，公司初始确认的</w:t>
      </w:r>
      <w:r>
        <w:rPr>
          <w:rFonts w:ascii="宋体" w:eastAsia="宋体" w:hAnsi="宋体" w:cs="宋体"/>
          <w:spacing w:val="7"/>
          <w:sz w:val="20"/>
          <w:szCs w:val="20"/>
        </w:rPr>
        <w:t>应收账款未包含重大融资成分或公司不考</w:t>
      </w:r>
      <w:r>
        <w:rPr>
          <w:rFonts w:ascii="宋体" w:eastAsia="宋体" w:hAnsi="宋体" w:cs="宋体"/>
          <w:sz w:val="20"/>
          <w:szCs w:val="20"/>
        </w:rPr>
        <w:t xml:space="preserve"> </w:t>
      </w:r>
      <w:r>
        <w:rPr>
          <w:rFonts w:ascii="宋体" w:eastAsia="宋体" w:hAnsi="宋体" w:cs="宋体"/>
          <w:spacing w:val="9"/>
          <w:sz w:val="20"/>
          <w:szCs w:val="20"/>
        </w:rPr>
        <w:t>虑未超过一年的合同中的融资成分的，按照《企业会计准则第</w:t>
      </w:r>
      <w:r>
        <w:rPr>
          <w:rFonts w:ascii="宋体" w:eastAsia="宋体" w:hAnsi="宋体" w:cs="宋体"/>
          <w:spacing w:val="-23"/>
          <w:sz w:val="20"/>
          <w:szCs w:val="20"/>
        </w:rPr>
        <w:t xml:space="preserve"> </w:t>
      </w:r>
      <w:r>
        <w:rPr>
          <w:rFonts w:ascii="宋体" w:eastAsia="宋体" w:hAnsi="宋体" w:cs="宋体"/>
          <w:spacing w:val="9"/>
          <w:sz w:val="20"/>
          <w:szCs w:val="20"/>
        </w:rPr>
        <w:t>14</w:t>
      </w:r>
      <w:r>
        <w:rPr>
          <w:rFonts w:ascii="宋体" w:eastAsia="宋体" w:hAnsi="宋体" w:cs="宋体"/>
          <w:spacing w:val="-36"/>
          <w:sz w:val="20"/>
          <w:szCs w:val="20"/>
        </w:rPr>
        <w:t xml:space="preserve"> </w:t>
      </w:r>
      <w:r>
        <w:rPr>
          <w:rFonts w:ascii="宋体" w:eastAsia="宋体" w:hAnsi="宋体" w:cs="宋体"/>
          <w:spacing w:val="9"/>
          <w:sz w:val="20"/>
          <w:szCs w:val="20"/>
        </w:rPr>
        <w:t>号——收入》所定义</w:t>
      </w:r>
      <w:r>
        <w:rPr>
          <w:rFonts w:ascii="宋体" w:eastAsia="宋体" w:hAnsi="宋体" w:cs="宋体"/>
          <w:spacing w:val="8"/>
          <w:sz w:val="20"/>
          <w:szCs w:val="20"/>
        </w:rPr>
        <w:t>的交</w:t>
      </w:r>
    </w:p>
    <w:p>
      <w:pPr>
        <w:spacing w:line="226" w:lineRule="auto"/>
        <w:ind w:left="33"/>
        <w:rPr>
          <w:rFonts w:ascii="宋体" w:eastAsia="宋体" w:hAnsi="宋体" w:cs="宋体"/>
          <w:sz w:val="20"/>
          <w:szCs w:val="20"/>
        </w:rPr>
      </w:pPr>
      <w:r>
        <w:rPr>
          <w:rFonts w:ascii="宋体" w:eastAsia="宋体" w:hAnsi="宋体" w:cs="宋体"/>
          <w:spacing w:val="6"/>
          <w:sz w:val="20"/>
          <w:szCs w:val="20"/>
        </w:rPr>
        <w:t>易价格进行初始计量。</w:t>
      </w:r>
    </w:p>
    <w:p>
      <w:pPr>
        <w:spacing w:before="222" w:line="228" w:lineRule="auto"/>
        <w:ind w:left="476"/>
        <w:outlineLvl w:val="3"/>
        <w:rPr>
          <w:rFonts w:ascii="宋体" w:eastAsia="宋体" w:hAnsi="宋体" w:cs="宋体"/>
          <w:sz w:val="20"/>
          <w:szCs w:val="20"/>
        </w:rPr>
      </w:pPr>
      <w:r>
        <w:rPr>
          <w:rFonts w:ascii="宋体" w:eastAsia="宋体" w:hAnsi="宋体" w:cs="宋体"/>
          <w:spacing w:val="5"/>
          <w:sz w:val="20"/>
          <w:szCs w:val="20"/>
        </w:rPr>
        <w:t>(2) 金融资产的后续计量方法</w:t>
      </w:r>
    </w:p>
    <w:p>
      <w:pPr>
        <w:spacing w:before="222" w:line="227" w:lineRule="auto"/>
        <w:ind w:left="455"/>
        <w:outlineLvl w:val="4"/>
        <w:rPr>
          <w:rFonts w:ascii="宋体" w:eastAsia="宋体" w:hAnsi="宋体" w:cs="宋体"/>
          <w:sz w:val="20"/>
          <w:szCs w:val="20"/>
        </w:rPr>
      </w:pPr>
      <w:r>
        <w:rPr>
          <w:rFonts w:ascii="宋体" w:eastAsia="宋体" w:hAnsi="宋体" w:cs="宋体"/>
          <w:spacing w:val="5"/>
          <w:sz w:val="20"/>
          <w:szCs w:val="20"/>
        </w:rPr>
        <w:t>1)</w:t>
      </w:r>
      <w:r>
        <w:rPr>
          <w:rFonts w:ascii="宋体" w:eastAsia="宋体" w:hAnsi="宋体" w:cs="宋体"/>
          <w:spacing w:val="37"/>
          <w:sz w:val="20"/>
          <w:szCs w:val="20"/>
        </w:rPr>
        <w:t xml:space="preserve"> </w:t>
      </w:r>
      <w:r>
        <w:rPr>
          <w:rFonts w:ascii="宋体" w:eastAsia="宋体" w:hAnsi="宋体" w:cs="宋体"/>
          <w:spacing w:val="5"/>
          <w:sz w:val="20"/>
          <w:szCs w:val="20"/>
        </w:rPr>
        <w:t>以摊余成本计量的金融资产</w:t>
      </w:r>
    </w:p>
    <w:p>
      <w:pPr>
        <w:spacing w:before="222" w:line="432" w:lineRule="auto"/>
        <w:ind w:left="36" w:right="1537" w:firstLine="402"/>
        <w:jc w:val="both"/>
        <w:rPr>
          <w:rFonts w:ascii="宋体" w:eastAsia="宋体" w:hAnsi="宋体" w:cs="宋体"/>
          <w:sz w:val="20"/>
          <w:szCs w:val="20"/>
        </w:rPr>
      </w:pPr>
      <w:r>
        <w:rPr>
          <w:rFonts w:ascii="宋体" w:eastAsia="宋体" w:hAnsi="宋体" w:cs="宋体"/>
          <w:spacing w:val="7"/>
          <w:sz w:val="20"/>
          <w:szCs w:val="20"/>
        </w:rPr>
        <w:t>采用实际利率法，按照摊余成本进行后续计量。以摊余成本计量且不属于任何套期关系</w:t>
      </w:r>
      <w:r>
        <w:rPr>
          <w:rFonts w:ascii="宋体" w:eastAsia="宋体" w:hAnsi="宋体" w:cs="宋体"/>
          <w:spacing w:val="16"/>
          <w:sz w:val="20"/>
          <w:szCs w:val="20"/>
        </w:rPr>
        <w:t xml:space="preserve"> </w:t>
      </w:r>
      <w:r>
        <w:rPr>
          <w:rFonts w:ascii="宋体" w:eastAsia="宋体" w:hAnsi="宋体" w:cs="宋体"/>
          <w:spacing w:val="7"/>
          <w:sz w:val="20"/>
          <w:szCs w:val="20"/>
        </w:rPr>
        <w:t>的一部分的金融资产所产生的利得或损失，在终止确认、重分类、按照实际利率法摊销或确</w:t>
      </w:r>
    </w:p>
    <w:p>
      <w:pPr>
        <w:spacing w:before="1" w:line="227" w:lineRule="auto"/>
        <w:ind w:left="19"/>
        <w:rPr>
          <w:rFonts w:ascii="宋体" w:eastAsia="宋体" w:hAnsi="宋体" w:cs="宋体"/>
          <w:sz w:val="20"/>
          <w:szCs w:val="20"/>
        </w:rPr>
      </w:pPr>
      <w:r>
        <w:rPr>
          <w:rFonts w:ascii="宋体" w:eastAsia="宋体" w:hAnsi="宋体" w:cs="宋体"/>
          <w:spacing w:val="8"/>
          <w:sz w:val="20"/>
          <w:szCs w:val="20"/>
        </w:rPr>
        <w:t>认减值时，计入当期损益。</w:t>
      </w:r>
    </w:p>
    <w:p>
      <w:pPr>
        <w:spacing w:before="221" w:line="226" w:lineRule="auto"/>
        <w:ind w:left="442"/>
        <w:outlineLvl w:val="4"/>
        <w:rPr>
          <w:rFonts w:ascii="宋体" w:eastAsia="宋体" w:hAnsi="宋体" w:cs="宋体"/>
          <w:sz w:val="20"/>
          <w:szCs w:val="20"/>
        </w:rPr>
      </w:pPr>
      <w:r>
        <w:rPr>
          <w:rFonts w:ascii="宋体" w:eastAsia="宋体" w:hAnsi="宋体" w:cs="宋体"/>
          <w:spacing w:val="8"/>
          <w:sz w:val="20"/>
          <w:szCs w:val="20"/>
        </w:rPr>
        <w:t>2)</w:t>
      </w:r>
      <w:r>
        <w:rPr>
          <w:rFonts w:ascii="宋体" w:eastAsia="宋体" w:hAnsi="宋体" w:cs="宋体"/>
          <w:spacing w:val="36"/>
          <w:sz w:val="20"/>
          <w:szCs w:val="20"/>
        </w:rPr>
        <w:t xml:space="preserve"> </w:t>
      </w:r>
      <w:r>
        <w:rPr>
          <w:rFonts w:ascii="宋体" w:eastAsia="宋体" w:hAnsi="宋体" w:cs="宋体"/>
          <w:spacing w:val="8"/>
          <w:sz w:val="20"/>
          <w:szCs w:val="20"/>
        </w:rPr>
        <w:t>以公允价值计量且其变动计入其他综合收益的债务工具投资</w:t>
      </w:r>
    </w:p>
    <w:p>
      <w:pPr>
        <w:spacing w:before="223" w:line="432" w:lineRule="auto"/>
        <w:ind w:left="19" w:right="1537" w:firstLine="419"/>
        <w:jc w:val="both"/>
        <w:rPr>
          <w:rFonts w:ascii="宋体" w:eastAsia="宋体" w:hAnsi="宋体" w:cs="宋体"/>
          <w:sz w:val="20"/>
          <w:szCs w:val="20"/>
        </w:rPr>
      </w:pPr>
      <w:r>
        <w:rPr>
          <w:rFonts w:ascii="宋体" w:eastAsia="宋体" w:hAnsi="宋体" w:cs="宋体"/>
          <w:spacing w:val="7"/>
          <w:sz w:val="20"/>
          <w:szCs w:val="20"/>
        </w:rPr>
        <w:t>采用公允价值进行后续计量。采用实际利率法计算的利息、减值损失或利得及汇兑损益</w:t>
      </w:r>
      <w:r>
        <w:rPr>
          <w:rFonts w:ascii="宋体" w:eastAsia="宋体" w:hAnsi="宋体" w:cs="宋体"/>
          <w:spacing w:val="14"/>
          <w:sz w:val="20"/>
          <w:szCs w:val="20"/>
        </w:rPr>
        <w:t xml:space="preserve"> </w:t>
      </w:r>
      <w:r>
        <w:rPr>
          <w:rFonts w:ascii="宋体" w:eastAsia="宋体" w:hAnsi="宋体" w:cs="宋体"/>
          <w:spacing w:val="8"/>
          <w:sz w:val="20"/>
          <w:szCs w:val="20"/>
        </w:rPr>
        <w:t>计入当期损益，其他利得或损失计入其他综合收益</w:t>
      </w:r>
      <w:r>
        <w:rPr>
          <w:rFonts w:ascii="宋体" w:eastAsia="宋体" w:hAnsi="宋体" w:cs="宋体"/>
          <w:spacing w:val="7"/>
          <w:sz w:val="20"/>
          <w:szCs w:val="20"/>
        </w:rPr>
        <w:t>。终止确认时，将之前计入其他综合收益</w:t>
      </w:r>
    </w:p>
    <w:p>
      <w:pPr>
        <w:spacing w:before="1" w:line="227" w:lineRule="auto"/>
        <w:ind w:left="36"/>
        <w:rPr>
          <w:rFonts w:ascii="宋体" w:eastAsia="宋体" w:hAnsi="宋体" w:cs="宋体"/>
          <w:sz w:val="20"/>
          <w:szCs w:val="20"/>
        </w:rPr>
      </w:pPr>
      <w:r>
        <w:rPr>
          <w:rFonts w:ascii="宋体" w:eastAsia="宋体" w:hAnsi="宋体" w:cs="宋体"/>
          <w:spacing w:val="8"/>
          <w:sz w:val="20"/>
          <w:szCs w:val="20"/>
        </w:rPr>
        <w:t>的累计利得或损失从其他综合收益中转出，计入当期损益。</w:t>
      </w:r>
    </w:p>
    <w:p>
      <w:pPr>
        <w:spacing w:before="222" w:line="226" w:lineRule="auto"/>
        <w:ind w:left="444"/>
        <w:outlineLvl w:val="4"/>
        <w:rPr>
          <w:rFonts w:ascii="宋体" w:eastAsia="宋体" w:hAnsi="宋体" w:cs="宋体"/>
          <w:sz w:val="20"/>
          <w:szCs w:val="20"/>
        </w:rPr>
      </w:pPr>
      <w:r>
        <w:rPr>
          <w:rFonts w:ascii="宋体" w:eastAsia="宋体" w:hAnsi="宋体" w:cs="宋体"/>
          <w:spacing w:val="8"/>
          <w:sz w:val="20"/>
          <w:szCs w:val="20"/>
        </w:rPr>
        <w:t>3)</w:t>
      </w:r>
      <w:r>
        <w:rPr>
          <w:rFonts w:ascii="宋体" w:eastAsia="宋体" w:hAnsi="宋体" w:cs="宋体"/>
          <w:spacing w:val="36"/>
          <w:sz w:val="20"/>
          <w:szCs w:val="20"/>
        </w:rPr>
        <w:t xml:space="preserve"> </w:t>
      </w:r>
      <w:r>
        <w:rPr>
          <w:rFonts w:ascii="宋体" w:eastAsia="宋体" w:hAnsi="宋体" w:cs="宋体"/>
          <w:spacing w:val="8"/>
          <w:sz w:val="20"/>
          <w:szCs w:val="20"/>
        </w:rPr>
        <w:t>以公允价值计量且其变动计入其他综合收益的权益工具</w:t>
      </w:r>
      <w:r>
        <w:rPr>
          <w:rFonts w:ascii="宋体" w:eastAsia="宋体" w:hAnsi="宋体" w:cs="宋体"/>
          <w:spacing w:val="7"/>
          <w:sz w:val="20"/>
          <w:szCs w:val="20"/>
        </w:rPr>
        <w:t>投资</w:t>
      </w:r>
    </w:p>
    <w:p>
      <w:pPr>
        <w:spacing w:before="222" w:line="432" w:lineRule="auto"/>
        <w:ind w:left="21" w:right="1537" w:firstLine="417"/>
        <w:jc w:val="both"/>
        <w:rPr>
          <w:rFonts w:ascii="宋体" w:eastAsia="宋体" w:hAnsi="宋体" w:cs="宋体"/>
          <w:sz w:val="20"/>
          <w:szCs w:val="20"/>
        </w:rPr>
      </w:pPr>
      <w:r>
        <w:rPr>
          <w:rFonts w:ascii="宋体" w:eastAsia="宋体" w:hAnsi="宋体" w:cs="宋体"/>
          <w:spacing w:val="7"/>
          <w:sz w:val="20"/>
          <w:szCs w:val="20"/>
        </w:rPr>
        <w:t>采用公允价值进行后续计量。获得的股利（属于投资成本收回部分的除外）计入当期损</w:t>
      </w:r>
      <w:r>
        <w:rPr>
          <w:rFonts w:ascii="宋体" w:eastAsia="宋体" w:hAnsi="宋体" w:cs="宋体"/>
          <w:spacing w:val="17"/>
          <w:sz w:val="20"/>
          <w:szCs w:val="20"/>
        </w:rPr>
        <w:t xml:space="preserve"> </w:t>
      </w:r>
      <w:r>
        <w:rPr>
          <w:rFonts w:ascii="宋体" w:eastAsia="宋体" w:hAnsi="宋体" w:cs="宋体"/>
          <w:spacing w:val="7"/>
          <w:sz w:val="20"/>
          <w:szCs w:val="20"/>
        </w:rPr>
        <w:t>益，其他利得或损失计入其他综合收益。终止确认时，将之前计入其他综合收益的累计利得</w:t>
      </w:r>
    </w:p>
    <w:p>
      <w:pPr>
        <w:spacing w:before="1" w:line="227" w:lineRule="auto"/>
        <w:ind w:left="22"/>
        <w:rPr>
          <w:rFonts w:ascii="宋体" w:eastAsia="宋体" w:hAnsi="宋体" w:cs="宋体"/>
          <w:sz w:val="20"/>
          <w:szCs w:val="20"/>
        </w:rPr>
      </w:pPr>
      <w:r>
        <w:rPr>
          <w:rFonts w:ascii="宋体" w:eastAsia="宋体" w:hAnsi="宋体" w:cs="宋体"/>
          <w:spacing w:val="8"/>
          <w:sz w:val="20"/>
          <w:szCs w:val="20"/>
        </w:rPr>
        <w:t>或损失从其他综合收益中转出，计入留存收益。</w:t>
      </w:r>
    </w:p>
    <w:p>
      <w:pPr>
        <w:spacing w:before="254" w:line="219" w:lineRule="auto"/>
        <w:ind w:left="3409"/>
        <w:rPr>
          <w:rFonts w:ascii="宋体" w:eastAsia="宋体" w:hAnsi="宋体" w:cs="宋体"/>
          <w:sz w:val="18"/>
          <w:szCs w:val="18"/>
        </w:rPr>
      </w:pPr>
      <w:r>
        <w:rPr>
          <w:rFonts w:ascii="宋体" w:eastAsia="宋体" w:hAnsi="宋体" w:cs="宋体"/>
          <w:spacing w:val="-6"/>
          <w:sz w:val="18"/>
          <w:szCs w:val="18"/>
        </w:rPr>
        <w:t>第</w:t>
      </w:r>
      <w:r>
        <w:rPr>
          <w:rFonts w:ascii="宋体" w:eastAsia="宋体" w:hAnsi="宋体" w:cs="宋体"/>
          <w:spacing w:val="23"/>
          <w:w w:val="101"/>
          <w:sz w:val="18"/>
          <w:szCs w:val="18"/>
        </w:rPr>
        <w:t xml:space="preserve"> </w:t>
      </w:r>
      <w:r>
        <w:rPr>
          <w:rFonts w:ascii="宋体" w:eastAsia="宋体" w:hAnsi="宋体" w:cs="宋体"/>
          <w:spacing w:val="-6"/>
          <w:sz w:val="18"/>
          <w:szCs w:val="18"/>
        </w:rPr>
        <w:t>14</w:t>
      </w:r>
      <w:r>
        <w:rPr>
          <w:rFonts w:ascii="宋体" w:eastAsia="宋体" w:hAnsi="宋体" w:cs="宋体"/>
          <w:spacing w:val="11"/>
          <w:sz w:val="18"/>
          <w:szCs w:val="18"/>
        </w:rPr>
        <w:t xml:space="preserve"> </w:t>
      </w:r>
      <w:r>
        <w:rPr>
          <w:rFonts w:ascii="宋体" w:eastAsia="宋体" w:hAnsi="宋体" w:cs="宋体"/>
          <w:spacing w:val="-6"/>
          <w:sz w:val="18"/>
          <w:szCs w:val="18"/>
        </w:rPr>
        <w:t>页 共</w:t>
      </w:r>
      <w:r>
        <w:rPr>
          <w:rFonts w:ascii="宋体" w:eastAsia="宋体" w:hAnsi="宋体" w:cs="宋体"/>
          <w:spacing w:val="12"/>
          <w:sz w:val="18"/>
          <w:szCs w:val="18"/>
        </w:rPr>
        <w:t xml:space="preserve"> </w:t>
      </w:r>
      <w:r>
        <w:rPr>
          <w:rFonts w:ascii="宋体" w:eastAsia="宋体" w:hAnsi="宋体" w:cs="宋体"/>
          <w:spacing w:val="-6"/>
          <w:sz w:val="18"/>
          <w:szCs w:val="18"/>
        </w:rPr>
        <w:t>59</w:t>
      </w:r>
      <w:r>
        <w:rPr>
          <w:rFonts w:ascii="宋体" w:eastAsia="宋体" w:hAnsi="宋体" w:cs="宋体"/>
          <w:spacing w:val="9"/>
          <w:sz w:val="18"/>
          <w:szCs w:val="18"/>
        </w:rPr>
        <w:t xml:space="preserve"> </w:t>
      </w:r>
      <w:r>
        <w:rPr>
          <w:rFonts w:ascii="宋体" w:eastAsia="宋体" w:hAnsi="宋体" w:cs="宋体"/>
          <w:spacing w:val="-6"/>
          <w:sz w:val="18"/>
          <w:szCs w:val="18"/>
        </w:rPr>
        <w:t>页</w:t>
      </w:r>
    </w:p>
    <w:p>
      <w:pPr>
        <w:spacing w:line="219" w:lineRule="auto"/>
        <w:rPr>
          <w:rFonts w:ascii="宋体" w:eastAsia="宋体" w:hAnsi="宋体" w:cs="宋体"/>
          <w:sz w:val="18"/>
          <w:szCs w:val="18"/>
        </w:rPr>
        <w:sectPr>
          <w:headerReference w:type="default" r:id="rId37"/>
          <w:footerReference w:type="default" r:id="rId38"/>
          <w:pgSz w:w="11906" w:h="16839"/>
          <w:pgMar w:top="400" w:right="259" w:bottom="400" w:left="1785" w:header="0" w:footer="0" w:gutter="0"/>
          <w:pgNumType w:start="15"/>
          <w:cols w:num="1" w:space="720"/>
        </w:sectPr>
      </w:pPr>
    </w:p>
    <w:p>
      <w:pPr>
        <w:spacing w:line="274" w:lineRule="auto"/>
      </w:pPr>
    </w:p>
    <w:p>
      <w:pPr>
        <w:spacing w:line="274" w:lineRule="auto"/>
      </w:pPr>
    </w:p>
    <w:p>
      <w:pPr>
        <w:spacing w:line="274" w:lineRule="auto"/>
      </w:pPr>
    </w:p>
    <w:p>
      <w:pPr>
        <w:spacing w:line="275" w:lineRule="auto"/>
      </w:pPr>
    </w:p>
    <w:p>
      <w:pPr>
        <w:spacing w:before="65" w:line="226" w:lineRule="auto"/>
        <w:ind w:left="439"/>
        <w:outlineLvl w:val="4"/>
        <w:rPr>
          <w:rFonts w:ascii="宋体" w:eastAsia="宋体" w:hAnsi="宋体" w:cs="宋体"/>
          <w:sz w:val="20"/>
          <w:szCs w:val="20"/>
        </w:rPr>
      </w:pPr>
      <w:r>
        <w:rPr>
          <w:rFonts w:ascii="宋体" w:eastAsia="宋体" w:hAnsi="宋体" w:cs="宋体"/>
          <w:spacing w:val="8"/>
          <w:sz w:val="20"/>
          <w:szCs w:val="20"/>
        </w:rPr>
        <w:t>4)</w:t>
      </w:r>
      <w:r>
        <w:rPr>
          <w:rFonts w:ascii="宋体" w:eastAsia="宋体" w:hAnsi="宋体" w:cs="宋体"/>
          <w:spacing w:val="36"/>
          <w:sz w:val="20"/>
          <w:szCs w:val="20"/>
        </w:rPr>
        <w:t xml:space="preserve"> </w:t>
      </w:r>
      <w:r>
        <w:rPr>
          <w:rFonts w:ascii="宋体" w:eastAsia="宋体" w:hAnsi="宋体" w:cs="宋体"/>
          <w:spacing w:val="8"/>
          <w:sz w:val="20"/>
          <w:szCs w:val="20"/>
        </w:rPr>
        <w:t>以公允价值计量且其变动计入当期损益</w:t>
      </w:r>
      <w:r>
        <w:rPr>
          <w:rFonts w:ascii="宋体" w:eastAsia="宋体" w:hAnsi="宋体" w:cs="宋体"/>
          <w:spacing w:val="7"/>
          <w:sz w:val="20"/>
          <w:szCs w:val="20"/>
        </w:rPr>
        <w:t>的金融资产</w:t>
      </w:r>
    </w:p>
    <w:p>
      <w:pPr>
        <w:spacing w:before="222" w:line="468" w:lineRule="exact"/>
        <w:ind w:left="439"/>
        <w:rPr>
          <w:rFonts w:ascii="宋体" w:eastAsia="宋体" w:hAnsi="宋体" w:cs="宋体"/>
          <w:sz w:val="20"/>
          <w:szCs w:val="20"/>
        </w:rPr>
      </w:pPr>
      <w:r>
        <w:rPr>
          <w:rFonts w:ascii="宋体" w:eastAsia="宋体" w:hAnsi="宋体" w:cs="宋体"/>
          <w:spacing w:val="5"/>
          <w:position w:val="20"/>
          <w:sz w:val="20"/>
          <w:szCs w:val="20"/>
        </w:rPr>
        <w:t>采用公允价值进行后续计量，产生的利得或</w:t>
      </w:r>
      <w:r>
        <w:rPr>
          <w:rFonts w:ascii="宋体" w:eastAsia="宋体" w:hAnsi="宋体" w:cs="宋体"/>
          <w:spacing w:val="4"/>
          <w:position w:val="20"/>
          <w:sz w:val="20"/>
          <w:szCs w:val="20"/>
        </w:rPr>
        <w:t>损失（包括利息和股利收入）计入当期损益，</w:t>
      </w:r>
    </w:p>
    <w:p>
      <w:pPr>
        <w:spacing w:line="227" w:lineRule="auto"/>
        <w:ind w:left="32"/>
        <w:rPr>
          <w:rFonts w:ascii="宋体" w:eastAsia="宋体" w:hAnsi="宋体" w:cs="宋体"/>
          <w:sz w:val="20"/>
          <w:szCs w:val="20"/>
        </w:rPr>
      </w:pPr>
      <w:r>
        <w:rPr>
          <w:rFonts w:ascii="宋体" w:eastAsia="宋体" w:hAnsi="宋体" w:cs="宋体"/>
          <w:spacing w:val="8"/>
          <w:sz w:val="20"/>
          <w:szCs w:val="20"/>
        </w:rPr>
        <w:t>除非该金融资产属于套期关系的一部分。</w:t>
      </w:r>
    </w:p>
    <w:p>
      <w:pPr>
        <w:spacing w:before="221" w:line="228" w:lineRule="auto"/>
        <w:ind w:left="476"/>
        <w:outlineLvl w:val="3"/>
        <w:rPr>
          <w:rFonts w:ascii="宋体" w:eastAsia="宋体" w:hAnsi="宋体" w:cs="宋体"/>
          <w:sz w:val="20"/>
          <w:szCs w:val="20"/>
        </w:rPr>
      </w:pPr>
      <w:r>
        <w:rPr>
          <w:rFonts w:ascii="宋体" w:eastAsia="宋体" w:hAnsi="宋体" w:cs="宋体"/>
          <w:spacing w:val="5"/>
          <w:sz w:val="20"/>
          <w:szCs w:val="20"/>
        </w:rPr>
        <w:t>(3) 金融负债的后续计量方法</w:t>
      </w:r>
    </w:p>
    <w:p>
      <w:pPr>
        <w:spacing w:before="221" w:line="226" w:lineRule="auto"/>
        <w:ind w:left="455"/>
        <w:outlineLvl w:val="4"/>
        <w:rPr>
          <w:rFonts w:ascii="宋体" w:eastAsia="宋体" w:hAnsi="宋体" w:cs="宋体"/>
          <w:sz w:val="20"/>
          <w:szCs w:val="20"/>
        </w:rPr>
      </w:pPr>
      <w:r>
        <w:rPr>
          <w:rFonts w:ascii="宋体" w:eastAsia="宋体" w:hAnsi="宋体" w:cs="宋体"/>
          <w:spacing w:val="7"/>
          <w:sz w:val="20"/>
          <w:szCs w:val="20"/>
        </w:rPr>
        <w:t>1)</w:t>
      </w:r>
      <w:r>
        <w:rPr>
          <w:rFonts w:ascii="宋体" w:eastAsia="宋体" w:hAnsi="宋体" w:cs="宋体"/>
          <w:spacing w:val="39"/>
          <w:sz w:val="20"/>
          <w:szCs w:val="20"/>
        </w:rPr>
        <w:t xml:space="preserve"> </w:t>
      </w:r>
      <w:r>
        <w:rPr>
          <w:rFonts w:ascii="宋体" w:eastAsia="宋体" w:hAnsi="宋体" w:cs="宋体"/>
          <w:spacing w:val="7"/>
          <w:sz w:val="20"/>
          <w:szCs w:val="20"/>
        </w:rPr>
        <w:t>以公允价值计量且其变动计入当期损益的金融负债</w:t>
      </w:r>
    </w:p>
    <w:p>
      <w:pPr>
        <w:spacing w:before="223" w:line="432" w:lineRule="auto"/>
        <w:ind w:left="19" w:right="1537" w:firstLine="420"/>
        <w:jc w:val="both"/>
        <w:rPr>
          <w:rFonts w:ascii="宋体" w:eastAsia="宋体" w:hAnsi="宋体" w:cs="宋体"/>
          <w:sz w:val="20"/>
          <w:szCs w:val="20"/>
        </w:rPr>
      </w:pPr>
      <w:r>
        <w:rPr>
          <w:rFonts w:ascii="宋体" w:eastAsia="宋体" w:hAnsi="宋体" w:cs="宋体"/>
          <w:spacing w:val="7"/>
          <w:sz w:val="20"/>
          <w:szCs w:val="20"/>
        </w:rPr>
        <w:t>此类金融负债包括交易性金融负债（含属于金融负债的衍生工具）和指定为以公允价值</w:t>
      </w:r>
      <w:r>
        <w:rPr>
          <w:rFonts w:ascii="宋体" w:eastAsia="宋体" w:hAnsi="宋体" w:cs="宋体"/>
          <w:spacing w:val="15"/>
          <w:sz w:val="20"/>
          <w:szCs w:val="20"/>
        </w:rPr>
        <w:t xml:space="preserve"> </w:t>
      </w:r>
      <w:r>
        <w:rPr>
          <w:rFonts w:ascii="宋体" w:eastAsia="宋体" w:hAnsi="宋体" w:cs="宋体"/>
          <w:spacing w:val="8"/>
          <w:sz w:val="20"/>
          <w:szCs w:val="20"/>
        </w:rPr>
        <w:t>计量且其变动计入当期损益的金融负债。对</w:t>
      </w:r>
      <w:r>
        <w:rPr>
          <w:rFonts w:ascii="宋体" w:eastAsia="宋体" w:hAnsi="宋体" w:cs="宋体"/>
          <w:spacing w:val="7"/>
          <w:sz w:val="20"/>
          <w:szCs w:val="20"/>
        </w:rPr>
        <w:t>于此类金融负债以公允价值进行后续计量。因公</w:t>
      </w:r>
      <w:r>
        <w:rPr>
          <w:rFonts w:ascii="宋体" w:eastAsia="宋体" w:hAnsi="宋体" w:cs="宋体"/>
          <w:sz w:val="20"/>
          <w:szCs w:val="20"/>
        </w:rPr>
        <w:t xml:space="preserve"> </w:t>
      </w:r>
      <w:r>
        <w:rPr>
          <w:rFonts w:ascii="宋体" w:eastAsia="宋体" w:hAnsi="宋体" w:cs="宋体"/>
          <w:spacing w:val="13"/>
          <w:sz w:val="20"/>
          <w:szCs w:val="20"/>
        </w:rPr>
        <w:t>司自身信用风险变动引起的指定为以公允价值计量且其变动计入当期损益的</w:t>
      </w:r>
      <w:r>
        <w:rPr>
          <w:rFonts w:ascii="宋体" w:eastAsia="宋体" w:hAnsi="宋体" w:cs="宋体"/>
          <w:spacing w:val="12"/>
          <w:sz w:val="20"/>
          <w:szCs w:val="20"/>
        </w:rPr>
        <w:t>金融负债的公</w:t>
      </w:r>
      <w:r>
        <w:rPr>
          <w:rFonts w:ascii="宋体" w:eastAsia="宋体" w:hAnsi="宋体" w:cs="宋体"/>
          <w:sz w:val="20"/>
          <w:szCs w:val="20"/>
        </w:rPr>
        <w:t xml:space="preserve"> </w:t>
      </w:r>
      <w:r>
        <w:rPr>
          <w:rFonts w:ascii="宋体" w:eastAsia="宋体" w:hAnsi="宋体" w:cs="宋体"/>
          <w:spacing w:val="8"/>
          <w:sz w:val="20"/>
          <w:szCs w:val="20"/>
        </w:rPr>
        <w:t>允价值变动金额计入其他综合收益，除非该</w:t>
      </w:r>
      <w:r>
        <w:rPr>
          <w:rFonts w:ascii="宋体" w:eastAsia="宋体" w:hAnsi="宋体" w:cs="宋体"/>
          <w:spacing w:val="7"/>
          <w:sz w:val="20"/>
          <w:szCs w:val="20"/>
        </w:rPr>
        <w:t>处理会造成或扩大损益中的会计错配。此类金融</w:t>
      </w:r>
      <w:r>
        <w:rPr>
          <w:rFonts w:ascii="宋体" w:eastAsia="宋体" w:hAnsi="宋体" w:cs="宋体"/>
          <w:sz w:val="20"/>
          <w:szCs w:val="20"/>
        </w:rPr>
        <w:t xml:space="preserve"> </w:t>
      </w:r>
      <w:r>
        <w:rPr>
          <w:rFonts w:ascii="宋体" w:eastAsia="宋体" w:hAnsi="宋体" w:cs="宋体"/>
          <w:spacing w:val="8"/>
          <w:sz w:val="20"/>
          <w:szCs w:val="20"/>
        </w:rPr>
        <w:t>负债产生的其他利得或损失（包括利息费用</w:t>
      </w:r>
      <w:r>
        <w:rPr>
          <w:rFonts w:ascii="宋体" w:eastAsia="宋体" w:hAnsi="宋体" w:cs="宋体"/>
          <w:spacing w:val="7"/>
          <w:sz w:val="20"/>
          <w:szCs w:val="20"/>
        </w:rPr>
        <w:t>、除因公司自身信用风险变动引起的公允价值变</w:t>
      </w:r>
      <w:r>
        <w:rPr>
          <w:rFonts w:ascii="宋体" w:eastAsia="宋体" w:hAnsi="宋体" w:cs="宋体"/>
          <w:sz w:val="20"/>
          <w:szCs w:val="20"/>
        </w:rPr>
        <w:t xml:space="preserve"> </w:t>
      </w:r>
      <w:r>
        <w:rPr>
          <w:rFonts w:ascii="宋体" w:eastAsia="宋体" w:hAnsi="宋体" w:cs="宋体"/>
          <w:spacing w:val="8"/>
          <w:sz w:val="20"/>
          <w:szCs w:val="20"/>
        </w:rPr>
        <w:t>动）计入当期损益，除非该金融负债属于套期关系</w:t>
      </w:r>
      <w:r>
        <w:rPr>
          <w:rFonts w:ascii="宋体" w:eastAsia="宋体" w:hAnsi="宋体" w:cs="宋体"/>
          <w:spacing w:val="7"/>
          <w:sz w:val="20"/>
          <w:szCs w:val="20"/>
        </w:rPr>
        <w:t>的一部分。终止确认时，将之前计入其他</w:t>
      </w:r>
    </w:p>
    <w:p>
      <w:pPr>
        <w:spacing w:line="227" w:lineRule="auto"/>
        <w:ind w:left="22"/>
        <w:rPr>
          <w:rFonts w:ascii="宋体" w:eastAsia="宋体" w:hAnsi="宋体" w:cs="宋体"/>
          <w:sz w:val="20"/>
          <w:szCs w:val="20"/>
        </w:rPr>
      </w:pPr>
      <w:r>
        <w:rPr>
          <w:rFonts w:ascii="宋体" w:eastAsia="宋体" w:hAnsi="宋体" w:cs="宋体"/>
          <w:spacing w:val="9"/>
          <w:sz w:val="20"/>
          <w:szCs w:val="20"/>
        </w:rPr>
        <w:t>综合收益的累计利得或损失从其他综合收益中转出，计入留存收益。</w:t>
      </w:r>
    </w:p>
    <w:p>
      <w:pPr>
        <w:spacing w:before="221" w:line="228" w:lineRule="auto"/>
        <w:ind w:left="442"/>
        <w:outlineLvl w:val="4"/>
        <w:rPr>
          <w:rFonts w:ascii="宋体" w:eastAsia="宋体" w:hAnsi="宋体" w:cs="宋体"/>
          <w:sz w:val="20"/>
          <w:szCs w:val="20"/>
        </w:rPr>
      </w:pPr>
      <w:r>
        <w:rPr>
          <w:rFonts w:ascii="宋体" w:eastAsia="宋体" w:hAnsi="宋体" w:cs="宋体"/>
          <w:spacing w:val="9"/>
          <w:sz w:val="20"/>
          <w:szCs w:val="20"/>
        </w:rPr>
        <w:t>2) 金融资产转移不符合终止确认条件或继续涉入被转移金融资产所形成的金融负债</w:t>
      </w:r>
    </w:p>
    <w:p>
      <w:pPr>
        <w:spacing w:before="222" w:line="227" w:lineRule="auto"/>
        <w:ind w:left="441"/>
        <w:rPr>
          <w:rFonts w:ascii="宋体" w:eastAsia="宋体" w:hAnsi="宋体" w:cs="宋体"/>
          <w:sz w:val="20"/>
          <w:szCs w:val="20"/>
        </w:rPr>
      </w:pPr>
      <w:r>
        <w:rPr>
          <w:rFonts w:ascii="宋体" w:eastAsia="宋体" w:hAnsi="宋体" w:cs="宋体"/>
          <w:spacing w:val="8"/>
          <w:sz w:val="20"/>
          <w:szCs w:val="20"/>
        </w:rPr>
        <w:t>按照《企业会计准则第</w:t>
      </w:r>
      <w:r>
        <w:rPr>
          <w:rFonts w:ascii="宋体" w:eastAsia="宋体" w:hAnsi="宋体" w:cs="宋体"/>
          <w:spacing w:val="-34"/>
          <w:sz w:val="20"/>
          <w:szCs w:val="20"/>
        </w:rPr>
        <w:t xml:space="preserve"> </w:t>
      </w:r>
      <w:r>
        <w:rPr>
          <w:rFonts w:ascii="宋体" w:eastAsia="宋体" w:hAnsi="宋体" w:cs="宋体"/>
          <w:spacing w:val="8"/>
          <w:sz w:val="20"/>
          <w:szCs w:val="20"/>
        </w:rPr>
        <w:t>23</w:t>
      </w:r>
      <w:r>
        <w:rPr>
          <w:rFonts w:ascii="宋体" w:eastAsia="宋体" w:hAnsi="宋体" w:cs="宋体"/>
          <w:spacing w:val="-33"/>
          <w:sz w:val="20"/>
          <w:szCs w:val="20"/>
        </w:rPr>
        <w:t xml:space="preserve"> </w:t>
      </w:r>
      <w:r>
        <w:rPr>
          <w:rFonts w:ascii="宋体" w:eastAsia="宋体" w:hAnsi="宋体" w:cs="宋体"/>
          <w:spacing w:val="8"/>
          <w:sz w:val="20"/>
          <w:szCs w:val="20"/>
        </w:rPr>
        <w:t>号——金融资产转移》相关规定进行计量。</w:t>
      </w:r>
    </w:p>
    <w:p>
      <w:pPr>
        <w:spacing w:before="222" w:line="228" w:lineRule="auto"/>
        <w:ind w:left="444"/>
        <w:outlineLvl w:val="4"/>
        <w:rPr>
          <w:rFonts w:ascii="宋体" w:eastAsia="宋体" w:hAnsi="宋体" w:cs="宋体"/>
          <w:sz w:val="20"/>
          <w:szCs w:val="20"/>
        </w:rPr>
      </w:pPr>
      <w:r>
        <w:rPr>
          <w:rFonts w:ascii="宋体" w:eastAsia="宋体" w:hAnsi="宋体" w:cs="宋体"/>
          <w:spacing w:val="8"/>
          <w:sz w:val="20"/>
          <w:szCs w:val="20"/>
        </w:rPr>
        <w:t>3) 不属于上述</w:t>
      </w:r>
      <w:r>
        <w:rPr>
          <w:rFonts w:ascii="宋体" w:eastAsia="宋体" w:hAnsi="宋体" w:cs="宋体"/>
          <w:spacing w:val="-19"/>
          <w:sz w:val="20"/>
          <w:szCs w:val="20"/>
        </w:rPr>
        <w:t xml:space="preserve"> </w:t>
      </w:r>
      <w:r>
        <w:rPr>
          <w:rFonts w:ascii="宋体" w:eastAsia="宋体" w:hAnsi="宋体" w:cs="宋体"/>
          <w:spacing w:val="8"/>
          <w:sz w:val="20"/>
          <w:szCs w:val="20"/>
        </w:rPr>
        <w:t>1)或</w:t>
      </w:r>
      <w:r>
        <w:rPr>
          <w:rFonts w:ascii="宋体" w:eastAsia="宋体" w:hAnsi="宋体" w:cs="宋体"/>
          <w:spacing w:val="-35"/>
          <w:sz w:val="20"/>
          <w:szCs w:val="20"/>
        </w:rPr>
        <w:t xml:space="preserve"> </w:t>
      </w:r>
      <w:r>
        <w:rPr>
          <w:rFonts w:ascii="宋体" w:eastAsia="宋体" w:hAnsi="宋体" w:cs="宋体"/>
          <w:spacing w:val="8"/>
          <w:sz w:val="20"/>
          <w:szCs w:val="20"/>
        </w:rPr>
        <w:t>2)的财务担保合同</w:t>
      </w:r>
      <w:r>
        <w:rPr>
          <w:rFonts w:ascii="宋体" w:eastAsia="宋体" w:hAnsi="宋体" w:cs="宋体"/>
          <w:spacing w:val="7"/>
          <w:sz w:val="20"/>
          <w:szCs w:val="20"/>
        </w:rPr>
        <w:t>，</w:t>
      </w:r>
      <w:r>
        <w:rPr>
          <w:rFonts w:ascii="宋体" w:eastAsia="宋体" w:hAnsi="宋体" w:cs="宋体"/>
          <w:spacing w:val="-57"/>
          <w:sz w:val="20"/>
          <w:szCs w:val="20"/>
        </w:rPr>
        <w:t xml:space="preserve"> </w:t>
      </w:r>
      <w:r>
        <w:rPr>
          <w:rFonts w:ascii="宋体" w:eastAsia="宋体" w:hAnsi="宋体" w:cs="宋体"/>
          <w:spacing w:val="7"/>
          <w:sz w:val="20"/>
          <w:szCs w:val="20"/>
        </w:rPr>
        <w:t>以及不属于上述</w:t>
      </w:r>
      <w:r>
        <w:rPr>
          <w:rFonts w:ascii="宋体" w:eastAsia="宋体" w:hAnsi="宋体" w:cs="宋体"/>
          <w:spacing w:val="-21"/>
          <w:sz w:val="20"/>
          <w:szCs w:val="20"/>
        </w:rPr>
        <w:t xml:space="preserve"> </w:t>
      </w:r>
      <w:r>
        <w:rPr>
          <w:rFonts w:ascii="宋体" w:eastAsia="宋体" w:hAnsi="宋体" w:cs="宋体"/>
          <w:spacing w:val="7"/>
          <w:sz w:val="20"/>
          <w:szCs w:val="20"/>
        </w:rPr>
        <w:t>1)并以低于市场利率贷款的</w:t>
      </w:r>
    </w:p>
    <w:p>
      <w:pPr>
        <w:spacing w:before="221" w:line="228" w:lineRule="auto"/>
        <w:ind w:left="17"/>
        <w:rPr>
          <w:rFonts w:ascii="宋体" w:eastAsia="宋体" w:hAnsi="宋体" w:cs="宋体"/>
          <w:sz w:val="20"/>
          <w:szCs w:val="20"/>
        </w:rPr>
      </w:pPr>
      <w:r>
        <w:rPr>
          <w:rFonts w:ascii="宋体" w:eastAsia="宋体" w:hAnsi="宋体" w:cs="宋体"/>
          <w:spacing w:val="8"/>
          <w:sz w:val="20"/>
          <w:szCs w:val="20"/>
        </w:rPr>
        <w:t>贷款承诺</w:t>
      </w:r>
    </w:p>
    <w:p>
      <w:pPr>
        <w:spacing w:before="221" w:line="432" w:lineRule="auto"/>
        <w:ind w:left="20" w:right="1537" w:firstLine="418"/>
        <w:jc w:val="both"/>
        <w:rPr>
          <w:rFonts w:ascii="宋体" w:eastAsia="宋体" w:hAnsi="宋体" w:cs="宋体"/>
          <w:sz w:val="20"/>
          <w:szCs w:val="20"/>
        </w:rPr>
      </w:pPr>
      <w:r>
        <w:rPr>
          <w:rFonts w:ascii="宋体" w:eastAsia="宋体" w:hAnsi="宋体" w:cs="宋体"/>
          <w:spacing w:val="10"/>
          <w:sz w:val="20"/>
          <w:szCs w:val="20"/>
        </w:rPr>
        <w:t>在初始确认后按照下列两项金额之中的较高者进行后续计量：① 按照金融工具的减值</w:t>
      </w:r>
      <w:r>
        <w:rPr>
          <w:rFonts w:ascii="宋体" w:eastAsia="宋体" w:hAnsi="宋体" w:cs="宋体"/>
          <w:spacing w:val="2"/>
          <w:sz w:val="20"/>
          <w:szCs w:val="20"/>
        </w:rPr>
        <w:t xml:space="preserve"> </w:t>
      </w:r>
      <w:r>
        <w:rPr>
          <w:rFonts w:ascii="宋体" w:eastAsia="宋体" w:hAnsi="宋体" w:cs="宋体"/>
          <w:spacing w:val="6"/>
          <w:sz w:val="20"/>
          <w:szCs w:val="20"/>
        </w:rPr>
        <w:t>规定确定的损失准备金额；② 初始确认金额扣除按照《企业会计准则第</w:t>
      </w:r>
      <w:r>
        <w:rPr>
          <w:rFonts w:ascii="宋体" w:eastAsia="宋体" w:hAnsi="宋体" w:cs="宋体"/>
          <w:spacing w:val="-12"/>
          <w:sz w:val="20"/>
          <w:szCs w:val="20"/>
        </w:rPr>
        <w:t xml:space="preserve"> </w:t>
      </w:r>
      <w:r>
        <w:rPr>
          <w:rFonts w:ascii="宋体" w:eastAsia="宋体" w:hAnsi="宋体" w:cs="宋体"/>
          <w:spacing w:val="6"/>
          <w:sz w:val="20"/>
          <w:szCs w:val="20"/>
        </w:rPr>
        <w:t>14</w:t>
      </w:r>
      <w:r>
        <w:rPr>
          <w:rFonts w:ascii="宋体" w:eastAsia="宋体" w:hAnsi="宋体" w:cs="宋体"/>
          <w:spacing w:val="-33"/>
          <w:sz w:val="20"/>
          <w:szCs w:val="20"/>
        </w:rPr>
        <w:t xml:space="preserve"> </w:t>
      </w:r>
      <w:r>
        <w:rPr>
          <w:rFonts w:ascii="宋体" w:eastAsia="宋体" w:hAnsi="宋体" w:cs="宋体"/>
          <w:spacing w:val="6"/>
          <w:sz w:val="20"/>
          <w:szCs w:val="20"/>
        </w:rPr>
        <w:t>号——收入》相</w:t>
      </w:r>
    </w:p>
    <w:p>
      <w:pPr>
        <w:spacing w:before="1" w:line="227" w:lineRule="auto"/>
        <w:ind w:left="23"/>
        <w:rPr>
          <w:rFonts w:ascii="宋体" w:eastAsia="宋体" w:hAnsi="宋体" w:cs="宋体"/>
          <w:sz w:val="20"/>
          <w:szCs w:val="20"/>
        </w:rPr>
      </w:pPr>
      <w:r>
        <w:rPr>
          <w:rFonts w:ascii="宋体" w:eastAsia="宋体" w:hAnsi="宋体" w:cs="宋体"/>
          <w:spacing w:val="8"/>
          <w:sz w:val="20"/>
          <w:szCs w:val="20"/>
        </w:rPr>
        <w:t>关规定所确定的累计摊销额后的余额。</w:t>
      </w:r>
    </w:p>
    <w:p>
      <w:pPr>
        <w:spacing w:before="221" w:line="227" w:lineRule="auto"/>
        <w:ind w:left="439"/>
        <w:outlineLvl w:val="4"/>
        <w:rPr>
          <w:rFonts w:ascii="宋体" w:eastAsia="宋体" w:hAnsi="宋体" w:cs="宋体"/>
          <w:sz w:val="20"/>
          <w:szCs w:val="20"/>
        </w:rPr>
      </w:pPr>
      <w:r>
        <w:rPr>
          <w:rFonts w:ascii="宋体" w:eastAsia="宋体" w:hAnsi="宋体" w:cs="宋体"/>
          <w:spacing w:val="6"/>
          <w:sz w:val="20"/>
          <w:szCs w:val="20"/>
        </w:rPr>
        <w:t>4)</w:t>
      </w:r>
      <w:r>
        <w:rPr>
          <w:rFonts w:ascii="宋体" w:eastAsia="宋体" w:hAnsi="宋体" w:cs="宋体"/>
          <w:spacing w:val="39"/>
          <w:sz w:val="20"/>
          <w:szCs w:val="20"/>
        </w:rPr>
        <w:t xml:space="preserve"> </w:t>
      </w:r>
      <w:r>
        <w:rPr>
          <w:rFonts w:ascii="宋体" w:eastAsia="宋体" w:hAnsi="宋体" w:cs="宋体"/>
          <w:spacing w:val="6"/>
          <w:sz w:val="20"/>
          <w:szCs w:val="20"/>
        </w:rPr>
        <w:t>以摊余成本计量的金融负债</w:t>
      </w:r>
    </w:p>
    <w:p>
      <w:pPr>
        <w:spacing w:before="222" w:line="468" w:lineRule="exact"/>
        <w:ind w:left="439"/>
        <w:rPr>
          <w:rFonts w:ascii="宋体" w:eastAsia="宋体" w:hAnsi="宋体" w:cs="宋体"/>
          <w:sz w:val="20"/>
          <w:szCs w:val="20"/>
        </w:rPr>
      </w:pPr>
      <w:r>
        <w:rPr>
          <w:rFonts w:ascii="宋体" w:eastAsia="宋体" w:hAnsi="宋体" w:cs="宋体"/>
          <w:spacing w:val="7"/>
          <w:position w:val="20"/>
          <w:sz w:val="20"/>
          <w:szCs w:val="20"/>
        </w:rPr>
        <w:t>采用实际利率法以摊余成本计量。以摊余成本计量且不属于任何套期关系的一部分的金</w:t>
      </w:r>
    </w:p>
    <w:p>
      <w:pPr>
        <w:spacing w:before="1" w:line="227" w:lineRule="auto"/>
        <w:ind w:left="24"/>
        <w:rPr>
          <w:rFonts w:ascii="宋体" w:eastAsia="宋体" w:hAnsi="宋体" w:cs="宋体"/>
          <w:sz w:val="20"/>
          <w:szCs w:val="20"/>
        </w:rPr>
      </w:pPr>
      <w:r>
        <w:rPr>
          <w:rFonts w:ascii="宋体" w:eastAsia="宋体" w:hAnsi="宋体" w:cs="宋体"/>
          <w:spacing w:val="9"/>
          <w:sz w:val="20"/>
          <w:szCs w:val="20"/>
        </w:rPr>
        <w:t>融负债所产生的利得或损失，在终止确认、按照实际利率法摊销时计入当期损益。</w:t>
      </w:r>
    </w:p>
    <w:p>
      <w:pPr>
        <w:spacing w:before="221" w:line="228" w:lineRule="auto"/>
        <w:ind w:left="476"/>
        <w:outlineLvl w:val="3"/>
        <w:rPr>
          <w:rFonts w:ascii="宋体" w:eastAsia="宋体" w:hAnsi="宋体" w:cs="宋体"/>
          <w:sz w:val="20"/>
          <w:szCs w:val="20"/>
        </w:rPr>
      </w:pPr>
      <w:r>
        <w:rPr>
          <w:rFonts w:ascii="宋体" w:eastAsia="宋体" w:hAnsi="宋体" w:cs="宋体"/>
          <w:spacing w:val="6"/>
          <w:sz w:val="20"/>
          <w:szCs w:val="20"/>
        </w:rPr>
        <w:t>(4) 金融资产和金融负债的终止确认</w:t>
      </w:r>
    </w:p>
    <w:p>
      <w:pPr>
        <w:spacing w:before="221" w:line="468" w:lineRule="exact"/>
        <w:ind w:left="455"/>
        <w:rPr>
          <w:rFonts w:ascii="宋体" w:eastAsia="宋体" w:hAnsi="宋体" w:cs="宋体"/>
          <w:sz w:val="20"/>
          <w:szCs w:val="20"/>
        </w:rPr>
      </w:pPr>
      <w:r>
        <w:rPr>
          <w:rFonts w:ascii="宋体" w:eastAsia="宋体" w:hAnsi="宋体" w:cs="宋体"/>
          <w:spacing w:val="7"/>
          <w:position w:val="20"/>
          <w:sz w:val="20"/>
          <w:szCs w:val="20"/>
        </w:rPr>
        <w:t>1) 当满足下列条件之一时，终止确认金融资产：</w:t>
      </w:r>
    </w:p>
    <w:p>
      <w:pPr>
        <w:spacing w:before="1" w:line="225" w:lineRule="auto"/>
        <w:ind w:left="439"/>
        <w:rPr>
          <w:rFonts w:ascii="宋体" w:eastAsia="宋体" w:hAnsi="宋体" w:cs="宋体"/>
          <w:sz w:val="20"/>
          <w:szCs w:val="20"/>
        </w:rPr>
      </w:pPr>
      <w:r>
        <w:rPr>
          <w:rFonts w:ascii="宋体" w:eastAsia="宋体" w:hAnsi="宋体" w:cs="宋体"/>
          <w:spacing w:val="8"/>
          <w:sz w:val="20"/>
          <w:szCs w:val="20"/>
        </w:rPr>
        <w:t>① 收取金融资产现金流量的合同权利已终止；</w:t>
      </w:r>
    </w:p>
    <w:p>
      <w:pPr>
        <w:spacing w:before="223" w:line="468" w:lineRule="exact"/>
        <w:ind w:left="438"/>
        <w:rPr>
          <w:rFonts w:ascii="宋体" w:eastAsia="宋体" w:hAnsi="宋体" w:cs="宋体"/>
          <w:sz w:val="20"/>
          <w:szCs w:val="20"/>
        </w:rPr>
      </w:pPr>
      <w:r>
        <w:rPr>
          <w:rFonts w:ascii="宋体" w:eastAsia="宋体" w:hAnsi="宋体" w:cs="宋体"/>
          <w:spacing w:val="10"/>
          <w:position w:val="20"/>
          <w:sz w:val="20"/>
          <w:szCs w:val="20"/>
        </w:rPr>
        <w:t>② 金融资产已转移，且该转移满足《企业会计准则第23号——金</w:t>
      </w:r>
      <w:r>
        <w:rPr>
          <w:rFonts w:ascii="宋体" w:eastAsia="宋体" w:hAnsi="宋体" w:cs="宋体"/>
          <w:spacing w:val="9"/>
          <w:position w:val="20"/>
          <w:sz w:val="20"/>
          <w:szCs w:val="20"/>
        </w:rPr>
        <w:t>融资产转移》关于金</w:t>
      </w:r>
    </w:p>
    <w:p>
      <w:pPr>
        <w:spacing w:before="1" w:line="227" w:lineRule="auto"/>
        <w:ind w:left="24"/>
        <w:rPr>
          <w:rFonts w:ascii="宋体" w:eastAsia="宋体" w:hAnsi="宋体" w:cs="宋体"/>
          <w:sz w:val="20"/>
          <w:szCs w:val="20"/>
        </w:rPr>
      </w:pPr>
      <w:r>
        <w:rPr>
          <w:rFonts w:ascii="宋体" w:eastAsia="宋体" w:hAnsi="宋体" w:cs="宋体"/>
          <w:spacing w:val="7"/>
          <w:sz w:val="20"/>
          <w:szCs w:val="20"/>
        </w:rPr>
        <w:t>融资产终止确认的规定。</w:t>
      </w:r>
    </w:p>
    <w:p>
      <w:pPr>
        <w:spacing w:before="222" w:line="468" w:lineRule="exact"/>
        <w:ind w:left="442"/>
        <w:rPr>
          <w:rFonts w:ascii="宋体" w:eastAsia="宋体" w:hAnsi="宋体" w:cs="宋体"/>
          <w:sz w:val="20"/>
          <w:szCs w:val="20"/>
        </w:rPr>
      </w:pPr>
      <w:r>
        <w:rPr>
          <w:rFonts w:ascii="宋体" w:eastAsia="宋体" w:hAnsi="宋体" w:cs="宋体"/>
          <w:spacing w:val="10"/>
          <w:position w:val="20"/>
          <w:sz w:val="20"/>
          <w:szCs w:val="20"/>
        </w:rPr>
        <w:t>2) 当金融负债（或其一部分）的现时义务已经解除时，</w:t>
      </w:r>
      <w:r>
        <w:rPr>
          <w:rFonts w:ascii="宋体" w:eastAsia="宋体" w:hAnsi="宋体" w:cs="宋体"/>
          <w:spacing w:val="9"/>
          <w:position w:val="20"/>
          <w:sz w:val="20"/>
          <w:szCs w:val="20"/>
        </w:rPr>
        <w:t>相应终止确认该金融负债（或</w:t>
      </w:r>
    </w:p>
    <w:p>
      <w:pPr>
        <w:spacing w:line="227" w:lineRule="auto"/>
        <w:ind w:left="23"/>
        <w:rPr>
          <w:rFonts w:ascii="宋体" w:eastAsia="宋体" w:hAnsi="宋体" w:cs="宋体"/>
          <w:sz w:val="20"/>
          <w:szCs w:val="20"/>
        </w:rPr>
      </w:pPr>
      <w:r>
        <w:rPr>
          <w:rFonts w:ascii="宋体" w:eastAsia="宋体" w:hAnsi="宋体" w:cs="宋体"/>
          <w:spacing w:val="6"/>
          <w:sz w:val="20"/>
          <w:szCs w:val="20"/>
        </w:rPr>
        <w:t>该部分金融负债）。</w:t>
      </w:r>
    </w:p>
    <w:p>
      <w:pPr>
        <w:spacing w:before="222" w:line="227" w:lineRule="auto"/>
        <w:ind w:left="444"/>
        <w:outlineLvl w:val="2"/>
        <w:rPr>
          <w:rFonts w:ascii="宋体" w:eastAsia="宋体" w:hAnsi="宋体" w:cs="宋体"/>
          <w:sz w:val="20"/>
          <w:szCs w:val="20"/>
        </w:rPr>
      </w:pPr>
      <w:r>
        <w:rPr>
          <w:rFonts w:ascii="宋体" w:eastAsia="宋体" w:hAnsi="宋体" w:cs="宋体"/>
          <w:spacing w:val="8"/>
          <w:sz w:val="20"/>
          <w:szCs w:val="20"/>
        </w:rPr>
        <w:t>3. 金融资产转移的确认依据和计量方法</w:t>
      </w:r>
    </w:p>
    <w:p>
      <w:pPr>
        <w:spacing w:before="254" w:line="219" w:lineRule="auto"/>
        <w:ind w:left="3409"/>
        <w:rPr>
          <w:rFonts w:ascii="宋体" w:eastAsia="宋体" w:hAnsi="宋体" w:cs="宋体"/>
          <w:sz w:val="18"/>
          <w:szCs w:val="18"/>
        </w:rPr>
      </w:pPr>
      <w:r>
        <w:rPr>
          <w:rFonts w:ascii="宋体" w:eastAsia="宋体" w:hAnsi="宋体" w:cs="宋体"/>
          <w:spacing w:val="-6"/>
          <w:sz w:val="18"/>
          <w:szCs w:val="18"/>
        </w:rPr>
        <w:t>第</w:t>
      </w:r>
      <w:r>
        <w:rPr>
          <w:rFonts w:ascii="宋体" w:eastAsia="宋体" w:hAnsi="宋体" w:cs="宋体"/>
          <w:spacing w:val="23"/>
          <w:w w:val="101"/>
          <w:sz w:val="18"/>
          <w:szCs w:val="18"/>
        </w:rPr>
        <w:t xml:space="preserve"> </w:t>
      </w:r>
      <w:r>
        <w:rPr>
          <w:rFonts w:ascii="宋体" w:eastAsia="宋体" w:hAnsi="宋体" w:cs="宋体"/>
          <w:spacing w:val="-6"/>
          <w:sz w:val="18"/>
          <w:szCs w:val="18"/>
        </w:rPr>
        <w:t>15</w:t>
      </w:r>
      <w:r>
        <w:rPr>
          <w:rFonts w:ascii="宋体" w:eastAsia="宋体" w:hAnsi="宋体" w:cs="宋体"/>
          <w:spacing w:val="11"/>
          <w:sz w:val="18"/>
          <w:szCs w:val="18"/>
        </w:rPr>
        <w:t xml:space="preserve"> </w:t>
      </w:r>
      <w:r>
        <w:rPr>
          <w:rFonts w:ascii="宋体" w:eastAsia="宋体" w:hAnsi="宋体" w:cs="宋体"/>
          <w:spacing w:val="-6"/>
          <w:sz w:val="18"/>
          <w:szCs w:val="18"/>
        </w:rPr>
        <w:t>页 共</w:t>
      </w:r>
      <w:r>
        <w:rPr>
          <w:rFonts w:ascii="宋体" w:eastAsia="宋体" w:hAnsi="宋体" w:cs="宋体"/>
          <w:spacing w:val="12"/>
          <w:sz w:val="18"/>
          <w:szCs w:val="18"/>
        </w:rPr>
        <w:t xml:space="preserve"> </w:t>
      </w:r>
      <w:r>
        <w:rPr>
          <w:rFonts w:ascii="宋体" w:eastAsia="宋体" w:hAnsi="宋体" w:cs="宋体"/>
          <w:spacing w:val="-6"/>
          <w:sz w:val="18"/>
          <w:szCs w:val="18"/>
        </w:rPr>
        <w:t>59</w:t>
      </w:r>
      <w:r>
        <w:rPr>
          <w:rFonts w:ascii="宋体" w:eastAsia="宋体" w:hAnsi="宋体" w:cs="宋体"/>
          <w:spacing w:val="9"/>
          <w:sz w:val="18"/>
          <w:szCs w:val="18"/>
        </w:rPr>
        <w:t xml:space="preserve"> </w:t>
      </w:r>
      <w:r>
        <w:rPr>
          <w:rFonts w:ascii="宋体" w:eastAsia="宋体" w:hAnsi="宋体" w:cs="宋体"/>
          <w:spacing w:val="-6"/>
          <w:sz w:val="18"/>
          <w:szCs w:val="18"/>
        </w:rPr>
        <w:t>页</w:t>
      </w:r>
    </w:p>
    <w:p>
      <w:pPr>
        <w:spacing w:line="219" w:lineRule="auto"/>
        <w:rPr>
          <w:rFonts w:ascii="宋体" w:eastAsia="宋体" w:hAnsi="宋体" w:cs="宋体"/>
          <w:sz w:val="18"/>
          <w:szCs w:val="18"/>
        </w:rPr>
        <w:sectPr>
          <w:headerReference w:type="default" r:id="rId39"/>
          <w:footerReference w:type="default" r:id="rId40"/>
          <w:pgSz w:w="11906" w:h="16839"/>
          <w:pgMar w:top="400" w:right="259" w:bottom="400" w:left="1785" w:header="0" w:footer="0" w:gutter="0"/>
          <w:pgNumType w:start="16"/>
          <w:cols w:num="1" w:space="720"/>
        </w:sectPr>
      </w:pPr>
    </w:p>
    <w:p>
      <w:pPr>
        <w:spacing w:line="274" w:lineRule="auto"/>
      </w:pPr>
    </w:p>
    <w:p>
      <w:pPr>
        <w:spacing w:line="274" w:lineRule="auto"/>
      </w:pPr>
    </w:p>
    <w:p>
      <w:pPr>
        <w:spacing w:line="274" w:lineRule="auto"/>
      </w:pPr>
    </w:p>
    <w:p>
      <w:pPr>
        <w:spacing w:line="274" w:lineRule="auto"/>
      </w:pPr>
    </w:p>
    <w:p>
      <w:pPr>
        <w:spacing w:before="65" w:line="432" w:lineRule="auto"/>
        <w:ind w:left="20" w:right="1537" w:firstLine="425"/>
        <w:jc w:val="both"/>
        <w:rPr>
          <w:rFonts w:ascii="宋体" w:eastAsia="宋体" w:hAnsi="宋体" w:cs="宋体"/>
          <w:sz w:val="20"/>
          <w:szCs w:val="20"/>
        </w:rPr>
      </w:pPr>
      <w:r>
        <w:rPr>
          <w:rFonts w:ascii="宋体" w:eastAsia="宋体" w:hAnsi="宋体" w:cs="宋体"/>
          <w:spacing w:val="7"/>
          <w:sz w:val="20"/>
          <w:szCs w:val="20"/>
        </w:rPr>
        <w:t>公司转移了金融资产所有权上几乎所有的风险和报酬的，终止确认该金融资产，并将转</w:t>
      </w:r>
      <w:r>
        <w:rPr>
          <w:rFonts w:ascii="宋体" w:eastAsia="宋体" w:hAnsi="宋体" w:cs="宋体"/>
          <w:spacing w:val="9"/>
          <w:sz w:val="20"/>
          <w:szCs w:val="20"/>
        </w:rPr>
        <w:t xml:space="preserve"> </w:t>
      </w:r>
      <w:r>
        <w:rPr>
          <w:rFonts w:ascii="宋体" w:eastAsia="宋体" w:hAnsi="宋体" w:cs="宋体"/>
          <w:spacing w:val="7"/>
          <w:sz w:val="20"/>
          <w:szCs w:val="20"/>
        </w:rPr>
        <w:t>移中产生或保留的权利和义务单独确认为资产或负债；保留了金融资产所有权上几乎所有的</w:t>
      </w:r>
      <w:r>
        <w:rPr>
          <w:rFonts w:ascii="宋体" w:eastAsia="宋体" w:hAnsi="宋体" w:cs="宋体"/>
          <w:spacing w:val="18"/>
          <w:sz w:val="20"/>
          <w:szCs w:val="20"/>
        </w:rPr>
        <w:t xml:space="preserve"> </w:t>
      </w:r>
      <w:r>
        <w:rPr>
          <w:rFonts w:ascii="宋体" w:eastAsia="宋体" w:hAnsi="宋体" w:cs="宋体"/>
          <w:spacing w:val="7"/>
          <w:sz w:val="20"/>
          <w:szCs w:val="20"/>
        </w:rPr>
        <w:t>风险和报酬的，继续确认所转移的金融资产。公司既没有转移也没有保留金融资产所有权上</w:t>
      </w:r>
      <w:r>
        <w:rPr>
          <w:rFonts w:ascii="宋体" w:eastAsia="宋体" w:hAnsi="宋体" w:cs="宋体"/>
          <w:spacing w:val="18"/>
          <w:sz w:val="20"/>
          <w:szCs w:val="20"/>
        </w:rPr>
        <w:t xml:space="preserve"> </w:t>
      </w:r>
      <w:r>
        <w:rPr>
          <w:rFonts w:ascii="宋体" w:eastAsia="宋体" w:hAnsi="宋体" w:cs="宋体"/>
          <w:spacing w:val="7"/>
          <w:sz w:val="20"/>
          <w:szCs w:val="20"/>
        </w:rPr>
        <w:t>几乎所有的风险和报酬的，分别下列情况处理：(1) 未保留对该金融资产控制的，终止确认</w:t>
      </w:r>
      <w:r>
        <w:rPr>
          <w:rFonts w:ascii="宋体" w:eastAsia="宋体" w:hAnsi="宋体" w:cs="宋体"/>
          <w:spacing w:val="4"/>
          <w:sz w:val="20"/>
          <w:szCs w:val="20"/>
        </w:rPr>
        <w:t xml:space="preserve"> </w:t>
      </w:r>
      <w:r>
        <w:rPr>
          <w:rFonts w:ascii="宋体" w:eastAsia="宋体" w:hAnsi="宋体" w:cs="宋体"/>
          <w:spacing w:val="7"/>
          <w:sz w:val="20"/>
          <w:szCs w:val="20"/>
        </w:rPr>
        <w:t xml:space="preserve">该金融资产，并将转移中产生或保留的权利和义务单独确认为资产或负债；(2) 保留了对该 </w:t>
      </w:r>
      <w:r>
        <w:rPr>
          <w:rFonts w:ascii="宋体" w:eastAsia="宋体" w:hAnsi="宋体" w:cs="宋体"/>
          <w:spacing w:val="8"/>
          <w:sz w:val="20"/>
          <w:szCs w:val="20"/>
        </w:rPr>
        <w:t>金融资产控制的，按照继续涉入所转移金融资产</w:t>
      </w:r>
      <w:r>
        <w:rPr>
          <w:rFonts w:ascii="宋体" w:eastAsia="宋体" w:hAnsi="宋体" w:cs="宋体"/>
          <w:spacing w:val="7"/>
          <w:sz w:val="20"/>
          <w:szCs w:val="20"/>
        </w:rPr>
        <w:t>的程度确认有关金融资产，并相应确认有关</w:t>
      </w:r>
    </w:p>
    <w:p>
      <w:pPr>
        <w:spacing w:line="227" w:lineRule="auto"/>
        <w:ind w:left="28"/>
        <w:rPr>
          <w:rFonts w:ascii="宋体" w:eastAsia="宋体" w:hAnsi="宋体" w:cs="宋体"/>
          <w:sz w:val="20"/>
          <w:szCs w:val="20"/>
        </w:rPr>
      </w:pPr>
      <w:r>
        <w:rPr>
          <w:rFonts w:ascii="宋体" w:eastAsia="宋体" w:hAnsi="宋体" w:cs="宋体"/>
          <w:sz w:val="20"/>
          <w:szCs w:val="20"/>
        </w:rPr>
        <w:t>负债。</w:t>
      </w:r>
    </w:p>
    <w:p>
      <w:pPr>
        <w:spacing w:before="221" w:line="432" w:lineRule="auto"/>
        <w:ind w:left="19" w:right="1485" w:firstLine="422"/>
        <w:jc w:val="both"/>
        <w:rPr>
          <w:rFonts w:ascii="宋体" w:eastAsia="宋体" w:hAnsi="宋体" w:cs="宋体"/>
          <w:sz w:val="20"/>
          <w:szCs w:val="20"/>
        </w:rPr>
      </w:pPr>
      <w:r>
        <w:rPr>
          <w:rFonts w:ascii="宋体" w:eastAsia="宋体" w:hAnsi="宋体" w:cs="宋体"/>
          <w:spacing w:val="7"/>
          <w:sz w:val="20"/>
          <w:szCs w:val="20"/>
        </w:rPr>
        <w:t>金融资产整体转移满足终止确认条件的，将下列两项金额的差额计入当期损益：(1) 所</w:t>
      </w:r>
      <w:r>
        <w:rPr>
          <w:rFonts w:ascii="宋体" w:eastAsia="宋体" w:hAnsi="宋体" w:cs="宋体"/>
          <w:sz w:val="20"/>
          <w:szCs w:val="20"/>
        </w:rPr>
        <w:t xml:space="preserve"> </w:t>
      </w:r>
      <w:r>
        <w:rPr>
          <w:rFonts w:ascii="宋体" w:eastAsia="宋体" w:hAnsi="宋体" w:cs="宋体"/>
          <w:spacing w:val="7"/>
          <w:sz w:val="20"/>
          <w:szCs w:val="20"/>
        </w:rPr>
        <w:t>转移金融资产在终止确认日的账面价值；(2) 因转移金融资产而收到的对价，与原直接计入</w:t>
      </w:r>
      <w:r>
        <w:rPr>
          <w:rFonts w:ascii="宋体" w:eastAsia="宋体" w:hAnsi="宋体" w:cs="宋体"/>
          <w:spacing w:val="6"/>
          <w:sz w:val="20"/>
          <w:szCs w:val="20"/>
        </w:rPr>
        <w:t xml:space="preserve"> </w:t>
      </w:r>
      <w:r>
        <w:rPr>
          <w:rFonts w:ascii="宋体" w:eastAsia="宋体" w:hAnsi="宋体" w:cs="宋体"/>
          <w:spacing w:val="8"/>
          <w:sz w:val="20"/>
          <w:szCs w:val="20"/>
        </w:rPr>
        <w:t>其他综合收益的公允价值变动累计额中对应终止确认</w:t>
      </w:r>
      <w:r>
        <w:rPr>
          <w:rFonts w:ascii="宋体" w:eastAsia="宋体" w:hAnsi="宋体" w:cs="宋体"/>
          <w:spacing w:val="7"/>
          <w:sz w:val="20"/>
          <w:szCs w:val="20"/>
        </w:rPr>
        <w:t>部分的金额（涉及转移的金融资产为以</w:t>
      </w:r>
      <w:r>
        <w:rPr>
          <w:rFonts w:ascii="宋体" w:eastAsia="宋体" w:hAnsi="宋体" w:cs="宋体"/>
          <w:sz w:val="20"/>
          <w:szCs w:val="20"/>
        </w:rPr>
        <w:t xml:space="preserve"> </w:t>
      </w:r>
      <w:r>
        <w:rPr>
          <w:rFonts w:ascii="宋体" w:eastAsia="宋体" w:hAnsi="宋体" w:cs="宋体"/>
          <w:spacing w:val="4"/>
          <w:sz w:val="20"/>
          <w:szCs w:val="20"/>
        </w:rPr>
        <w:t>公允价值计量且其变动计入其他综合收益的债务工具投资）之和。转移了</w:t>
      </w:r>
      <w:r>
        <w:rPr>
          <w:rFonts w:ascii="宋体" w:eastAsia="宋体" w:hAnsi="宋体" w:cs="宋体"/>
          <w:spacing w:val="3"/>
          <w:sz w:val="20"/>
          <w:szCs w:val="20"/>
        </w:rPr>
        <w:t>金融资产的一部分，</w:t>
      </w:r>
      <w:r>
        <w:rPr>
          <w:rFonts w:ascii="宋体" w:eastAsia="宋体" w:hAnsi="宋体" w:cs="宋体"/>
          <w:sz w:val="20"/>
          <w:szCs w:val="20"/>
        </w:rPr>
        <w:t xml:space="preserve"> </w:t>
      </w:r>
      <w:r>
        <w:rPr>
          <w:rFonts w:ascii="宋体" w:eastAsia="宋体" w:hAnsi="宋体" w:cs="宋体"/>
          <w:spacing w:val="8"/>
          <w:sz w:val="20"/>
          <w:szCs w:val="20"/>
        </w:rPr>
        <w:t>且该被转移部分整体满足终止确认条件的，将转移前</w:t>
      </w:r>
      <w:r>
        <w:rPr>
          <w:rFonts w:ascii="宋体" w:eastAsia="宋体" w:hAnsi="宋体" w:cs="宋体"/>
          <w:spacing w:val="7"/>
          <w:sz w:val="20"/>
          <w:szCs w:val="20"/>
        </w:rPr>
        <w:t>金融资产整体的账面价值，在终止确认</w:t>
      </w:r>
      <w:r>
        <w:rPr>
          <w:rFonts w:ascii="宋体" w:eastAsia="宋体" w:hAnsi="宋体" w:cs="宋体"/>
          <w:sz w:val="20"/>
          <w:szCs w:val="20"/>
        </w:rPr>
        <w:t xml:space="preserve"> </w:t>
      </w:r>
      <w:r>
        <w:rPr>
          <w:rFonts w:ascii="宋体" w:eastAsia="宋体" w:hAnsi="宋体" w:cs="宋体"/>
          <w:spacing w:val="8"/>
          <w:sz w:val="20"/>
          <w:szCs w:val="20"/>
        </w:rPr>
        <w:t>部分和继续确认部分之间，按照转移日各自的相对公</w:t>
      </w:r>
      <w:r>
        <w:rPr>
          <w:rFonts w:ascii="宋体" w:eastAsia="宋体" w:hAnsi="宋体" w:cs="宋体"/>
          <w:spacing w:val="7"/>
          <w:sz w:val="20"/>
          <w:szCs w:val="20"/>
        </w:rPr>
        <w:t>允价值进行分摊，并将下列两项金额的</w:t>
      </w:r>
      <w:r>
        <w:rPr>
          <w:rFonts w:ascii="宋体" w:eastAsia="宋体" w:hAnsi="宋体" w:cs="宋体"/>
          <w:sz w:val="20"/>
          <w:szCs w:val="20"/>
        </w:rPr>
        <w:t xml:space="preserve"> </w:t>
      </w:r>
      <w:r>
        <w:rPr>
          <w:rFonts w:ascii="宋体" w:eastAsia="宋体" w:hAnsi="宋体" w:cs="宋体"/>
          <w:spacing w:val="7"/>
          <w:sz w:val="20"/>
          <w:szCs w:val="20"/>
        </w:rPr>
        <w:t>差额计入当期损益：(1) 终止确认部分的账面价值；(2) 终止确认部分的对价，</w:t>
      </w:r>
      <w:r>
        <w:rPr>
          <w:rFonts w:ascii="宋体" w:eastAsia="宋体" w:hAnsi="宋体" w:cs="宋体"/>
          <w:spacing w:val="6"/>
          <w:sz w:val="20"/>
          <w:szCs w:val="20"/>
        </w:rPr>
        <w:t>与原直接计</w:t>
      </w:r>
      <w:r>
        <w:rPr>
          <w:rFonts w:ascii="宋体" w:eastAsia="宋体" w:hAnsi="宋体" w:cs="宋体"/>
          <w:sz w:val="20"/>
          <w:szCs w:val="20"/>
        </w:rPr>
        <w:t xml:space="preserve"> </w:t>
      </w:r>
      <w:r>
        <w:rPr>
          <w:rFonts w:ascii="宋体" w:eastAsia="宋体" w:hAnsi="宋体" w:cs="宋体"/>
          <w:spacing w:val="8"/>
          <w:sz w:val="20"/>
          <w:szCs w:val="20"/>
        </w:rPr>
        <w:t>入其他综合收益的公允价值变动累计额中对应</w:t>
      </w:r>
      <w:r>
        <w:rPr>
          <w:rFonts w:ascii="宋体" w:eastAsia="宋体" w:hAnsi="宋体" w:cs="宋体"/>
          <w:spacing w:val="7"/>
          <w:sz w:val="20"/>
          <w:szCs w:val="20"/>
        </w:rPr>
        <w:t>终止确认部分的金额（涉及转移的金融资产为</w:t>
      </w:r>
    </w:p>
    <w:p>
      <w:pPr>
        <w:spacing w:line="226" w:lineRule="auto"/>
        <w:ind w:left="43"/>
        <w:rPr>
          <w:rFonts w:ascii="宋体" w:eastAsia="宋体" w:hAnsi="宋体" w:cs="宋体"/>
          <w:sz w:val="20"/>
          <w:szCs w:val="20"/>
        </w:rPr>
      </w:pPr>
      <w:r>
        <w:rPr>
          <w:rFonts w:ascii="宋体" w:eastAsia="宋体" w:hAnsi="宋体" w:cs="宋体"/>
          <w:spacing w:val="8"/>
          <w:sz w:val="20"/>
          <w:szCs w:val="20"/>
        </w:rPr>
        <w:t>以公允价值计量且其变动计入其他综合收益的债务工具投资）之和。</w:t>
      </w:r>
    </w:p>
    <w:p>
      <w:pPr>
        <w:spacing w:before="223" w:line="226" w:lineRule="auto"/>
        <w:ind w:left="439"/>
        <w:outlineLvl w:val="2"/>
        <w:rPr>
          <w:rFonts w:ascii="宋体" w:eastAsia="宋体" w:hAnsi="宋体" w:cs="宋体"/>
          <w:sz w:val="20"/>
          <w:szCs w:val="20"/>
        </w:rPr>
      </w:pPr>
      <w:r>
        <w:rPr>
          <w:rFonts w:ascii="宋体" w:eastAsia="宋体" w:hAnsi="宋体" w:cs="宋体"/>
          <w:spacing w:val="8"/>
          <w:sz w:val="20"/>
          <w:szCs w:val="20"/>
        </w:rPr>
        <w:t>4. 金融资产和金融负债的公允价值确定方法</w:t>
      </w:r>
    </w:p>
    <w:p>
      <w:pPr>
        <w:spacing w:before="223" w:line="468" w:lineRule="exact"/>
        <w:ind w:left="446"/>
        <w:rPr>
          <w:rFonts w:ascii="宋体" w:eastAsia="宋体" w:hAnsi="宋体" w:cs="宋体"/>
          <w:sz w:val="20"/>
          <w:szCs w:val="20"/>
        </w:rPr>
      </w:pPr>
      <w:r>
        <w:rPr>
          <w:rFonts w:ascii="宋体" w:eastAsia="宋体" w:hAnsi="宋体" w:cs="宋体"/>
          <w:spacing w:val="13"/>
          <w:position w:val="20"/>
          <w:sz w:val="20"/>
          <w:szCs w:val="20"/>
        </w:rPr>
        <w:t>公司采用在当前情况下适用并且有足够可利用数据和其他信息支持的估</w:t>
      </w:r>
      <w:r>
        <w:rPr>
          <w:rFonts w:ascii="宋体" w:eastAsia="宋体" w:hAnsi="宋体" w:cs="宋体"/>
          <w:spacing w:val="12"/>
          <w:position w:val="20"/>
          <w:sz w:val="20"/>
          <w:szCs w:val="20"/>
        </w:rPr>
        <w:t>值技术确定相</w:t>
      </w:r>
    </w:p>
    <w:p>
      <w:pPr>
        <w:spacing w:line="226" w:lineRule="auto"/>
        <w:ind w:left="23"/>
        <w:rPr>
          <w:rFonts w:ascii="宋体" w:eastAsia="宋体" w:hAnsi="宋体" w:cs="宋体"/>
          <w:sz w:val="20"/>
          <w:szCs w:val="20"/>
        </w:rPr>
      </w:pPr>
      <w:r>
        <w:rPr>
          <w:rFonts w:ascii="宋体" w:eastAsia="宋体" w:hAnsi="宋体" w:cs="宋体"/>
          <w:spacing w:val="5"/>
          <w:sz w:val="20"/>
          <w:szCs w:val="20"/>
        </w:rPr>
        <w:t>关金融资产和金融负债的公允价值。公司将估值技术使用的输入值</w:t>
      </w:r>
      <w:r>
        <w:rPr>
          <w:rFonts w:ascii="宋体" w:eastAsia="宋体" w:hAnsi="宋体" w:cs="宋体"/>
          <w:spacing w:val="4"/>
          <w:sz w:val="20"/>
          <w:szCs w:val="20"/>
        </w:rPr>
        <w:t>分以下层级，并依次使用：</w:t>
      </w:r>
    </w:p>
    <w:p>
      <w:pPr>
        <w:spacing w:before="223" w:line="468" w:lineRule="exact"/>
        <w:ind w:left="476"/>
        <w:rPr>
          <w:rFonts w:ascii="宋体" w:eastAsia="宋体" w:hAnsi="宋体" w:cs="宋体"/>
          <w:sz w:val="20"/>
          <w:szCs w:val="20"/>
        </w:rPr>
      </w:pPr>
      <w:r>
        <w:rPr>
          <w:rFonts w:ascii="宋体" w:eastAsia="宋体" w:hAnsi="宋体" w:cs="宋体"/>
          <w:spacing w:val="11"/>
          <w:position w:val="20"/>
          <w:sz w:val="20"/>
          <w:szCs w:val="20"/>
        </w:rPr>
        <w:t>(1) 第一层次输入值是在计量日能够取得的相同资产或负债在活跃市场上未经调整的</w:t>
      </w:r>
    </w:p>
    <w:p>
      <w:pPr>
        <w:spacing w:line="226" w:lineRule="auto"/>
        <w:ind w:left="18"/>
        <w:rPr>
          <w:rFonts w:ascii="宋体" w:eastAsia="宋体" w:hAnsi="宋体" w:cs="宋体"/>
          <w:sz w:val="20"/>
          <w:szCs w:val="20"/>
        </w:rPr>
      </w:pPr>
      <w:r>
        <w:rPr>
          <w:rFonts w:ascii="宋体" w:eastAsia="宋体" w:hAnsi="宋体" w:cs="宋体"/>
          <w:spacing w:val="3"/>
          <w:sz w:val="20"/>
          <w:szCs w:val="20"/>
        </w:rPr>
        <w:t>报价；</w:t>
      </w:r>
    </w:p>
    <w:p>
      <w:pPr>
        <w:spacing w:before="223" w:line="432" w:lineRule="auto"/>
        <w:ind w:left="19" w:right="1487" w:firstLine="456"/>
        <w:rPr>
          <w:rFonts w:ascii="宋体" w:eastAsia="宋体" w:hAnsi="宋体" w:cs="宋体"/>
          <w:sz w:val="20"/>
          <w:szCs w:val="20"/>
        </w:rPr>
      </w:pPr>
      <w:r>
        <w:rPr>
          <w:rFonts w:ascii="宋体" w:eastAsia="宋体" w:hAnsi="宋体" w:cs="宋体"/>
          <w:spacing w:val="11"/>
          <w:sz w:val="20"/>
          <w:szCs w:val="20"/>
        </w:rPr>
        <w:t>(2) 第二层次输入值是除第一层次输入值外相关资产或负债直接或间接可观察的输入</w:t>
      </w:r>
      <w:r>
        <w:rPr>
          <w:rFonts w:ascii="宋体" w:eastAsia="宋体" w:hAnsi="宋体" w:cs="宋体"/>
          <w:spacing w:val="13"/>
          <w:sz w:val="20"/>
          <w:szCs w:val="20"/>
        </w:rPr>
        <w:t xml:space="preserve"> </w:t>
      </w:r>
      <w:r>
        <w:rPr>
          <w:rFonts w:ascii="宋体" w:eastAsia="宋体" w:hAnsi="宋体" w:cs="宋体"/>
          <w:spacing w:val="4"/>
          <w:sz w:val="20"/>
          <w:szCs w:val="20"/>
        </w:rPr>
        <w:t>值，包括：活跃市场中类似资产或负债的报价；非活跃市场中相同</w:t>
      </w:r>
      <w:r>
        <w:rPr>
          <w:rFonts w:ascii="宋体" w:eastAsia="宋体" w:hAnsi="宋体" w:cs="宋体"/>
          <w:spacing w:val="3"/>
          <w:sz w:val="20"/>
          <w:szCs w:val="20"/>
        </w:rPr>
        <w:t>或类似资产或负债的报价；</w:t>
      </w:r>
      <w:r>
        <w:rPr>
          <w:rFonts w:ascii="宋体" w:eastAsia="宋体" w:hAnsi="宋体" w:cs="宋体"/>
          <w:sz w:val="20"/>
          <w:szCs w:val="20"/>
        </w:rPr>
        <w:t xml:space="preserve"> </w:t>
      </w:r>
      <w:r>
        <w:rPr>
          <w:rFonts w:ascii="宋体" w:eastAsia="宋体" w:hAnsi="宋体" w:cs="宋体"/>
          <w:spacing w:val="8"/>
          <w:sz w:val="20"/>
          <w:szCs w:val="20"/>
        </w:rPr>
        <w:t>除报价以外的其他可观察输入值，如在正常报价间隔期间可观</w:t>
      </w:r>
      <w:r>
        <w:rPr>
          <w:rFonts w:ascii="宋体" w:eastAsia="宋体" w:hAnsi="宋体" w:cs="宋体"/>
          <w:spacing w:val="7"/>
          <w:sz w:val="20"/>
          <w:szCs w:val="20"/>
        </w:rPr>
        <w:t>察的利率和收益率曲线等；市</w:t>
      </w:r>
    </w:p>
    <w:p>
      <w:pPr>
        <w:spacing w:before="1" w:line="227" w:lineRule="auto"/>
        <w:ind w:left="19"/>
        <w:rPr>
          <w:rFonts w:ascii="宋体" w:eastAsia="宋体" w:hAnsi="宋体" w:cs="宋体"/>
          <w:sz w:val="20"/>
          <w:szCs w:val="20"/>
        </w:rPr>
      </w:pPr>
      <w:r>
        <w:rPr>
          <w:rFonts w:ascii="宋体" w:eastAsia="宋体" w:hAnsi="宋体" w:cs="宋体"/>
          <w:spacing w:val="7"/>
          <w:sz w:val="20"/>
          <w:szCs w:val="20"/>
        </w:rPr>
        <w:t>场验证的输入值等；</w:t>
      </w:r>
    </w:p>
    <w:p>
      <w:pPr>
        <w:spacing w:before="221" w:line="432" w:lineRule="auto"/>
        <w:ind w:left="21" w:right="1537" w:firstLine="455"/>
        <w:rPr>
          <w:rFonts w:ascii="宋体" w:eastAsia="宋体" w:hAnsi="宋体" w:cs="宋体"/>
          <w:sz w:val="20"/>
          <w:szCs w:val="20"/>
        </w:rPr>
      </w:pPr>
      <w:r>
        <w:rPr>
          <w:rFonts w:ascii="宋体" w:eastAsia="宋体" w:hAnsi="宋体" w:cs="宋体"/>
          <w:spacing w:val="6"/>
          <w:sz w:val="20"/>
          <w:szCs w:val="20"/>
        </w:rPr>
        <w:t>(3) 第三层次输入值是相关资产或负债的不可观察输入值，包括不能直接观察或无法由</w:t>
      </w:r>
      <w:r>
        <w:rPr>
          <w:rFonts w:ascii="宋体" w:eastAsia="宋体" w:hAnsi="宋体" w:cs="宋体"/>
          <w:spacing w:val="2"/>
          <w:sz w:val="20"/>
          <w:szCs w:val="20"/>
        </w:rPr>
        <w:t xml:space="preserve"> </w:t>
      </w:r>
      <w:r>
        <w:rPr>
          <w:rFonts w:ascii="宋体" w:eastAsia="宋体" w:hAnsi="宋体" w:cs="宋体"/>
          <w:spacing w:val="8"/>
          <w:sz w:val="20"/>
          <w:szCs w:val="20"/>
        </w:rPr>
        <w:t>可观察市场数据验证的利率、股票波动率、企</w:t>
      </w:r>
      <w:r>
        <w:rPr>
          <w:rFonts w:ascii="宋体" w:eastAsia="宋体" w:hAnsi="宋体" w:cs="宋体"/>
          <w:spacing w:val="7"/>
          <w:sz w:val="20"/>
          <w:szCs w:val="20"/>
        </w:rPr>
        <w:t>业合并中承担的弃置义务的未来现金流量、使</w:t>
      </w:r>
    </w:p>
    <w:p>
      <w:pPr>
        <w:spacing w:before="1" w:line="227" w:lineRule="auto"/>
        <w:ind w:left="21"/>
        <w:rPr>
          <w:rFonts w:ascii="宋体" w:eastAsia="宋体" w:hAnsi="宋体" w:cs="宋体"/>
          <w:sz w:val="20"/>
          <w:szCs w:val="20"/>
        </w:rPr>
      </w:pPr>
      <w:r>
        <w:rPr>
          <w:rFonts w:ascii="宋体" w:eastAsia="宋体" w:hAnsi="宋体" w:cs="宋体"/>
          <w:spacing w:val="8"/>
          <w:sz w:val="20"/>
          <w:szCs w:val="20"/>
        </w:rPr>
        <w:t>用自身数据作出的财务预测等。</w:t>
      </w:r>
    </w:p>
    <w:p>
      <w:pPr>
        <w:spacing w:before="221" w:line="228" w:lineRule="auto"/>
        <w:ind w:left="444"/>
        <w:outlineLvl w:val="2"/>
        <w:rPr>
          <w:rFonts w:ascii="宋体" w:eastAsia="宋体" w:hAnsi="宋体" w:cs="宋体"/>
          <w:sz w:val="20"/>
          <w:szCs w:val="20"/>
        </w:rPr>
      </w:pPr>
      <w:r>
        <w:rPr>
          <w:rFonts w:ascii="宋体" w:eastAsia="宋体" w:hAnsi="宋体" w:cs="宋体"/>
          <w:spacing w:val="6"/>
          <w:sz w:val="20"/>
          <w:szCs w:val="20"/>
        </w:rPr>
        <w:t>5. 金融工具减值</w:t>
      </w:r>
    </w:p>
    <w:p>
      <w:pPr>
        <w:spacing w:before="222" w:line="226" w:lineRule="auto"/>
        <w:ind w:left="446"/>
        <w:rPr>
          <w:rFonts w:ascii="宋体" w:eastAsia="宋体" w:hAnsi="宋体" w:cs="宋体"/>
          <w:sz w:val="20"/>
          <w:szCs w:val="20"/>
        </w:rPr>
      </w:pPr>
      <w:r>
        <w:rPr>
          <w:rFonts w:ascii="宋体" w:eastAsia="宋体" w:hAnsi="宋体" w:cs="宋体"/>
          <w:spacing w:val="7"/>
          <w:sz w:val="20"/>
          <w:szCs w:val="20"/>
        </w:rPr>
        <w:t>公司以预期信用损失为基础，对以摊余成本计量的金融资产、以公允价值计量且其变动</w:t>
      </w:r>
    </w:p>
    <w:p>
      <w:pPr>
        <w:spacing w:before="255" w:line="219" w:lineRule="auto"/>
        <w:ind w:left="3409"/>
        <w:rPr>
          <w:rFonts w:ascii="宋体" w:eastAsia="宋体" w:hAnsi="宋体" w:cs="宋体"/>
          <w:sz w:val="18"/>
          <w:szCs w:val="18"/>
        </w:rPr>
      </w:pPr>
      <w:r>
        <w:rPr>
          <w:rFonts w:ascii="宋体" w:eastAsia="宋体" w:hAnsi="宋体" w:cs="宋体"/>
          <w:spacing w:val="-6"/>
          <w:sz w:val="18"/>
          <w:szCs w:val="18"/>
        </w:rPr>
        <w:t>第</w:t>
      </w:r>
      <w:r>
        <w:rPr>
          <w:rFonts w:ascii="宋体" w:eastAsia="宋体" w:hAnsi="宋体" w:cs="宋体"/>
          <w:spacing w:val="23"/>
          <w:w w:val="101"/>
          <w:sz w:val="18"/>
          <w:szCs w:val="18"/>
        </w:rPr>
        <w:t xml:space="preserve"> </w:t>
      </w:r>
      <w:r>
        <w:rPr>
          <w:rFonts w:ascii="宋体" w:eastAsia="宋体" w:hAnsi="宋体" w:cs="宋体"/>
          <w:spacing w:val="-6"/>
          <w:sz w:val="18"/>
          <w:szCs w:val="18"/>
        </w:rPr>
        <w:t>16</w:t>
      </w:r>
      <w:r>
        <w:rPr>
          <w:rFonts w:ascii="宋体" w:eastAsia="宋体" w:hAnsi="宋体" w:cs="宋体"/>
          <w:spacing w:val="11"/>
          <w:sz w:val="18"/>
          <w:szCs w:val="18"/>
        </w:rPr>
        <w:t xml:space="preserve"> </w:t>
      </w:r>
      <w:r>
        <w:rPr>
          <w:rFonts w:ascii="宋体" w:eastAsia="宋体" w:hAnsi="宋体" w:cs="宋体"/>
          <w:spacing w:val="-6"/>
          <w:sz w:val="18"/>
          <w:szCs w:val="18"/>
        </w:rPr>
        <w:t>页 共</w:t>
      </w:r>
      <w:r>
        <w:rPr>
          <w:rFonts w:ascii="宋体" w:eastAsia="宋体" w:hAnsi="宋体" w:cs="宋体"/>
          <w:spacing w:val="12"/>
          <w:sz w:val="18"/>
          <w:szCs w:val="18"/>
        </w:rPr>
        <w:t xml:space="preserve"> </w:t>
      </w:r>
      <w:r>
        <w:rPr>
          <w:rFonts w:ascii="宋体" w:eastAsia="宋体" w:hAnsi="宋体" w:cs="宋体"/>
          <w:spacing w:val="-6"/>
          <w:sz w:val="18"/>
          <w:szCs w:val="18"/>
        </w:rPr>
        <w:t>59</w:t>
      </w:r>
      <w:r>
        <w:rPr>
          <w:rFonts w:ascii="宋体" w:eastAsia="宋体" w:hAnsi="宋体" w:cs="宋体"/>
          <w:spacing w:val="9"/>
          <w:sz w:val="18"/>
          <w:szCs w:val="18"/>
        </w:rPr>
        <w:t xml:space="preserve"> </w:t>
      </w:r>
      <w:r>
        <w:rPr>
          <w:rFonts w:ascii="宋体" w:eastAsia="宋体" w:hAnsi="宋体" w:cs="宋体"/>
          <w:spacing w:val="-6"/>
          <w:sz w:val="18"/>
          <w:szCs w:val="18"/>
        </w:rPr>
        <w:t>页</w:t>
      </w:r>
    </w:p>
    <w:p>
      <w:pPr>
        <w:spacing w:line="219" w:lineRule="auto"/>
        <w:rPr>
          <w:rFonts w:ascii="宋体" w:eastAsia="宋体" w:hAnsi="宋体" w:cs="宋体"/>
          <w:sz w:val="18"/>
          <w:szCs w:val="18"/>
        </w:rPr>
        <w:sectPr>
          <w:headerReference w:type="default" r:id="rId41"/>
          <w:footerReference w:type="default" r:id="rId42"/>
          <w:pgSz w:w="11906" w:h="16839"/>
          <w:pgMar w:top="400" w:right="259" w:bottom="400" w:left="1785" w:header="0" w:footer="0" w:gutter="0"/>
          <w:pgNumType w:start="17"/>
          <w:cols w:num="1" w:space="720"/>
        </w:sectPr>
      </w:pPr>
    </w:p>
    <w:p>
      <w:pPr>
        <w:spacing w:line="274" w:lineRule="auto"/>
      </w:pPr>
    </w:p>
    <w:p>
      <w:pPr>
        <w:spacing w:line="274" w:lineRule="auto"/>
      </w:pPr>
    </w:p>
    <w:p>
      <w:pPr>
        <w:spacing w:line="274" w:lineRule="auto"/>
      </w:pPr>
    </w:p>
    <w:p>
      <w:pPr>
        <w:spacing w:line="274" w:lineRule="auto"/>
      </w:pPr>
    </w:p>
    <w:p>
      <w:pPr>
        <w:spacing w:before="65" w:line="432" w:lineRule="auto"/>
        <w:ind w:left="19" w:right="1539"/>
        <w:jc w:val="both"/>
        <w:rPr>
          <w:rFonts w:ascii="宋体" w:eastAsia="宋体" w:hAnsi="宋体" w:cs="宋体"/>
          <w:sz w:val="20"/>
          <w:szCs w:val="20"/>
        </w:rPr>
      </w:pPr>
      <w:r>
        <w:rPr>
          <w:rFonts w:ascii="宋体" w:eastAsia="宋体" w:hAnsi="宋体" w:cs="宋体"/>
          <w:spacing w:val="8"/>
          <w:sz w:val="20"/>
          <w:szCs w:val="20"/>
        </w:rPr>
        <w:t>计入其他综合收益的债务工具投资、合同资</w:t>
      </w:r>
      <w:r>
        <w:rPr>
          <w:rFonts w:ascii="宋体" w:eastAsia="宋体" w:hAnsi="宋体" w:cs="宋体"/>
          <w:spacing w:val="7"/>
          <w:sz w:val="20"/>
          <w:szCs w:val="20"/>
        </w:rPr>
        <w:t>产、租赁应收款、分类为以公允价值计量且其变</w:t>
      </w:r>
      <w:r>
        <w:rPr>
          <w:rFonts w:ascii="宋体" w:eastAsia="宋体" w:hAnsi="宋体" w:cs="宋体"/>
          <w:sz w:val="20"/>
          <w:szCs w:val="20"/>
        </w:rPr>
        <w:t xml:space="preserve"> </w:t>
      </w:r>
      <w:r>
        <w:rPr>
          <w:rFonts w:ascii="宋体" w:eastAsia="宋体" w:hAnsi="宋体" w:cs="宋体"/>
          <w:spacing w:val="7"/>
          <w:sz w:val="20"/>
          <w:szCs w:val="20"/>
        </w:rPr>
        <w:t>动计入当期损益的金融负债以外的贷款承诺、不属于以公允价值计量且其变动计入当期损益</w:t>
      </w:r>
      <w:r>
        <w:rPr>
          <w:rFonts w:ascii="宋体" w:eastAsia="宋体" w:hAnsi="宋体" w:cs="宋体"/>
          <w:spacing w:val="18"/>
          <w:sz w:val="20"/>
          <w:szCs w:val="20"/>
        </w:rPr>
        <w:t xml:space="preserve"> </w:t>
      </w:r>
      <w:r>
        <w:rPr>
          <w:rFonts w:ascii="宋体" w:eastAsia="宋体" w:hAnsi="宋体" w:cs="宋体"/>
          <w:spacing w:val="13"/>
          <w:sz w:val="20"/>
          <w:szCs w:val="20"/>
        </w:rPr>
        <w:t>的金融负债或不属于金融资产转移不符合终止确认条件或继续涉入被</w:t>
      </w:r>
      <w:r>
        <w:rPr>
          <w:rFonts w:ascii="宋体" w:eastAsia="宋体" w:hAnsi="宋体" w:cs="宋体"/>
          <w:spacing w:val="12"/>
          <w:sz w:val="20"/>
          <w:szCs w:val="20"/>
        </w:rPr>
        <w:t>转移金融资产所形成</w:t>
      </w:r>
    </w:p>
    <w:p>
      <w:pPr>
        <w:spacing w:line="227" w:lineRule="auto"/>
        <w:ind w:left="36"/>
        <w:rPr>
          <w:rFonts w:ascii="宋体" w:eastAsia="宋体" w:hAnsi="宋体" w:cs="宋体"/>
          <w:sz w:val="20"/>
          <w:szCs w:val="20"/>
        </w:rPr>
      </w:pPr>
      <w:r>
        <w:rPr>
          <w:rFonts w:ascii="宋体" w:eastAsia="宋体" w:hAnsi="宋体" w:cs="宋体"/>
          <w:spacing w:val="8"/>
          <w:sz w:val="20"/>
          <w:szCs w:val="20"/>
        </w:rPr>
        <w:t>的金融负债的财务担保合同进行减值处理并确认损失准备。</w:t>
      </w:r>
    </w:p>
    <w:p>
      <w:pPr>
        <w:spacing w:before="221" w:line="432" w:lineRule="auto"/>
        <w:ind w:left="19" w:right="1537" w:firstLine="421"/>
        <w:rPr>
          <w:rFonts w:ascii="宋体" w:eastAsia="宋体" w:hAnsi="宋体" w:cs="宋体"/>
          <w:sz w:val="20"/>
          <w:szCs w:val="20"/>
        </w:rPr>
      </w:pPr>
      <w:r>
        <w:rPr>
          <w:rFonts w:ascii="宋体" w:eastAsia="宋体" w:hAnsi="宋体" w:cs="宋体"/>
          <w:spacing w:val="7"/>
          <w:sz w:val="20"/>
          <w:szCs w:val="20"/>
        </w:rPr>
        <w:t>预期信用损失，是指以发生违约的风险为权重的金融工具信用损失的加权平均值。信用</w:t>
      </w:r>
      <w:r>
        <w:rPr>
          <w:rFonts w:ascii="宋体" w:eastAsia="宋体" w:hAnsi="宋体" w:cs="宋体"/>
          <w:spacing w:val="12"/>
          <w:sz w:val="20"/>
          <w:szCs w:val="20"/>
        </w:rPr>
        <w:t xml:space="preserve"> </w:t>
      </w:r>
      <w:r>
        <w:rPr>
          <w:rFonts w:ascii="宋体" w:eastAsia="宋体" w:hAnsi="宋体" w:cs="宋体"/>
          <w:spacing w:val="8"/>
          <w:sz w:val="20"/>
          <w:szCs w:val="20"/>
        </w:rPr>
        <w:t>损失，是指公司按照原实际利率折现的、根</w:t>
      </w:r>
      <w:r>
        <w:rPr>
          <w:rFonts w:ascii="宋体" w:eastAsia="宋体" w:hAnsi="宋体" w:cs="宋体"/>
          <w:spacing w:val="7"/>
          <w:sz w:val="20"/>
          <w:szCs w:val="20"/>
        </w:rPr>
        <w:t>据合同应收的所有合同现金流量与预期收取的所</w:t>
      </w:r>
      <w:r>
        <w:rPr>
          <w:rFonts w:ascii="宋体" w:eastAsia="宋体" w:hAnsi="宋体" w:cs="宋体"/>
          <w:sz w:val="20"/>
          <w:szCs w:val="20"/>
        </w:rPr>
        <w:t xml:space="preserve"> </w:t>
      </w:r>
      <w:r>
        <w:rPr>
          <w:rFonts w:ascii="宋体" w:eastAsia="宋体" w:hAnsi="宋体" w:cs="宋体"/>
          <w:spacing w:val="8"/>
          <w:sz w:val="20"/>
          <w:szCs w:val="20"/>
        </w:rPr>
        <w:t>有现金流量之间的差额，即全部现金短缺的现值。</w:t>
      </w:r>
      <w:r>
        <w:rPr>
          <w:rFonts w:ascii="宋体" w:eastAsia="宋体" w:hAnsi="宋体" w:cs="宋体"/>
          <w:spacing w:val="7"/>
          <w:sz w:val="20"/>
          <w:szCs w:val="20"/>
        </w:rPr>
        <w:t>其中，对于公司购买或源生的已发生信用</w:t>
      </w:r>
    </w:p>
    <w:p>
      <w:pPr>
        <w:spacing w:line="227" w:lineRule="auto"/>
        <w:ind w:left="19"/>
        <w:rPr>
          <w:rFonts w:ascii="宋体" w:eastAsia="宋体" w:hAnsi="宋体" w:cs="宋体"/>
          <w:sz w:val="20"/>
          <w:szCs w:val="20"/>
        </w:rPr>
      </w:pPr>
      <w:r>
        <w:rPr>
          <w:rFonts w:ascii="宋体" w:eastAsia="宋体" w:hAnsi="宋体" w:cs="宋体"/>
          <w:spacing w:val="9"/>
          <w:sz w:val="20"/>
          <w:szCs w:val="20"/>
        </w:rPr>
        <w:t>减值的金融资产，按照该金融资产经信用调整的实际利率折现。</w:t>
      </w:r>
    </w:p>
    <w:p>
      <w:pPr>
        <w:spacing w:before="222" w:line="468" w:lineRule="exact"/>
        <w:ind w:left="439"/>
        <w:rPr>
          <w:rFonts w:ascii="宋体" w:eastAsia="宋体" w:hAnsi="宋体" w:cs="宋体"/>
          <w:sz w:val="20"/>
          <w:szCs w:val="20"/>
        </w:rPr>
      </w:pPr>
      <w:r>
        <w:rPr>
          <w:rFonts w:ascii="宋体" w:eastAsia="宋体" w:hAnsi="宋体" w:cs="宋体"/>
          <w:spacing w:val="7"/>
          <w:position w:val="20"/>
          <w:sz w:val="20"/>
          <w:szCs w:val="20"/>
        </w:rPr>
        <w:t>对于购买或源生的已发生信用减值的金融资产，公司在资产负债表日仅将自初始确认后</w:t>
      </w:r>
    </w:p>
    <w:p>
      <w:pPr>
        <w:spacing w:line="227" w:lineRule="auto"/>
        <w:ind w:left="20"/>
        <w:rPr>
          <w:rFonts w:ascii="宋体" w:eastAsia="宋体" w:hAnsi="宋体" w:cs="宋体"/>
          <w:sz w:val="20"/>
          <w:szCs w:val="20"/>
        </w:rPr>
      </w:pPr>
      <w:r>
        <w:rPr>
          <w:rFonts w:ascii="宋体" w:eastAsia="宋体" w:hAnsi="宋体" w:cs="宋体"/>
          <w:spacing w:val="9"/>
          <w:sz w:val="20"/>
          <w:szCs w:val="20"/>
        </w:rPr>
        <w:t>整个存续期内预期信用损失的累计变动确认为损失准备。</w:t>
      </w:r>
    </w:p>
    <w:p>
      <w:pPr>
        <w:spacing w:before="222" w:line="432" w:lineRule="auto"/>
        <w:ind w:left="40" w:right="1537" w:firstLine="398"/>
        <w:rPr>
          <w:rFonts w:ascii="宋体" w:eastAsia="宋体" w:hAnsi="宋体" w:cs="宋体"/>
          <w:sz w:val="20"/>
          <w:szCs w:val="20"/>
        </w:rPr>
      </w:pPr>
      <w:r>
        <w:rPr>
          <w:rFonts w:ascii="宋体" w:eastAsia="宋体" w:hAnsi="宋体" w:cs="宋体"/>
          <w:spacing w:val="7"/>
          <w:sz w:val="20"/>
          <w:szCs w:val="20"/>
        </w:rPr>
        <w:t>对于租赁应收款、由《企业会计准则第14号——收入》规范的交易形成的应收款项及合 同资产，公司运用简化计量方法，按照相当于整个存续期内的预期信用损失金额计量损失准</w:t>
      </w:r>
    </w:p>
    <w:p>
      <w:pPr>
        <w:spacing w:line="229" w:lineRule="auto"/>
        <w:ind w:left="22"/>
        <w:rPr>
          <w:rFonts w:ascii="宋体" w:eastAsia="宋体" w:hAnsi="宋体" w:cs="宋体"/>
          <w:sz w:val="20"/>
          <w:szCs w:val="20"/>
        </w:rPr>
      </w:pPr>
      <w:r>
        <w:rPr>
          <w:rFonts w:ascii="宋体" w:eastAsia="宋体" w:hAnsi="宋体" w:cs="宋体"/>
          <w:spacing w:val="-1"/>
          <w:sz w:val="20"/>
          <w:szCs w:val="20"/>
        </w:rPr>
        <w:t>备。</w:t>
      </w:r>
    </w:p>
    <w:p>
      <w:pPr>
        <w:spacing w:before="220" w:line="432" w:lineRule="auto"/>
        <w:ind w:left="19" w:right="1537" w:firstLine="432"/>
        <w:rPr>
          <w:rFonts w:ascii="宋体" w:eastAsia="宋体" w:hAnsi="宋体" w:cs="宋体"/>
          <w:sz w:val="20"/>
          <w:szCs w:val="20"/>
        </w:rPr>
      </w:pPr>
      <w:r>
        <w:rPr>
          <w:rFonts w:ascii="宋体" w:eastAsia="宋体" w:hAnsi="宋体" w:cs="宋体"/>
          <w:spacing w:val="7"/>
          <w:sz w:val="20"/>
          <w:szCs w:val="20"/>
        </w:rPr>
        <w:t>除上述计量方法以外的金融资产，公司在每个资产负债表日评估其信用风险自初始确认</w:t>
      </w:r>
      <w:r>
        <w:rPr>
          <w:rFonts w:ascii="宋体" w:eastAsia="宋体" w:hAnsi="宋体" w:cs="宋体"/>
          <w:spacing w:val="3"/>
          <w:sz w:val="20"/>
          <w:szCs w:val="20"/>
        </w:rPr>
        <w:t xml:space="preserve"> </w:t>
      </w:r>
      <w:r>
        <w:rPr>
          <w:rFonts w:ascii="宋体" w:eastAsia="宋体" w:hAnsi="宋体" w:cs="宋体"/>
          <w:spacing w:val="8"/>
          <w:sz w:val="20"/>
          <w:szCs w:val="20"/>
        </w:rPr>
        <w:t>后是否已经显著增加。如果信用风险自初始</w:t>
      </w:r>
      <w:r>
        <w:rPr>
          <w:rFonts w:ascii="宋体" w:eastAsia="宋体" w:hAnsi="宋体" w:cs="宋体"/>
          <w:spacing w:val="7"/>
          <w:sz w:val="20"/>
          <w:szCs w:val="20"/>
        </w:rPr>
        <w:t>确认后已显著增加，公司按照整个存续期内预期</w:t>
      </w:r>
      <w:r>
        <w:rPr>
          <w:rFonts w:ascii="宋体" w:eastAsia="宋体" w:hAnsi="宋体" w:cs="宋体"/>
          <w:sz w:val="20"/>
          <w:szCs w:val="20"/>
        </w:rPr>
        <w:t xml:space="preserve"> </w:t>
      </w:r>
      <w:r>
        <w:rPr>
          <w:rFonts w:ascii="宋体" w:eastAsia="宋体" w:hAnsi="宋体" w:cs="宋体"/>
          <w:spacing w:val="8"/>
          <w:sz w:val="20"/>
          <w:szCs w:val="20"/>
        </w:rPr>
        <w:t>信用损失的金额计量损失准备；如果信用风</w:t>
      </w:r>
      <w:r>
        <w:rPr>
          <w:rFonts w:ascii="宋体" w:eastAsia="宋体" w:hAnsi="宋体" w:cs="宋体"/>
          <w:spacing w:val="7"/>
          <w:sz w:val="20"/>
          <w:szCs w:val="20"/>
        </w:rPr>
        <w:t>险自初始确认后未显著增加，公司按照该金融工</w:t>
      </w:r>
    </w:p>
    <w:p>
      <w:pPr>
        <w:spacing w:line="227" w:lineRule="auto"/>
        <w:ind w:left="24"/>
        <w:rPr>
          <w:rFonts w:ascii="宋体" w:eastAsia="宋体" w:hAnsi="宋体" w:cs="宋体"/>
          <w:sz w:val="20"/>
          <w:szCs w:val="20"/>
        </w:rPr>
      </w:pPr>
      <w:r>
        <w:rPr>
          <w:rFonts w:ascii="宋体" w:eastAsia="宋体" w:hAnsi="宋体" w:cs="宋体"/>
          <w:spacing w:val="8"/>
          <w:sz w:val="20"/>
          <w:szCs w:val="20"/>
        </w:rPr>
        <w:t>具未来12个月内预期信用损失的金额计量损失准备。</w:t>
      </w:r>
    </w:p>
    <w:p>
      <w:pPr>
        <w:spacing w:before="222" w:line="432" w:lineRule="auto"/>
        <w:ind w:left="20" w:right="1537" w:firstLine="425"/>
        <w:rPr>
          <w:rFonts w:ascii="宋体" w:eastAsia="宋体" w:hAnsi="宋体" w:cs="宋体"/>
          <w:sz w:val="20"/>
          <w:szCs w:val="20"/>
        </w:rPr>
      </w:pPr>
      <w:r>
        <w:rPr>
          <w:rFonts w:ascii="宋体" w:eastAsia="宋体" w:hAnsi="宋体" w:cs="宋体"/>
          <w:spacing w:val="7"/>
          <w:sz w:val="20"/>
          <w:szCs w:val="20"/>
        </w:rPr>
        <w:t xml:space="preserve">公司利用可获得的合理且有依据的信息，包括前瞻性信息，通过比较金融工具在资产负 </w:t>
      </w:r>
      <w:r>
        <w:rPr>
          <w:rFonts w:ascii="宋体" w:eastAsia="宋体" w:hAnsi="宋体" w:cs="宋体"/>
          <w:spacing w:val="8"/>
          <w:sz w:val="20"/>
          <w:szCs w:val="20"/>
        </w:rPr>
        <w:t>债表日发生违约的风险与在初始确认日发生违约</w:t>
      </w:r>
      <w:r>
        <w:rPr>
          <w:rFonts w:ascii="宋体" w:eastAsia="宋体" w:hAnsi="宋体" w:cs="宋体"/>
          <w:spacing w:val="7"/>
          <w:sz w:val="20"/>
          <w:szCs w:val="20"/>
        </w:rPr>
        <w:t>的风险，以确定金融工具的信用风险自初始</w:t>
      </w:r>
    </w:p>
    <w:p>
      <w:pPr>
        <w:spacing w:line="227" w:lineRule="auto"/>
        <w:ind w:left="19"/>
        <w:rPr>
          <w:rFonts w:ascii="宋体" w:eastAsia="宋体" w:hAnsi="宋体" w:cs="宋体"/>
          <w:sz w:val="20"/>
          <w:szCs w:val="20"/>
        </w:rPr>
      </w:pPr>
      <w:r>
        <w:rPr>
          <w:rFonts w:ascii="宋体" w:eastAsia="宋体" w:hAnsi="宋体" w:cs="宋体"/>
          <w:spacing w:val="8"/>
          <w:sz w:val="20"/>
          <w:szCs w:val="20"/>
        </w:rPr>
        <w:t>确认后是否已显著增加。</w:t>
      </w:r>
    </w:p>
    <w:p>
      <w:pPr>
        <w:spacing w:before="222" w:line="468" w:lineRule="exact"/>
        <w:ind w:left="443"/>
        <w:rPr>
          <w:rFonts w:ascii="宋体" w:eastAsia="宋体" w:hAnsi="宋体" w:cs="宋体"/>
          <w:sz w:val="20"/>
          <w:szCs w:val="20"/>
        </w:rPr>
      </w:pPr>
      <w:r>
        <w:rPr>
          <w:rFonts w:ascii="宋体" w:eastAsia="宋体" w:hAnsi="宋体" w:cs="宋体"/>
          <w:spacing w:val="7"/>
          <w:position w:val="20"/>
          <w:sz w:val="20"/>
          <w:szCs w:val="20"/>
        </w:rPr>
        <w:t>于资产负债表日，若公司判断金融工具只具有较低的信用风险，则假定该金融工具的信</w:t>
      </w:r>
    </w:p>
    <w:p>
      <w:pPr>
        <w:spacing w:line="227" w:lineRule="auto"/>
        <w:ind w:left="21"/>
        <w:rPr>
          <w:rFonts w:ascii="宋体" w:eastAsia="宋体" w:hAnsi="宋体" w:cs="宋体"/>
          <w:sz w:val="20"/>
          <w:szCs w:val="20"/>
        </w:rPr>
      </w:pPr>
      <w:r>
        <w:rPr>
          <w:rFonts w:ascii="宋体" w:eastAsia="宋体" w:hAnsi="宋体" w:cs="宋体"/>
          <w:spacing w:val="8"/>
          <w:sz w:val="20"/>
          <w:szCs w:val="20"/>
        </w:rPr>
        <w:t>用风险自初始确认后并未显著增加。</w:t>
      </w:r>
    </w:p>
    <w:p>
      <w:pPr>
        <w:spacing w:before="222" w:line="468" w:lineRule="exact"/>
        <w:ind w:left="446"/>
        <w:rPr>
          <w:rFonts w:ascii="宋体" w:eastAsia="宋体" w:hAnsi="宋体" w:cs="宋体"/>
          <w:sz w:val="20"/>
          <w:szCs w:val="20"/>
        </w:rPr>
      </w:pPr>
      <w:r>
        <w:rPr>
          <w:rFonts w:ascii="宋体" w:eastAsia="宋体" w:hAnsi="宋体" w:cs="宋体"/>
          <w:spacing w:val="8"/>
          <w:position w:val="20"/>
          <w:sz w:val="20"/>
          <w:szCs w:val="20"/>
        </w:rPr>
        <w:t>公司以单项金融工具或金融工具组合为基础评估预</w:t>
      </w:r>
      <w:r>
        <w:rPr>
          <w:rFonts w:ascii="宋体" w:eastAsia="宋体" w:hAnsi="宋体" w:cs="宋体"/>
          <w:spacing w:val="7"/>
          <w:position w:val="20"/>
          <w:sz w:val="20"/>
          <w:szCs w:val="20"/>
        </w:rPr>
        <w:t>期信用风险和计量预期信用损失。当</w:t>
      </w:r>
    </w:p>
    <w:p>
      <w:pPr>
        <w:spacing w:before="1" w:line="226" w:lineRule="auto"/>
        <w:ind w:left="43"/>
        <w:rPr>
          <w:rFonts w:ascii="宋体" w:eastAsia="宋体" w:hAnsi="宋体" w:cs="宋体"/>
          <w:sz w:val="20"/>
          <w:szCs w:val="20"/>
        </w:rPr>
      </w:pPr>
      <w:r>
        <w:rPr>
          <w:rFonts w:ascii="宋体" w:eastAsia="宋体" w:hAnsi="宋体" w:cs="宋体"/>
          <w:spacing w:val="9"/>
          <w:sz w:val="20"/>
          <w:szCs w:val="20"/>
        </w:rPr>
        <w:t>以金融工具组合为基础时，公司以共同风险特征为依据，将金融工具划</w:t>
      </w:r>
      <w:r>
        <w:rPr>
          <w:rFonts w:ascii="宋体" w:eastAsia="宋体" w:hAnsi="宋体" w:cs="宋体"/>
          <w:spacing w:val="8"/>
          <w:sz w:val="20"/>
          <w:szCs w:val="20"/>
        </w:rPr>
        <w:t>分为不同组合。</w:t>
      </w:r>
    </w:p>
    <w:p>
      <w:pPr>
        <w:spacing w:before="222" w:line="432" w:lineRule="auto"/>
        <w:ind w:left="19" w:right="1537" w:firstLine="426"/>
        <w:rPr>
          <w:rFonts w:ascii="宋体" w:eastAsia="宋体" w:hAnsi="宋体" w:cs="宋体"/>
          <w:sz w:val="20"/>
          <w:szCs w:val="20"/>
        </w:rPr>
      </w:pPr>
      <w:r>
        <w:rPr>
          <w:rFonts w:ascii="宋体" w:eastAsia="宋体" w:hAnsi="宋体" w:cs="宋体"/>
          <w:spacing w:val="7"/>
          <w:sz w:val="20"/>
          <w:szCs w:val="20"/>
        </w:rPr>
        <w:t xml:space="preserve">公司在每个资产负债表日重新计量预期信用损失，由此形成的损失准备的增加或转回金 </w:t>
      </w:r>
      <w:r>
        <w:rPr>
          <w:rFonts w:ascii="宋体" w:eastAsia="宋体" w:hAnsi="宋体" w:cs="宋体"/>
          <w:spacing w:val="8"/>
          <w:sz w:val="20"/>
          <w:szCs w:val="20"/>
        </w:rPr>
        <w:t>额，作为减值损失或利得计入当期损益。对于以摊</w:t>
      </w:r>
      <w:r>
        <w:rPr>
          <w:rFonts w:ascii="宋体" w:eastAsia="宋体" w:hAnsi="宋体" w:cs="宋体"/>
          <w:spacing w:val="7"/>
          <w:sz w:val="20"/>
          <w:szCs w:val="20"/>
        </w:rPr>
        <w:t>余成本计量的金融资产，损失准备抵减该</w:t>
      </w:r>
      <w:r>
        <w:rPr>
          <w:rFonts w:ascii="宋体" w:eastAsia="宋体" w:hAnsi="宋体" w:cs="宋体"/>
          <w:sz w:val="20"/>
          <w:szCs w:val="20"/>
        </w:rPr>
        <w:t xml:space="preserve"> </w:t>
      </w:r>
      <w:r>
        <w:rPr>
          <w:rFonts w:ascii="宋体" w:eastAsia="宋体" w:hAnsi="宋体" w:cs="宋体"/>
          <w:spacing w:val="8"/>
          <w:sz w:val="20"/>
          <w:szCs w:val="20"/>
        </w:rPr>
        <w:t>金融资产在资产负债表中列示的账面价值；对于以</w:t>
      </w:r>
      <w:r>
        <w:rPr>
          <w:rFonts w:ascii="宋体" w:eastAsia="宋体" w:hAnsi="宋体" w:cs="宋体"/>
          <w:spacing w:val="7"/>
          <w:sz w:val="20"/>
          <w:szCs w:val="20"/>
        </w:rPr>
        <w:t>公允价值计量且其变动计入其他综合收益</w:t>
      </w:r>
    </w:p>
    <w:p>
      <w:pPr>
        <w:spacing w:line="226" w:lineRule="auto"/>
        <w:ind w:left="36"/>
        <w:rPr>
          <w:rFonts w:ascii="宋体" w:eastAsia="宋体" w:hAnsi="宋体" w:cs="宋体"/>
          <w:sz w:val="20"/>
          <w:szCs w:val="20"/>
        </w:rPr>
      </w:pPr>
      <w:r>
        <w:rPr>
          <w:rFonts w:ascii="宋体" w:eastAsia="宋体" w:hAnsi="宋体" w:cs="宋体"/>
          <w:spacing w:val="9"/>
          <w:sz w:val="20"/>
          <w:szCs w:val="20"/>
        </w:rPr>
        <w:t>的债权投资，公司在其他综合收益中确认其损失准备，不抵减该金融资产的账面价值。</w:t>
      </w:r>
    </w:p>
    <w:p>
      <w:pPr>
        <w:spacing w:before="223" w:line="228" w:lineRule="auto"/>
        <w:ind w:left="441"/>
        <w:outlineLvl w:val="2"/>
        <w:rPr>
          <w:rFonts w:ascii="宋体" w:eastAsia="宋体" w:hAnsi="宋体" w:cs="宋体"/>
          <w:sz w:val="20"/>
          <w:szCs w:val="20"/>
        </w:rPr>
      </w:pPr>
      <w:r>
        <w:rPr>
          <w:rFonts w:ascii="宋体" w:eastAsia="宋体" w:hAnsi="宋体" w:cs="宋体"/>
          <w:spacing w:val="8"/>
          <w:sz w:val="20"/>
          <w:szCs w:val="20"/>
        </w:rPr>
        <w:t>6. 金融资产和金融负债的抵销</w:t>
      </w:r>
    </w:p>
    <w:p>
      <w:pPr>
        <w:spacing w:before="221" w:line="228" w:lineRule="auto"/>
        <w:ind w:left="441"/>
        <w:rPr>
          <w:rFonts w:ascii="宋体" w:eastAsia="宋体" w:hAnsi="宋体" w:cs="宋体"/>
          <w:sz w:val="20"/>
          <w:szCs w:val="20"/>
        </w:rPr>
      </w:pPr>
      <w:r>
        <w:rPr>
          <w:rFonts w:ascii="宋体" w:eastAsia="宋体" w:hAnsi="宋体" w:cs="宋体"/>
          <w:spacing w:val="9"/>
          <w:sz w:val="20"/>
          <w:szCs w:val="20"/>
        </w:rPr>
        <w:t>金融资产和金融负债在资产负债表内分别列示，不相互抵销。但同时满足下列条件的，</w:t>
      </w:r>
    </w:p>
    <w:p>
      <w:pPr>
        <w:spacing w:before="254" w:line="219" w:lineRule="auto"/>
        <w:ind w:left="3409"/>
        <w:rPr>
          <w:rFonts w:ascii="宋体" w:eastAsia="宋体" w:hAnsi="宋体" w:cs="宋体"/>
          <w:sz w:val="18"/>
          <w:szCs w:val="18"/>
        </w:rPr>
      </w:pPr>
      <w:r>
        <w:rPr>
          <w:rFonts w:ascii="宋体" w:eastAsia="宋体" w:hAnsi="宋体" w:cs="宋体"/>
          <w:spacing w:val="-6"/>
          <w:sz w:val="18"/>
          <w:szCs w:val="18"/>
        </w:rPr>
        <w:t>第</w:t>
      </w:r>
      <w:r>
        <w:rPr>
          <w:rFonts w:ascii="宋体" w:eastAsia="宋体" w:hAnsi="宋体" w:cs="宋体"/>
          <w:spacing w:val="23"/>
          <w:w w:val="101"/>
          <w:sz w:val="18"/>
          <w:szCs w:val="18"/>
        </w:rPr>
        <w:t xml:space="preserve"> </w:t>
      </w:r>
      <w:r>
        <w:rPr>
          <w:rFonts w:ascii="宋体" w:eastAsia="宋体" w:hAnsi="宋体" w:cs="宋体"/>
          <w:spacing w:val="-6"/>
          <w:sz w:val="18"/>
          <w:szCs w:val="18"/>
        </w:rPr>
        <w:t>17</w:t>
      </w:r>
      <w:r>
        <w:rPr>
          <w:rFonts w:ascii="宋体" w:eastAsia="宋体" w:hAnsi="宋体" w:cs="宋体"/>
          <w:spacing w:val="11"/>
          <w:sz w:val="18"/>
          <w:szCs w:val="18"/>
        </w:rPr>
        <w:t xml:space="preserve"> </w:t>
      </w:r>
      <w:r>
        <w:rPr>
          <w:rFonts w:ascii="宋体" w:eastAsia="宋体" w:hAnsi="宋体" w:cs="宋体"/>
          <w:spacing w:val="-6"/>
          <w:sz w:val="18"/>
          <w:szCs w:val="18"/>
        </w:rPr>
        <w:t>页 共</w:t>
      </w:r>
      <w:r>
        <w:rPr>
          <w:rFonts w:ascii="宋体" w:eastAsia="宋体" w:hAnsi="宋体" w:cs="宋体"/>
          <w:spacing w:val="12"/>
          <w:sz w:val="18"/>
          <w:szCs w:val="18"/>
        </w:rPr>
        <w:t xml:space="preserve"> </w:t>
      </w:r>
      <w:r>
        <w:rPr>
          <w:rFonts w:ascii="宋体" w:eastAsia="宋体" w:hAnsi="宋体" w:cs="宋体"/>
          <w:spacing w:val="-6"/>
          <w:sz w:val="18"/>
          <w:szCs w:val="18"/>
        </w:rPr>
        <w:t>59</w:t>
      </w:r>
      <w:r>
        <w:rPr>
          <w:rFonts w:ascii="宋体" w:eastAsia="宋体" w:hAnsi="宋体" w:cs="宋体"/>
          <w:spacing w:val="9"/>
          <w:sz w:val="18"/>
          <w:szCs w:val="18"/>
        </w:rPr>
        <w:t xml:space="preserve"> </w:t>
      </w:r>
      <w:r>
        <w:rPr>
          <w:rFonts w:ascii="宋体" w:eastAsia="宋体" w:hAnsi="宋体" w:cs="宋体"/>
          <w:spacing w:val="-6"/>
          <w:sz w:val="18"/>
          <w:szCs w:val="18"/>
        </w:rPr>
        <w:t>页</w:t>
      </w:r>
    </w:p>
    <w:p>
      <w:pPr>
        <w:spacing w:line="219" w:lineRule="auto"/>
        <w:rPr>
          <w:rFonts w:ascii="宋体" w:eastAsia="宋体" w:hAnsi="宋体" w:cs="宋体"/>
          <w:sz w:val="18"/>
          <w:szCs w:val="18"/>
        </w:rPr>
        <w:sectPr>
          <w:headerReference w:type="default" r:id="rId43"/>
          <w:footerReference w:type="default" r:id="rId44"/>
          <w:pgSz w:w="11906" w:h="16839"/>
          <w:pgMar w:top="400" w:right="259" w:bottom="400" w:left="1785" w:header="0" w:footer="0" w:gutter="0"/>
          <w:pgNumType w:start="18"/>
          <w:cols w:num="1" w:space="720"/>
        </w:sectPr>
      </w:pPr>
    </w:p>
    <w:p>
      <w:pPr>
        <w:spacing w:line="274" w:lineRule="auto"/>
      </w:pPr>
    </w:p>
    <w:p>
      <w:pPr>
        <w:spacing w:line="274" w:lineRule="auto"/>
      </w:pPr>
    </w:p>
    <w:p>
      <w:pPr>
        <w:spacing w:line="274" w:lineRule="auto"/>
      </w:pPr>
    </w:p>
    <w:p>
      <w:pPr>
        <w:spacing w:line="274" w:lineRule="auto"/>
      </w:pPr>
    </w:p>
    <w:p>
      <w:pPr>
        <w:spacing w:before="65" w:line="432" w:lineRule="auto"/>
        <w:ind w:left="116" w:right="1501" w:firstLine="6"/>
        <w:jc w:val="both"/>
        <w:rPr>
          <w:rFonts w:ascii="宋体" w:eastAsia="宋体" w:hAnsi="宋体" w:cs="宋体"/>
          <w:sz w:val="20"/>
          <w:szCs w:val="20"/>
        </w:rPr>
      </w:pPr>
      <w:r>
        <w:rPr>
          <w:rFonts w:ascii="宋体" w:eastAsia="宋体" w:hAnsi="宋体" w:cs="宋体"/>
          <w:spacing w:val="7"/>
          <w:sz w:val="20"/>
          <w:szCs w:val="20"/>
        </w:rPr>
        <w:t>公司以相互抵销后的净额在资产负债表内列示：</w:t>
      </w:r>
      <w:r>
        <w:rPr>
          <w:rFonts w:ascii="宋体" w:eastAsia="宋体" w:hAnsi="宋体" w:cs="宋体"/>
          <w:spacing w:val="-43"/>
          <w:sz w:val="20"/>
          <w:szCs w:val="20"/>
        </w:rPr>
        <w:t xml:space="preserve"> </w:t>
      </w:r>
      <w:r>
        <w:rPr>
          <w:rFonts w:ascii="宋体" w:eastAsia="宋体" w:hAnsi="宋体" w:cs="宋体"/>
          <w:spacing w:val="7"/>
          <w:sz w:val="20"/>
          <w:szCs w:val="20"/>
        </w:rPr>
        <w:t>(</w:t>
      </w:r>
      <w:r>
        <w:rPr>
          <w:rFonts w:ascii="宋体" w:eastAsia="宋体" w:hAnsi="宋体" w:cs="宋体"/>
          <w:spacing w:val="6"/>
          <w:sz w:val="20"/>
          <w:szCs w:val="20"/>
        </w:rPr>
        <w:t>1) 公司具有抵销已确认金额的法定权利，</w:t>
      </w:r>
      <w:r>
        <w:rPr>
          <w:rFonts w:ascii="宋体" w:eastAsia="宋体" w:hAnsi="宋体" w:cs="宋体"/>
          <w:sz w:val="20"/>
          <w:szCs w:val="20"/>
        </w:rPr>
        <w:t xml:space="preserve"> </w:t>
      </w:r>
      <w:r>
        <w:rPr>
          <w:rFonts w:ascii="宋体" w:eastAsia="宋体" w:hAnsi="宋体" w:cs="宋体"/>
          <w:spacing w:val="7"/>
          <w:sz w:val="20"/>
          <w:szCs w:val="20"/>
        </w:rPr>
        <w:t>且该种法定权利是当前可执行的；(2) 公司计划以净额结算，或同时变现该金融资产和清偿</w:t>
      </w:r>
    </w:p>
    <w:p>
      <w:pPr>
        <w:spacing w:line="227" w:lineRule="auto"/>
        <w:ind w:left="120"/>
        <w:rPr>
          <w:rFonts w:ascii="宋体" w:eastAsia="宋体" w:hAnsi="宋体" w:cs="宋体"/>
          <w:sz w:val="20"/>
          <w:szCs w:val="20"/>
        </w:rPr>
      </w:pPr>
      <w:r>
        <w:rPr>
          <w:rFonts w:ascii="宋体" w:eastAsia="宋体" w:hAnsi="宋体" w:cs="宋体"/>
          <w:spacing w:val="6"/>
          <w:sz w:val="20"/>
          <w:szCs w:val="20"/>
        </w:rPr>
        <w:t>该金融负债。</w:t>
      </w:r>
    </w:p>
    <w:p>
      <w:pPr>
        <w:spacing w:before="221" w:line="228" w:lineRule="auto"/>
        <w:ind w:left="540"/>
        <w:rPr>
          <w:rFonts w:ascii="宋体" w:eastAsia="宋体" w:hAnsi="宋体" w:cs="宋体"/>
          <w:sz w:val="20"/>
          <w:szCs w:val="20"/>
        </w:rPr>
      </w:pPr>
      <w:r>
        <w:rPr>
          <w:rFonts w:ascii="宋体" w:eastAsia="宋体" w:hAnsi="宋体" w:cs="宋体"/>
          <w:spacing w:val="7"/>
          <w:sz w:val="20"/>
          <w:szCs w:val="20"/>
        </w:rPr>
        <w:t>不满足终止确认条件的金融资产转移，公司不对已转移的金融资产和相关负债进行抵销。</w:t>
      </w:r>
    </w:p>
    <w:p>
      <w:pPr>
        <w:spacing w:before="221" w:line="228" w:lineRule="auto"/>
        <w:ind w:left="573"/>
        <w:outlineLvl w:val="1"/>
        <w:rPr>
          <w:rFonts w:ascii="宋体" w:eastAsia="宋体" w:hAnsi="宋体" w:cs="宋体"/>
          <w:sz w:val="20"/>
          <w:szCs w:val="20"/>
        </w:rPr>
      </w:pPr>
      <w:r>
        <w:rPr>
          <w:rFonts w:ascii="宋体" w:eastAsia="宋体" w:hAnsi="宋体" w:cs="宋体"/>
          <w:spacing w:val="7"/>
          <w:sz w:val="20"/>
          <w:szCs w:val="20"/>
        </w:rPr>
        <w:t>(十) 应收款项预期信用损失的确认标准和计提方法</w:t>
      </w:r>
    </w:p>
    <w:p>
      <w:pPr>
        <w:spacing w:before="220" w:line="228" w:lineRule="auto"/>
        <w:ind w:left="552"/>
        <w:outlineLvl w:val="2"/>
        <w:rPr>
          <w:rFonts w:ascii="宋体" w:eastAsia="宋体" w:hAnsi="宋体" w:cs="宋体"/>
          <w:sz w:val="20"/>
          <w:szCs w:val="20"/>
        </w:rPr>
      </w:pPr>
      <w:r>
        <w:rPr>
          <w:rFonts w:ascii="宋体" w:eastAsia="宋体" w:hAnsi="宋体" w:cs="宋体"/>
          <w:spacing w:val="8"/>
          <w:sz w:val="20"/>
          <w:szCs w:val="20"/>
        </w:rPr>
        <w:t>1. 按信用风险特征组合计提预期信用损失的应收款项</w:t>
      </w:r>
    </w:p>
    <w:p>
      <w:pPr>
        <w:spacing w:line="93" w:lineRule="exact"/>
      </w:pPr>
    </w:p>
    <w:tbl>
      <w:tblPr>
        <w:tblStyle w:val="TableNormal00"/>
        <w:tblW w:w="8527"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2945"/>
        <w:gridCol w:w="2092"/>
        <w:gridCol w:w="3490"/>
      </w:tblGrid>
      <w:tr>
        <w:tblPrEx>
          <w:tblW w:w="8527"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463"/>
        </w:trPr>
        <w:tc>
          <w:tcPr>
            <w:tcW w:w="2945" w:type="dxa"/>
            <w:tcBorders>
              <w:left w:val="nil"/>
            </w:tcBorders>
            <w:vAlign w:val="top"/>
          </w:tcPr>
          <w:p>
            <w:pPr>
              <w:pStyle w:val="TableText"/>
              <w:spacing w:before="128" w:line="228" w:lineRule="auto"/>
              <w:ind w:left="328"/>
            </w:pPr>
            <w:r>
              <w:rPr>
                <w:spacing w:val="6"/>
              </w:rPr>
              <w:t>组合类别</w:t>
            </w:r>
          </w:p>
        </w:tc>
        <w:tc>
          <w:tcPr>
            <w:tcW w:w="2092" w:type="dxa"/>
            <w:vAlign w:val="top"/>
          </w:tcPr>
          <w:p>
            <w:pPr>
              <w:pStyle w:val="TableText"/>
              <w:spacing w:before="128" w:line="227" w:lineRule="auto"/>
              <w:ind w:left="315"/>
            </w:pPr>
            <w:r>
              <w:rPr>
                <w:spacing w:val="8"/>
              </w:rPr>
              <w:t>确定组合的依据</w:t>
            </w:r>
          </w:p>
        </w:tc>
        <w:tc>
          <w:tcPr>
            <w:tcW w:w="3490" w:type="dxa"/>
            <w:tcBorders>
              <w:right w:val="nil"/>
            </w:tcBorders>
            <w:vAlign w:val="top"/>
          </w:tcPr>
          <w:p>
            <w:pPr>
              <w:pStyle w:val="TableText"/>
              <w:spacing w:before="128" w:line="228" w:lineRule="auto"/>
              <w:ind w:left="597"/>
            </w:pPr>
            <w:r>
              <w:rPr>
                <w:spacing w:val="9"/>
              </w:rPr>
              <w:t>计量预期信用损失的方法</w:t>
            </w:r>
          </w:p>
        </w:tc>
      </w:tr>
      <w:tr>
        <w:tblPrEx>
          <w:tblW w:w="8527" w:type="dxa"/>
          <w:tblInd w:w="0" w:type="dxa"/>
          <w:tblLayout w:type="fixed"/>
          <w:tblCellMar>
            <w:top w:w="0" w:type="dxa"/>
            <w:left w:w="0" w:type="dxa"/>
            <w:bottom w:w="0" w:type="dxa"/>
            <w:right w:w="0" w:type="dxa"/>
          </w:tblCellMar>
        </w:tblPrEx>
        <w:trPr>
          <w:trHeight w:val="614"/>
        </w:trPr>
        <w:tc>
          <w:tcPr>
            <w:tcW w:w="2945" w:type="dxa"/>
            <w:tcBorders>
              <w:left w:val="nil"/>
            </w:tcBorders>
            <w:vAlign w:val="top"/>
          </w:tcPr>
          <w:p>
            <w:pPr>
              <w:pStyle w:val="TableText"/>
              <w:spacing w:before="200" w:line="228" w:lineRule="auto"/>
              <w:ind w:left="116"/>
            </w:pPr>
            <w:r>
              <w:rPr>
                <w:spacing w:val="8"/>
              </w:rPr>
              <w:t>应收银行承兑汇票</w:t>
            </w:r>
          </w:p>
        </w:tc>
        <w:tc>
          <w:tcPr>
            <w:tcW w:w="2092" w:type="dxa"/>
            <w:vMerge w:val="restart"/>
            <w:tcBorders>
              <w:bottom w:val="nil"/>
            </w:tcBorders>
            <w:vAlign w:val="top"/>
          </w:tcPr>
          <w:p>
            <w:pPr>
              <w:spacing w:line="451" w:lineRule="auto"/>
            </w:pPr>
          </w:p>
          <w:p>
            <w:pPr>
              <w:pStyle w:val="TableText"/>
              <w:spacing w:before="65" w:line="228" w:lineRule="auto"/>
              <w:ind w:left="115"/>
            </w:pPr>
            <w:r>
              <w:rPr>
                <w:spacing w:val="6"/>
              </w:rPr>
              <w:t>票据类型</w:t>
            </w:r>
          </w:p>
        </w:tc>
        <w:tc>
          <w:tcPr>
            <w:tcW w:w="3490" w:type="dxa"/>
            <w:vMerge w:val="restart"/>
            <w:tcBorders>
              <w:bottom w:val="nil"/>
              <w:right w:val="nil"/>
            </w:tcBorders>
            <w:vAlign w:val="top"/>
          </w:tcPr>
          <w:p>
            <w:pPr>
              <w:pStyle w:val="TableText"/>
              <w:spacing w:before="51" w:line="273" w:lineRule="auto"/>
              <w:ind w:left="114" w:right="107" w:firstLine="1"/>
              <w:jc w:val="both"/>
            </w:pPr>
            <w:r>
              <w:rPr>
                <w:spacing w:val="3"/>
              </w:rPr>
              <w:t>参考历史信用损失经验，结合当前状</w:t>
            </w:r>
            <w:r>
              <w:rPr>
                <w:spacing w:val="14"/>
              </w:rPr>
              <w:t xml:space="preserve"> </w:t>
            </w:r>
            <w:r>
              <w:rPr>
                <w:spacing w:val="3"/>
              </w:rPr>
              <w:t>况以及对未来经济状况的预测，通过</w:t>
            </w:r>
            <w:r>
              <w:rPr>
                <w:spacing w:val="14"/>
              </w:rPr>
              <w:t xml:space="preserve"> </w:t>
            </w:r>
            <w:r>
              <w:rPr>
                <w:spacing w:val="17"/>
              </w:rPr>
              <w:t>违约风险敞口和整个存续期预期信</w:t>
            </w:r>
            <w:r>
              <w:rPr>
                <w:spacing w:val="9"/>
              </w:rPr>
              <w:t xml:space="preserve"> 用损失率，计算预期信用损失</w:t>
            </w:r>
          </w:p>
        </w:tc>
      </w:tr>
      <w:tr>
        <w:tblPrEx>
          <w:tblW w:w="8527" w:type="dxa"/>
          <w:tblInd w:w="0" w:type="dxa"/>
          <w:tblLayout w:type="fixed"/>
          <w:tblCellMar>
            <w:top w:w="0" w:type="dxa"/>
            <w:left w:w="0" w:type="dxa"/>
            <w:bottom w:w="0" w:type="dxa"/>
            <w:right w:w="0" w:type="dxa"/>
          </w:tblCellMar>
        </w:tblPrEx>
        <w:trPr>
          <w:trHeight w:val="633"/>
        </w:trPr>
        <w:tc>
          <w:tcPr>
            <w:tcW w:w="2945" w:type="dxa"/>
            <w:tcBorders>
              <w:left w:val="nil"/>
            </w:tcBorders>
            <w:vAlign w:val="top"/>
          </w:tcPr>
          <w:p>
            <w:pPr>
              <w:pStyle w:val="TableText"/>
              <w:spacing w:before="209" w:line="228" w:lineRule="auto"/>
              <w:ind w:left="116"/>
            </w:pPr>
            <w:r>
              <w:rPr>
                <w:spacing w:val="8"/>
              </w:rPr>
              <w:t>应收商业承兑汇票</w:t>
            </w:r>
          </w:p>
        </w:tc>
        <w:tc>
          <w:tcPr>
            <w:tcW w:w="2092" w:type="dxa"/>
            <w:vMerge/>
            <w:tcBorders>
              <w:top w:val="nil"/>
            </w:tcBorders>
            <w:vAlign w:val="top"/>
          </w:tcPr>
          <w:p/>
        </w:tc>
        <w:tc>
          <w:tcPr>
            <w:tcW w:w="3490" w:type="dxa"/>
            <w:vMerge/>
            <w:tcBorders>
              <w:top w:val="nil"/>
              <w:right w:val="nil"/>
            </w:tcBorders>
            <w:vAlign w:val="top"/>
          </w:tcPr>
          <w:p/>
        </w:tc>
      </w:tr>
      <w:tr>
        <w:tblPrEx>
          <w:tblW w:w="8527" w:type="dxa"/>
          <w:tblInd w:w="0" w:type="dxa"/>
          <w:tblLayout w:type="fixed"/>
          <w:tblCellMar>
            <w:top w:w="0" w:type="dxa"/>
            <w:left w:w="0" w:type="dxa"/>
            <w:bottom w:w="0" w:type="dxa"/>
            <w:right w:w="0" w:type="dxa"/>
          </w:tblCellMar>
        </w:tblPrEx>
        <w:trPr>
          <w:trHeight w:val="1252"/>
        </w:trPr>
        <w:tc>
          <w:tcPr>
            <w:tcW w:w="2945" w:type="dxa"/>
            <w:tcBorders>
              <w:left w:val="nil"/>
            </w:tcBorders>
            <w:vAlign w:val="top"/>
          </w:tcPr>
          <w:p>
            <w:pPr>
              <w:spacing w:line="452" w:lineRule="auto"/>
            </w:pPr>
          </w:p>
          <w:p>
            <w:pPr>
              <w:pStyle w:val="TableText"/>
              <w:spacing w:before="65" w:line="228" w:lineRule="auto"/>
              <w:ind w:left="116"/>
            </w:pPr>
            <w:r>
              <w:rPr>
                <w:spacing w:val="8"/>
              </w:rPr>
              <w:t>应收账款——账龄组合</w:t>
            </w:r>
          </w:p>
        </w:tc>
        <w:tc>
          <w:tcPr>
            <w:tcW w:w="2092" w:type="dxa"/>
            <w:vAlign w:val="top"/>
          </w:tcPr>
          <w:p>
            <w:pPr>
              <w:spacing w:line="452" w:lineRule="auto"/>
            </w:pPr>
          </w:p>
          <w:p>
            <w:pPr>
              <w:pStyle w:val="TableText"/>
              <w:spacing w:before="65" w:line="229" w:lineRule="auto"/>
              <w:ind w:left="117"/>
            </w:pPr>
            <w:r>
              <w:rPr>
                <w:spacing w:val="3"/>
              </w:rPr>
              <w:t>账龄</w:t>
            </w:r>
          </w:p>
        </w:tc>
        <w:tc>
          <w:tcPr>
            <w:tcW w:w="3490" w:type="dxa"/>
            <w:tcBorders>
              <w:right w:val="nil"/>
            </w:tcBorders>
            <w:vAlign w:val="top"/>
          </w:tcPr>
          <w:p>
            <w:pPr>
              <w:pStyle w:val="TableText"/>
              <w:spacing w:before="51" w:line="273" w:lineRule="auto"/>
              <w:ind w:left="114" w:right="107" w:firstLine="1"/>
              <w:jc w:val="both"/>
            </w:pPr>
            <w:r>
              <w:rPr>
                <w:spacing w:val="3"/>
              </w:rPr>
              <w:t>参考历史信用损失经验，结合当前状</w:t>
            </w:r>
            <w:r>
              <w:rPr>
                <w:spacing w:val="14"/>
              </w:rPr>
              <w:t xml:space="preserve"> </w:t>
            </w:r>
            <w:r>
              <w:rPr>
                <w:spacing w:val="3"/>
              </w:rPr>
              <w:t>况以及对未来经济状况的预测，编制</w:t>
            </w:r>
            <w:r>
              <w:rPr>
                <w:spacing w:val="14"/>
              </w:rPr>
              <w:t xml:space="preserve"> </w:t>
            </w:r>
            <w:r>
              <w:rPr>
                <w:spacing w:val="17"/>
              </w:rPr>
              <w:t>应收账款账龄与预期信用损失率对</w:t>
            </w:r>
            <w:r>
              <w:rPr>
                <w:spacing w:val="9"/>
              </w:rPr>
              <w:t xml:space="preserve"> 照表，计算预期信用损失</w:t>
            </w:r>
          </w:p>
        </w:tc>
      </w:tr>
      <w:tr>
        <w:tblPrEx>
          <w:tblW w:w="8527" w:type="dxa"/>
          <w:tblInd w:w="0" w:type="dxa"/>
          <w:tblLayout w:type="fixed"/>
          <w:tblCellMar>
            <w:top w:w="0" w:type="dxa"/>
            <w:left w:w="0" w:type="dxa"/>
            <w:bottom w:w="0" w:type="dxa"/>
            <w:right w:w="0" w:type="dxa"/>
          </w:tblCellMar>
        </w:tblPrEx>
        <w:trPr>
          <w:trHeight w:val="1252"/>
        </w:trPr>
        <w:tc>
          <w:tcPr>
            <w:tcW w:w="2945" w:type="dxa"/>
            <w:tcBorders>
              <w:left w:val="nil"/>
            </w:tcBorders>
            <w:vAlign w:val="top"/>
          </w:tcPr>
          <w:p>
            <w:pPr>
              <w:spacing w:line="300" w:lineRule="auto"/>
            </w:pPr>
          </w:p>
          <w:p>
            <w:pPr>
              <w:pStyle w:val="TableText"/>
              <w:spacing w:before="65" w:line="258" w:lineRule="auto"/>
              <w:ind w:left="121" w:right="316" w:hanging="5"/>
            </w:pPr>
            <w:r>
              <w:rPr>
                <w:spacing w:val="9"/>
              </w:rPr>
              <w:t>应收账款——长盈精密合并</w:t>
            </w:r>
            <w:r>
              <w:t xml:space="preserve"> </w:t>
            </w:r>
            <w:r>
              <w:rPr>
                <w:spacing w:val="8"/>
              </w:rPr>
              <w:t>范围内关联方组合</w:t>
            </w:r>
          </w:p>
        </w:tc>
        <w:tc>
          <w:tcPr>
            <w:tcW w:w="2092" w:type="dxa"/>
            <w:vAlign w:val="top"/>
          </w:tcPr>
          <w:p>
            <w:pPr>
              <w:spacing w:line="455" w:lineRule="auto"/>
            </w:pPr>
          </w:p>
          <w:p>
            <w:pPr>
              <w:pStyle w:val="TableText"/>
              <w:spacing w:before="65" w:line="228" w:lineRule="auto"/>
              <w:ind w:left="114"/>
            </w:pPr>
            <w:r>
              <w:rPr>
                <w:spacing w:val="7"/>
              </w:rPr>
              <w:t>款项性质</w:t>
            </w:r>
          </w:p>
        </w:tc>
        <w:tc>
          <w:tcPr>
            <w:tcW w:w="3490" w:type="dxa"/>
            <w:tcBorders>
              <w:right w:val="nil"/>
            </w:tcBorders>
            <w:vAlign w:val="top"/>
          </w:tcPr>
          <w:p>
            <w:pPr>
              <w:pStyle w:val="TableText"/>
              <w:spacing w:before="54" w:line="273" w:lineRule="auto"/>
              <w:ind w:left="114" w:right="107" w:firstLine="1"/>
              <w:jc w:val="both"/>
            </w:pPr>
            <w:r>
              <w:rPr>
                <w:spacing w:val="3"/>
              </w:rPr>
              <w:t>参考历史信用损失经验，结合当前状</w:t>
            </w:r>
            <w:r>
              <w:rPr>
                <w:spacing w:val="14"/>
              </w:rPr>
              <w:t xml:space="preserve"> </w:t>
            </w:r>
            <w:r>
              <w:rPr>
                <w:spacing w:val="3"/>
              </w:rPr>
              <w:t>况以及对未来经济状况的预测，通过</w:t>
            </w:r>
            <w:r>
              <w:rPr>
                <w:spacing w:val="14"/>
              </w:rPr>
              <w:t xml:space="preserve"> </w:t>
            </w:r>
            <w:r>
              <w:rPr>
                <w:spacing w:val="17"/>
              </w:rPr>
              <w:t>违约风险敞口和整个存续期预期信</w:t>
            </w:r>
            <w:r>
              <w:rPr>
                <w:spacing w:val="9"/>
              </w:rPr>
              <w:t xml:space="preserve"> 用损失率，计算预期信用损失</w:t>
            </w:r>
          </w:p>
        </w:tc>
      </w:tr>
      <w:tr>
        <w:tblPrEx>
          <w:tblW w:w="8527" w:type="dxa"/>
          <w:tblInd w:w="0" w:type="dxa"/>
          <w:tblLayout w:type="fixed"/>
          <w:tblCellMar>
            <w:top w:w="0" w:type="dxa"/>
            <w:left w:w="0" w:type="dxa"/>
            <w:bottom w:w="0" w:type="dxa"/>
            <w:right w:w="0" w:type="dxa"/>
          </w:tblCellMar>
        </w:tblPrEx>
        <w:trPr>
          <w:trHeight w:val="1252"/>
        </w:trPr>
        <w:tc>
          <w:tcPr>
            <w:tcW w:w="2945" w:type="dxa"/>
            <w:tcBorders>
              <w:left w:val="nil"/>
            </w:tcBorders>
            <w:vAlign w:val="top"/>
          </w:tcPr>
          <w:p>
            <w:pPr>
              <w:spacing w:line="455" w:lineRule="auto"/>
            </w:pPr>
          </w:p>
          <w:p>
            <w:pPr>
              <w:pStyle w:val="TableText"/>
              <w:spacing w:before="65" w:line="228" w:lineRule="auto"/>
              <w:ind w:left="117"/>
            </w:pPr>
            <w:r>
              <w:rPr>
                <w:spacing w:val="8"/>
              </w:rPr>
              <w:t>其他应收款——账龄组合</w:t>
            </w:r>
          </w:p>
        </w:tc>
        <w:tc>
          <w:tcPr>
            <w:tcW w:w="2092" w:type="dxa"/>
            <w:vAlign w:val="top"/>
          </w:tcPr>
          <w:p>
            <w:pPr>
              <w:spacing w:line="456" w:lineRule="auto"/>
            </w:pPr>
          </w:p>
          <w:p>
            <w:pPr>
              <w:pStyle w:val="TableText"/>
              <w:spacing w:before="65" w:line="229" w:lineRule="auto"/>
              <w:ind w:left="117"/>
            </w:pPr>
            <w:r>
              <w:rPr>
                <w:spacing w:val="3"/>
              </w:rPr>
              <w:t>账龄</w:t>
            </w:r>
          </w:p>
        </w:tc>
        <w:tc>
          <w:tcPr>
            <w:tcW w:w="3490" w:type="dxa"/>
            <w:tcBorders>
              <w:right w:val="nil"/>
            </w:tcBorders>
            <w:vAlign w:val="top"/>
          </w:tcPr>
          <w:p>
            <w:pPr>
              <w:pStyle w:val="TableText"/>
              <w:spacing w:before="55" w:line="273" w:lineRule="auto"/>
              <w:ind w:left="113" w:right="107" w:firstLine="2"/>
              <w:jc w:val="both"/>
            </w:pPr>
            <w:r>
              <w:rPr>
                <w:spacing w:val="3"/>
              </w:rPr>
              <w:t>参考历史信用损失经验，结合当前状</w:t>
            </w:r>
            <w:r>
              <w:rPr>
                <w:spacing w:val="14"/>
              </w:rPr>
              <w:t xml:space="preserve"> </w:t>
            </w:r>
            <w:r>
              <w:rPr>
                <w:spacing w:val="4"/>
              </w:rPr>
              <w:t>况以及对未来经济状况的预测，编制</w:t>
            </w:r>
            <w:r>
              <w:t xml:space="preserve"> </w:t>
            </w:r>
            <w:r>
              <w:rPr>
                <w:spacing w:val="17"/>
              </w:rPr>
              <w:t>其他应收款账龄与预期信用损失率</w:t>
            </w:r>
            <w:r>
              <w:rPr>
                <w:spacing w:val="8"/>
              </w:rPr>
              <w:t xml:space="preserve"> </w:t>
            </w:r>
            <w:r>
              <w:rPr>
                <w:spacing w:val="9"/>
              </w:rPr>
              <w:t>对照表，计算预期信用损失</w:t>
            </w:r>
          </w:p>
        </w:tc>
      </w:tr>
      <w:tr>
        <w:tblPrEx>
          <w:tblW w:w="8527" w:type="dxa"/>
          <w:tblInd w:w="0" w:type="dxa"/>
          <w:tblLayout w:type="fixed"/>
          <w:tblCellMar>
            <w:top w:w="0" w:type="dxa"/>
            <w:left w:w="0" w:type="dxa"/>
            <w:bottom w:w="0" w:type="dxa"/>
            <w:right w:w="0" w:type="dxa"/>
          </w:tblCellMar>
        </w:tblPrEx>
        <w:trPr>
          <w:trHeight w:val="1569"/>
        </w:trPr>
        <w:tc>
          <w:tcPr>
            <w:tcW w:w="2945" w:type="dxa"/>
            <w:tcBorders>
              <w:left w:val="nil"/>
            </w:tcBorders>
            <w:vAlign w:val="top"/>
          </w:tcPr>
          <w:p>
            <w:pPr>
              <w:spacing w:line="456" w:lineRule="auto"/>
            </w:pPr>
          </w:p>
          <w:p>
            <w:pPr>
              <w:pStyle w:val="TableText"/>
              <w:spacing w:before="65" w:line="258" w:lineRule="auto"/>
              <w:ind w:left="121" w:right="316" w:hanging="4"/>
            </w:pPr>
            <w:r>
              <w:rPr>
                <w:spacing w:val="9"/>
              </w:rPr>
              <w:t>其他应收款——长盈精密合</w:t>
            </w:r>
            <w:r>
              <w:t xml:space="preserve"> </w:t>
            </w:r>
            <w:r>
              <w:rPr>
                <w:spacing w:val="8"/>
              </w:rPr>
              <w:t>并范围内关联方组合</w:t>
            </w:r>
          </w:p>
        </w:tc>
        <w:tc>
          <w:tcPr>
            <w:tcW w:w="2092" w:type="dxa"/>
            <w:vAlign w:val="top"/>
          </w:tcPr>
          <w:p>
            <w:pPr>
              <w:spacing w:line="306" w:lineRule="auto"/>
            </w:pPr>
          </w:p>
          <w:p>
            <w:pPr>
              <w:spacing w:line="306" w:lineRule="auto"/>
            </w:pPr>
          </w:p>
          <w:p>
            <w:pPr>
              <w:pStyle w:val="TableText"/>
              <w:spacing w:before="65" w:line="228" w:lineRule="auto"/>
              <w:ind w:left="114"/>
            </w:pPr>
            <w:r>
              <w:rPr>
                <w:spacing w:val="7"/>
              </w:rPr>
              <w:t>款项性质</w:t>
            </w:r>
          </w:p>
        </w:tc>
        <w:tc>
          <w:tcPr>
            <w:tcW w:w="3490" w:type="dxa"/>
            <w:tcBorders>
              <w:right w:val="nil"/>
            </w:tcBorders>
            <w:vAlign w:val="top"/>
          </w:tcPr>
          <w:p>
            <w:pPr>
              <w:pStyle w:val="TableText"/>
              <w:spacing w:before="56" w:line="276" w:lineRule="auto"/>
              <w:ind w:left="114" w:right="107" w:firstLine="1"/>
              <w:jc w:val="both"/>
            </w:pPr>
            <w:r>
              <w:rPr>
                <w:spacing w:val="3"/>
              </w:rPr>
              <w:t>参考历史信用损失经验，结合当前状</w:t>
            </w:r>
            <w:r>
              <w:rPr>
                <w:spacing w:val="14"/>
              </w:rPr>
              <w:t xml:space="preserve"> </w:t>
            </w:r>
            <w:r>
              <w:rPr>
                <w:spacing w:val="3"/>
              </w:rPr>
              <w:t>况以及对未来经济状况的预测，通过</w:t>
            </w:r>
            <w:r>
              <w:rPr>
                <w:spacing w:val="14"/>
              </w:rPr>
              <w:t xml:space="preserve"> </w:t>
            </w:r>
            <w:r>
              <w:rPr>
                <w:spacing w:val="6"/>
              </w:rPr>
              <w:t>违约风险敞口和未来</w:t>
            </w:r>
            <w:r>
              <w:rPr>
                <w:spacing w:val="-13"/>
              </w:rPr>
              <w:t xml:space="preserve"> </w:t>
            </w:r>
            <w:r>
              <w:rPr>
                <w:spacing w:val="6"/>
              </w:rPr>
              <w:t>12</w:t>
            </w:r>
            <w:r>
              <w:rPr>
                <w:spacing w:val="-38"/>
              </w:rPr>
              <w:t xml:space="preserve"> </w:t>
            </w:r>
            <w:r>
              <w:rPr>
                <w:spacing w:val="6"/>
              </w:rPr>
              <w:t>个月内或整</w:t>
            </w:r>
            <w:r>
              <w:t xml:space="preserve"> </w:t>
            </w:r>
            <w:r>
              <w:rPr>
                <w:spacing w:val="3"/>
              </w:rPr>
              <w:t>个存续期预期信用损失率，计算预期</w:t>
            </w:r>
            <w:r>
              <w:rPr>
                <w:spacing w:val="14"/>
              </w:rPr>
              <w:t xml:space="preserve"> </w:t>
            </w:r>
            <w:r>
              <w:rPr>
                <w:spacing w:val="7"/>
              </w:rPr>
              <w:t>信用损失</w:t>
            </w:r>
          </w:p>
        </w:tc>
      </w:tr>
    </w:tbl>
    <w:p>
      <w:pPr>
        <w:spacing w:before="130" w:line="228" w:lineRule="auto"/>
        <w:ind w:left="539"/>
        <w:outlineLvl w:val="2"/>
        <w:rPr>
          <w:rFonts w:ascii="宋体" w:eastAsia="宋体" w:hAnsi="宋体" w:cs="宋体"/>
          <w:sz w:val="20"/>
          <w:szCs w:val="20"/>
        </w:rPr>
      </w:pPr>
      <w:r>
        <w:rPr>
          <w:rFonts w:ascii="宋体" w:eastAsia="宋体" w:hAnsi="宋体" w:cs="宋体"/>
          <w:spacing w:val="8"/>
          <w:sz w:val="20"/>
          <w:szCs w:val="20"/>
        </w:rPr>
        <w:t>2. 账龄组合的账龄与预期信用损失率对照表</w:t>
      </w:r>
    </w:p>
    <w:p>
      <w:pPr>
        <w:spacing w:line="91" w:lineRule="exact"/>
      </w:pPr>
    </w:p>
    <w:tbl>
      <w:tblPr>
        <w:tblStyle w:val="TableNormal00"/>
        <w:tblW w:w="852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4951"/>
        <w:gridCol w:w="3575"/>
      </w:tblGrid>
      <w:tr>
        <w:tblPrEx>
          <w:tblW w:w="852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633"/>
        </w:trPr>
        <w:tc>
          <w:tcPr>
            <w:tcW w:w="4951" w:type="dxa"/>
            <w:tcBorders>
              <w:left w:val="nil"/>
            </w:tcBorders>
            <w:vAlign w:val="top"/>
          </w:tcPr>
          <w:p>
            <w:pPr>
              <w:pStyle w:val="TableText"/>
              <w:spacing w:before="211" w:line="229" w:lineRule="auto"/>
              <w:ind w:left="330"/>
            </w:pPr>
            <w:r>
              <w:rPr>
                <w:spacing w:val="-1"/>
              </w:rPr>
              <w:t>账</w:t>
            </w:r>
            <w:r>
              <w:rPr>
                <w:spacing w:val="9"/>
              </w:rPr>
              <w:t xml:space="preserve">  </w:t>
            </w:r>
            <w:r>
              <w:rPr>
                <w:spacing w:val="-1"/>
              </w:rPr>
              <w:t>龄</w:t>
            </w:r>
          </w:p>
        </w:tc>
        <w:tc>
          <w:tcPr>
            <w:tcW w:w="3575" w:type="dxa"/>
            <w:tcBorders>
              <w:right w:val="nil"/>
            </w:tcBorders>
            <w:vAlign w:val="top"/>
          </w:tcPr>
          <w:p>
            <w:pPr>
              <w:pStyle w:val="TableText"/>
              <w:spacing w:before="55" w:line="228" w:lineRule="auto"/>
              <w:ind w:left="1373"/>
            </w:pPr>
            <w:r>
              <w:rPr>
                <w:spacing w:val="7"/>
              </w:rPr>
              <w:t>应收账款</w:t>
            </w:r>
          </w:p>
          <w:p>
            <w:pPr>
              <w:pStyle w:val="TableText"/>
              <w:spacing w:before="65" w:line="228" w:lineRule="auto"/>
              <w:ind w:left="796"/>
            </w:pPr>
            <w:r>
              <w:rPr>
                <w:spacing w:val="7"/>
              </w:rPr>
              <w:t>预期信用损失率（%）</w:t>
            </w:r>
          </w:p>
        </w:tc>
      </w:tr>
      <w:tr>
        <w:tblPrEx>
          <w:tblW w:w="8526" w:type="dxa"/>
          <w:tblInd w:w="0" w:type="dxa"/>
          <w:tblLayout w:type="fixed"/>
          <w:tblCellMar>
            <w:top w:w="0" w:type="dxa"/>
            <w:left w:w="0" w:type="dxa"/>
            <w:bottom w:w="0" w:type="dxa"/>
            <w:right w:w="0" w:type="dxa"/>
          </w:tblCellMar>
        </w:tblPrEx>
        <w:trPr>
          <w:trHeight w:val="458"/>
        </w:trPr>
        <w:tc>
          <w:tcPr>
            <w:tcW w:w="4951" w:type="dxa"/>
            <w:tcBorders>
              <w:left w:val="nil"/>
            </w:tcBorders>
            <w:vAlign w:val="top"/>
          </w:tcPr>
          <w:p>
            <w:pPr>
              <w:pStyle w:val="TableText"/>
              <w:spacing w:before="122" w:line="228" w:lineRule="auto"/>
              <w:ind w:left="119"/>
            </w:pPr>
            <w:r>
              <w:rPr>
                <w:spacing w:val="6"/>
              </w:rPr>
              <w:t>3</w:t>
            </w:r>
            <w:r>
              <w:rPr>
                <w:spacing w:val="-34"/>
              </w:rPr>
              <w:t xml:space="preserve"> </w:t>
            </w:r>
            <w:r>
              <w:rPr>
                <w:spacing w:val="6"/>
              </w:rPr>
              <w:t>个月以内(含，下同)</w:t>
            </w:r>
          </w:p>
        </w:tc>
        <w:tc>
          <w:tcPr>
            <w:tcW w:w="3575" w:type="dxa"/>
            <w:tcBorders>
              <w:right w:val="nil"/>
            </w:tcBorders>
            <w:vAlign w:val="top"/>
          </w:tcPr>
          <w:p>
            <w:pPr>
              <w:pStyle w:val="TableText"/>
              <w:spacing w:before="156" w:line="189" w:lineRule="auto"/>
              <w:ind w:left="3057"/>
            </w:pPr>
            <w:r>
              <w:rPr>
                <w:spacing w:val="1"/>
              </w:rPr>
              <w:t>3.52</w:t>
            </w:r>
          </w:p>
        </w:tc>
      </w:tr>
      <w:tr>
        <w:tblPrEx>
          <w:tblW w:w="8526" w:type="dxa"/>
          <w:tblInd w:w="0" w:type="dxa"/>
          <w:tblLayout w:type="fixed"/>
          <w:tblCellMar>
            <w:top w:w="0" w:type="dxa"/>
            <w:left w:w="0" w:type="dxa"/>
            <w:bottom w:w="0" w:type="dxa"/>
            <w:right w:w="0" w:type="dxa"/>
          </w:tblCellMar>
        </w:tblPrEx>
        <w:trPr>
          <w:trHeight w:val="458"/>
        </w:trPr>
        <w:tc>
          <w:tcPr>
            <w:tcW w:w="4951" w:type="dxa"/>
            <w:tcBorders>
              <w:left w:val="nil"/>
            </w:tcBorders>
            <w:vAlign w:val="top"/>
          </w:tcPr>
          <w:p>
            <w:pPr>
              <w:pStyle w:val="TableText"/>
              <w:spacing w:before="123" w:line="228" w:lineRule="auto"/>
              <w:ind w:left="119"/>
            </w:pPr>
            <w:r>
              <w:rPr>
                <w:spacing w:val="2"/>
              </w:rPr>
              <w:t>3-6</w:t>
            </w:r>
            <w:r>
              <w:rPr>
                <w:spacing w:val="-39"/>
              </w:rPr>
              <w:t xml:space="preserve"> </w:t>
            </w:r>
            <w:r>
              <w:rPr>
                <w:spacing w:val="2"/>
              </w:rPr>
              <w:t>个月</w:t>
            </w:r>
          </w:p>
        </w:tc>
        <w:tc>
          <w:tcPr>
            <w:tcW w:w="3575" w:type="dxa"/>
            <w:tcBorders>
              <w:right w:val="nil"/>
            </w:tcBorders>
            <w:vAlign w:val="top"/>
          </w:tcPr>
          <w:p>
            <w:pPr>
              <w:pStyle w:val="TableText"/>
              <w:spacing w:before="156" w:line="189" w:lineRule="auto"/>
              <w:ind w:left="3052"/>
            </w:pPr>
            <w:r>
              <w:rPr>
                <w:spacing w:val="2"/>
              </w:rPr>
              <w:t>4.45</w:t>
            </w:r>
          </w:p>
        </w:tc>
      </w:tr>
      <w:tr>
        <w:tblPrEx>
          <w:tblW w:w="8526" w:type="dxa"/>
          <w:tblInd w:w="0" w:type="dxa"/>
          <w:tblLayout w:type="fixed"/>
          <w:tblCellMar>
            <w:top w:w="0" w:type="dxa"/>
            <w:left w:w="0" w:type="dxa"/>
            <w:bottom w:w="0" w:type="dxa"/>
            <w:right w:w="0" w:type="dxa"/>
          </w:tblCellMar>
        </w:tblPrEx>
        <w:trPr>
          <w:trHeight w:val="458"/>
        </w:trPr>
        <w:tc>
          <w:tcPr>
            <w:tcW w:w="4951" w:type="dxa"/>
            <w:tcBorders>
              <w:left w:val="nil"/>
            </w:tcBorders>
            <w:vAlign w:val="top"/>
          </w:tcPr>
          <w:p>
            <w:pPr>
              <w:pStyle w:val="TableText"/>
              <w:spacing w:before="123" w:line="228" w:lineRule="auto"/>
              <w:ind w:left="117"/>
            </w:pPr>
            <w:r>
              <w:rPr>
                <w:spacing w:val="3"/>
              </w:rPr>
              <w:t>6-12</w:t>
            </w:r>
            <w:r>
              <w:rPr>
                <w:spacing w:val="-39"/>
              </w:rPr>
              <w:t xml:space="preserve"> </w:t>
            </w:r>
            <w:r>
              <w:rPr>
                <w:spacing w:val="3"/>
              </w:rPr>
              <w:t>个月</w:t>
            </w:r>
          </w:p>
        </w:tc>
        <w:tc>
          <w:tcPr>
            <w:tcW w:w="3575" w:type="dxa"/>
            <w:tcBorders>
              <w:right w:val="nil"/>
            </w:tcBorders>
            <w:vAlign w:val="top"/>
          </w:tcPr>
          <w:p>
            <w:pPr>
              <w:pStyle w:val="TableText"/>
              <w:spacing w:before="157" w:line="190" w:lineRule="auto"/>
              <w:ind w:left="2963"/>
            </w:pPr>
            <w:r>
              <w:t>15.10</w:t>
            </w:r>
          </w:p>
        </w:tc>
      </w:tr>
      <w:tr>
        <w:tblPrEx>
          <w:tblW w:w="8526" w:type="dxa"/>
          <w:tblInd w:w="0" w:type="dxa"/>
          <w:tblLayout w:type="fixed"/>
          <w:tblCellMar>
            <w:top w:w="0" w:type="dxa"/>
            <w:left w:w="0" w:type="dxa"/>
            <w:bottom w:w="0" w:type="dxa"/>
            <w:right w:w="0" w:type="dxa"/>
          </w:tblCellMar>
        </w:tblPrEx>
        <w:trPr>
          <w:trHeight w:val="458"/>
        </w:trPr>
        <w:tc>
          <w:tcPr>
            <w:tcW w:w="4951" w:type="dxa"/>
            <w:tcBorders>
              <w:left w:val="nil"/>
            </w:tcBorders>
            <w:vAlign w:val="top"/>
          </w:tcPr>
          <w:p>
            <w:pPr>
              <w:pStyle w:val="TableText"/>
              <w:spacing w:before="125" w:line="228" w:lineRule="auto"/>
              <w:ind w:left="131"/>
            </w:pPr>
            <w:r>
              <w:rPr>
                <w:spacing w:val="-2"/>
              </w:rPr>
              <w:t>1-2</w:t>
            </w:r>
            <w:r>
              <w:rPr>
                <w:spacing w:val="-40"/>
              </w:rPr>
              <w:t xml:space="preserve"> </w:t>
            </w:r>
            <w:r>
              <w:rPr>
                <w:spacing w:val="-2"/>
              </w:rPr>
              <w:t>年</w:t>
            </w:r>
          </w:p>
        </w:tc>
        <w:tc>
          <w:tcPr>
            <w:tcW w:w="3575" w:type="dxa"/>
            <w:tcBorders>
              <w:right w:val="nil"/>
            </w:tcBorders>
            <w:vAlign w:val="top"/>
          </w:tcPr>
          <w:p>
            <w:pPr>
              <w:pStyle w:val="TableText"/>
              <w:spacing w:before="159" w:line="189" w:lineRule="auto"/>
              <w:ind w:left="2952"/>
            </w:pPr>
            <w:r>
              <w:rPr>
                <w:spacing w:val="2"/>
              </w:rPr>
              <w:t>74.89</w:t>
            </w:r>
          </w:p>
        </w:tc>
      </w:tr>
      <w:tr>
        <w:tblPrEx>
          <w:tblW w:w="8526" w:type="dxa"/>
          <w:tblInd w:w="0" w:type="dxa"/>
          <w:tblLayout w:type="fixed"/>
          <w:tblCellMar>
            <w:top w:w="0" w:type="dxa"/>
            <w:left w:w="0" w:type="dxa"/>
            <w:bottom w:w="0" w:type="dxa"/>
            <w:right w:w="0" w:type="dxa"/>
          </w:tblCellMar>
        </w:tblPrEx>
        <w:trPr>
          <w:trHeight w:val="463"/>
        </w:trPr>
        <w:tc>
          <w:tcPr>
            <w:tcW w:w="4951" w:type="dxa"/>
            <w:tcBorders>
              <w:left w:val="nil"/>
            </w:tcBorders>
            <w:vAlign w:val="top"/>
          </w:tcPr>
          <w:p>
            <w:pPr>
              <w:pStyle w:val="TableText"/>
              <w:spacing w:before="126" w:line="228" w:lineRule="auto"/>
              <w:ind w:left="118"/>
            </w:pPr>
            <w:r>
              <w:rPr>
                <w:spacing w:val="3"/>
              </w:rPr>
              <w:t>2</w:t>
            </w:r>
            <w:r>
              <w:rPr>
                <w:spacing w:val="-37"/>
              </w:rPr>
              <w:t xml:space="preserve"> </w:t>
            </w:r>
            <w:r>
              <w:rPr>
                <w:spacing w:val="3"/>
              </w:rPr>
              <w:t>年以上</w:t>
            </w:r>
          </w:p>
        </w:tc>
        <w:tc>
          <w:tcPr>
            <w:tcW w:w="3575" w:type="dxa"/>
            <w:tcBorders>
              <w:right w:val="nil"/>
            </w:tcBorders>
            <w:vAlign w:val="top"/>
          </w:tcPr>
          <w:p>
            <w:pPr>
              <w:pStyle w:val="TableText"/>
              <w:spacing w:before="158" w:line="190" w:lineRule="auto"/>
              <w:ind w:left="2857"/>
            </w:pPr>
            <w:r>
              <w:rPr>
                <w:spacing w:val="1"/>
              </w:rPr>
              <w:t>100.00</w:t>
            </w:r>
          </w:p>
        </w:tc>
      </w:tr>
    </w:tbl>
    <w:p>
      <w:pPr>
        <w:spacing w:before="131" w:line="228" w:lineRule="auto"/>
        <w:ind w:left="546"/>
        <w:rPr>
          <w:rFonts w:ascii="宋体" w:eastAsia="宋体" w:hAnsi="宋体" w:cs="宋体"/>
          <w:sz w:val="20"/>
          <w:szCs w:val="20"/>
        </w:rPr>
      </w:pPr>
      <w:r>
        <w:rPr>
          <w:rFonts w:ascii="宋体" w:eastAsia="宋体" w:hAnsi="宋体" w:cs="宋体"/>
          <w:spacing w:val="3"/>
          <w:sz w:val="20"/>
          <w:szCs w:val="20"/>
        </w:rPr>
        <w:t>（续上表）</w:t>
      </w:r>
    </w:p>
    <w:p>
      <w:pPr>
        <w:spacing w:line="446" w:lineRule="auto"/>
      </w:pPr>
    </w:p>
    <w:p>
      <w:pPr>
        <w:spacing w:before="59" w:line="219" w:lineRule="auto"/>
        <w:ind w:left="3506"/>
        <w:rPr>
          <w:rFonts w:ascii="宋体" w:eastAsia="宋体" w:hAnsi="宋体" w:cs="宋体"/>
          <w:sz w:val="18"/>
          <w:szCs w:val="18"/>
        </w:rPr>
      </w:pPr>
      <w:r>
        <w:rPr>
          <w:rFonts w:ascii="宋体" w:eastAsia="宋体" w:hAnsi="宋体" w:cs="宋体"/>
          <w:spacing w:val="-6"/>
          <w:sz w:val="18"/>
          <w:szCs w:val="18"/>
        </w:rPr>
        <w:t>第</w:t>
      </w:r>
      <w:r>
        <w:rPr>
          <w:rFonts w:ascii="宋体" w:eastAsia="宋体" w:hAnsi="宋体" w:cs="宋体"/>
          <w:spacing w:val="23"/>
          <w:w w:val="101"/>
          <w:sz w:val="18"/>
          <w:szCs w:val="18"/>
        </w:rPr>
        <w:t xml:space="preserve"> </w:t>
      </w:r>
      <w:r>
        <w:rPr>
          <w:rFonts w:ascii="宋体" w:eastAsia="宋体" w:hAnsi="宋体" w:cs="宋体"/>
          <w:spacing w:val="-6"/>
          <w:sz w:val="18"/>
          <w:szCs w:val="18"/>
        </w:rPr>
        <w:t>18</w:t>
      </w:r>
      <w:r>
        <w:rPr>
          <w:rFonts w:ascii="宋体" w:eastAsia="宋体" w:hAnsi="宋体" w:cs="宋体"/>
          <w:spacing w:val="11"/>
          <w:sz w:val="18"/>
          <w:szCs w:val="18"/>
        </w:rPr>
        <w:t xml:space="preserve"> </w:t>
      </w:r>
      <w:r>
        <w:rPr>
          <w:rFonts w:ascii="宋体" w:eastAsia="宋体" w:hAnsi="宋体" w:cs="宋体"/>
          <w:spacing w:val="-6"/>
          <w:sz w:val="18"/>
          <w:szCs w:val="18"/>
        </w:rPr>
        <w:t>页 共</w:t>
      </w:r>
      <w:r>
        <w:rPr>
          <w:rFonts w:ascii="宋体" w:eastAsia="宋体" w:hAnsi="宋体" w:cs="宋体"/>
          <w:spacing w:val="12"/>
          <w:sz w:val="18"/>
          <w:szCs w:val="18"/>
        </w:rPr>
        <w:t xml:space="preserve"> </w:t>
      </w:r>
      <w:r>
        <w:rPr>
          <w:rFonts w:ascii="宋体" w:eastAsia="宋体" w:hAnsi="宋体" w:cs="宋体"/>
          <w:spacing w:val="-6"/>
          <w:sz w:val="18"/>
          <w:szCs w:val="18"/>
        </w:rPr>
        <w:t>59</w:t>
      </w:r>
      <w:r>
        <w:rPr>
          <w:rFonts w:ascii="宋体" w:eastAsia="宋体" w:hAnsi="宋体" w:cs="宋体"/>
          <w:spacing w:val="9"/>
          <w:sz w:val="18"/>
          <w:szCs w:val="18"/>
        </w:rPr>
        <w:t xml:space="preserve"> </w:t>
      </w:r>
      <w:r>
        <w:rPr>
          <w:rFonts w:ascii="宋体" w:eastAsia="宋体" w:hAnsi="宋体" w:cs="宋体"/>
          <w:spacing w:val="-6"/>
          <w:sz w:val="18"/>
          <w:szCs w:val="18"/>
        </w:rPr>
        <w:t>页</w:t>
      </w:r>
    </w:p>
    <w:p>
      <w:pPr>
        <w:spacing w:line="219" w:lineRule="auto"/>
        <w:rPr>
          <w:rFonts w:ascii="宋体" w:eastAsia="宋体" w:hAnsi="宋体" w:cs="宋体"/>
          <w:sz w:val="18"/>
          <w:szCs w:val="18"/>
        </w:rPr>
        <w:sectPr>
          <w:headerReference w:type="default" r:id="rId45"/>
          <w:footerReference w:type="default" r:id="rId46"/>
          <w:pgSz w:w="11906" w:h="16839"/>
          <w:pgMar w:top="400" w:right="259" w:bottom="400" w:left="1689" w:header="0" w:footer="0" w:gutter="0"/>
          <w:pgNumType w:start="19"/>
          <w:cols w:num="1" w:space="720"/>
        </w:sectPr>
      </w:pPr>
    </w:p>
    <w:p>
      <w:pPr>
        <w:spacing w:before="19"/>
      </w:pPr>
    </w:p>
    <w:p>
      <w:pPr>
        <w:spacing w:before="19"/>
      </w:pPr>
    </w:p>
    <w:p>
      <w:pPr>
        <w:spacing w:before="18"/>
      </w:pPr>
    </w:p>
    <w:p>
      <w:pPr>
        <w:spacing w:before="18"/>
      </w:pPr>
    </w:p>
    <w:tbl>
      <w:tblPr>
        <w:tblStyle w:val="TableNormal01"/>
        <w:tblW w:w="8524"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4989"/>
        <w:gridCol w:w="3535"/>
      </w:tblGrid>
      <w:tr>
        <w:tblPrEx>
          <w:tblW w:w="8524"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633"/>
        </w:trPr>
        <w:tc>
          <w:tcPr>
            <w:tcW w:w="4989" w:type="dxa"/>
            <w:tcBorders>
              <w:left w:val="nil"/>
            </w:tcBorders>
            <w:vAlign w:val="top"/>
          </w:tcPr>
          <w:p>
            <w:pPr>
              <w:pStyle w:val="TableText"/>
              <w:spacing w:before="212" w:line="229" w:lineRule="auto"/>
              <w:ind w:left="330"/>
            </w:pPr>
            <w:r>
              <w:rPr>
                <w:spacing w:val="-1"/>
              </w:rPr>
              <w:t>账</w:t>
            </w:r>
            <w:r>
              <w:rPr>
                <w:spacing w:val="9"/>
              </w:rPr>
              <w:t xml:space="preserve">  </w:t>
            </w:r>
            <w:r>
              <w:rPr>
                <w:spacing w:val="-1"/>
              </w:rPr>
              <w:t>龄</w:t>
            </w:r>
          </w:p>
        </w:tc>
        <w:tc>
          <w:tcPr>
            <w:tcW w:w="3535" w:type="dxa"/>
            <w:tcBorders>
              <w:right w:val="nil"/>
            </w:tcBorders>
            <w:vAlign w:val="top"/>
          </w:tcPr>
          <w:p>
            <w:pPr>
              <w:pStyle w:val="TableText"/>
              <w:spacing w:before="56" w:line="228" w:lineRule="auto"/>
              <w:ind w:left="1249"/>
            </w:pPr>
            <w:r>
              <w:rPr>
                <w:spacing w:val="7"/>
              </w:rPr>
              <w:t>其他应收款</w:t>
            </w:r>
          </w:p>
          <w:p>
            <w:pPr>
              <w:pStyle w:val="TableText"/>
              <w:spacing w:before="65" w:line="228" w:lineRule="auto"/>
              <w:ind w:left="777"/>
            </w:pPr>
            <w:r>
              <w:rPr>
                <w:spacing w:val="7"/>
              </w:rPr>
              <w:t>预期信用损失率（%）</w:t>
            </w:r>
          </w:p>
        </w:tc>
      </w:tr>
      <w:tr>
        <w:tblPrEx>
          <w:tblW w:w="8524" w:type="dxa"/>
          <w:tblInd w:w="0" w:type="dxa"/>
          <w:tblLayout w:type="fixed"/>
          <w:tblCellMar>
            <w:top w:w="0" w:type="dxa"/>
            <w:left w:w="0" w:type="dxa"/>
            <w:bottom w:w="0" w:type="dxa"/>
            <w:right w:w="0" w:type="dxa"/>
          </w:tblCellMar>
        </w:tblPrEx>
        <w:trPr>
          <w:trHeight w:val="458"/>
        </w:trPr>
        <w:tc>
          <w:tcPr>
            <w:tcW w:w="4989" w:type="dxa"/>
            <w:tcBorders>
              <w:left w:val="nil"/>
            </w:tcBorders>
            <w:vAlign w:val="top"/>
          </w:tcPr>
          <w:p>
            <w:pPr>
              <w:pStyle w:val="TableText"/>
              <w:spacing w:before="121" w:line="228" w:lineRule="auto"/>
              <w:ind w:left="131"/>
            </w:pPr>
            <w:r>
              <w:t>1</w:t>
            </w:r>
            <w:r>
              <w:rPr>
                <w:spacing w:val="-38"/>
              </w:rPr>
              <w:t xml:space="preserve"> </w:t>
            </w:r>
            <w:r>
              <w:t>年以内</w:t>
            </w:r>
          </w:p>
        </w:tc>
        <w:tc>
          <w:tcPr>
            <w:tcW w:w="3535" w:type="dxa"/>
            <w:tcBorders>
              <w:right w:val="nil"/>
            </w:tcBorders>
            <w:vAlign w:val="top"/>
          </w:tcPr>
          <w:p>
            <w:pPr>
              <w:pStyle w:val="TableText"/>
              <w:spacing w:before="156" w:line="189" w:lineRule="auto"/>
              <w:ind w:left="3017"/>
            </w:pPr>
            <w:r>
              <w:rPr>
                <w:spacing w:val="2"/>
              </w:rPr>
              <w:t>5.00</w:t>
            </w:r>
          </w:p>
        </w:tc>
      </w:tr>
      <w:tr>
        <w:tblPrEx>
          <w:tblW w:w="8524" w:type="dxa"/>
          <w:tblInd w:w="0" w:type="dxa"/>
          <w:tblLayout w:type="fixed"/>
          <w:tblCellMar>
            <w:top w:w="0" w:type="dxa"/>
            <w:left w:w="0" w:type="dxa"/>
            <w:bottom w:w="0" w:type="dxa"/>
            <w:right w:w="0" w:type="dxa"/>
          </w:tblCellMar>
        </w:tblPrEx>
        <w:trPr>
          <w:trHeight w:val="458"/>
        </w:trPr>
        <w:tc>
          <w:tcPr>
            <w:tcW w:w="4989" w:type="dxa"/>
            <w:tcBorders>
              <w:left w:val="nil"/>
            </w:tcBorders>
            <w:vAlign w:val="top"/>
          </w:tcPr>
          <w:p>
            <w:pPr>
              <w:pStyle w:val="TableText"/>
              <w:spacing w:before="123" w:line="228" w:lineRule="auto"/>
              <w:ind w:left="131"/>
            </w:pPr>
            <w:r>
              <w:rPr>
                <w:spacing w:val="-2"/>
              </w:rPr>
              <w:t>1-2</w:t>
            </w:r>
            <w:r>
              <w:rPr>
                <w:spacing w:val="-40"/>
              </w:rPr>
              <w:t xml:space="preserve"> </w:t>
            </w:r>
            <w:r>
              <w:rPr>
                <w:spacing w:val="-2"/>
              </w:rPr>
              <w:t>年</w:t>
            </w:r>
          </w:p>
        </w:tc>
        <w:tc>
          <w:tcPr>
            <w:tcW w:w="3535" w:type="dxa"/>
            <w:tcBorders>
              <w:right w:val="nil"/>
            </w:tcBorders>
            <w:vAlign w:val="top"/>
          </w:tcPr>
          <w:p>
            <w:pPr>
              <w:pStyle w:val="TableText"/>
              <w:spacing w:before="156" w:line="190" w:lineRule="auto"/>
              <w:ind w:left="2922"/>
            </w:pPr>
            <w:r>
              <w:t>10.00</w:t>
            </w:r>
          </w:p>
        </w:tc>
      </w:tr>
      <w:tr>
        <w:tblPrEx>
          <w:tblW w:w="8524" w:type="dxa"/>
          <w:tblInd w:w="0" w:type="dxa"/>
          <w:tblLayout w:type="fixed"/>
          <w:tblCellMar>
            <w:top w:w="0" w:type="dxa"/>
            <w:left w:w="0" w:type="dxa"/>
            <w:bottom w:w="0" w:type="dxa"/>
            <w:right w:w="0" w:type="dxa"/>
          </w:tblCellMar>
        </w:tblPrEx>
        <w:trPr>
          <w:trHeight w:val="458"/>
        </w:trPr>
        <w:tc>
          <w:tcPr>
            <w:tcW w:w="4989" w:type="dxa"/>
            <w:tcBorders>
              <w:left w:val="nil"/>
            </w:tcBorders>
            <w:vAlign w:val="top"/>
          </w:tcPr>
          <w:p>
            <w:pPr>
              <w:pStyle w:val="TableText"/>
              <w:spacing w:before="124" w:line="228" w:lineRule="auto"/>
              <w:ind w:left="118"/>
            </w:pPr>
            <w:r>
              <w:rPr>
                <w:spacing w:val="1"/>
              </w:rPr>
              <w:t>2-3</w:t>
            </w:r>
            <w:r>
              <w:rPr>
                <w:spacing w:val="-40"/>
              </w:rPr>
              <w:t xml:space="preserve"> </w:t>
            </w:r>
            <w:r>
              <w:rPr>
                <w:spacing w:val="1"/>
              </w:rPr>
              <w:t>年</w:t>
            </w:r>
          </w:p>
        </w:tc>
        <w:tc>
          <w:tcPr>
            <w:tcW w:w="3535" w:type="dxa"/>
            <w:tcBorders>
              <w:right w:val="nil"/>
            </w:tcBorders>
            <w:vAlign w:val="top"/>
          </w:tcPr>
          <w:p>
            <w:pPr>
              <w:pStyle w:val="TableText"/>
              <w:spacing w:before="157" w:line="189" w:lineRule="auto"/>
              <w:ind w:left="2911"/>
            </w:pPr>
            <w:r>
              <w:rPr>
                <w:spacing w:val="2"/>
              </w:rPr>
              <w:t>30.00</w:t>
            </w:r>
          </w:p>
        </w:tc>
      </w:tr>
      <w:tr>
        <w:tblPrEx>
          <w:tblW w:w="8524" w:type="dxa"/>
          <w:tblInd w:w="0" w:type="dxa"/>
          <w:tblLayout w:type="fixed"/>
          <w:tblCellMar>
            <w:top w:w="0" w:type="dxa"/>
            <w:left w:w="0" w:type="dxa"/>
            <w:bottom w:w="0" w:type="dxa"/>
            <w:right w:w="0" w:type="dxa"/>
          </w:tblCellMar>
        </w:tblPrEx>
        <w:trPr>
          <w:trHeight w:val="458"/>
        </w:trPr>
        <w:tc>
          <w:tcPr>
            <w:tcW w:w="4989" w:type="dxa"/>
            <w:tcBorders>
              <w:left w:val="nil"/>
            </w:tcBorders>
            <w:vAlign w:val="top"/>
          </w:tcPr>
          <w:p>
            <w:pPr>
              <w:pStyle w:val="TableText"/>
              <w:spacing w:before="124" w:line="228" w:lineRule="auto"/>
              <w:ind w:left="119"/>
            </w:pPr>
            <w:r>
              <w:t>3-4</w:t>
            </w:r>
            <w:r>
              <w:rPr>
                <w:spacing w:val="-38"/>
              </w:rPr>
              <w:t xml:space="preserve"> </w:t>
            </w:r>
            <w:r>
              <w:t>年</w:t>
            </w:r>
          </w:p>
        </w:tc>
        <w:tc>
          <w:tcPr>
            <w:tcW w:w="3535" w:type="dxa"/>
            <w:tcBorders>
              <w:right w:val="nil"/>
            </w:tcBorders>
            <w:vAlign w:val="top"/>
          </w:tcPr>
          <w:p>
            <w:pPr>
              <w:pStyle w:val="TableText"/>
              <w:spacing w:before="159" w:line="189" w:lineRule="auto"/>
              <w:ind w:left="2911"/>
            </w:pPr>
            <w:r>
              <w:rPr>
                <w:spacing w:val="2"/>
              </w:rPr>
              <w:t>50.00</w:t>
            </w:r>
          </w:p>
        </w:tc>
      </w:tr>
      <w:tr>
        <w:tblPrEx>
          <w:tblW w:w="8524" w:type="dxa"/>
          <w:tblInd w:w="0" w:type="dxa"/>
          <w:tblLayout w:type="fixed"/>
          <w:tblCellMar>
            <w:top w:w="0" w:type="dxa"/>
            <w:left w:w="0" w:type="dxa"/>
            <w:bottom w:w="0" w:type="dxa"/>
            <w:right w:w="0" w:type="dxa"/>
          </w:tblCellMar>
        </w:tblPrEx>
        <w:trPr>
          <w:trHeight w:val="463"/>
        </w:trPr>
        <w:tc>
          <w:tcPr>
            <w:tcW w:w="4989" w:type="dxa"/>
            <w:tcBorders>
              <w:left w:val="nil"/>
            </w:tcBorders>
            <w:vAlign w:val="top"/>
          </w:tcPr>
          <w:p>
            <w:pPr>
              <w:pStyle w:val="TableText"/>
              <w:spacing w:before="126" w:line="228" w:lineRule="auto"/>
              <w:ind w:left="114"/>
            </w:pPr>
            <w:r>
              <w:rPr>
                <w:spacing w:val="4"/>
              </w:rPr>
              <w:t>4</w:t>
            </w:r>
            <w:r>
              <w:rPr>
                <w:spacing w:val="-37"/>
              </w:rPr>
              <w:t xml:space="preserve"> </w:t>
            </w:r>
            <w:r>
              <w:rPr>
                <w:spacing w:val="4"/>
              </w:rPr>
              <w:t>年以上</w:t>
            </w:r>
          </w:p>
        </w:tc>
        <w:tc>
          <w:tcPr>
            <w:tcW w:w="3535" w:type="dxa"/>
            <w:tcBorders>
              <w:right w:val="nil"/>
            </w:tcBorders>
            <w:vAlign w:val="top"/>
          </w:tcPr>
          <w:p>
            <w:pPr>
              <w:pStyle w:val="TableText"/>
              <w:spacing w:before="159" w:line="190" w:lineRule="auto"/>
              <w:ind w:left="2819"/>
            </w:pPr>
            <w:r>
              <w:rPr>
                <w:spacing w:val="1"/>
              </w:rPr>
              <w:t>100.00</w:t>
            </w:r>
          </w:p>
        </w:tc>
      </w:tr>
    </w:tbl>
    <w:p>
      <w:pPr>
        <w:spacing w:before="128" w:line="227" w:lineRule="auto"/>
        <w:ind w:left="572"/>
        <w:outlineLvl w:val="1"/>
        <w:rPr>
          <w:rFonts w:ascii="宋体" w:eastAsia="宋体" w:hAnsi="宋体" w:cs="宋体"/>
          <w:sz w:val="20"/>
          <w:szCs w:val="20"/>
        </w:rPr>
      </w:pPr>
      <w:r>
        <w:rPr>
          <w:rFonts w:ascii="宋体" w:eastAsia="宋体" w:hAnsi="宋体" w:cs="宋体"/>
          <w:spacing w:val="-2"/>
          <w:sz w:val="20"/>
          <w:szCs w:val="20"/>
        </w:rPr>
        <w:t>(十一)</w:t>
      </w:r>
      <w:r>
        <w:rPr>
          <w:rFonts w:ascii="宋体" w:eastAsia="宋体" w:hAnsi="宋体" w:cs="宋体"/>
          <w:spacing w:val="18"/>
          <w:sz w:val="20"/>
          <w:szCs w:val="20"/>
        </w:rPr>
        <w:t xml:space="preserve"> </w:t>
      </w:r>
      <w:r>
        <w:rPr>
          <w:rFonts w:ascii="宋体" w:eastAsia="宋体" w:hAnsi="宋体" w:cs="宋体"/>
          <w:spacing w:val="-2"/>
          <w:sz w:val="20"/>
          <w:szCs w:val="20"/>
        </w:rPr>
        <w:t>存货</w:t>
      </w:r>
    </w:p>
    <w:p>
      <w:pPr>
        <w:spacing w:before="222" w:line="227" w:lineRule="auto"/>
        <w:ind w:left="551"/>
        <w:outlineLvl w:val="2"/>
        <w:rPr>
          <w:rFonts w:ascii="宋体" w:eastAsia="宋体" w:hAnsi="宋体" w:cs="宋体"/>
          <w:sz w:val="20"/>
          <w:szCs w:val="20"/>
        </w:rPr>
      </w:pPr>
      <w:r>
        <w:rPr>
          <w:rFonts w:ascii="宋体" w:eastAsia="宋体" w:hAnsi="宋体" w:cs="宋体"/>
          <w:spacing w:val="4"/>
          <w:sz w:val="20"/>
          <w:szCs w:val="20"/>
        </w:rPr>
        <w:t>1. 存货的分类</w:t>
      </w:r>
    </w:p>
    <w:p>
      <w:pPr>
        <w:spacing w:before="222" w:line="468" w:lineRule="exact"/>
        <w:ind w:left="534"/>
        <w:rPr>
          <w:rFonts w:ascii="宋体" w:eastAsia="宋体" w:hAnsi="宋体" w:cs="宋体"/>
          <w:sz w:val="20"/>
          <w:szCs w:val="20"/>
        </w:rPr>
      </w:pPr>
      <w:r>
        <w:rPr>
          <w:rFonts w:ascii="宋体" w:eastAsia="宋体" w:hAnsi="宋体" w:cs="宋体"/>
          <w:spacing w:val="7"/>
          <w:position w:val="20"/>
          <w:sz w:val="20"/>
          <w:szCs w:val="20"/>
        </w:rPr>
        <w:t>存货包括在日常活动中持有以备出售的产成品或商品、处在生产过程中的在产品、在生</w:t>
      </w:r>
    </w:p>
    <w:p>
      <w:pPr>
        <w:spacing w:line="226" w:lineRule="auto"/>
        <w:ind w:left="115"/>
        <w:rPr>
          <w:rFonts w:ascii="宋体" w:eastAsia="宋体" w:hAnsi="宋体" w:cs="宋体"/>
          <w:sz w:val="20"/>
          <w:szCs w:val="20"/>
        </w:rPr>
      </w:pPr>
      <w:r>
        <w:rPr>
          <w:rFonts w:ascii="宋体" w:eastAsia="宋体" w:hAnsi="宋体" w:cs="宋体"/>
          <w:spacing w:val="9"/>
          <w:sz w:val="20"/>
          <w:szCs w:val="20"/>
        </w:rPr>
        <w:t>产过程或提供劳务过程中耗用的材料和物料等。</w:t>
      </w:r>
    </w:p>
    <w:p>
      <w:pPr>
        <w:spacing w:before="222" w:line="226" w:lineRule="auto"/>
        <w:ind w:left="538"/>
        <w:outlineLvl w:val="2"/>
        <w:rPr>
          <w:rFonts w:ascii="宋体" w:eastAsia="宋体" w:hAnsi="宋体" w:cs="宋体"/>
          <w:sz w:val="20"/>
          <w:szCs w:val="20"/>
        </w:rPr>
      </w:pPr>
      <w:r>
        <w:rPr>
          <w:rFonts w:ascii="宋体" w:eastAsia="宋体" w:hAnsi="宋体" w:cs="宋体"/>
          <w:spacing w:val="7"/>
          <w:sz w:val="20"/>
          <w:szCs w:val="20"/>
        </w:rPr>
        <w:t>2. 发出存货的计价方法</w:t>
      </w:r>
    </w:p>
    <w:p>
      <w:pPr>
        <w:spacing w:before="223" w:line="227" w:lineRule="auto"/>
        <w:ind w:left="539"/>
        <w:rPr>
          <w:rFonts w:ascii="宋体" w:eastAsia="宋体" w:hAnsi="宋体" w:cs="宋体"/>
          <w:sz w:val="20"/>
          <w:szCs w:val="20"/>
        </w:rPr>
      </w:pPr>
      <w:r>
        <w:rPr>
          <w:rFonts w:ascii="宋体" w:eastAsia="宋体" w:hAnsi="宋体" w:cs="宋体"/>
          <w:spacing w:val="8"/>
          <w:sz w:val="20"/>
          <w:szCs w:val="20"/>
        </w:rPr>
        <w:t>发出存货采用移动加权平均法。</w:t>
      </w:r>
    </w:p>
    <w:p>
      <w:pPr>
        <w:spacing w:before="222" w:line="227" w:lineRule="auto"/>
        <w:ind w:left="539"/>
        <w:outlineLvl w:val="2"/>
        <w:rPr>
          <w:rFonts w:ascii="宋体" w:eastAsia="宋体" w:hAnsi="宋体" w:cs="宋体"/>
          <w:sz w:val="20"/>
          <w:szCs w:val="20"/>
        </w:rPr>
      </w:pPr>
      <w:r>
        <w:rPr>
          <w:rFonts w:ascii="宋体" w:eastAsia="宋体" w:hAnsi="宋体" w:cs="宋体"/>
          <w:spacing w:val="7"/>
          <w:sz w:val="20"/>
          <w:szCs w:val="20"/>
        </w:rPr>
        <w:t>3. 存货可变现净值的确定依据</w:t>
      </w:r>
    </w:p>
    <w:p>
      <w:pPr>
        <w:spacing w:before="222" w:line="432" w:lineRule="auto"/>
        <w:ind w:left="115" w:right="1501" w:firstLine="428"/>
        <w:jc w:val="both"/>
        <w:rPr>
          <w:rFonts w:ascii="宋体" w:eastAsia="宋体" w:hAnsi="宋体" w:cs="宋体"/>
          <w:sz w:val="20"/>
          <w:szCs w:val="20"/>
        </w:rPr>
      </w:pPr>
      <w:r>
        <w:rPr>
          <w:rFonts w:ascii="宋体" w:eastAsia="宋体" w:hAnsi="宋体" w:cs="宋体"/>
          <w:spacing w:val="7"/>
          <w:sz w:val="20"/>
          <w:szCs w:val="20"/>
        </w:rPr>
        <w:t>资产负债表日，存货采用成本与可变现净值孰低计量，按照成本高于可变现净值的差额</w:t>
      </w:r>
      <w:r>
        <w:rPr>
          <w:rFonts w:ascii="宋体" w:eastAsia="宋体" w:hAnsi="宋体" w:cs="宋体"/>
          <w:spacing w:val="4"/>
          <w:sz w:val="20"/>
          <w:szCs w:val="20"/>
        </w:rPr>
        <w:t xml:space="preserve"> </w:t>
      </w:r>
      <w:r>
        <w:rPr>
          <w:rFonts w:ascii="宋体" w:eastAsia="宋体" w:hAnsi="宋体" w:cs="宋体"/>
          <w:spacing w:val="8"/>
          <w:sz w:val="20"/>
          <w:szCs w:val="20"/>
        </w:rPr>
        <w:t>计提存货跌价准备。直接用于出售的存货，在正常</w:t>
      </w:r>
      <w:r>
        <w:rPr>
          <w:rFonts w:ascii="宋体" w:eastAsia="宋体" w:hAnsi="宋体" w:cs="宋体"/>
          <w:spacing w:val="7"/>
          <w:sz w:val="20"/>
          <w:szCs w:val="20"/>
        </w:rPr>
        <w:t>生产经营过程中以该存货的估计售价减去</w:t>
      </w:r>
      <w:r>
        <w:rPr>
          <w:rFonts w:ascii="宋体" w:eastAsia="宋体" w:hAnsi="宋体" w:cs="宋体"/>
          <w:sz w:val="20"/>
          <w:szCs w:val="20"/>
        </w:rPr>
        <w:t xml:space="preserve"> </w:t>
      </w:r>
      <w:r>
        <w:rPr>
          <w:rFonts w:ascii="宋体" w:eastAsia="宋体" w:hAnsi="宋体" w:cs="宋体"/>
          <w:spacing w:val="8"/>
          <w:sz w:val="20"/>
          <w:szCs w:val="20"/>
        </w:rPr>
        <w:t>估计的销售费用和相关税费后的金额确定其可变现</w:t>
      </w:r>
      <w:r>
        <w:rPr>
          <w:rFonts w:ascii="宋体" w:eastAsia="宋体" w:hAnsi="宋体" w:cs="宋体"/>
          <w:spacing w:val="7"/>
          <w:sz w:val="20"/>
          <w:szCs w:val="20"/>
        </w:rPr>
        <w:t>净值；需要经过加工的存货，在正常生产</w:t>
      </w:r>
      <w:r>
        <w:rPr>
          <w:rFonts w:ascii="宋体" w:eastAsia="宋体" w:hAnsi="宋体" w:cs="宋体"/>
          <w:sz w:val="20"/>
          <w:szCs w:val="20"/>
        </w:rPr>
        <w:t xml:space="preserve"> </w:t>
      </w:r>
      <w:r>
        <w:rPr>
          <w:rFonts w:ascii="宋体" w:eastAsia="宋体" w:hAnsi="宋体" w:cs="宋体"/>
          <w:spacing w:val="8"/>
          <w:sz w:val="20"/>
          <w:szCs w:val="20"/>
        </w:rPr>
        <w:t>经营过程中以所生产的产成品的估计售价减</w:t>
      </w:r>
      <w:r>
        <w:rPr>
          <w:rFonts w:ascii="宋体" w:eastAsia="宋体" w:hAnsi="宋体" w:cs="宋体"/>
          <w:spacing w:val="7"/>
          <w:sz w:val="20"/>
          <w:szCs w:val="20"/>
        </w:rPr>
        <w:t>去至完工时估计将要发生的成本、估计的销售费</w:t>
      </w:r>
      <w:r>
        <w:rPr>
          <w:rFonts w:ascii="宋体" w:eastAsia="宋体" w:hAnsi="宋体" w:cs="宋体"/>
          <w:sz w:val="20"/>
          <w:szCs w:val="20"/>
        </w:rPr>
        <w:t xml:space="preserve"> </w:t>
      </w:r>
      <w:r>
        <w:rPr>
          <w:rFonts w:ascii="宋体" w:eastAsia="宋体" w:hAnsi="宋体" w:cs="宋体"/>
          <w:spacing w:val="8"/>
          <w:sz w:val="20"/>
          <w:szCs w:val="20"/>
        </w:rPr>
        <w:t>用和相关税费后的金额确定其可变现净值；</w:t>
      </w:r>
      <w:r>
        <w:rPr>
          <w:rFonts w:ascii="宋体" w:eastAsia="宋体" w:hAnsi="宋体" w:cs="宋体"/>
          <w:spacing w:val="7"/>
          <w:sz w:val="20"/>
          <w:szCs w:val="20"/>
        </w:rPr>
        <w:t>资产负债表日，同一项存货中一部分有合同价格</w:t>
      </w:r>
      <w:r>
        <w:rPr>
          <w:rFonts w:ascii="宋体" w:eastAsia="宋体" w:hAnsi="宋体" w:cs="宋体"/>
          <w:sz w:val="20"/>
          <w:szCs w:val="20"/>
        </w:rPr>
        <w:t xml:space="preserve"> </w:t>
      </w:r>
      <w:r>
        <w:rPr>
          <w:rFonts w:ascii="宋体" w:eastAsia="宋体" w:hAnsi="宋体" w:cs="宋体"/>
          <w:spacing w:val="8"/>
          <w:sz w:val="20"/>
          <w:szCs w:val="20"/>
        </w:rPr>
        <w:t>约定、其他部分不存在合同价格的，分别确定其可变现净值，并与其对应的成本进行比较，</w:t>
      </w:r>
    </w:p>
    <w:p>
      <w:pPr>
        <w:spacing w:before="1" w:line="226" w:lineRule="auto"/>
        <w:ind w:left="118"/>
        <w:rPr>
          <w:rFonts w:ascii="宋体" w:eastAsia="宋体" w:hAnsi="宋体" w:cs="宋体"/>
          <w:sz w:val="20"/>
          <w:szCs w:val="20"/>
        </w:rPr>
      </w:pPr>
      <w:r>
        <w:rPr>
          <w:rFonts w:ascii="宋体" w:eastAsia="宋体" w:hAnsi="宋体" w:cs="宋体"/>
          <w:spacing w:val="8"/>
          <w:sz w:val="20"/>
          <w:szCs w:val="20"/>
        </w:rPr>
        <w:t>分别确定存货跌价准备的计提或转回的金额。</w:t>
      </w:r>
    </w:p>
    <w:p>
      <w:pPr>
        <w:spacing w:before="222" w:line="227" w:lineRule="auto"/>
        <w:ind w:left="534"/>
        <w:outlineLvl w:val="2"/>
        <w:rPr>
          <w:rFonts w:ascii="宋体" w:eastAsia="宋体" w:hAnsi="宋体" w:cs="宋体"/>
          <w:sz w:val="20"/>
          <w:szCs w:val="20"/>
        </w:rPr>
      </w:pPr>
      <w:r>
        <w:rPr>
          <w:rFonts w:ascii="宋体" w:eastAsia="宋体" w:hAnsi="宋体" w:cs="宋体"/>
          <w:spacing w:val="7"/>
          <w:sz w:val="20"/>
          <w:szCs w:val="20"/>
        </w:rPr>
        <w:t>4. 存货的盘存制度</w:t>
      </w:r>
    </w:p>
    <w:p>
      <w:pPr>
        <w:spacing w:before="222" w:line="227" w:lineRule="auto"/>
        <w:ind w:left="534"/>
        <w:rPr>
          <w:rFonts w:ascii="宋体" w:eastAsia="宋体" w:hAnsi="宋体" w:cs="宋体"/>
          <w:sz w:val="20"/>
          <w:szCs w:val="20"/>
        </w:rPr>
      </w:pPr>
      <w:r>
        <w:rPr>
          <w:rFonts w:ascii="宋体" w:eastAsia="宋体" w:hAnsi="宋体" w:cs="宋体"/>
          <w:spacing w:val="8"/>
          <w:sz w:val="20"/>
          <w:szCs w:val="20"/>
        </w:rPr>
        <w:t>存货的盘存制度为永续盘存制。</w:t>
      </w:r>
    </w:p>
    <w:p>
      <w:pPr>
        <w:spacing w:before="222" w:line="228" w:lineRule="auto"/>
        <w:ind w:left="539"/>
        <w:outlineLvl w:val="2"/>
        <w:rPr>
          <w:rFonts w:ascii="宋体" w:eastAsia="宋体" w:hAnsi="宋体" w:cs="宋体"/>
          <w:sz w:val="20"/>
          <w:szCs w:val="20"/>
        </w:rPr>
      </w:pPr>
      <w:r>
        <w:rPr>
          <w:rFonts w:ascii="宋体" w:eastAsia="宋体" w:hAnsi="宋体" w:cs="宋体"/>
          <w:spacing w:val="8"/>
          <w:sz w:val="20"/>
          <w:szCs w:val="20"/>
        </w:rPr>
        <w:t>5. 低值易耗品和包装物的摊销方法</w:t>
      </w:r>
    </w:p>
    <w:p>
      <w:pPr>
        <w:spacing w:before="221" w:line="228" w:lineRule="auto"/>
        <w:ind w:left="537"/>
        <w:rPr>
          <w:rFonts w:ascii="宋体" w:eastAsia="宋体" w:hAnsi="宋体" w:cs="宋体"/>
          <w:sz w:val="20"/>
          <w:szCs w:val="20"/>
        </w:rPr>
      </w:pPr>
      <w:r>
        <w:rPr>
          <w:rFonts w:ascii="宋体" w:eastAsia="宋体" w:hAnsi="宋体" w:cs="宋体"/>
          <w:spacing w:val="8"/>
          <w:sz w:val="20"/>
          <w:szCs w:val="20"/>
        </w:rPr>
        <w:t>按照一次转销法进行摊销。</w:t>
      </w:r>
    </w:p>
    <w:p>
      <w:pPr>
        <w:spacing w:before="221" w:line="228" w:lineRule="auto"/>
        <w:ind w:left="572"/>
        <w:outlineLvl w:val="1"/>
        <w:rPr>
          <w:rFonts w:ascii="宋体" w:eastAsia="宋体" w:hAnsi="宋体" w:cs="宋体"/>
          <w:sz w:val="20"/>
          <w:szCs w:val="20"/>
        </w:rPr>
      </w:pPr>
      <w:r>
        <w:rPr>
          <w:rFonts w:ascii="宋体" w:eastAsia="宋体" w:hAnsi="宋体" w:cs="宋体"/>
          <w:spacing w:val="4"/>
          <w:sz w:val="20"/>
          <w:szCs w:val="20"/>
        </w:rPr>
        <w:t>(十二) 长期股权投资</w:t>
      </w:r>
    </w:p>
    <w:p>
      <w:pPr>
        <w:spacing w:before="221" w:line="228" w:lineRule="auto"/>
        <w:ind w:left="551"/>
        <w:outlineLvl w:val="2"/>
        <w:rPr>
          <w:rFonts w:ascii="宋体" w:eastAsia="宋体" w:hAnsi="宋体" w:cs="宋体"/>
          <w:sz w:val="20"/>
          <w:szCs w:val="20"/>
        </w:rPr>
      </w:pPr>
      <w:r>
        <w:rPr>
          <w:rFonts w:ascii="宋体" w:eastAsia="宋体" w:hAnsi="宋体" w:cs="宋体"/>
          <w:spacing w:val="7"/>
          <w:sz w:val="20"/>
          <w:szCs w:val="20"/>
        </w:rPr>
        <w:t>1. 共同控制、重大影响的判断</w:t>
      </w:r>
    </w:p>
    <w:p>
      <w:pPr>
        <w:spacing w:before="222" w:line="432" w:lineRule="auto"/>
        <w:ind w:left="132" w:right="1537" w:firstLine="404"/>
        <w:jc w:val="both"/>
        <w:rPr>
          <w:rFonts w:ascii="宋体" w:eastAsia="宋体" w:hAnsi="宋体" w:cs="宋体"/>
          <w:sz w:val="20"/>
          <w:szCs w:val="20"/>
        </w:rPr>
      </w:pPr>
      <w:r>
        <w:rPr>
          <w:rFonts w:ascii="宋体" w:eastAsia="宋体" w:hAnsi="宋体" w:cs="宋体"/>
          <w:spacing w:val="7"/>
          <w:sz w:val="20"/>
          <w:szCs w:val="20"/>
        </w:rPr>
        <w:t>按照相关约定对某项安排存在共有的控制，并且该安排的相关活动必须经过分享控制权</w:t>
      </w:r>
      <w:r>
        <w:rPr>
          <w:rFonts w:ascii="宋体" w:eastAsia="宋体" w:hAnsi="宋体" w:cs="宋体"/>
          <w:spacing w:val="14"/>
          <w:sz w:val="20"/>
          <w:szCs w:val="20"/>
        </w:rPr>
        <w:t xml:space="preserve"> </w:t>
      </w:r>
      <w:r>
        <w:rPr>
          <w:rFonts w:ascii="宋体" w:eastAsia="宋体" w:hAnsi="宋体" w:cs="宋体"/>
          <w:spacing w:val="7"/>
          <w:sz w:val="20"/>
          <w:szCs w:val="20"/>
        </w:rPr>
        <w:t>的参与方一致同意后才能决策，认定为共同控制。对被投资单位的财务和经营政策有参与决</w:t>
      </w:r>
    </w:p>
    <w:p>
      <w:pPr>
        <w:spacing w:line="227" w:lineRule="auto"/>
        <w:ind w:left="117"/>
        <w:rPr>
          <w:rFonts w:ascii="宋体" w:eastAsia="宋体" w:hAnsi="宋体" w:cs="宋体"/>
          <w:sz w:val="20"/>
          <w:szCs w:val="20"/>
        </w:rPr>
      </w:pPr>
      <w:r>
        <w:rPr>
          <w:rFonts w:ascii="宋体" w:eastAsia="宋体" w:hAnsi="宋体" w:cs="宋体"/>
          <w:spacing w:val="9"/>
          <w:sz w:val="20"/>
          <w:szCs w:val="20"/>
        </w:rPr>
        <w:t>策的权力，但并不能够控制或者与其他方一起共同控制这些政策的制定，认定为重大影响。</w:t>
      </w:r>
    </w:p>
    <w:p>
      <w:pPr>
        <w:spacing w:line="252" w:lineRule="auto"/>
      </w:pPr>
    </w:p>
    <w:p>
      <w:pPr>
        <w:spacing w:line="252" w:lineRule="auto"/>
      </w:pPr>
    </w:p>
    <w:p>
      <w:pPr>
        <w:spacing w:before="59" w:line="219" w:lineRule="auto"/>
        <w:ind w:left="3505"/>
        <w:rPr>
          <w:rFonts w:ascii="宋体" w:eastAsia="宋体" w:hAnsi="宋体" w:cs="宋体"/>
          <w:sz w:val="18"/>
          <w:szCs w:val="18"/>
        </w:rPr>
      </w:pPr>
      <w:r>
        <w:rPr>
          <w:rFonts w:ascii="宋体" w:eastAsia="宋体" w:hAnsi="宋体" w:cs="宋体"/>
          <w:spacing w:val="-6"/>
          <w:sz w:val="18"/>
          <w:szCs w:val="18"/>
        </w:rPr>
        <w:t>第</w:t>
      </w:r>
      <w:r>
        <w:rPr>
          <w:rFonts w:ascii="宋体" w:eastAsia="宋体" w:hAnsi="宋体" w:cs="宋体"/>
          <w:spacing w:val="23"/>
          <w:w w:val="101"/>
          <w:sz w:val="18"/>
          <w:szCs w:val="18"/>
        </w:rPr>
        <w:t xml:space="preserve"> </w:t>
      </w:r>
      <w:r>
        <w:rPr>
          <w:rFonts w:ascii="宋体" w:eastAsia="宋体" w:hAnsi="宋体" w:cs="宋体"/>
          <w:spacing w:val="-6"/>
          <w:sz w:val="18"/>
          <w:szCs w:val="18"/>
        </w:rPr>
        <w:t>19</w:t>
      </w:r>
      <w:r>
        <w:rPr>
          <w:rFonts w:ascii="宋体" w:eastAsia="宋体" w:hAnsi="宋体" w:cs="宋体"/>
          <w:spacing w:val="11"/>
          <w:sz w:val="18"/>
          <w:szCs w:val="18"/>
        </w:rPr>
        <w:t xml:space="preserve"> </w:t>
      </w:r>
      <w:r>
        <w:rPr>
          <w:rFonts w:ascii="宋体" w:eastAsia="宋体" w:hAnsi="宋体" w:cs="宋体"/>
          <w:spacing w:val="-6"/>
          <w:sz w:val="18"/>
          <w:szCs w:val="18"/>
        </w:rPr>
        <w:t>页 共</w:t>
      </w:r>
      <w:r>
        <w:rPr>
          <w:rFonts w:ascii="宋体" w:eastAsia="宋体" w:hAnsi="宋体" w:cs="宋体"/>
          <w:spacing w:val="12"/>
          <w:sz w:val="18"/>
          <w:szCs w:val="18"/>
        </w:rPr>
        <w:t xml:space="preserve"> </w:t>
      </w:r>
      <w:r>
        <w:rPr>
          <w:rFonts w:ascii="宋体" w:eastAsia="宋体" w:hAnsi="宋体" w:cs="宋体"/>
          <w:spacing w:val="-6"/>
          <w:sz w:val="18"/>
          <w:szCs w:val="18"/>
        </w:rPr>
        <w:t>59</w:t>
      </w:r>
      <w:r>
        <w:rPr>
          <w:rFonts w:ascii="宋体" w:eastAsia="宋体" w:hAnsi="宋体" w:cs="宋体"/>
          <w:spacing w:val="9"/>
          <w:sz w:val="18"/>
          <w:szCs w:val="18"/>
        </w:rPr>
        <w:t xml:space="preserve"> </w:t>
      </w:r>
      <w:r>
        <w:rPr>
          <w:rFonts w:ascii="宋体" w:eastAsia="宋体" w:hAnsi="宋体" w:cs="宋体"/>
          <w:spacing w:val="-6"/>
          <w:sz w:val="18"/>
          <w:szCs w:val="18"/>
        </w:rPr>
        <w:t>页</w:t>
      </w:r>
    </w:p>
    <w:p>
      <w:pPr>
        <w:spacing w:line="219" w:lineRule="auto"/>
        <w:rPr>
          <w:rFonts w:ascii="宋体" w:eastAsia="宋体" w:hAnsi="宋体" w:cs="宋体"/>
          <w:sz w:val="18"/>
          <w:szCs w:val="18"/>
        </w:rPr>
        <w:sectPr>
          <w:headerReference w:type="default" r:id="rId47"/>
          <w:footerReference w:type="default" r:id="rId48"/>
          <w:pgSz w:w="11906" w:h="16839"/>
          <w:pgMar w:top="400" w:right="259" w:bottom="400" w:left="1690" w:header="0" w:footer="0" w:gutter="0"/>
          <w:pgNumType w:start="20"/>
          <w:cols w:num="1" w:space="720"/>
        </w:sectPr>
      </w:pPr>
    </w:p>
    <w:p>
      <w:pPr>
        <w:spacing w:line="274" w:lineRule="auto"/>
      </w:pPr>
    </w:p>
    <w:p>
      <w:pPr>
        <w:spacing w:line="274" w:lineRule="auto"/>
      </w:pPr>
    </w:p>
    <w:p>
      <w:pPr>
        <w:spacing w:line="274" w:lineRule="auto"/>
      </w:pPr>
    </w:p>
    <w:p>
      <w:pPr>
        <w:spacing w:line="274" w:lineRule="auto"/>
      </w:pPr>
    </w:p>
    <w:p>
      <w:pPr>
        <w:spacing w:before="65" w:line="227" w:lineRule="auto"/>
        <w:ind w:left="442"/>
        <w:outlineLvl w:val="2"/>
        <w:rPr>
          <w:rFonts w:ascii="宋体" w:eastAsia="宋体" w:hAnsi="宋体" w:cs="宋体"/>
          <w:sz w:val="20"/>
          <w:szCs w:val="20"/>
        </w:rPr>
      </w:pPr>
      <w:r>
        <w:rPr>
          <w:rFonts w:ascii="宋体" w:eastAsia="宋体" w:hAnsi="宋体" w:cs="宋体"/>
          <w:spacing w:val="7"/>
          <w:sz w:val="20"/>
          <w:szCs w:val="20"/>
        </w:rPr>
        <w:t>2. 投资成本的确定</w:t>
      </w:r>
    </w:p>
    <w:p>
      <w:pPr>
        <w:spacing w:before="222" w:line="432" w:lineRule="auto"/>
        <w:ind w:left="20" w:right="1501" w:firstLine="455"/>
        <w:rPr>
          <w:rFonts w:ascii="宋体" w:eastAsia="宋体" w:hAnsi="宋体" w:cs="宋体"/>
          <w:sz w:val="20"/>
          <w:szCs w:val="20"/>
        </w:rPr>
      </w:pPr>
      <w:r>
        <w:rPr>
          <w:rFonts w:ascii="宋体" w:eastAsia="宋体" w:hAnsi="宋体" w:cs="宋体"/>
          <w:spacing w:val="5"/>
          <w:sz w:val="20"/>
          <w:szCs w:val="20"/>
        </w:rPr>
        <w:t>(1)</w:t>
      </w:r>
      <w:r>
        <w:rPr>
          <w:rFonts w:ascii="宋体" w:eastAsia="宋体" w:hAnsi="宋体" w:cs="宋体"/>
          <w:spacing w:val="50"/>
          <w:sz w:val="20"/>
          <w:szCs w:val="20"/>
        </w:rPr>
        <w:t xml:space="preserve"> </w:t>
      </w:r>
      <w:r>
        <w:rPr>
          <w:rFonts w:ascii="宋体" w:eastAsia="宋体" w:hAnsi="宋体" w:cs="宋体"/>
          <w:spacing w:val="5"/>
          <w:sz w:val="20"/>
          <w:szCs w:val="20"/>
        </w:rPr>
        <w:t>同一控制下的企业合并形成的，合并方以支付现金、转让非现金资产、承担债务或</w:t>
      </w:r>
      <w:r>
        <w:rPr>
          <w:rFonts w:ascii="宋体" w:eastAsia="宋体" w:hAnsi="宋体" w:cs="宋体"/>
          <w:sz w:val="20"/>
          <w:szCs w:val="20"/>
        </w:rPr>
        <w:t xml:space="preserve"> </w:t>
      </w:r>
      <w:r>
        <w:rPr>
          <w:rFonts w:ascii="宋体" w:eastAsia="宋体" w:hAnsi="宋体" w:cs="宋体"/>
          <w:spacing w:val="8"/>
          <w:sz w:val="20"/>
          <w:szCs w:val="20"/>
        </w:rPr>
        <w:t>发行权益性证券作为合并对价的，在合并日按照</w:t>
      </w:r>
      <w:r>
        <w:rPr>
          <w:rFonts w:ascii="宋体" w:eastAsia="宋体" w:hAnsi="宋体" w:cs="宋体"/>
          <w:spacing w:val="7"/>
          <w:sz w:val="20"/>
          <w:szCs w:val="20"/>
        </w:rPr>
        <w:t>取得被合并方所有者权益在最终控制方合并</w:t>
      </w:r>
      <w:r>
        <w:rPr>
          <w:rFonts w:ascii="宋体" w:eastAsia="宋体" w:hAnsi="宋体" w:cs="宋体"/>
          <w:sz w:val="20"/>
          <w:szCs w:val="20"/>
        </w:rPr>
        <w:t xml:space="preserve"> </w:t>
      </w:r>
      <w:r>
        <w:rPr>
          <w:rFonts w:ascii="宋体" w:eastAsia="宋体" w:hAnsi="宋体" w:cs="宋体"/>
          <w:spacing w:val="8"/>
          <w:sz w:val="20"/>
          <w:szCs w:val="20"/>
        </w:rPr>
        <w:t>财务报表中的账面价值的份额作为其初始投资成</w:t>
      </w:r>
      <w:r>
        <w:rPr>
          <w:rFonts w:ascii="宋体" w:eastAsia="宋体" w:hAnsi="宋体" w:cs="宋体"/>
          <w:spacing w:val="7"/>
          <w:sz w:val="20"/>
          <w:szCs w:val="20"/>
        </w:rPr>
        <w:t>本。长期股权投资初始投资成本与支付的合</w:t>
      </w:r>
      <w:r>
        <w:rPr>
          <w:rFonts w:ascii="宋体" w:eastAsia="宋体" w:hAnsi="宋体" w:cs="宋体"/>
          <w:sz w:val="20"/>
          <w:szCs w:val="20"/>
        </w:rPr>
        <w:t xml:space="preserve"> </w:t>
      </w:r>
      <w:r>
        <w:rPr>
          <w:rFonts w:ascii="宋体" w:eastAsia="宋体" w:hAnsi="宋体" w:cs="宋体"/>
          <w:spacing w:val="8"/>
          <w:sz w:val="20"/>
          <w:szCs w:val="20"/>
        </w:rPr>
        <w:t>并对价的账面价值或发行股份的面值总额之间的差额调整资本公积；资本公积不足冲减的，</w:t>
      </w:r>
    </w:p>
    <w:p>
      <w:pPr>
        <w:spacing w:line="227" w:lineRule="auto"/>
        <w:ind w:left="21"/>
        <w:rPr>
          <w:rFonts w:ascii="宋体" w:eastAsia="宋体" w:hAnsi="宋体" w:cs="宋体"/>
          <w:sz w:val="20"/>
          <w:szCs w:val="20"/>
        </w:rPr>
      </w:pPr>
      <w:r>
        <w:rPr>
          <w:rFonts w:ascii="宋体" w:eastAsia="宋体" w:hAnsi="宋体" w:cs="宋体"/>
          <w:spacing w:val="6"/>
          <w:sz w:val="20"/>
          <w:szCs w:val="20"/>
        </w:rPr>
        <w:t>调整留存收益。</w:t>
      </w:r>
    </w:p>
    <w:p>
      <w:pPr>
        <w:spacing w:before="221" w:line="432" w:lineRule="auto"/>
        <w:ind w:left="9" w:right="1537" w:firstLine="436"/>
        <w:rPr>
          <w:rFonts w:ascii="宋体" w:eastAsia="宋体" w:hAnsi="宋体" w:cs="宋体"/>
          <w:sz w:val="20"/>
          <w:szCs w:val="20"/>
        </w:rPr>
      </w:pPr>
      <w:r>
        <w:rPr>
          <w:rFonts w:ascii="宋体" w:eastAsia="宋体" w:hAnsi="宋体" w:cs="宋体"/>
          <w:spacing w:val="13"/>
          <w:sz w:val="20"/>
          <w:szCs w:val="20"/>
        </w:rPr>
        <w:t>公司通过多次交易分步实现同一控制下企业合并形成的长期股权投资，</w:t>
      </w:r>
      <w:r>
        <w:rPr>
          <w:rFonts w:ascii="宋体" w:eastAsia="宋体" w:hAnsi="宋体" w:cs="宋体"/>
          <w:spacing w:val="12"/>
          <w:sz w:val="20"/>
          <w:szCs w:val="20"/>
        </w:rPr>
        <w:t>判断是否属于</w:t>
      </w:r>
      <w:r>
        <w:rPr>
          <w:rFonts w:ascii="宋体" w:eastAsia="宋体" w:hAnsi="宋体" w:cs="宋体"/>
          <w:sz w:val="20"/>
          <w:szCs w:val="20"/>
        </w:rPr>
        <w:t xml:space="preserve"> </w:t>
      </w:r>
      <w:r>
        <w:rPr>
          <w:rFonts w:ascii="宋体" w:eastAsia="宋体" w:hAnsi="宋体" w:cs="宋体"/>
          <w:spacing w:val="6"/>
          <w:sz w:val="20"/>
          <w:szCs w:val="20"/>
        </w:rPr>
        <w:t>“一揽子交易</w:t>
      </w:r>
      <w:r>
        <w:rPr>
          <w:rFonts w:ascii="宋体" w:eastAsia="宋体" w:hAnsi="宋体" w:cs="宋体"/>
          <w:spacing w:val="-61"/>
          <w:sz w:val="20"/>
          <w:szCs w:val="20"/>
        </w:rPr>
        <w:t xml:space="preserve"> </w:t>
      </w:r>
      <w:r>
        <w:rPr>
          <w:rFonts w:ascii="宋体" w:eastAsia="宋体" w:hAnsi="宋体" w:cs="宋体"/>
          <w:spacing w:val="6"/>
          <w:sz w:val="20"/>
          <w:szCs w:val="20"/>
        </w:rPr>
        <w:t>”。属于“一揽子交易</w:t>
      </w:r>
      <w:r>
        <w:rPr>
          <w:rFonts w:ascii="宋体" w:eastAsia="宋体" w:hAnsi="宋体" w:cs="宋体"/>
          <w:spacing w:val="-70"/>
          <w:sz w:val="20"/>
          <w:szCs w:val="20"/>
        </w:rPr>
        <w:t xml:space="preserve"> </w:t>
      </w:r>
      <w:r>
        <w:rPr>
          <w:rFonts w:ascii="宋体" w:eastAsia="宋体" w:hAnsi="宋体" w:cs="宋体"/>
          <w:spacing w:val="6"/>
          <w:sz w:val="20"/>
          <w:szCs w:val="20"/>
        </w:rPr>
        <w:t>”的，把各项交易作为一项取得控制权的交易进行会计</w:t>
      </w:r>
      <w:r>
        <w:rPr>
          <w:rFonts w:ascii="宋体" w:eastAsia="宋体" w:hAnsi="宋体" w:cs="宋体"/>
          <w:sz w:val="20"/>
          <w:szCs w:val="20"/>
        </w:rPr>
        <w:t xml:space="preserve"> </w:t>
      </w:r>
      <w:r>
        <w:rPr>
          <w:rFonts w:ascii="宋体" w:eastAsia="宋体" w:hAnsi="宋体" w:cs="宋体"/>
          <w:spacing w:val="7"/>
          <w:sz w:val="20"/>
          <w:szCs w:val="20"/>
        </w:rPr>
        <w:t>处理。不属于“一揽子交易</w:t>
      </w:r>
      <w:r>
        <w:rPr>
          <w:rFonts w:ascii="宋体" w:eastAsia="宋体" w:hAnsi="宋体" w:cs="宋体"/>
          <w:spacing w:val="-70"/>
          <w:sz w:val="20"/>
          <w:szCs w:val="20"/>
        </w:rPr>
        <w:t xml:space="preserve"> </w:t>
      </w:r>
      <w:r>
        <w:rPr>
          <w:rFonts w:ascii="宋体" w:eastAsia="宋体" w:hAnsi="宋体" w:cs="宋体"/>
          <w:spacing w:val="7"/>
          <w:sz w:val="20"/>
          <w:szCs w:val="20"/>
        </w:rPr>
        <w:t>”的，在合并日，根据合并后应享有被合并方净资产在最终控制</w:t>
      </w:r>
      <w:r>
        <w:rPr>
          <w:rFonts w:ascii="宋体" w:eastAsia="宋体" w:hAnsi="宋体" w:cs="宋体"/>
          <w:sz w:val="20"/>
          <w:szCs w:val="20"/>
        </w:rPr>
        <w:t xml:space="preserve"> </w:t>
      </w:r>
      <w:r>
        <w:rPr>
          <w:rFonts w:ascii="宋体" w:eastAsia="宋体" w:hAnsi="宋体" w:cs="宋体"/>
          <w:spacing w:val="8"/>
          <w:sz w:val="20"/>
          <w:szCs w:val="20"/>
        </w:rPr>
        <w:t>方合并财务报表中的账面价值的份额确定初始投资成本。合并日长期股权</w:t>
      </w:r>
      <w:r>
        <w:rPr>
          <w:rFonts w:ascii="宋体" w:eastAsia="宋体" w:hAnsi="宋体" w:cs="宋体"/>
          <w:spacing w:val="7"/>
          <w:sz w:val="20"/>
          <w:szCs w:val="20"/>
        </w:rPr>
        <w:t>投资的初始投资成</w:t>
      </w:r>
      <w:r>
        <w:rPr>
          <w:rFonts w:ascii="宋体" w:eastAsia="宋体" w:hAnsi="宋体" w:cs="宋体"/>
          <w:sz w:val="20"/>
          <w:szCs w:val="20"/>
        </w:rPr>
        <w:t xml:space="preserve"> </w:t>
      </w:r>
      <w:r>
        <w:rPr>
          <w:rFonts w:ascii="宋体" w:eastAsia="宋体" w:hAnsi="宋体" w:cs="宋体"/>
          <w:spacing w:val="8"/>
          <w:sz w:val="20"/>
          <w:szCs w:val="20"/>
        </w:rPr>
        <w:t>本，与达到合并前的长期股权投资账面价值加上合并日进一步取得</w:t>
      </w:r>
      <w:r>
        <w:rPr>
          <w:rFonts w:ascii="宋体" w:eastAsia="宋体" w:hAnsi="宋体" w:cs="宋体"/>
          <w:spacing w:val="7"/>
          <w:sz w:val="20"/>
          <w:szCs w:val="20"/>
        </w:rPr>
        <w:t>股份新支付对价的账面价</w:t>
      </w:r>
    </w:p>
    <w:p>
      <w:pPr>
        <w:spacing w:before="1" w:line="226" w:lineRule="auto"/>
        <w:ind w:left="19"/>
        <w:rPr>
          <w:rFonts w:ascii="宋体" w:eastAsia="宋体" w:hAnsi="宋体" w:cs="宋体"/>
          <w:sz w:val="20"/>
          <w:szCs w:val="20"/>
        </w:rPr>
      </w:pPr>
      <w:r>
        <w:rPr>
          <w:rFonts w:ascii="宋体" w:eastAsia="宋体" w:hAnsi="宋体" w:cs="宋体"/>
          <w:spacing w:val="9"/>
          <w:sz w:val="20"/>
          <w:szCs w:val="20"/>
        </w:rPr>
        <w:t>值之和的差额，调整资本公积；资本公积不足冲减的，调整留存收益。</w:t>
      </w:r>
    </w:p>
    <w:p>
      <w:pPr>
        <w:spacing w:before="222" w:line="468" w:lineRule="exact"/>
        <w:ind w:left="476"/>
        <w:rPr>
          <w:rFonts w:ascii="宋体" w:eastAsia="宋体" w:hAnsi="宋体" w:cs="宋体"/>
          <w:sz w:val="20"/>
          <w:szCs w:val="20"/>
        </w:rPr>
      </w:pPr>
      <w:r>
        <w:rPr>
          <w:rFonts w:ascii="宋体" w:eastAsia="宋体" w:hAnsi="宋体" w:cs="宋体"/>
          <w:spacing w:val="6"/>
          <w:position w:val="20"/>
          <w:sz w:val="20"/>
          <w:szCs w:val="20"/>
        </w:rPr>
        <w:t>(2) 非同一控制下的企业合并形成的，在购买日按照支付的合并对价的公允价值作为其</w:t>
      </w:r>
    </w:p>
    <w:p>
      <w:pPr>
        <w:spacing w:before="1" w:line="226" w:lineRule="auto"/>
        <w:ind w:left="19"/>
        <w:rPr>
          <w:rFonts w:ascii="宋体" w:eastAsia="宋体" w:hAnsi="宋体" w:cs="宋体"/>
          <w:sz w:val="20"/>
          <w:szCs w:val="20"/>
        </w:rPr>
      </w:pPr>
      <w:r>
        <w:rPr>
          <w:rFonts w:ascii="宋体" w:eastAsia="宋体" w:hAnsi="宋体" w:cs="宋体"/>
          <w:spacing w:val="7"/>
          <w:sz w:val="20"/>
          <w:szCs w:val="20"/>
        </w:rPr>
        <w:t>初始投资成本。</w:t>
      </w:r>
    </w:p>
    <w:p>
      <w:pPr>
        <w:spacing w:before="222" w:line="468" w:lineRule="exact"/>
        <w:ind w:left="446"/>
        <w:rPr>
          <w:rFonts w:ascii="宋体" w:eastAsia="宋体" w:hAnsi="宋体" w:cs="宋体"/>
          <w:sz w:val="20"/>
          <w:szCs w:val="20"/>
        </w:rPr>
      </w:pPr>
      <w:r>
        <w:rPr>
          <w:rFonts w:ascii="宋体" w:eastAsia="宋体" w:hAnsi="宋体" w:cs="宋体"/>
          <w:spacing w:val="7"/>
          <w:position w:val="20"/>
          <w:sz w:val="20"/>
          <w:szCs w:val="20"/>
        </w:rPr>
        <w:t>公司通过多次交易分步实现非同一控制下企业合并形成的长期股权投资，区分个别财务</w:t>
      </w:r>
    </w:p>
    <w:p>
      <w:pPr>
        <w:spacing w:before="1" w:line="226" w:lineRule="auto"/>
        <w:ind w:left="18"/>
        <w:rPr>
          <w:rFonts w:ascii="宋体" w:eastAsia="宋体" w:hAnsi="宋体" w:cs="宋体"/>
          <w:sz w:val="20"/>
          <w:szCs w:val="20"/>
        </w:rPr>
      </w:pPr>
      <w:r>
        <w:rPr>
          <w:rFonts w:ascii="宋体" w:eastAsia="宋体" w:hAnsi="宋体" w:cs="宋体"/>
          <w:spacing w:val="9"/>
          <w:sz w:val="20"/>
          <w:szCs w:val="20"/>
        </w:rPr>
        <w:t>报表和合并财务报表进行相关会计处理：</w:t>
      </w:r>
    </w:p>
    <w:p>
      <w:pPr>
        <w:spacing w:before="222" w:line="468" w:lineRule="exact"/>
        <w:ind w:left="455"/>
        <w:rPr>
          <w:rFonts w:ascii="宋体" w:eastAsia="宋体" w:hAnsi="宋体" w:cs="宋体"/>
          <w:sz w:val="20"/>
          <w:szCs w:val="20"/>
        </w:rPr>
      </w:pPr>
      <w:r>
        <w:rPr>
          <w:rFonts w:ascii="宋体" w:eastAsia="宋体" w:hAnsi="宋体" w:cs="宋体"/>
          <w:spacing w:val="9"/>
          <w:position w:val="20"/>
          <w:sz w:val="20"/>
          <w:szCs w:val="20"/>
        </w:rPr>
        <w:t>1) 在个别财务报表中，按照原持有的股权投资的账面价值加上新增投资成本之和，作</w:t>
      </w:r>
    </w:p>
    <w:p>
      <w:pPr>
        <w:spacing w:before="1" w:line="226" w:lineRule="auto"/>
        <w:ind w:left="22"/>
        <w:rPr>
          <w:rFonts w:ascii="宋体" w:eastAsia="宋体" w:hAnsi="宋体" w:cs="宋体"/>
          <w:sz w:val="20"/>
          <w:szCs w:val="20"/>
        </w:rPr>
      </w:pPr>
      <w:r>
        <w:rPr>
          <w:rFonts w:ascii="宋体" w:eastAsia="宋体" w:hAnsi="宋体" w:cs="宋体"/>
          <w:spacing w:val="8"/>
          <w:sz w:val="20"/>
          <w:szCs w:val="20"/>
        </w:rPr>
        <w:t>为改按成本法核算的初始投资成本。</w:t>
      </w:r>
    </w:p>
    <w:p>
      <w:pPr>
        <w:spacing w:before="222" w:line="432" w:lineRule="auto"/>
        <w:ind w:left="19" w:right="1537" w:firstLine="422"/>
        <w:rPr>
          <w:rFonts w:ascii="宋体" w:eastAsia="宋体" w:hAnsi="宋体" w:cs="宋体"/>
          <w:sz w:val="20"/>
          <w:szCs w:val="20"/>
        </w:rPr>
      </w:pPr>
      <w:r>
        <w:rPr>
          <w:rFonts w:ascii="宋体" w:eastAsia="宋体" w:hAnsi="宋体" w:cs="宋体"/>
          <w:spacing w:val="8"/>
          <w:sz w:val="20"/>
          <w:szCs w:val="20"/>
        </w:rPr>
        <w:t>2) 在合并财务报表中，判断是否属于“一揽子交易</w:t>
      </w:r>
      <w:r>
        <w:rPr>
          <w:rFonts w:ascii="宋体" w:eastAsia="宋体" w:hAnsi="宋体" w:cs="宋体"/>
          <w:spacing w:val="-63"/>
          <w:sz w:val="20"/>
          <w:szCs w:val="20"/>
        </w:rPr>
        <w:t xml:space="preserve"> </w:t>
      </w:r>
      <w:r>
        <w:rPr>
          <w:rFonts w:ascii="宋体" w:eastAsia="宋体" w:hAnsi="宋体" w:cs="宋体"/>
          <w:spacing w:val="8"/>
          <w:sz w:val="20"/>
          <w:szCs w:val="20"/>
        </w:rPr>
        <w:t>”。属于“一揽子交易</w:t>
      </w:r>
      <w:r>
        <w:rPr>
          <w:rFonts w:ascii="宋体" w:eastAsia="宋体" w:hAnsi="宋体" w:cs="宋体"/>
          <w:spacing w:val="-70"/>
          <w:sz w:val="20"/>
          <w:szCs w:val="20"/>
        </w:rPr>
        <w:t xml:space="preserve"> </w:t>
      </w:r>
      <w:r>
        <w:rPr>
          <w:rFonts w:ascii="宋体" w:eastAsia="宋体" w:hAnsi="宋体" w:cs="宋体"/>
          <w:spacing w:val="8"/>
          <w:sz w:val="20"/>
          <w:szCs w:val="20"/>
        </w:rPr>
        <w:t>”的，把各</w:t>
      </w:r>
      <w:r>
        <w:rPr>
          <w:rFonts w:ascii="宋体" w:eastAsia="宋体" w:hAnsi="宋体" w:cs="宋体"/>
          <w:sz w:val="20"/>
          <w:szCs w:val="20"/>
        </w:rPr>
        <w:t xml:space="preserve"> </w:t>
      </w:r>
      <w:r>
        <w:rPr>
          <w:rFonts w:ascii="宋体" w:eastAsia="宋体" w:hAnsi="宋体" w:cs="宋体"/>
          <w:spacing w:val="7"/>
          <w:sz w:val="20"/>
          <w:szCs w:val="20"/>
        </w:rPr>
        <w:t>项交易作为一项取得控制权的交易进行会计处理。不属于“一揽子</w:t>
      </w:r>
      <w:r>
        <w:rPr>
          <w:rFonts w:ascii="宋体" w:eastAsia="宋体" w:hAnsi="宋体" w:cs="宋体"/>
          <w:spacing w:val="6"/>
          <w:sz w:val="20"/>
          <w:szCs w:val="20"/>
        </w:rPr>
        <w:t>交易</w:t>
      </w:r>
      <w:r>
        <w:rPr>
          <w:rFonts w:ascii="宋体" w:eastAsia="宋体" w:hAnsi="宋体" w:cs="宋体"/>
          <w:spacing w:val="-70"/>
          <w:sz w:val="20"/>
          <w:szCs w:val="20"/>
        </w:rPr>
        <w:t xml:space="preserve"> </w:t>
      </w:r>
      <w:r>
        <w:rPr>
          <w:rFonts w:ascii="宋体" w:eastAsia="宋体" w:hAnsi="宋体" w:cs="宋体"/>
          <w:spacing w:val="6"/>
          <w:sz w:val="20"/>
          <w:szCs w:val="20"/>
        </w:rPr>
        <w:t>”的，对于购买日之</w:t>
      </w:r>
      <w:r>
        <w:rPr>
          <w:rFonts w:ascii="宋体" w:eastAsia="宋体" w:hAnsi="宋体" w:cs="宋体"/>
          <w:sz w:val="20"/>
          <w:szCs w:val="20"/>
        </w:rPr>
        <w:t xml:space="preserve"> </w:t>
      </w:r>
      <w:r>
        <w:rPr>
          <w:rFonts w:ascii="宋体" w:eastAsia="宋体" w:hAnsi="宋体" w:cs="宋体"/>
          <w:spacing w:val="8"/>
          <w:sz w:val="20"/>
          <w:szCs w:val="20"/>
        </w:rPr>
        <w:t>前持有的被购买方的股权，按照该股权在购买日的</w:t>
      </w:r>
      <w:r>
        <w:rPr>
          <w:rFonts w:ascii="宋体" w:eastAsia="宋体" w:hAnsi="宋体" w:cs="宋体"/>
          <w:spacing w:val="7"/>
          <w:sz w:val="20"/>
          <w:szCs w:val="20"/>
        </w:rPr>
        <w:t>公允价值进行重新计量，公允价值与其账</w:t>
      </w:r>
      <w:r>
        <w:rPr>
          <w:rFonts w:ascii="宋体" w:eastAsia="宋体" w:hAnsi="宋体" w:cs="宋体"/>
          <w:sz w:val="20"/>
          <w:szCs w:val="20"/>
        </w:rPr>
        <w:t xml:space="preserve"> </w:t>
      </w:r>
      <w:r>
        <w:rPr>
          <w:rFonts w:ascii="宋体" w:eastAsia="宋体" w:hAnsi="宋体" w:cs="宋体"/>
          <w:spacing w:val="8"/>
          <w:sz w:val="20"/>
          <w:szCs w:val="20"/>
        </w:rPr>
        <w:t>面价值的差额计入当期投资收益；购买日之前持有</w:t>
      </w:r>
      <w:r>
        <w:rPr>
          <w:rFonts w:ascii="宋体" w:eastAsia="宋体" w:hAnsi="宋体" w:cs="宋体"/>
          <w:spacing w:val="7"/>
          <w:sz w:val="20"/>
          <w:szCs w:val="20"/>
        </w:rPr>
        <w:t>的被购买方的股权涉及权益法核算下的其</w:t>
      </w:r>
      <w:r>
        <w:rPr>
          <w:rFonts w:ascii="宋体" w:eastAsia="宋体" w:hAnsi="宋体" w:cs="宋体"/>
          <w:sz w:val="20"/>
          <w:szCs w:val="20"/>
        </w:rPr>
        <w:t xml:space="preserve"> </w:t>
      </w:r>
      <w:r>
        <w:rPr>
          <w:rFonts w:ascii="宋体" w:eastAsia="宋体" w:hAnsi="宋体" w:cs="宋体"/>
          <w:spacing w:val="8"/>
          <w:sz w:val="20"/>
          <w:szCs w:val="20"/>
        </w:rPr>
        <w:t>他综合收益等的，与其相关的其他综合收益</w:t>
      </w:r>
      <w:r>
        <w:rPr>
          <w:rFonts w:ascii="宋体" w:eastAsia="宋体" w:hAnsi="宋体" w:cs="宋体"/>
          <w:spacing w:val="7"/>
          <w:sz w:val="20"/>
          <w:szCs w:val="20"/>
        </w:rPr>
        <w:t>等转为购买日所属当期收益。但由于被投资方重</w:t>
      </w:r>
    </w:p>
    <w:p>
      <w:pPr>
        <w:spacing w:before="1" w:line="227" w:lineRule="auto"/>
        <w:ind w:left="20"/>
        <w:rPr>
          <w:rFonts w:ascii="宋体" w:eastAsia="宋体" w:hAnsi="宋体" w:cs="宋体"/>
          <w:sz w:val="20"/>
          <w:szCs w:val="20"/>
        </w:rPr>
      </w:pPr>
      <w:r>
        <w:rPr>
          <w:rFonts w:ascii="宋体" w:eastAsia="宋体" w:hAnsi="宋体" w:cs="宋体"/>
          <w:spacing w:val="9"/>
          <w:sz w:val="20"/>
          <w:szCs w:val="20"/>
        </w:rPr>
        <w:t>新计量设定受益计划净负债或净资产变动而产生的其他综合收益除外。</w:t>
      </w:r>
    </w:p>
    <w:p>
      <w:pPr>
        <w:spacing w:before="221" w:line="432" w:lineRule="auto"/>
        <w:ind w:left="22" w:right="1487" w:firstLine="454"/>
        <w:rPr>
          <w:rFonts w:ascii="宋体" w:eastAsia="宋体" w:hAnsi="宋体" w:cs="宋体"/>
          <w:sz w:val="20"/>
          <w:szCs w:val="20"/>
        </w:rPr>
      </w:pPr>
      <w:r>
        <w:rPr>
          <w:rFonts w:ascii="宋体" w:eastAsia="宋体" w:hAnsi="宋体" w:cs="宋体"/>
          <w:spacing w:val="6"/>
          <w:sz w:val="20"/>
          <w:szCs w:val="20"/>
        </w:rPr>
        <w:t>(3) 除企业合并形成以外的：以支付现金取得的，按照实际支付的购买价款作为其初始</w:t>
      </w:r>
      <w:r>
        <w:rPr>
          <w:rFonts w:ascii="宋体" w:eastAsia="宋体" w:hAnsi="宋体" w:cs="宋体"/>
          <w:spacing w:val="2"/>
          <w:sz w:val="20"/>
          <w:szCs w:val="20"/>
        </w:rPr>
        <w:t xml:space="preserve"> </w:t>
      </w:r>
      <w:r>
        <w:rPr>
          <w:rFonts w:ascii="宋体" w:eastAsia="宋体" w:hAnsi="宋体" w:cs="宋体"/>
          <w:spacing w:val="4"/>
          <w:sz w:val="20"/>
          <w:szCs w:val="20"/>
        </w:rPr>
        <w:t>投资成本；以发行权益性证券取得的，按照发行权益性证券</w:t>
      </w:r>
      <w:r>
        <w:rPr>
          <w:rFonts w:ascii="宋体" w:eastAsia="宋体" w:hAnsi="宋体" w:cs="宋体"/>
          <w:spacing w:val="3"/>
          <w:sz w:val="20"/>
          <w:szCs w:val="20"/>
        </w:rPr>
        <w:t>的公允价值作为其初始投资成本；</w:t>
      </w:r>
      <w:r>
        <w:rPr>
          <w:rFonts w:ascii="宋体" w:eastAsia="宋体" w:hAnsi="宋体" w:cs="宋体"/>
          <w:sz w:val="20"/>
          <w:szCs w:val="20"/>
        </w:rPr>
        <w:t xml:space="preserve"> </w:t>
      </w:r>
      <w:r>
        <w:rPr>
          <w:rFonts w:ascii="宋体" w:eastAsia="宋体" w:hAnsi="宋体" w:cs="宋体"/>
          <w:spacing w:val="9"/>
          <w:sz w:val="20"/>
          <w:szCs w:val="20"/>
        </w:rPr>
        <w:t>以债务重组方式取得的，按《企业会计准则第</w:t>
      </w:r>
      <w:r>
        <w:rPr>
          <w:rFonts w:ascii="宋体" w:eastAsia="宋体" w:hAnsi="宋体" w:cs="宋体"/>
          <w:spacing w:val="-24"/>
          <w:sz w:val="20"/>
          <w:szCs w:val="20"/>
        </w:rPr>
        <w:t xml:space="preserve"> </w:t>
      </w:r>
      <w:r>
        <w:rPr>
          <w:rFonts w:ascii="宋体" w:eastAsia="宋体" w:hAnsi="宋体" w:cs="宋体"/>
          <w:spacing w:val="9"/>
          <w:sz w:val="20"/>
          <w:szCs w:val="20"/>
        </w:rPr>
        <w:t>12</w:t>
      </w:r>
      <w:r>
        <w:rPr>
          <w:rFonts w:ascii="宋体" w:eastAsia="宋体" w:hAnsi="宋体" w:cs="宋体"/>
          <w:spacing w:val="-33"/>
          <w:sz w:val="20"/>
          <w:szCs w:val="20"/>
        </w:rPr>
        <w:t xml:space="preserve"> </w:t>
      </w:r>
      <w:r>
        <w:rPr>
          <w:rFonts w:ascii="宋体" w:eastAsia="宋体" w:hAnsi="宋体" w:cs="宋体"/>
          <w:spacing w:val="9"/>
          <w:sz w:val="20"/>
          <w:szCs w:val="20"/>
        </w:rPr>
        <w:t>号——</w:t>
      </w:r>
      <w:r>
        <w:rPr>
          <w:rFonts w:ascii="宋体" w:eastAsia="宋体" w:hAnsi="宋体" w:cs="宋体"/>
          <w:spacing w:val="8"/>
          <w:sz w:val="20"/>
          <w:szCs w:val="20"/>
        </w:rPr>
        <w:t>债务重组》确定其初始投资成本；</w:t>
      </w:r>
      <w:r>
        <w:rPr>
          <w:rFonts w:ascii="宋体" w:eastAsia="宋体" w:hAnsi="宋体" w:cs="宋体"/>
          <w:sz w:val="20"/>
          <w:szCs w:val="20"/>
        </w:rPr>
        <w:t xml:space="preserve"> </w:t>
      </w:r>
      <w:r>
        <w:rPr>
          <w:rFonts w:ascii="宋体" w:eastAsia="宋体" w:hAnsi="宋体" w:cs="宋体"/>
          <w:spacing w:val="7"/>
          <w:sz w:val="20"/>
          <w:szCs w:val="20"/>
        </w:rPr>
        <w:t>以非货币性资产交换取得的，按《企业会计准则第</w:t>
      </w:r>
      <w:r>
        <w:rPr>
          <w:rFonts w:ascii="宋体" w:eastAsia="宋体" w:hAnsi="宋体" w:cs="宋体"/>
          <w:spacing w:val="-34"/>
          <w:sz w:val="20"/>
          <w:szCs w:val="20"/>
        </w:rPr>
        <w:t xml:space="preserve"> </w:t>
      </w:r>
      <w:r>
        <w:rPr>
          <w:rFonts w:ascii="宋体" w:eastAsia="宋体" w:hAnsi="宋体" w:cs="宋体"/>
          <w:spacing w:val="7"/>
          <w:sz w:val="20"/>
          <w:szCs w:val="20"/>
        </w:rPr>
        <w:t>7</w:t>
      </w:r>
      <w:r>
        <w:rPr>
          <w:rFonts w:ascii="宋体" w:eastAsia="宋体" w:hAnsi="宋体" w:cs="宋体"/>
          <w:spacing w:val="-33"/>
          <w:sz w:val="20"/>
          <w:szCs w:val="20"/>
        </w:rPr>
        <w:t xml:space="preserve"> </w:t>
      </w:r>
      <w:r>
        <w:rPr>
          <w:rFonts w:ascii="宋体" w:eastAsia="宋体" w:hAnsi="宋体" w:cs="宋体"/>
          <w:spacing w:val="7"/>
          <w:sz w:val="20"/>
          <w:szCs w:val="20"/>
        </w:rPr>
        <w:t>号——</w:t>
      </w:r>
      <w:r>
        <w:rPr>
          <w:rFonts w:ascii="宋体" w:eastAsia="宋体" w:hAnsi="宋体" w:cs="宋体"/>
          <w:spacing w:val="6"/>
          <w:sz w:val="20"/>
          <w:szCs w:val="20"/>
        </w:rPr>
        <w:t>非货币性资产交换》确定其初始</w:t>
      </w:r>
    </w:p>
    <w:p>
      <w:pPr>
        <w:spacing w:before="1" w:line="226" w:lineRule="auto"/>
        <w:ind w:left="22"/>
        <w:rPr>
          <w:rFonts w:ascii="宋体" w:eastAsia="宋体" w:hAnsi="宋体" w:cs="宋体"/>
          <w:sz w:val="20"/>
          <w:szCs w:val="20"/>
        </w:rPr>
      </w:pPr>
      <w:r>
        <w:rPr>
          <w:rFonts w:ascii="宋体" w:eastAsia="宋体" w:hAnsi="宋体" w:cs="宋体"/>
          <w:spacing w:val="5"/>
          <w:sz w:val="20"/>
          <w:szCs w:val="20"/>
        </w:rPr>
        <w:t>投资成本。</w:t>
      </w:r>
    </w:p>
    <w:p>
      <w:pPr>
        <w:spacing w:before="223" w:line="228" w:lineRule="auto"/>
        <w:ind w:left="444"/>
        <w:outlineLvl w:val="2"/>
        <w:rPr>
          <w:rFonts w:ascii="宋体" w:eastAsia="宋体" w:hAnsi="宋体" w:cs="宋体"/>
          <w:sz w:val="20"/>
          <w:szCs w:val="20"/>
        </w:rPr>
      </w:pPr>
      <w:r>
        <w:rPr>
          <w:rFonts w:ascii="宋体" w:eastAsia="宋体" w:hAnsi="宋体" w:cs="宋体"/>
          <w:spacing w:val="7"/>
          <w:sz w:val="20"/>
          <w:szCs w:val="20"/>
        </w:rPr>
        <w:t>3. 后续计量及损益确认方法</w:t>
      </w:r>
    </w:p>
    <w:p>
      <w:pPr>
        <w:spacing w:before="253" w:line="219" w:lineRule="auto"/>
        <w:ind w:left="3409"/>
        <w:rPr>
          <w:rFonts w:ascii="宋体" w:eastAsia="宋体" w:hAnsi="宋体" w:cs="宋体"/>
          <w:sz w:val="18"/>
          <w:szCs w:val="18"/>
        </w:rPr>
      </w:pPr>
      <w:r>
        <w:rPr>
          <w:rFonts w:ascii="宋体" w:eastAsia="宋体" w:hAnsi="宋体" w:cs="宋体"/>
          <w:spacing w:val="-5"/>
          <w:sz w:val="18"/>
          <w:szCs w:val="18"/>
        </w:rPr>
        <w:t>第</w:t>
      </w:r>
      <w:r>
        <w:rPr>
          <w:rFonts w:ascii="宋体" w:eastAsia="宋体" w:hAnsi="宋体" w:cs="宋体"/>
          <w:spacing w:val="14"/>
          <w:sz w:val="18"/>
          <w:szCs w:val="18"/>
        </w:rPr>
        <w:t xml:space="preserve"> </w:t>
      </w:r>
      <w:r>
        <w:rPr>
          <w:rFonts w:ascii="宋体" w:eastAsia="宋体" w:hAnsi="宋体" w:cs="宋体"/>
          <w:spacing w:val="-5"/>
          <w:sz w:val="18"/>
          <w:szCs w:val="18"/>
        </w:rPr>
        <w:t>20</w:t>
      </w:r>
      <w:r>
        <w:rPr>
          <w:rFonts w:ascii="宋体" w:eastAsia="宋体" w:hAnsi="宋体" w:cs="宋体"/>
          <w:spacing w:val="12"/>
          <w:sz w:val="18"/>
          <w:szCs w:val="18"/>
        </w:rPr>
        <w:t xml:space="preserve"> </w:t>
      </w:r>
      <w:r>
        <w:rPr>
          <w:rFonts w:ascii="宋体" w:eastAsia="宋体" w:hAnsi="宋体" w:cs="宋体"/>
          <w:spacing w:val="-5"/>
          <w:sz w:val="18"/>
          <w:szCs w:val="18"/>
        </w:rPr>
        <w:t>页 共</w:t>
      </w:r>
      <w:r>
        <w:rPr>
          <w:rFonts w:ascii="宋体" w:eastAsia="宋体" w:hAnsi="宋体" w:cs="宋体"/>
          <w:spacing w:val="12"/>
          <w:sz w:val="18"/>
          <w:szCs w:val="18"/>
        </w:rPr>
        <w:t xml:space="preserve"> </w:t>
      </w:r>
      <w:r>
        <w:rPr>
          <w:rFonts w:ascii="宋体" w:eastAsia="宋体" w:hAnsi="宋体" w:cs="宋体"/>
          <w:spacing w:val="-5"/>
          <w:sz w:val="18"/>
          <w:szCs w:val="18"/>
        </w:rPr>
        <w:t>59</w:t>
      </w:r>
      <w:r>
        <w:rPr>
          <w:rFonts w:ascii="宋体" w:eastAsia="宋体" w:hAnsi="宋体" w:cs="宋体"/>
          <w:spacing w:val="9"/>
          <w:sz w:val="18"/>
          <w:szCs w:val="18"/>
        </w:rPr>
        <w:t xml:space="preserve"> </w:t>
      </w:r>
      <w:r>
        <w:rPr>
          <w:rFonts w:ascii="宋体" w:eastAsia="宋体" w:hAnsi="宋体" w:cs="宋体"/>
          <w:spacing w:val="-5"/>
          <w:sz w:val="18"/>
          <w:szCs w:val="18"/>
        </w:rPr>
        <w:t>页</w:t>
      </w:r>
    </w:p>
    <w:p>
      <w:pPr>
        <w:spacing w:line="219" w:lineRule="auto"/>
        <w:rPr>
          <w:rFonts w:ascii="宋体" w:eastAsia="宋体" w:hAnsi="宋体" w:cs="宋体"/>
          <w:sz w:val="18"/>
          <w:szCs w:val="18"/>
        </w:rPr>
        <w:sectPr>
          <w:headerReference w:type="default" r:id="rId49"/>
          <w:footerReference w:type="default" r:id="rId50"/>
          <w:pgSz w:w="11906" w:h="16839"/>
          <w:pgMar w:top="400" w:right="259" w:bottom="400" w:left="1785" w:header="0" w:footer="0" w:gutter="0"/>
          <w:pgNumType w:start="21"/>
          <w:cols w:num="1" w:space="720"/>
        </w:sectPr>
      </w:pPr>
    </w:p>
    <w:p>
      <w:pPr>
        <w:spacing w:line="274" w:lineRule="auto"/>
      </w:pPr>
    </w:p>
    <w:p>
      <w:pPr>
        <w:spacing w:line="274" w:lineRule="auto"/>
      </w:pPr>
    </w:p>
    <w:p>
      <w:pPr>
        <w:spacing w:line="274" w:lineRule="auto"/>
      </w:pPr>
    </w:p>
    <w:p>
      <w:pPr>
        <w:spacing w:line="274" w:lineRule="auto"/>
      </w:pPr>
    </w:p>
    <w:p>
      <w:pPr>
        <w:spacing w:before="65" w:line="468" w:lineRule="exact"/>
        <w:ind w:left="439"/>
        <w:rPr>
          <w:rFonts w:ascii="宋体" w:eastAsia="宋体" w:hAnsi="宋体" w:cs="宋体"/>
          <w:sz w:val="20"/>
          <w:szCs w:val="20"/>
        </w:rPr>
      </w:pPr>
      <w:r>
        <w:rPr>
          <w:rFonts w:ascii="宋体" w:eastAsia="宋体" w:hAnsi="宋体" w:cs="宋体"/>
          <w:spacing w:val="7"/>
          <w:position w:val="20"/>
          <w:sz w:val="20"/>
          <w:szCs w:val="20"/>
        </w:rPr>
        <w:t>对被投资单位实施控制的长期股权投资采用成本法核算；对联营企业和合营企业的长期</w:t>
      </w:r>
    </w:p>
    <w:p>
      <w:pPr>
        <w:spacing w:line="226" w:lineRule="auto"/>
        <w:ind w:left="19"/>
        <w:rPr>
          <w:rFonts w:ascii="宋体" w:eastAsia="宋体" w:hAnsi="宋体" w:cs="宋体"/>
          <w:sz w:val="20"/>
          <w:szCs w:val="20"/>
        </w:rPr>
      </w:pPr>
      <w:r>
        <w:rPr>
          <w:rFonts w:ascii="宋体" w:eastAsia="宋体" w:hAnsi="宋体" w:cs="宋体"/>
          <w:spacing w:val="8"/>
          <w:sz w:val="20"/>
          <w:szCs w:val="20"/>
        </w:rPr>
        <w:t>股权投资，采用权益法核算。</w:t>
      </w:r>
    </w:p>
    <w:p>
      <w:pPr>
        <w:spacing w:before="221" w:line="228" w:lineRule="auto"/>
        <w:ind w:left="439"/>
        <w:outlineLvl w:val="2"/>
        <w:rPr>
          <w:rFonts w:ascii="宋体" w:eastAsia="宋体" w:hAnsi="宋体" w:cs="宋体"/>
          <w:sz w:val="20"/>
          <w:szCs w:val="20"/>
        </w:rPr>
      </w:pPr>
      <w:r>
        <w:rPr>
          <w:rFonts w:ascii="宋体" w:eastAsia="宋体" w:hAnsi="宋体" w:cs="宋体"/>
          <w:spacing w:val="9"/>
          <w:sz w:val="20"/>
          <w:szCs w:val="20"/>
        </w:rPr>
        <w:t>4. 通过多次交易分步处置对子公司投资至丧失控制权的处理方法</w:t>
      </w:r>
    </w:p>
    <w:p>
      <w:pPr>
        <w:spacing w:before="221" w:line="228" w:lineRule="auto"/>
        <w:ind w:left="476"/>
        <w:outlineLvl w:val="3"/>
        <w:rPr>
          <w:rFonts w:ascii="宋体" w:eastAsia="宋体" w:hAnsi="宋体" w:cs="宋体"/>
          <w:sz w:val="20"/>
          <w:szCs w:val="20"/>
        </w:rPr>
      </w:pPr>
      <w:r>
        <w:rPr>
          <w:rFonts w:ascii="宋体" w:eastAsia="宋体" w:hAnsi="宋体" w:cs="宋体"/>
          <w:spacing w:val="5"/>
          <w:sz w:val="20"/>
          <w:szCs w:val="20"/>
        </w:rPr>
        <w:t>(1) 是否属于“一揽子交易</w:t>
      </w:r>
      <w:r>
        <w:rPr>
          <w:rFonts w:ascii="宋体" w:eastAsia="宋体" w:hAnsi="宋体" w:cs="宋体"/>
          <w:spacing w:val="-69"/>
          <w:sz w:val="20"/>
          <w:szCs w:val="20"/>
        </w:rPr>
        <w:t xml:space="preserve"> </w:t>
      </w:r>
      <w:r>
        <w:rPr>
          <w:rFonts w:ascii="宋体" w:eastAsia="宋体" w:hAnsi="宋体" w:cs="宋体"/>
          <w:spacing w:val="5"/>
          <w:sz w:val="20"/>
          <w:szCs w:val="20"/>
        </w:rPr>
        <w:t>”的判断原则</w:t>
      </w:r>
    </w:p>
    <w:p>
      <w:pPr>
        <w:spacing w:before="222" w:line="432" w:lineRule="auto"/>
        <w:ind w:left="20" w:right="1537" w:firstLine="419"/>
        <w:rPr>
          <w:rFonts w:ascii="宋体" w:eastAsia="宋体" w:hAnsi="宋体" w:cs="宋体"/>
          <w:sz w:val="20"/>
          <w:szCs w:val="20"/>
        </w:rPr>
      </w:pPr>
      <w:r>
        <w:rPr>
          <w:rFonts w:ascii="宋体" w:eastAsia="宋体" w:hAnsi="宋体" w:cs="宋体"/>
          <w:spacing w:val="7"/>
          <w:sz w:val="20"/>
          <w:szCs w:val="20"/>
        </w:rPr>
        <w:t>通过多次交易分步处置对子公司股权投资直至丧失控制权的，公司结合分步交易的各个</w:t>
      </w:r>
      <w:r>
        <w:rPr>
          <w:rFonts w:ascii="宋体" w:eastAsia="宋体" w:hAnsi="宋体" w:cs="宋体"/>
          <w:spacing w:val="16"/>
          <w:sz w:val="20"/>
          <w:szCs w:val="20"/>
        </w:rPr>
        <w:t xml:space="preserve"> </w:t>
      </w:r>
      <w:r>
        <w:rPr>
          <w:rFonts w:ascii="宋体" w:eastAsia="宋体" w:hAnsi="宋体" w:cs="宋体"/>
          <w:spacing w:val="8"/>
          <w:sz w:val="20"/>
          <w:szCs w:val="20"/>
        </w:rPr>
        <w:t>步骤的交易协议条款、分别取得的处置对价、出</w:t>
      </w:r>
      <w:r>
        <w:rPr>
          <w:rFonts w:ascii="宋体" w:eastAsia="宋体" w:hAnsi="宋体" w:cs="宋体"/>
          <w:spacing w:val="7"/>
          <w:sz w:val="20"/>
          <w:szCs w:val="20"/>
        </w:rPr>
        <w:t>售股权的对象、处置方式、处置时点等信息</w:t>
      </w:r>
      <w:r>
        <w:rPr>
          <w:rFonts w:ascii="宋体" w:eastAsia="宋体" w:hAnsi="宋体" w:cs="宋体"/>
          <w:sz w:val="20"/>
          <w:szCs w:val="20"/>
        </w:rPr>
        <w:t xml:space="preserve"> </w:t>
      </w:r>
      <w:r>
        <w:rPr>
          <w:rFonts w:ascii="宋体" w:eastAsia="宋体" w:hAnsi="宋体" w:cs="宋体"/>
          <w:spacing w:val="7"/>
          <w:sz w:val="20"/>
          <w:szCs w:val="20"/>
        </w:rPr>
        <w:t>来判断分步交易是否属于“一揽子交易</w:t>
      </w:r>
      <w:r>
        <w:rPr>
          <w:rFonts w:ascii="宋体" w:eastAsia="宋体" w:hAnsi="宋体" w:cs="宋体"/>
          <w:spacing w:val="-72"/>
          <w:sz w:val="20"/>
          <w:szCs w:val="20"/>
        </w:rPr>
        <w:t xml:space="preserve"> </w:t>
      </w:r>
      <w:r>
        <w:rPr>
          <w:rFonts w:ascii="宋体" w:eastAsia="宋体" w:hAnsi="宋体" w:cs="宋体"/>
          <w:spacing w:val="7"/>
          <w:sz w:val="20"/>
          <w:szCs w:val="20"/>
        </w:rPr>
        <w:t>”。各项交易的条款、条件以及经济</w:t>
      </w:r>
      <w:r>
        <w:rPr>
          <w:rFonts w:ascii="宋体" w:eastAsia="宋体" w:hAnsi="宋体" w:cs="宋体"/>
          <w:spacing w:val="6"/>
          <w:sz w:val="20"/>
          <w:szCs w:val="20"/>
        </w:rPr>
        <w:t>影响符合以下一</w:t>
      </w:r>
    </w:p>
    <w:p>
      <w:pPr>
        <w:spacing w:line="227" w:lineRule="auto"/>
        <w:ind w:left="19"/>
        <w:rPr>
          <w:rFonts w:ascii="宋体" w:eastAsia="宋体" w:hAnsi="宋体" w:cs="宋体"/>
          <w:sz w:val="20"/>
          <w:szCs w:val="20"/>
        </w:rPr>
      </w:pPr>
      <w:r>
        <w:rPr>
          <w:rFonts w:ascii="宋体" w:eastAsia="宋体" w:hAnsi="宋体" w:cs="宋体"/>
          <w:spacing w:val="9"/>
          <w:sz w:val="20"/>
          <w:szCs w:val="20"/>
        </w:rPr>
        <w:t>种或多种情况，通常表明多次交易事项属于“一揽子交易</w:t>
      </w:r>
      <w:r>
        <w:rPr>
          <w:rFonts w:ascii="宋体" w:eastAsia="宋体" w:hAnsi="宋体" w:cs="宋体"/>
          <w:spacing w:val="-67"/>
          <w:sz w:val="20"/>
          <w:szCs w:val="20"/>
        </w:rPr>
        <w:t xml:space="preserve"> </w:t>
      </w:r>
      <w:r>
        <w:rPr>
          <w:rFonts w:ascii="宋体" w:eastAsia="宋体" w:hAnsi="宋体" w:cs="宋体"/>
          <w:spacing w:val="9"/>
          <w:sz w:val="20"/>
          <w:szCs w:val="20"/>
        </w:rPr>
        <w:t>”：</w:t>
      </w:r>
    </w:p>
    <w:p>
      <w:pPr>
        <w:spacing w:before="222" w:line="227" w:lineRule="auto"/>
        <w:ind w:left="455"/>
        <w:rPr>
          <w:rFonts w:ascii="宋体" w:eastAsia="宋体" w:hAnsi="宋体" w:cs="宋体"/>
          <w:sz w:val="20"/>
          <w:szCs w:val="20"/>
        </w:rPr>
      </w:pPr>
      <w:r>
        <w:rPr>
          <w:rFonts w:ascii="宋体" w:eastAsia="宋体" w:hAnsi="宋体" w:cs="宋体"/>
          <w:spacing w:val="8"/>
          <w:sz w:val="20"/>
          <w:szCs w:val="20"/>
        </w:rPr>
        <w:t>1) 这些交易是同时或者在考虑了彼此影响的情况下订立的；</w:t>
      </w:r>
    </w:p>
    <w:p>
      <w:pPr>
        <w:spacing w:before="222" w:line="227" w:lineRule="auto"/>
        <w:ind w:left="442"/>
        <w:rPr>
          <w:rFonts w:ascii="宋体" w:eastAsia="宋体" w:hAnsi="宋体" w:cs="宋体"/>
          <w:sz w:val="20"/>
          <w:szCs w:val="20"/>
        </w:rPr>
      </w:pPr>
      <w:r>
        <w:rPr>
          <w:rFonts w:ascii="宋体" w:eastAsia="宋体" w:hAnsi="宋体" w:cs="宋体"/>
          <w:spacing w:val="8"/>
          <w:sz w:val="20"/>
          <w:szCs w:val="20"/>
        </w:rPr>
        <w:t>2) 这些交易整体才能达成一项完整的商业结果；</w:t>
      </w:r>
    </w:p>
    <w:p>
      <w:pPr>
        <w:spacing w:before="221" w:line="228" w:lineRule="auto"/>
        <w:ind w:left="444"/>
        <w:rPr>
          <w:rFonts w:ascii="宋体" w:eastAsia="宋体" w:hAnsi="宋体" w:cs="宋体"/>
          <w:sz w:val="20"/>
          <w:szCs w:val="20"/>
        </w:rPr>
      </w:pPr>
      <w:r>
        <w:rPr>
          <w:rFonts w:ascii="宋体" w:eastAsia="宋体" w:hAnsi="宋体" w:cs="宋体"/>
          <w:spacing w:val="8"/>
          <w:sz w:val="20"/>
          <w:szCs w:val="20"/>
        </w:rPr>
        <w:t>3) 一项交易的发生取决于其他至少一项交易的发生；</w:t>
      </w:r>
    </w:p>
    <w:p>
      <w:pPr>
        <w:spacing w:before="222" w:line="227" w:lineRule="auto"/>
        <w:ind w:left="439"/>
        <w:rPr>
          <w:rFonts w:ascii="宋体" w:eastAsia="宋体" w:hAnsi="宋体" w:cs="宋体"/>
          <w:sz w:val="20"/>
          <w:szCs w:val="20"/>
        </w:rPr>
      </w:pPr>
      <w:r>
        <w:rPr>
          <w:rFonts w:ascii="宋体" w:eastAsia="宋体" w:hAnsi="宋体" w:cs="宋体"/>
          <w:spacing w:val="9"/>
          <w:sz w:val="20"/>
          <w:szCs w:val="20"/>
        </w:rPr>
        <w:t>4) 一项交易单独看是不经济的，但是和其他交易一并考虑时是经</w:t>
      </w:r>
      <w:r>
        <w:rPr>
          <w:rFonts w:ascii="宋体" w:eastAsia="宋体" w:hAnsi="宋体" w:cs="宋体"/>
          <w:spacing w:val="8"/>
          <w:sz w:val="20"/>
          <w:szCs w:val="20"/>
        </w:rPr>
        <w:t>济的。</w:t>
      </w:r>
    </w:p>
    <w:p>
      <w:pPr>
        <w:spacing w:before="222" w:line="227" w:lineRule="auto"/>
        <w:ind w:left="476"/>
        <w:outlineLvl w:val="3"/>
        <w:rPr>
          <w:rFonts w:ascii="宋体" w:eastAsia="宋体" w:hAnsi="宋体" w:cs="宋体"/>
          <w:sz w:val="20"/>
          <w:szCs w:val="20"/>
        </w:rPr>
      </w:pPr>
      <w:r>
        <w:rPr>
          <w:rFonts w:ascii="宋体" w:eastAsia="宋体" w:hAnsi="宋体" w:cs="宋体"/>
          <w:spacing w:val="4"/>
          <w:sz w:val="20"/>
          <w:szCs w:val="20"/>
        </w:rPr>
        <w:t>(2) 不属于“一揽子交易</w:t>
      </w:r>
      <w:r>
        <w:rPr>
          <w:rFonts w:ascii="宋体" w:eastAsia="宋体" w:hAnsi="宋体" w:cs="宋体"/>
          <w:spacing w:val="-56"/>
          <w:sz w:val="20"/>
          <w:szCs w:val="20"/>
        </w:rPr>
        <w:t xml:space="preserve"> </w:t>
      </w:r>
      <w:r>
        <w:rPr>
          <w:rFonts w:ascii="宋体" w:eastAsia="宋体" w:hAnsi="宋体" w:cs="宋体"/>
          <w:spacing w:val="4"/>
          <w:sz w:val="20"/>
          <w:szCs w:val="20"/>
        </w:rPr>
        <w:t>”的会计处理</w:t>
      </w:r>
    </w:p>
    <w:p>
      <w:pPr>
        <w:spacing w:before="222" w:line="228" w:lineRule="auto"/>
        <w:ind w:left="455"/>
        <w:outlineLvl w:val="4"/>
        <w:rPr>
          <w:rFonts w:ascii="宋体" w:eastAsia="宋体" w:hAnsi="宋体" w:cs="宋体"/>
          <w:sz w:val="20"/>
          <w:szCs w:val="20"/>
        </w:rPr>
      </w:pPr>
      <w:r>
        <w:rPr>
          <w:rFonts w:ascii="宋体" w:eastAsia="宋体" w:hAnsi="宋体" w:cs="宋体"/>
          <w:spacing w:val="5"/>
          <w:sz w:val="20"/>
          <w:szCs w:val="20"/>
        </w:rPr>
        <w:t>1) 个别财务报表</w:t>
      </w:r>
    </w:p>
    <w:p>
      <w:pPr>
        <w:spacing w:before="221" w:line="432" w:lineRule="auto"/>
        <w:ind w:left="19" w:right="1485" w:firstLine="420"/>
        <w:jc w:val="both"/>
        <w:rPr>
          <w:rFonts w:ascii="宋体" w:eastAsia="宋体" w:hAnsi="宋体" w:cs="宋体"/>
          <w:sz w:val="20"/>
          <w:szCs w:val="20"/>
        </w:rPr>
      </w:pPr>
      <w:r>
        <w:rPr>
          <w:rFonts w:ascii="宋体" w:eastAsia="宋体" w:hAnsi="宋体" w:cs="宋体"/>
          <w:spacing w:val="3"/>
          <w:sz w:val="20"/>
          <w:szCs w:val="20"/>
        </w:rPr>
        <w:t>对处置的股权，其账面价值与实际取得价款之间的差额，计入当期损益。对于剩余股权，</w:t>
      </w:r>
      <w:r>
        <w:rPr>
          <w:rFonts w:ascii="宋体" w:eastAsia="宋体" w:hAnsi="宋体" w:cs="宋体"/>
          <w:spacing w:val="18"/>
          <w:sz w:val="20"/>
          <w:szCs w:val="20"/>
        </w:rPr>
        <w:t xml:space="preserve"> </w:t>
      </w:r>
      <w:r>
        <w:rPr>
          <w:rFonts w:ascii="宋体" w:eastAsia="宋体" w:hAnsi="宋体" w:cs="宋体"/>
          <w:spacing w:val="8"/>
          <w:sz w:val="20"/>
          <w:szCs w:val="20"/>
        </w:rPr>
        <w:t>对被投资单位仍具有重大影响或者与其他方一起实施</w:t>
      </w:r>
      <w:r>
        <w:rPr>
          <w:rFonts w:ascii="宋体" w:eastAsia="宋体" w:hAnsi="宋体" w:cs="宋体"/>
          <w:spacing w:val="7"/>
          <w:sz w:val="20"/>
          <w:szCs w:val="20"/>
        </w:rPr>
        <w:t>共同控制的，转为权益法核算；不能再</w:t>
      </w:r>
      <w:r>
        <w:rPr>
          <w:rFonts w:ascii="宋体" w:eastAsia="宋体" w:hAnsi="宋体" w:cs="宋体"/>
          <w:sz w:val="20"/>
          <w:szCs w:val="20"/>
        </w:rPr>
        <w:t xml:space="preserve"> </w:t>
      </w:r>
      <w:r>
        <w:rPr>
          <w:rFonts w:ascii="宋体" w:eastAsia="宋体" w:hAnsi="宋体" w:cs="宋体"/>
          <w:spacing w:val="9"/>
          <w:sz w:val="20"/>
          <w:szCs w:val="20"/>
        </w:rPr>
        <w:t>对被投资单位实施控制、共同控制或重大影响的，按照《企业会计准则第</w:t>
      </w:r>
      <w:r>
        <w:rPr>
          <w:rFonts w:ascii="宋体" w:eastAsia="宋体" w:hAnsi="宋体" w:cs="宋体"/>
          <w:spacing w:val="-27"/>
          <w:sz w:val="20"/>
          <w:szCs w:val="20"/>
        </w:rPr>
        <w:t xml:space="preserve"> </w:t>
      </w:r>
      <w:r>
        <w:rPr>
          <w:rFonts w:ascii="宋体" w:eastAsia="宋体" w:hAnsi="宋体" w:cs="宋体"/>
          <w:spacing w:val="9"/>
          <w:sz w:val="20"/>
          <w:szCs w:val="20"/>
        </w:rPr>
        <w:t>22</w:t>
      </w:r>
      <w:r>
        <w:rPr>
          <w:rFonts w:ascii="宋体" w:eastAsia="宋体" w:hAnsi="宋体" w:cs="宋体"/>
          <w:spacing w:val="-33"/>
          <w:sz w:val="20"/>
          <w:szCs w:val="20"/>
        </w:rPr>
        <w:t xml:space="preserve"> </w:t>
      </w:r>
      <w:r>
        <w:rPr>
          <w:rFonts w:ascii="宋体" w:eastAsia="宋体" w:hAnsi="宋体" w:cs="宋体"/>
          <w:spacing w:val="9"/>
          <w:sz w:val="20"/>
          <w:szCs w:val="20"/>
        </w:rPr>
        <w:t>号——金融工</w:t>
      </w:r>
    </w:p>
    <w:p>
      <w:pPr>
        <w:spacing w:before="1" w:line="227" w:lineRule="auto"/>
        <w:ind w:left="24"/>
        <w:rPr>
          <w:rFonts w:ascii="宋体" w:eastAsia="宋体" w:hAnsi="宋体" w:cs="宋体"/>
          <w:sz w:val="20"/>
          <w:szCs w:val="20"/>
        </w:rPr>
      </w:pPr>
      <w:r>
        <w:rPr>
          <w:rFonts w:ascii="宋体" w:eastAsia="宋体" w:hAnsi="宋体" w:cs="宋体"/>
          <w:spacing w:val="8"/>
          <w:sz w:val="20"/>
          <w:szCs w:val="20"/>
        </w:rPr>
        <w:t>具确认和计量》的相关规定进行核算。</w:t>
      </w:r>
    </w:p>
    <w:p>
      <w:pPr>
        <w:spacing w:before="221" w:line="228" w:lineRule="auto"/>
        <w:ind w:left="442"/>
        <w:outlineLvl w:val="4"/>
        <w:rPr>
          <w:rFonts w:ascii="宋体" w:eastAsia="宋体" w:hAnsi="宋体" w:cs="宋体"/>
          <w:sz w:val="20"/>
          <w:szCs w:val="20"/>
        </w:rPr>
      </w:pPr>
      <w:r>
        <w:rPr>
          <w:rFonts w:ascii="宋体" w:eastAsia="宋体" w:hAnsi="宋体" w:cs="宋体"/>
          <w:spacing w:val="6"/>
          <w:sz w:val="20"/>
          <w:szCs w:val="20"/>
        </w:rPr>
        <w:t>2) 合并财务报表</w:t>
      </w:r>
    </w:p>
    <w:p>
      <w:pPr>
        <w:spacing w:before="221" w:line="432" w:lineRule="auto"/>
        <w:ind w:left="20" w:right="1485" w:firstLine="418"/>
        <w:jc w:val="both"/>
        <w:rPr>
          <w:rFonts w:ascii="宋体" w:eastAsia="宋体" w:hAnsi="宋体" w:cs="宋体"/>
          <w:sz w:val="20"/>
          <w:szCs w:val="20"/>
        </w:rPr>
      </w:pPr>
      <w:r>
        <w:rPr>
          <w:rFonts w:ascii="宋体" w:eastAsia="宋体" w:hAnsi="宋体" w:cs="宋体"/>
          <w:spacing w:val="7"/>
          <w:sz w:val="20"/>
          <w:szCs w:val="20"/>
        </w:rPr>
        <w:t>在丧失控制权之前，处置价款与处置长期股权投资相对应享有子公司自购买日或合并日</w:t>
      </w:r>
      <w:r>
        <w:rPr>
          <w:rFonts w:ascii="宋体" w:eastAsia="宋体" w:hAnsi="宋体" w:cs="宋体"/>
          <w:spacing w:val="16"/>
          <w:sz w:val="20"/>
          <w:szCs w:val="20"/>
        </w:rPr>
        <w:t xml:space="preserve"> </w:t>
      </w:r>
      <w:r>
        <w:rPr>
          <w:rFonts w:ascii="宋体" w:eastAsia="宋体" w:hAnsi="宋体" w:cs="宋体"/>
          <w:spacing w:val="5"/>
          <w:sz w:val="20"/>
          <w:szCs w:val="20"/>
        </w:rPr>
        <w:t>开始持续计算的净资产份额之间的差额，调整资本公积（资本溢价</w:t>
      </w:r>
      <w:r>
        <w:rPr>
          <w:rFonts w:ascii="宋体" w:eastAsia="宋体" w:hAnsi="宋体" w:cs="宋体"/>
          <w:spacing w:val="-21"/>
          <w:sz w:val="20"/>
          <w:szCs w:val="20"/>
        </w:rPr>
        <w:t>），</w:t>
      </w:r>
      <w:r>
        <w:rPr>
          <w:rFonts w:ascii="宋体" w:eastAsia="宋体" w:hAnsi="宋体" w:cs="宋体"/>
          <w:spacing w:val="5"/>
          <w:sz w:val="20"/>
          <w:szCs w:val="20"/>
        </w:rPr>
        <w:t>资本溢价不足冲减的，</w:t>
      </w:r>
    </w:p>
    <w:p>
      <w:pPr>
        <w:spacing w:before="1" w:line="227" w:lineRule="auto"/>
        <w:ind w:left="20"/>
        <w:rPr>
          <w:rFonts w:ascii="宋体" w:eastAsia="宋体" w:hAnsi="宋体" w:cs="宋体"/>
          <w:sz w:val="20"/>
          <w:szCs w:val="20"/>
        </w:rPr>
      </w:pPr>
      <w:r>
        <w:rPr>
          <w:rFonts w:ascii="宋体" w:eastAsia="宋体" w:hAnsi="宋体" w:cs="宋体"/>
          <w:spacing w:val="6"/>
          <w:sz w:val="20"/>
          <w:szCs w:val="20"/>
        </w:rPr>
        <w:t>冲减留存收益。</w:t>
      </w:r>
    </w:p>
    <w:p>
      <w:pPr>
        <w:spacing w:before="221" w:line="432" w:lineRule="auto"/>
        <w:ind w:left="19" w:right="1537" w:firstLine="420"/>
        <w:jc w:val="both"/>
        <w:rPr>
          <w:rFonts w:ascii="宋体" w:eastAsia="宋体" w:hAnsi="宋体" w:cs="宋体"/>
          <w:sz w:val="20"/>
          <w:szCs w:val="20"/>
        </w:rPr>
      </w:pPr>
      <w:r>
        <w:rPr>
          <w:rFonts w:ascii="宋体" w:eastAsia="宋体" w:hAnsi="宋体" w:cs="宋体"/>
          <w:spacing w:val="7"/>
          <w:sz w:val="20"/>
          <w:szCs w:val="20"/>
        </w:rPr>
        <w:t>丧失对原子公司控制权时，对于剩余股权，按照其在丧失控制权日的公允价值进行重新</w:t>
      </w:r>
      <w:r>
        <w:rPr>
          <w:rFonts w:ascii="宋体" w:eastAsia="宋体" w:hAnsi="宋体" w:cs="宋体"/>
          <w:spacing w:val="16"/>
          <w:sz w:val="20"/>
          <w:szCs w:val="20"/>
        </w:rPr>
        <w:t xml:space="preserve"> </w:t>
      </w:r>
      <w:r>
        <w:rPr>
          <w:rFonts w:ascii="宋体" w:eastAsia="宋体" w:hAnsi="宋体" w:cs="宋体"/>
          <w:spacing w:val="8"/>
          <w:sz w:val="20"/>
          <w:szCs w:val="20"/>
        </w:rPr>
        <w:t>计量。处置股权取得的对价与剩余股权公允</w:t>
      </w:r>
      <w:r>
        <w:rPr>
          <w:rFonts w:ascii="宋体" w:eastAsia="宋体" w:hAnsi="宋体" w:cs="宋体"/>
          <w:spacing w:val="7"/>
          <w:sz w:val="20"/>
          <w:szCs w:val="20"/>
        </w:rPr>
        <w:t>价值之和，减去按原持股比例计算应享有原有子</w:t>
      </w:r>
      <w:r>
        <w:rPr>
          <w:rFonts w:ascii="宋体" w:eastAsia="宋体" w:hAnsi="宋体" w:cs="宋体"/>
          <w:sz w:val="20"/>
          <w:szCs w:val="20"/>
        </w:rPr>
        <w:t xml:space="preserve"> </w:t>
      </w:r>
      <w:r>
        <w:rPr>
          <w:rFonts w:ascii="宋体" w:eastAsia="宋体" w:hAnsi="宋体" w:cs="宋体"/>
          <w:spacing w:val="8"/>
          <w:sz w:val="20"/>
          <w:szCs w:val="20"/>
        </w:rPr>
        <w:t>公司自购买日或合并日开始持续计算的净资产的份</w:t>
      </w:r>
      <w:r>
        <w:rPr>
          <w:rFonts w:ascii="宋体" w:eastAsia="宋体" w:hAnsi="宋体" w:cs="宋体"/>
          <w:spacing w:val="7"/>
          <w:sz w:val="20"/>
          <w:szCs w:val="20"/>
        </w:rPr>
        <w:t>额之间的差额，计入丧失控制权当期的投</w:t>
      </w:r>
      <w:r>
        <w:rPr>
          <w:rFonts w:ascii="宋体" w:eastAsia="宋体" w:hAnsi="宋体" w:cs="宋体"/>
          <w:sz w:val="20"/>
          <w:szCs w:val="20"/>
        </w:rPr>
        <w:t xml:space="preserve"> </w:t>
      </w:r>
      <w:r>
        <w:rPr>
          <w:rFonts w:ascii="宋体" w:eastAsia="宋体" w:hAnsi="宋体" w:cs="宋体"/>
          <w:spacing w:val="8"/>
          <w:sz w:val="20"/>
          <w:szCs w:val="20"/>
        </w:rPr>
        <w:t>资收益，同时冲减商誉。与原有子公司股权</w:t>
      </w:r>
      <w:r>
        <w:rPr>
          <w:rFonts w:ascii="宋体" w:eastAsia="宋体" w:hAnsi="宋体" w:cs="宋体"/>
          <w:spacing w:val="7"/>
          <w:sz w:val="20"/>
          <w:szCs w:val="20"/>
        </w:rPr>
        <w:t>投资相关的其他综合收益等，应当在丧失控制权</w:t>
      </w:r>
    </w:p>
    <w:p>
      <w:pPr>
        <w:spacing w:before="1" w:line="227" w:lineRule="auto"/>
        <w:ind w:left="29"/>
        <w:rPr>
          <w:rFonts w:ascii="宋体" w:eastAsia="宋体" w:hAnsi="宋体" w:cs="宋体"/>
          <w:sz w:val="20"/>
          <w:szCs w:val="20"/>
        </w:rPr>
      </w:pPr>
      <w:r>
        <w:rPr>
          <w:rFonts w:ascii="宋体" w:eastAsia="宋体" w:hAnsi="宋体" w:cs="宋体"/>
          <w:spacing w:val="7"/>
          <w:sz w:val="20"/>
          <w:szCs w:val="20"/>
        </w:rPr>
        <w:t>时转为当期投资收益。</w:t>
      </w:r>
    </w:p>
    <w:p>
      <w:pPr>
        <w:spacing w:before="221" w:line="227" w:lineRule="auto"/>
        <w:ind w:left="476"/>
        <w:outlineLvl w:val="3"/>
        <w:rPr>
          <w:rFonts w:ascii="宋体" w:eastAsia="宋体" w:hAnsi="宋体" w:cs="宋体"/>
          <w:sz w:val="20"/>
          <w:szCs w:val="20"/>
        </w:rPr>
      </w:pPr>
      <w:r>
        <w:rPr>
          <w:rFonts w:ascii="宋体" w:eastAsia="宋体" w:hAnsi="宋体" w:cs="宋体"/>
          <w:spacing w:val="4"/>
          <w:sz w:val="20"/>
          <w:szCs w:val="20"/>
        </w:rPr>
        <w:t>(3) 属于“一揽子交易</w:t>
      </w:r>
      <w:r>
        <w:rPr>
          <w:rFonts w:ascii="宋体" w:eastAsia="宋体" w:hAnsi="宋体" w:cs="宋体"/>
          <w:spacing w:val="-61"/>
          <w:sz w:val="20"/>
          <w:szCs w:val="20"/>
        </w:rPr>
        <w:t xml:space="preserve"> </w:t>
      </w:r>
      <w:r>
        <w:rPr>
          <w:rFonts w:ascii="宋体" w:eastAsia="宋体" w:hAnsi="宋体" w:cs="宋体"/>
          <w:spacing w:val="4"/>
          <w:sz w:val="20"/>
          <w:szCs w:val="20"/>
        </w:rPr>
        <w:t>”的会计处理</w:t>
      </w:r>
    </w:p>
    <w:p>
      <w:pPr>
        <w:spacing w:before="222" w:line="228" w:lineRule="auto"/>
        <w:ind w:left="455"/>
        <w:outlineLvl w:val="4"/>
        <w:rPr>
          <w:rFonts w:ascii="宋体" w:eastAsia="宋体" w:hAnsi="宋体" w:cs="宋体"/>
          <w:sz w:val="20"/>
          <w:szCs w:val="20"/>
        </w:rPr>
      </w:pPr>
      <w:r>
        <w:rPr>
          <w:rFonts w:ascii="宋体" w:eastAsia="宋体" w:hAnsi="宋体" w:cs="宋体"/>
          <w:spacing w:val="5"/>
          <w:sz w:val="20"/>
          <w:szCs w:val="20"/>
        </w:rPr>
        <w:t>1) 个别财务报表</w:t>
      </w:r>
    </w:p>
    <w:p>
      <w:pPr>
        <w:spacing w:before="221" w:line="227" w:lineRule="auto"/>
        <w:ind w:left="438"/>
        <w:rPr>
          <w:rFonts w:ascii="宋体" w:eastAsia="宋体" w:hAnsi="宋体" w:cs="宋体"/>
          <w:sz w:val="20"/>
          <w:szCs w:val="20"/>
        </w:rPr>
      </w:pPr>
      <w:r>
        <w:rPr>
          <w:rFonts w:ascii="宋体" w:eastAsia="宋体" w:hAnsi="宋体" w:cs="宋体"/>
          <w:spacing w:val="7"/>
          <w:sz w:val="20"/>
          <w:szCs w:val="20"/>
        </w:rPr>
        <w:t>将各项交易作为一项处置子公司并丧失控制权的交易进行会计处理。但是，在丧失控制</w:t>
      </w:r>
    </w:p>
    <w:p>
      <w:pPr>
        <w:spacing w:before="255" w:line="219" w:lineRule="auto"/>
        <w:ind w:left="3409"/>
        <w:rPr>
          <w:rFonts w:ascii="宋体" w:eastAsia="宋体" w:hAnsi="宋体" w:cs="宋体"/>
          <w:sz w:val="18"/>
          <w:szCs w:val="18"/>
        </w:rPr>
      </w:pPr>
      <w:r>
        <w:rPr>
          <w:rFonts w:ascii="宋体" w:eastAsia="宋体" w:hAnsi="宋体" w:cs="宋体"/>
          <w:spacing w:val="-5"/>
          <w:sz w:val="18"/>
          <w:szCs w:val="18"/>
        </w:rPr>
        <w:t>第</w:t>
      </w:r>
      <w:r>
        <w:rPr>
          <w:rFonts w:ascii="宋体" w:eastAsia="宋体" w:hAnsi="宋体" w:cs="宋体"/>
          <w:spacing w:val="14"/>
          <w:sz w:val="18"/>
          <w:szCs w:val="18"/>
        </w:rPr>
        <w:t xml:space="preserve"> </w:t>
      </w:r>
      <w:r>
        <w:rPr>
          <w:rFonts w:ascii="宋体" w:eastAsia="宋体" w:hAnsi="宋体" w:cs="宋体"/>
          <w:spacing w:val="-5"/>
          <w:sz w:val="18"/>
          <w:szCs w:val="18"/>
        </w:rPr>
        <w:t>21</w:t>
      </w:r>
      <w:r>
        <w:rPr>
          <w:rFonts w:ascii="宋体" w:eastAsia="宋体" w:hAnsi="宋体" w:cs="宋体"/>
          <w:spacing w:val="12"/>
          <w:sz w:val="18"/>
          <w:szCs w:val="18"/>
        </w:rPr>
        <w:t xml:space="preserve"> </w:t>
      </w:r>
      <w:r>
        <w:rPr>
          <w:rFonts w:ascii="宋体" w:eastAsia="宋体" w:hAnsi="宋体" w:cs="宋体"/>
          <w:spacing w:val="-5"/>
          <w:sz w:val="18"/>
          <w:szCs w:val="18"/>
        </w:rPr>
        <w:t>页 共</w:t>
      </w:r>
      <w:r>
        <w:rPr>
          <w:rFonts w:ascii="宋体" w:eastAsia="宋体" w:hAnsi="宋体" w:cs="宋体"/>
          <w:spacing w:val="12"/>
          <w:sz w:val="18"/>
          <w:szCs w:val="18"/>
        </w:rPr>
        <w:t xml:space="preserve"> </w:t>
      </w:r>
      <w:r>
        <w:rPr>
          <w:rFonts w:ascii="宋体" w:eastAsia="宋体" w:hAnsi="宋体" w:cs="宋体"/>
          <w:spacing w:val="-5"/>
          <w:sz w:val="18"/>
          <w:szCs w:val="18"/>
        </w:rPr>
        <w:t>59</w:t>
      </w:r>
      <w:r>
        <w:rPr>
          <w:rFonts w:ascii="宋体" w:eastAsia="宋体" w:hAnsi="宋体" w:cs="宋体"/>
          <w:spacing w:val="9"/>
          <w:sz w:val="18"/>
          <w:szCs w:val="18"/>
        </w:rPr>
        <w:t xml:space="preserve"> </w:t>
      </w:r>
      <w:r>
        <w:rPr>
          <w:rFonts w:ascii="宋体" w:eastAsia="宋体" w:hAnsi="宋体" w:cs="宋体"/>
          <w:spacing w:val="-5"/>
          <w:sz w:val="18"/>
          <w:szCs w:val="18"/>
        </w:rPr>
        <w:t>页</w:t>
      </w:r>
    </w:p>
    <w:p>
      <w:pPr>
        <w:spacing w:line="219" w:lineRule="auto"/>
        <w:rPr>
          <w:rFonts w:ascii="宋体" w:eastAsia="宋体" w:hAnsi="宋体" w:cs="宋体"/>
          <w:sz w:val="18"/>
          <w:szCs w:val="18"/>
        </w:rPr>
        <w:sectPr>
          <w:headerReference w:type="default" r:id="rId51"/>
          <w:footerReference w:type="default" r:id="rId52"/>
          <w:pgSz w:w="11906" w:h="16839"/>
          <w:pgMar w:top="400" w:right="259" w:bottom="400" w:left="1785" w:header="0" w:footer="0" w:gutter="0"/>
          <w:pgNumType w:start="22"/>
          <w:cols w:num="1" w:space="720"/>
        </w:sectPr>
      </w:pPr>
    </w:p>
    <w:p>
      <w:pPr>
        <w:spacing w:line="274" w:lineRule="auto"/>
      </w:pPr>
    </w:p>
    <w:p>
      <w:pPr>
        <w:spacing w:line="274" w:lineRule="auto"/>
      </w:pPr>
    </w:p>
    <w:p>
      <w:pPr>
        <w:spacing w:line="274" w:lineRule="auto"/>
      </w:pPr>
    </w:p>
    <w:p>
      <w:pPr>
        <w:spacing w:line="274" w:lineRule="auto"/>
      </w:pPr>
    </w:p>
    <w:p>
      <w:pPr>
        <w:spacing w:before="65" w:line="468" w:lineRule="exact"/>
        <w:ind w:left="109"/>
        <w:rPr>
          <w:rFonts w:ascii="宋体" w:eastAsia="宋体" w:hAnsi="宋体" w:cs="宋体"/>
          <w:sz w:val="20"/>
          <w:szCs w:val="20"/>
        </w:rPr>
      </w:pPr>
      <w:r>
        <w:rPr>
          <w:rFonts w:ascii="宋体" w:eastAsia="宋体" w:hAnsi="宋体" w:cs="宋体"/>
          <w:spacing w:val="8"/>
          <w:position w:val="20"/>
          <w:sz w:val="20"/>
          <w:szCs w:val="20"/>
        </w:rPr>
        <w:t>权之前每一次处置价款与处置投资对应的长期股权投</w:t>
      </w:r>
      <w:r>
        <w:rPr>
          <w:rFonts w:ascii="宋体" w:eastAsia="宋体" w:hAnsi="宋体" w:cs="宋体"/>
          <w:spacing w:val="7"/>
          <w:position w:val="20"/>
          <w:sz w:val="20"/>
          <w:szCs w:val="20"/>
        </w:rPr>
        <w:t>资账面价值之间的差额，在个别财务报</w:t>
      </w:r>
    </w:p>
    <w:p>
      <w:pPr>
        <w:spacing w:line="227" w:lineRule="auto"/>
        <w:ind w:left="109"/>
        <w:rPr>
          <w:rFonts w:ascii="宋体" w:eastAsia="宋体" w:hAnsi="宋体" w:cs="宋体"/>
          <w:sz w:val="20"/>
          <w:szCs w:val="20"/>
        </w:rPr>
      </w:pPr>
      <w:r>
        <w:rPr>
          <w:rFonts w:ascii="宋体" w:eastAsia="宋体" w:hAnsi="宋体" w:cs="宋体"/>
          <w:spacing w:val="9"/>
          <w:sz w:val="20"/>
          <w:szCs w:val="20"/>
        </w:rPr>
        <w:t>表中确认为其他综合收益，在丧失控制权时一并转入丧失控制权当期的损益。</w:t>
      </w:r>
    </w:p>
    <w:p>
      <w:pPr>
        <w:spacing w:before="220" w:line="228" w:lineRule="auto"/>
        <w:ind w:left="533"/>
        <w:outlineLvl w:val="4"/>
        <w:rPr>
          <w:rFonts w:ascii="宋体" w:eastAsia="宋体" w:hAnsi="宋体" w:cs="宋体"/>
          <w:sz w:val="20"/>
          <w:szCs w:val="20"/>
        </w:rPr>
      </w:pPr>
      <w:r>
        <w:rPr>
          <w:rFonts w:ascii="宋体" w:eastAsia="宋体" w:hAnsi="宋体" w:cs="宋体"/>
          <w:spacing w:val="6"/>
          <w:sz w:val="20"/>
          <w:szCs w:val="20"/>
        </w:rPr>
        <w:t>2) 合并财务报表</w:t>
      </w:r>
    </w:p>
    <w:p>
      <w:pPr>
        <w:spacing w:before="221" w:line="432" w:lineRule="auto"/>
        <w:ind w:left="109" w:right="1537" w:firstLine="419"/>
        <w:jc w:val="both"/>
        <w:rPr>
          <w:rFonts w:ascii="宋体" w:eastAsia="宋体" w:hAnsi="宋体" w:cs="宋体"/>
          <w:sz w:val="20"/>
          <w:szCs w:val="20"/>
        </w:rPr>
      </w:pPr>
      <w:r>
        <w:rPr>
          <w:rFonts w:ascii="宋体" w:eastAsia="宋体" w:hAnsi="宋体" w:cs="宋体"/>
          <w:spacing w:val="7"/>
          <w:sz w:val="20"/>
          <w:szCs w:val="20"/>
        </w:rPr>
        <w:t>将各项交易作为一项处置子公司并丧失控制权的交易进行会计处理。但是，在丧失控制</w:t>
      </w:r>
      <w:r>
        <w:rPr>
          <w:rFonts w:ascii="宋体" w:eastAsia="宋体" w:hAnsi="宋体" w:cs="宋体"/>
          <w:spacing w:val="17"/>
          <w:sz w:val="20"/>
          <w:szCs w:val="20"/>
        </w:rPr>
        <w:t xml:space="preserve"> </w:t>
      </w:r>
      <w:r>
        <w:rPr>
          <w:rFonts w:ascii="宋体" w:eastAsia="宋体" w:hAnsi="宋体" w:cs="宋体"/>
          <w:spacing w:val="8"/>
          <w:sz w:val="20"/>
          <w:szCs w:val="20"/>
        </w:rPr>
        <w:t>权之前每一次处置价款与处置投资对应的享有该子公</w:t>
      </w:r>
      <w:r>
        <w:rPr>
          <w:rFonts w:ascii="宋体" w:eastAsia="宋体" w:hAnsi="宋体" w:cs="宋体"/>
          <w:spacing w:val="7"/>
          <w:sz w:val="20"/>
          <w:szCs w:val="20"/>
        </w:rPr>
        <w:t>司净资产份额的差额，在合并财务报表</w:t>
      </w:r>
    </w:p>
    <w:p>
      <w:pPr>
        <w:spacing w:before="1" w:line="227" w:lineRule="auto"/>
        <w:ind w:left="130"/>
        <w:rPr>
          <w:rFonts w:ascii="宋体" w:eastAsia="宋体" w:hAnsi="宋体" w:cs="宋体"/>
          <w:sz w:val="20"/>
          <w:szCs w:val="20"/>
        </w:rPr>
      </w:pPr>
      <w:r>
        <w:rPr>
          <w:rFonts w:ascii="宋体" w:eastAsia="宋体" w:hAnsi="宋体" w:cs="宋体"/>
          <w:spacing w:val="9"/>
          <w:sz w:val="20"/>
          <w:szCs w:val="20"/>
        </w:rPr>
        <w:t>中确认为其他综合收益，在丧失控制权时一并转入丧失</w:t>
      </w:r>
      <w:r>
        <w:rPr>
          <w:rFonts w:ascii="宋体" w:eastAsia="宋体" w:hAnsi="宋体" w:cs="宋体"/>
          <w:spacing w:val="8"/>
          <w:sz w:val="20"/>
          <w:szCs w:val="20"/>
        </w:rPr>
        <w:t>控制权当期的损益。</w:t>
      </w:r>
    </w:p>
    <w:p>
      <w:pPr>
        <w:spacing w:before="221" w:line="228" w:lineRule="auto"/>
        <w:ind w:left="567"/>
        <w:outlineLvl w:val="1"/>
        <w:rPr>
          <w:rFonts w:ascii="宋体" w:eastAsia="宋体" w:hAnsi="宋体" w:cs="宋体"/>
          <w:sz w:val="20"/>
          <w:szCs w:val="20"/>
        </w:rPr>
      </w:pPr>
      <w:r>
        <w:rPr>
          <w:rFonts w:ascii="宋体" w:eastAsia="宋体" w:hAnsi="宋体" w:cs="宋体"/>
          <w:spacing w:val="-1"/>
          <w:sz w:val="20"/>
          <w:szCs w:val="20"/>
        </w:rPr>
        <w:t>(十三)</w:t>
      </w:r>
      <w:r>
        <w:rPr>
          <w:rFonts w:ascii="宋体" w:eastAsia="宋体" w:hAnsi="宋体" w:cs="宋体"/>
          <w:spacing w:val="34"/>
          <w:sz w:val="20"/>
          <w:szCs w:val="20"/>
        </w:rPr>
        <w:t xml:space="preserve"> </w:t>
      </w:r>
      <w:r>
        <w:rPr>
          <w:rFonts w:ascii="宋体" w:eastAsia="宋体" w:hAnsi="宋体" w:cs="宋体"/>
          <w:spacing w:val="-1"/>
          <w:sz w:val="20"/>
          <w:szCs w:val="20"/>
        </w:rPr>
        <w:t>固定资产</w:t>
      </w:r>
    </w:p>
    <w:p>
      <w:pPr>
        <w:spacing w:before="221" w:line="228" w:lineRule="auto"/>
        <w:ind w:left="546"/>
        <w:outlineLvl w:val="2"/>
        <w:rPr>
          <w:rFonts w:ascii="宋体" w:eastAsia="宋体" w:hAnsi="宋体" w:cs="宋体"/>
          <w:sz w:val="20"/>
          <w:szCs w:val="20"/>
        </w:rPr>
      </w:pPr>
      <w:r>
        <w:rPr>
          <w:rFonts w:ascii="宋体" w:eastAsia="宋体" w:hAnsi="宋体" w:cs="宋体"/>
          <w:spacing w:val="3"/>
          <w:sz w:val="20"/>
          <w:szCs w:val="20"/>
        </w:rPr>
        <w:t>1.</w:t>
      </w:r>
      <w:r>
        <w:rPr>
          <w:rFonts w:ascii="宋体" w:eastAsia="宋体" w:hAnsi="宋体" w:cs="宋体"/>
          <w:spacing w:val="37"/>
          <w:sz w:val="20"/>
          <w:szCs w:val="20"/>
        </w:rPr>
        <w:t xml:space="preserve"> </w:t>
      </w:r>
      <w:r>
        <w:rPr>
          <w:rFonts w:ascii="宋体" w:eastAsia="宋体" w:hAnsi="宋体" w:cs="宋体"/>
          <w:spacing w:val="3"/>
          <w:sz w:val="20"/>
          <w:szCs w:val="20"/>
        </w:rPr>
        <w:t>固定资产确认条件</w:t>
      </w:r>
    </w:p>
    <w:p>
      <w:pPr>
        <w:spacing w:before="222" w:line="432" w:lineRule="auto"/>
        <w:ind w:left="110" w:right="1537" w:firstLine="437"/>
        <w:jc w:val="both"/>
        <w:rPr>
          <w:rFonts w:ascii="宋体" w:eastAsia="宋体" w:hAnsi="宋体" w:cs="宋体"/>
          <w:sz w:val="20"/>
          <w:szCs w:val="20"/>
        </w:rPr>
      </w:pPr>
      <w:r>
        <w:rPr>
          <w:rFonts w:ascii="宋体" w:eastAsia="宋体" w:hAnsi="宋体" w:cs="宋体"/>
          <w:spacing w:val="7"/>
          <w:sz w:val="20"/>
          <w:szCs w:val="20"/>
        </w:rPr>
        <w:t>固定资产是指为生产商品、提供劳务、出租或经营管理而持有的，使用年限超过一</w:t>
      </w:r>
      <w:r>
        <w:rPr>
          <w:rFonts w:ascii="宋体" w:eastAsia="宋体" w:hAnsi="宋体" w:cs="宋体"/>
          <w:spacing w:val="6"/>
          <w:sz w:val="20"/>
          <w:szCs w:val="20"/>
        </w:rPr>
        <w:t>个会</w:t>
      </w:r>
      <w:r>
        <w:rPr>
          <w:rFonts w:ascii="宋体" w:eastAsia="宋体" w:hAnsi="宋体" w:cs="宋体"/>
          <w:sz w:val="20"/>
          <w:szCs w:val="20"/>
        </w:rPr>
        <w:t xml:space="preserve"> </w:t>
      </w:r>
      <w:r>
        <w:rPr>
          <w:rFonts w:ascii="宋体" w:eastAsia="宋体" w:hAnsi="宋体" w:cs="宋体"/>
          <w:spacing w:val="8"/>
          <w:sz w:val="20"/>
          <w:szCs w:val="20"/>
        </w:rPr>
        <w:t>计年度的有形资产。固定资产在同时满足经</w:t>
      </w:r>
      <w:r>
        <w:rPr>
          <w:rFonts w:ascii="宋体" w:eastAsia="宋体" w:hAnsi="宋体" w:cs="宋体"/>
          <w:spacing w:val="7"/>
          <w:sz w:val="20"/>
          <w:szCs w:val="20"/>
        </w:rPr>
        <w:t>济利益很可能流入、成本能够可靠计量时予以确</w:t>
      </w:r>
    </w:p>
    <w:p>
      <w:pPr>
        <w:spacing w:line="229" w:lineRule="auto"/>
        <w:ind w:left="110"/>
        <w:rPr>
          <w:rFonts w:ascii="宋体" w:eastAsia="宋体" w:hAnsi="宋体" w:cs="宋体"/>
          <w:sz w:val="20"/>
          <w:szCs w:val="20"/>
        </w:rPr>
      </w:pPr>
      <w:r>
        <w:rPr>
          <w:rFonts w:ascii="宋体" w:eastAsia="宋体" w:hAnsi="宋体" w:cs="宋体"/>
          <w:sz w:val="20"/>
          <w:szCs w:val="20"/>
        </w:rPr>
        <w:t>认。</w:t>
      </w:r>
    </w:p>
    <w:p>
      <w:pPr>
        <w:spacing w:before="219" w:line="228" w:lineRule="auto"/>
        <w:ind w:left="533"/>
        <w:outlineLvl w:val="2"/>
        <w:rPr>
          <w:rFonts w:ascii="宋体" w:eastAsia="宋体" w:hAnsi="宋体" w:cs="宋体"/>
          <w:sz w:val="20"/>
          <w:szCs w:val="20"/>
        </w:rPr>
      </w:pPr>
      <w:r>
        <w:rPr>
          <w:rFonts w:ascii="宋体" w:eastAsia="宋体" w:hAnsi="宋体" w:cs="宋体"/>
          <w:spacing w:val="8"/>
          <w:sz w:val="20"/>
          <w:szCs w:val="20"/>
        </w:rPr>
        <w:t>2. 各类固定资产的折旧方法</w:t>
      </w:r>
    </w:p>
    <w:p>
      <w:pPr>
        <w:spacing w:line="93" w:lineRule="exact"/>
      </w:pPr>
    </w:p>
    <w:tbl>
      <w:tblPr>
        <w:tblStyle w:val="TableNormal02"/>
        <w:tblW w:w="8515"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2248"/>
        <w:gridCol w:w="1567"/>
        <w:gridCol w:w="1566"/>
        <w:gridCol w:w="1567"/>
        <w:gridCol w:w="1567"/>
      </w:tblGrid>
      <w:tr>
        <w:tblPrEx>
          <w:tblW w:w="8515"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462"/>
        </w:trPr>
        <w:tc>
          <w:tcPr>
            <w:tcW w:w="2248" w:type="dxa"/>
            <w:tcBorders>
              <w:left w:val="nil"/>
            </w:tcBorders>
            <w:vAlign w:val="top"/>
          </w:tcPr>
          <w:p>
            <w:pPr>
              <w:pStyle w:val="TableText"/>
              <w:spacing w:before="128" w:line="228" w:lineRule="auto"/>
              <w:ind w:left="326"/>
            </w:pPr>
            <w:r>
              <w:t>类</w:t>
            </w:r>
            <w:r>
              <w:rPr>
                <w:spacing w:val="10"/>
              </w:rPr>
              <w:t xml:space="preserve">  </w:t>
            </w:r>
            <w:r>
              <w:t>别</w:t>
            </w:r>
          </w:p>
        </w:tc>
        <w:tc>
          <w:tcPr>
            <w:tcW w:w="1567" w:type="dxa"/>
            <w:vAlign w:val="top"/>
          </w:tcPr>
          <w:p>
            <w:pPr>
              <w:pStyle w:val="TableText"/>
              <w:spacing w:before="128" w:line="228" w:lineRule="auto"/>
              <w:ind w:left="369"/>
            </w:pPr>
            <w:r>
              <w:rPr>
                <w:spacing w:val="6"/>
              </w:rPr>
              <w:t>折旧方法</w:t>
            </w:r>
          </w:p>
        </w:tc>
        <w:tc>
          <w:tcPr>
            <w:tcW w:w="1566" w:type="dxa"/>
            <w:vAlign w:val="top"/>
          </w:tcPr>
          <w:p>
            <w:pPr>
              <w:pStyle w:val="TableText"/>
              <w:spacing w:before="128" w:line="228" w:lineRule="auto"/>
              <w:ind w:right="11"/>
              <w:jc w:val="right"/>
            </w:pPr>
            <w:r>
              <w:rPr>
                <w:spacing w:val="4"/>
              </w:rPr>
              <w:t>折旧年限（年）</w:t>
            </w:r>
          </w:p>
        </w:tc>
        <w:tc>
          <w:tcPr>
            <w:tcW w:w="1567" w:type="dxa"/>
            <w:vAlign w:val="top"/>
          </w:tcPr>
          <w:p>
            <w:pPr>
              <w:pStyle w:val="TableText"/>
              <w:spacing w:before="128" w:line="228" w:lineRule="auto"/>
              <w:ind w:left="213"/>
            </w:pPr>
            <w:r>
              <w:rPr>
                <w:spacing w:val="6"/>
              </w:rPr>
              <w:t>残值率（%）</w:t>
            </w:r>
          </w:p>
        </w:tc>
        <w:tc>
          <w:tcPr>
            <w:tcW w:w="1567" w:type="dxa"/>
            <w:tcBorders>
              <w:right w:val="nil"/>
            </w:tcBorders>
            <w:vAlign w:val="top"/>
          </w:tcPr>
          <w:p>
            <w:pPr>
              <w:pStyle w:val="TableText"/>
              <w:spacing w:before="128" w:line="228" w:lineRule="auto"/>
              <w:ind w:left="116"/>
            </w:pPr>
            <w:r>
              <w:rPr>
                <w:spacing w:val="6"/>
              </w:rPr>
              <w:t>年折旧率（%）</w:t>
            </w:r>
          </w:p>
        </w:tc>
      </w:tr>
      <w:tr>
        <w:tblPrEx>
          <w:tblW w:w="8515" w:type="dxa"/>
          <w:tblInd w:w="0" w:type="dxa"/>
          <w:tblLayout w:type="fixed"/>
          <w:tblCellMar>
            <w:top w:w="0" w:type="dxa"/>
            <w:left w:w="0" w:type="dxa"/>
            <w:bottom w:w="0" w:type="dxa"/>
            <w:right w:w="0" w:type="dxa"/>
          </w:tblCellMar>
        </w:tblPrEx>
        <w:trPr>
          <w:trHeight w:val="458"/>
        </w:trPr>
        <w:tc>
          <w:tcPr>
            <w:tcW w:w="2248" w:type="dxa"/>
            <w:tcBorders>
              <w:left w:val="nil"/>
            </w:tcBorders>
            <w:vAlign w:val="top"/>
          </w:tcPr>
          <w:p>
            <w:pPr>
              <w:pStyle w:val="TableText"/>
              <w:spacing w:before="124" w:line="227" w:lineRule="auto"/>
              <w:ind w:left="114"/>
            </w:pPr>
            <w:r>
              <w:rPr>
                <w:spacing w:val="7"/>
              </w:rPr>
              <w:t>机器设备</w:t>
            </w:r>
          </w:p>
        </w:tc>
        <w:tc>
          <w:tcPr>
            <w:tcW w:w="1567" w:type="dxa"/>
            <w:vAlign w:val="top"/>
          </w:tcPr>
          <w:p>
            <w:pPr>
              <w:pStyle w:val="TableText"/>
              <w:spacing w:before="124" w:line="228" w:lineRule="auto"/>
              <w:ind w:left="114"/>
            </w:pPr>
            <w:r>
              <w:rPr>
                <w:spacing w:val="7"/>
              </w:rPr>
              <w:t>年限平均法</w:t>
            </w:r>
          </w:p>
        </w:tc>
        <w:tc>
          <w:tcPr>
            <w:tcW w:w="1566" w:type="dxa"/>
            <w:vAlign w:val="top"/>
          </w:tcPr>
          <w:p>
            <w:pPr>
              <w:pStyle w:val="TableText"/>
              <w:spacing w:before="156" w:line="190" w:lineRule="auto"/>
              <w:ind w:left="1049"/>
            </w:pPr>
            <w:r>
              <w:rPr>
                <w:spacing w:val="1"/>
              </w:rPr>
              <w:t>5-10</w:t>
            </w:r>
          </w:p>
        </w:tc>
        <w:tc>
          <w:tcPr>
            <w:tcW w:w="1567" w:type="dxa"/>
            <w:vAlign w:val="top"/>
          </w:tcPr>
          <w:p>
            <w:pPr>
              <w:pStyle w:val="TableText"/>
              <w:spacing w:before="157" w:line="189" w:lineRule="auto"/>
              <w:ind w:left="1050"/>
            </w:pPr>
            <w:r>
              <w:rPr>
                <w:spacing w:val="1"/>
              </w:rPr>
              <w:t>5.00</w:t>
            </w:r>
          </w:p>
        </w:tc>
        <w:tc>
          <w:tcPr>
            <w:tcW w:w="1567" w:type="dxa"/>
            <w:tcBorders>
              <w:right w:val="nil"/>
            </w:tcBorders>
            <w:vAlign w:val="top"/>
          </w:tcPr>
          <w:p>
            <w:pPr>
              <w:pStyle w:val="TableText"/>
              <w:spacing w:before="156" w:line="190" w:lineRule="auto"/>
              <w:ind w:left="416"/>
            </w:pPr>
            <w:r>
              <w:rPr>
                <w:spacing w:val="4"/>
              </w:rPr>
              <w:t>9.50-19.00</w:t>
            </w:r>
          </w:p>
        </w:tc>
      </w:tr>
      <w:tr>
        <w:tblPrEx>
          <w:tblW w:w="8515" w:type="dxa"/>
          <w:tblInd w:w="0" w:type="dxa"/>
          <w:tblLayout w:type="fixed"/>
          <w:tblCellMar>
            <w:top w:w="0" w:type="dxa"/>
            <w:left w:w="0" w:type="dxa"/>
            <w:bottom w:w="0" w:type="dxa"/>
            <w:right w:w="0" w:type="dxa"/>
          </w:tblCellMar>
        </w:tblPrEx>
        <w:trPr>
          <w:trHeight w:val="458"/>
        </w:trPr>
        <w:tc>
          <w:tcPr>
            <w:tcW w:w="2248" w:type="dxa"/>
            <w:tcBorders>
              <w:left w:val="nil"/>
            </w:tcBorders>
            <w:vAlign w:val="top"/>
          </w:tcPr>
          <w:p>
            <w:pPr>
              <w:pStyle w:val="TableText"/>
              <w:spacing w:before="124" w:line="228" w:lineRule="auto"/>
              <w:ind w:left="115"/>
            </w:pPr>
            <w:r>
              <w:rPr>
                <w:spacing w:val="7"/>
              </w:rPr>
              <w:t>运输工具</w:t>
            </w:r>
          </w:p>
        </w:tc>
        <w:tc>
          <w:tcPr>
            <w:tcW w:w="1567" w:type="dxa"/>
            <w:vAlign w:val="top"/>
          </w:tcPr>
          <w:p>
            <w:pPr>
              <w:pStyle w:val="TableText"/>
              <w:spacing w:before="124" w:line="228" w:lineRule="auto"/>
              <w:ind w:left="114"/>
            </w:pPr>
            <w:r>
              <w:rPr>
                <w:spacing w:val="7"/>
              </w:rPr>
              <w:t>年限平均法</w:t>
            </w:r>
          </w:p>
        </w:tc>
        <w:tc>
          <w:tcPr>
            <w:tcW w:w="1566" w:type="dxa"/>
            <w:vAlign w:val="top"/>
          </w:tcPr>
          <w:p>
            <w:pPr>
              <w:pStyle w:val="TableText"/>
              <w:spacing w:before="159" w:line="187" w:lineRule="auto"/>
              <w:ind w:left="1363"/>
            </w:pPr>
            <w:r>
              <w:t>5</w:t>
            </w:r>
          </w:p>
        </w:tc>
        <w:tc>
          <w:tcPr>
            <w:tcW w:w="1567" w:type="dxa"/>
            <w:vAlign w:val="top"/>
          </w:tcPr>
          <w:p>
            <w:pPr>
              <w:pStyle w:val="TableText"/>
              <w:spacing w:before="157" w:line="189" w:lineRule="auto"/>
              <w:ind w:left="1050"/>
            </w:pPr>
            <w:r>
              <w:rPr>
                <w:spacing w:val="1"/>
              </w:rPr>
              <w:t>5.00</w:t>
            </w:r>
          </w:p>
        </w:tc>
        <w:tc>
          <w:tcPr>
            <w:tcW w:w="1567" w:type="dxa"/>
            <w:tcBorders>
              <w:right w:val="nil"/>
            </w:tcBorders>
            <w:vAlign w:val="top"/>
          </w:tcPr>
          <w:p>
            <w:pPr>
              <w:pStyle w:val="TableText"/>
              <w:spacing w:before="156" w:line="190" w:lineRule="auto"/>
              <w:ind w:left="956"/>
            </w:pPr>
            <w:r>
              <w:t>19.00</w:t>
            </w:r>
          </w:p>
        </w:tc>
      </w:tr>
      <w:tr>
        <w:tblPrEx>
          <w:tblW w:w="8515" w:type="dxa"/>
          <w:tblInd w:w="0" w:type="dxa"/>
          <w:tblLayout w:type="fixed"/>
          <w:tblCellMar>
            <w:top w:w="0" w:type="dxa"/>
            <w:left w:w="0" w:type="dxa"/>
            <w:bottom w:w="0" w:type="dxa"/>
            <w:right w:w="0" w:type="dxa"/>
          </w:tblCellMar>
        </w:tblPrEx>
        <w:trPr>
          <w:trHeight w:val="462"/>
        </w:trPr>
        <w:tc>
          <w:tcPr>
            <w:tcW w:w="2248" w:type="dxa"/>
            <w:tcBorders>
              <w:left w:val="nil"/>
            </w:tcBorders>
            <w:vAlign w:val="top"/>
          </w:tcPr>
          <w:p>
            <w:pPr>
              <w:pStyle w:val="TableText"/>
              <w:spacing w:before="127" w:line="228" w:lineRule="auto"/>
              <w:ind w:left="140"/>
            </w:pPr>
            <w:r>
              <w:rPr>
                <w:spacing w:val="5"/>
              </w:rPr>
              <w:t>电子设备及其他</w:t>
            </w:r>
          </w:p>
        </w:tc>
        <w:tc>
          <w:tcPr>
            <w:tcW w:w="1567" w:type="dxa"/>
            <w:vAlign w:val="top"/>
          </w:tcPr>
          <w:p>
            <w:pPr>
              <w:pStyle w:val="TableText"/>
              <w:spacing w:before="127" w:line="228" w:lineRule="auto"/>
              <w:ind w:left="114"/>
            </w:pPr>
            <w:r>
              <w:rPr>
                <w:spacing w:val="7"/>
              </w:rPr>
              <w:t>年限平均法</w:t>
            </w:r>
          </w:p>
        </w:tc>
        <w:tc>
          <w:tcPr>
            <w:tcW w:w="1566" w:type="dxa"/>
            <w:vAlign w:val="top"/>
          </w:tcPr>
          <w:p>
            <w:pPr>
              <w:pStyle w:val="TableText"/>
              <w:spacing w:before="160" w:line="189" w:lineRule="auto"/>
              <w:ind w:left="1152"/>
            </w:pPr>
            <w:r>
              <w:rPr>
                <w:spacing w:val="1"/>
              </w:rPr>
              <w:t>3-5</w:t>
            </w:r>
          </w:p>
        </w:tc>
        <w:tc>
          <w:tcPr>
            <w:tcW w:w="1567" w:type="dxa"/>
            <w:vAlign w:val="top"/>
          </w:tcPr>
          <w:p>
            <w:pPr>
              <w:pStyle w:val="TableText"/>
              <w:spacing w:before="160" w:line="189" w:lineRule="auto"/>
              <w:ind w:left="1050"/>
            </w:pPr>
            <w:r>
              <w:rPr>
                <w:spacing w:val="1"/>
              </w:rPr>
              <w:t>5.00</w:t>
            </w:r>
          </w:p>
        </w:tc>
        <w:tc>
          <w:tcPr>
            <w:tcW w:w="1567" w:type="dxa"/>
            <w:tcBorders>
              <w:right w:val="nil"/>
            </w:tcBorders>
            <w:vAlign w:val="top"/>
          </w:tcPr>
          <w:p>
            <w:pPr>
              <w:pStyle w:val="TableText"/>
              <w:spacing w:before="159" w:line="190" w:lineRule="auto"/>
              <w:ind w:left="325"/>
            </w:pPr>
            <w:r>
              <w:rPr>
                <w:spacing w:val="2"/>
              </w:rPr>
              <w:t>19.00-31.67</w:t>
            </w:r>
          </w:p>
        </w:tc>
      </w:tr>
    </w:tbl>
    <w:p>
      <w:pPr>
        <w:spacing w:before="130" w:line="228" w:lineRule="auto"/>
        <w:ind w:left="567"/>
        <w:outlineLvl w:val="1"/>
        <w:rPr>
          <w:rFonts w:ascii="宋体" w:eastAsia="宋体" w:hAnsi="宋体" w:cs="宋体"/>
          <w:sz w:val="20"/>
          <w:szCs w:val="20"/>
        </w:rPr>
      </w:pPr>
      <w:r>
        <w:rPr>
          <w:rFonts w:ascii="宋体" w:eastAsia="宋体" w:hAnsi="宋体" w:cs="宋体"/>
          <w:spacing w:val="3"/>
          <w:sz w:val="20"/>
          <w:szCs w:val="20"/>
        </w:rPr>
        <w:t>(十四) 在建工程</w:t>
      </w:r>
    </w:p>
    <w:p>
      <w:pPr>
        <w:spacing w:before="221" w:line="468" w:lineRule="exact"/>
        <w:ind w:left="546"/>
        <w:rPr>
          <w:rFonts w:ascii="宋体" w:eastAsia="宋体" w:hAnsi="宋体" w:cs="宋体"/>
          <w:sz w:val="20"/>
          <w:szCs w:val="20"/>
        </w:rPr>
      </w:pPr>
      <w:r>
        <w:rPr>
          <w:rFonts w:ascii="宋体" w:eastAsia="宋体" w:hAnsi="宋体" w:cs="宋体"/>
          <w:spacing w:val="9"/>
          <w:position w:val="20"/>
          <w:sz w:val="20"/>
          <w:szCs w:val="20"/>
        </w:rPr>
        <w:t>1. 在建工程同时满足经济利益很可能流入、成本能够可靠计量则予以确认。在建工程</w:t>
      </w:r>
    </w:p>
    <w:p>
      <w:pPr>
        <w:spacing w:before="1" w:line="226" w:lineRule="auto"/>
        <w:ind w:left="112"/>
        <w:rPr>
          <w:rFonts w:ascii="宋体" w:eastAsia="宋体" w:hAnsi="宋体" w:cs="宋体"/>
          <w:sz w:val="20"/>
          <w:szCs w:val="20"/>
        </w:rPr>
      </w:pPr>
      <w:r>
        <w:rPr>
          <w:rFonts w:ascii="宋体" w:eastAsia="宋体" w:hAnsi="宋体" w:cs="宋体"/>
          <w:spacing w:val="9"/>
          <w:sz w:val="20"/>
          <w:szCs w:val="20"/>
        </w:rPr>
        <w:t>按建造该项资产达到预定可使用状态前所发生的实际成本计量。</w:t>
      </w:r>
    </w:p>
    <w:p>
      <w:pPr>
        <w:spacing w:before="222" w:line="432" w:lineRule="auto"/>
        <w:ind w:left="112" w:right="1537" w:firstLine="420"/>
        <w:rPr>
          <w:rFonts w:ascii="宋体" w:eastAsia="宋体" w:hAnsi="宋体" w:cs="宋体"/>
          <w:sz w:val="20"/>
          <w:szCs w:val="20"/>
        </w:rPr>
      </w:pPr>
      <w:r>
        <w:rPr>
          <w:rFonts w:ascii="宋体" w:eastAsia="宋体" w:hAnsi="宋体" w:cs="宋体"/>
          <w:spacing w:val="10"/>
          <w:sz w:val="20"/>
          <w:szCs w:val="20"/>
        </w:rPr>
        <w:t>2. 在建工程达到预定可使用状态时，按工程实际成本转</w:t>
      </w:r>
      <w:r>
        <w:rPr>
          <w:rFonts w:ascii="宋体" w:eastAsia="宋体" w:hAnsi="宋体" w:cs="宋体"/>
          <w:spacing w:val="9"/>
          <w:sz w:val="20"/>
          <w:szCs w:val="20"/>
        </w:rPr>
        <w:t>入固定资产。已达到预定可使</w:t>
      </w:r>
      <w:r>
        <w:rPr>
          <w:rFonts w:ascii="宋体" w:eastAsia="宋体" w:hAnsi="宋体" w:cs="宋体"/>
          <w:sz w:val="20"/>
          <w:szCs w:val="20"/>
        </w:rPr>
        <w:t xml:space="preserve"> </w:t>
      </w:r>
      <w:r>
        <w:rPr>
          <w:rFonts w:ascii="宋体" w:eastAsia="宋体" w:hAnsi="宋体" w:cs="宋体"/>
          <w:spacing w:val="8"/>
          <w:sz w:val="20"/>
          <w:szCs w:val="20"/>
        </w:rPr>
        <w:t>用状态但尚未办理竣工决算的，先按估计价值</w:t>
      </w:r>
      <w:r>
        <w:rPr>
          <w:rFonts w:ascii="宋体" w:eastAsia="宋体" w:hAnsi="宋体" w:cs="宋体"/>
          <w:spacing w:val="7"/>
          <w:sz w:val="20"/>
          <w:szCs w:val="20"/>
        </w:rPr>
        <w:t>转入固定资产，待办理竣工决算后再按实际成</w:t>
      </w:r>
    </w:p>
    <w:p>
      <w:pPr>
        <w:spacing w:line="226" w:lineRule="auto"/>
        <w:ind w:left="111"/>
        <w:rPr>
          <w:rFonts w:ascii="宋体" w:eastAsia="宋体" w:hAnsi="宋体" w:cs="宋体"/>
          <w:sz w:val="20"/>
          <w:szCs w:val="20"/>
        </w:rPr>
      </w:pPr>
      <w:r>
        <w:rPr>
          <w:rFonts w:ascii="宋体" w:eastAsia="宋体" w:hAnsi="宋体" w:cs="宋体"/>
          <w:spacing w:val="9"/>
          <w:sz w:val="20"/>
          <w:szCs w:val="20"/>
        </w:rPr>
        <w:t>本调整原暂估价值，但不再调整原已计提的折旧。</w:t>
      </w:r>
    </w:p>
    <w:p>
      <w:pPr>
        <w:spacing w:before="223" w:line="227" w:lineRule="auto"/>
        <w:ind w:left="567"/>
        <w:outlineLvl w:val="1"/>
        <w:rPr>
          <w:rFonts w:ascii="宋体" w:eastAsia="宋体" w:hAnsi="宋体" w:cs="宋体"/>
          <w:sz w:val="20"/>
          <w:szCs w:val="20"/>
        </w:rPr>
      </w:pPr>
      <w:r>
        <w:rPr>
          <w:rFonts w:ascii="宋体" w:eastAsia="宋体" w:hAnsi="宋体" w:cs="宋体"/>
          <w:spacing w:val="1"/>
          <w:sz w:val="20"/>
          <w:szCs w:val="20"/>
        </w:rPr>
        <w:t>(十五)</w:t>
      </w:r>
      <w:r>
        <w:rPr>
          <w:rFonts w:ascii="宋体" w:eastAsia="宋体" w:hAnsi="宋体" w:cs="宋体"/>
          <w:spacing w:val="18"/>
          <w:sz w:val="20"/>
          <w:szCs w:val="20"/>
        </w:rPr>
        <w:t xml:space="preserve"> </w:t>
      </w:r>
      <w:r>
        <w:rPr>
          <w:rFonts w:ascii="宋体" w:eastAsia="宋体" w:hAnsi="宋体" w:cs="宋体"/>
          <w:spacing w:val="1"/>
          <w:sz w:val="20"/>
          <w:szCs w:val="20"/>
        </w:rPr>
        <w:t>借款费用</w:t>
      </w:r>
    </w:p>
    <w:p>
      <w:pPr>
        <w:spacing w:before="222" w:line="227" w:lineRule="auto"/>
        <w:ind w:left="546"/>
        <w:outlineLvl w:val="2"/>
        <w:rPr>
          <w:rFonts w:ascii="宋体" w:eastAsia="宋体" w:hAnsi="宋体" w:cs="宋体"/>
          <w:sz w:val="20"/>
          <w:szCs w:val="20"/>
        </w:rPr>
      </w:pPr>
      <w:r>
        <w:rPr>
          <w:rFonts w:ascii="宋体" w:eastAsia="宋体" w:hAnsi="宋体" w:cs="宋体"/>
          <w:spacing w:val="7"/>
          <w:sz w:val="20"/>
          <w:szCs w:val="20"/>
        </w:rPr>
        <w:t>1. 借款费用资本化的确认原则</w:t>
      </w:r>
    </w:p>
    <w:p>
      <w:pPr>
        <w:spacing w:before="223" w:line="468" w:lineRule="exact"/>
        <w:ind w:left="537"/>
        <w:rPr>
          <w:rFonts w:ascii="宋体" w:eastAsia="宋体" w:hAnsi="宋体" w:cs="宋体"/>
          <w:sz w:val="20"/>
          <w:szCs w:val="20"/>
        </w:rPr>
      </w:pPr>
      <w:r>
        <w:rPr>
          <w:rFonts w:ascii="宋体" w:eastAsia="宋体" w:hAnsi="宋体" w:cs="宋体"/>
          <w:spacing w:val="7"/>
          <w:position w:val="20"/>
          <w:sz w:val="20"/>
          <w:szCs w:val="20"/>
        </w:rPr>
        <w:t>公司发生的借款费用，可直接归属于符合资本化条件的资产的购建或者生产的，予以资</w:t>
      </w:r>
    </w:p>
    <w:p>
      <w:pPr>
        <w:spacing w:before="1" w:line="226" w:lineRule="auto"/>
        <w:ind w:left="111"/>
        <w:rPr>
          <w:rFonts w:ascii="宋体" w:eastAsia="宋体" w:hAnsi="宋体" w:cs="宋体"/>
          <w:sz w:val="20"/>
          <w:szCs w:val="20"/>
        </w:rPr>
      </w:pPr>
      <w:r>
        <w:rPr>
          <w:rFonts w:ascii="宋体" w:eastAsia="宋体" w:hAnsi="宋体" w:cs="宋体"/>
          <w:spacing w:val="9"/>
          <w:sz w:val="20"/>
          <w:szCs w:val="20"/>
        </w:rPr>
        <w:t>本化，计入相关资产成本；其他借款费用，在发生时确认为费用，计入当期损益。</w:t>
      </w:r>
    </w:p>
    <w:p>
      <w:pPr>
        <w:spacing w:before="222" w:line="227" w:lineRule="auto"/>
        <w:ind w:left="533"/>
        <w:outlineLvl w:val="2"/>
        <w:rPr>
          <w:rFonts w:ascii="宋体" w:eastAsia="宋体" w:hAnsi="宋体" w:cs="宋体"/>
          <w:sz w:val="20"/>
          <w:szCs w:val="20"/>
        </w:rPr>
      </w:pPr>
      <w:r>
        <w:rPr>
          <w:rFonts w:ascii="宋体" w:eastAsia="宋体" w:hAnsi="宋体" w:cs="宋体"/>
          <w:spacing w:val="7"/>
          <w:sz w:val="20"/>
          <w:szCs w:val="20"/>
        </w:rPr>
        <w:t>2. 借款费用资本化期间</w:t>
      </w:r>
    </w:p>
    <w:p>
      <w:pPr>
        <w:spacing w:before="222" w:line="432" w:lineRule="auto"/>
        <w:ind w:left="112" w:right="1537" w:firstLine="455"/>
        <w:jc w:val="both"/>
        <w:rPr>
          <w:rFonts w:ascii="宋体" w:eastAsia="宋体" w:hAnsi="宋体" w:cs="宋体"/>
          <w:sz w:val="20"/>
          <w:szCs w:val="20"/>
        </w:rPr>
      </w:pPr>
      <w:r>
        <w:rPr>
          <w:rFonts w:ascii="宋体" w:eastAsia="宋体" w:hAnsi="宋体" w:cs="宋体"/>
          <w:spacing w:val="6"/>
          <w:sz w:val="20"/>
          <w:szCs w:val="20"/>
        </w:rPr>
        <w:t>(1) 当借款费用同时满足下列条件时，开始资本化：1) 资产</w:t>
      </w:r>
      <w:r>
        <w:rPr>
          <w:rFonts w:ascii="宋体" w:eastAsia="宋体" w:hAnsi="宋体" w:cs="宋体"/>
          <w:spacing w:val="5"/>
          <w:sz w:val="20"/>
          <w:szCs w:val="20"/>
        </w:rPr>
        <w:t>支出已经发生；2) 借款费</w:t>
      </w:r>
      <w:r>
        <w:rPr>
          <w:rFonts w:ascii="宋体" w:eastAsia="宋体" w:hAnsi="宋体" w:cs="宋体"/>
          <w:sz w:val="20"/>
          <w:szCs w:val="20"/>
        </w:rPr>
        <w:t xml:space="preserve"> </w:t>
      </w:r>
      <w:r>
        <w:rPr>
          <w:rFonts w:ascii="宋体" w:eastAsia="宋体" w:hAnsi="宋体" w:cs="宋体"/>
          <w:spacing w:val="10"/>
          <w:sz w:val="20"/>
          <w:szCs w:val="20"/>
        </w:rPr>
        <w:t>用已经发生；3) 为使资产达到预定可使用或可销售状态所必</w:t>
      </w:r>
      <w:r>
        <w:rPr>
          <w:rFonts w:ascii="宋体" w:eastAsia="宋体" w:hAnsi="宋体" w:cs="宋体"/>
          <w:spacing w:val="9"/>
          <w:sz w:val="20"/>
          <w:szCs w:val="20"/>
        </w:rPr>
        <w:t>要的购建或者生产活动已经开</w:t>
      </w:r>
    </w:p>
    <w:p>
      <w:pPr>
        <w:spacing w:line="229" w:lineRule="auto"/>
        <w:ind w:left="111"/>
        <w:rPr>
          <w:rFonts w:ascii="宋体" w:eastAsia="宋体" w:hAnsi="宋体" w:cs="宋体"/>
          <w:sz w:val="20"/>
          <w:szCs w:val="20"/>
        </w:rPr>
      </w:pPr>
      <w:r>
        <w:rPr>
          <w:rFonts w:ascii="宋体" w:eastAsia="宋体" w:hAnsi="宋体" w:cs="宋体"/>
          <w:sz w:val="20"/>
          <w:szCs w:val="20"/>
        </w:rPr>
        <w:t>始。</w:t>
      </w:r>
    </w:p>
    <w:p>
      <w:pPr>
        <w:spacing w:before="257" w:line="219" w:lineRule="auto"/>
        <w:ind w:left="3500"/>
        <w:rPr>
          <w:rFonts w:ascii="宋体" w:eastAsia="宋体" w:hAnsi="宋体" w:cs="宋体"/>
          <w:sz w:val="18"/>
          <w:szCs w:val="18"/>
        </w:rPr>
      </w:pPr>
      <w:r>
        <w:rPr>
          <w:rFonts w:ascii="宋体" w:eastAsia="宋体" w:hAnsi="宋体" w:cs="宋体"/>
          <w:spacing w:val="-5"/>
          <w:sz w:val="18"/>
          <w:szCs w:val="18"/>
        </w:rPr>
        <w:t>第</w:t>
      </w:r>
      <w:r>
        <w:rPr>
          <w:rFonts w:ascii="宋体" w:eastAsia="宋体" w:hAnsi="宋体" w:cs="宋体"/>
          <w:spacing w:val="14"/>
          <w:sz w:val="18"/>
          <w:szCs w:val="18"/>
        </w:rPr>
        <w:t xml:space="preserve"> </w:t>
      </w:r>
      <w:r>
        <w:rPr>
          <w:rFonts w:ascii="宋体" w:eastAsia="宋体" w:hAnsi="宋体" w:cs="宋体"/>
          <w:spacing w:val="-5"/>
          <w:sz w:val="18"/>
          <w:szCs w:val="18"/>
        </w:rPr>
        <w:t>22</w:t>
      </w:r>
      <w:r>
        <w:rPr>
          <w:rFonts w:ascii="宋体" w:eastAsia="宋体" w:hAnsi="宋体" w:cs="宋体"/>
          <w:spacing w:val="12"/>
          <w:sz w:val="18"/>
          <w:szCs w:val="18"/>
        </w:rPr>
        <w:t xml:space="preserve"> </w:t>
      </w:r>
      <w:r>
        <w:rPr>
          <w:rFonts w:ascii="宋体" w:eastAsia="宋体" w:hAnsi="宋体" w:cs="宋体"/>
          <w:spacing w:val="-5"/>
          <w:sz w:val="18"/>
          <w:szCs w:val="18"/>
        </w:rPr>
        <w:t>页 共</w:t>
      </w:r>
      <w:r>
        <w:rPr>
          <w:rFonts w:ascii="宋体" w:eastAsia="宋体" w:hAnsi="宋体" w:cs="宋体"/>
          <w:spacing w:val="12"/>
          <w:sz w:val="18"/>
          <w:szCs w:val="18"/>
        </w:rPr>
        <w:t xml:space="preserve"> </w:t>
      </w:r>
      <w:r>
        <w:rPr>
          <w:rFonts w:ascii="宋体" w:eastAsia="宋体" w:hAnsi="宋体" w:cs="宋体"/>
          <w:spacing w:val="-5"/>
          <w:sz w:val="18"/>
          <w:szCs w:val="18"/>
        </w:rPr>
        <w:t>59</w:t>
      </w:r>
      <w:r>
        <w:rPr>
          <w:rFonts w:ascii="宋体" w:eastAsia="宋体" w:hAnsi="宋体" w:cs="宋体"/>
          <w:spacing w:val="9"/>
          <w:sz w:val="18"/>
          <w:szCs w:val="18"/>
        </w:rPr>
        <w:t xml:space="preserve"> </w:t>
      </w:r>
      <w:r>
        <w:rPr>
          <w:rFonts w:ascii="宋体" w:eastAsia="宋体" w:hAnsi="宋体" w:cs="宋体"/>
          <w:spacing w:val="-5"/>
          <w:sz w:val="18"/>
          <w:szCs w:val="18"/>
        </w:rPr>
        <w:t>页</w:t>
      </w:r>
    </w:p>
    <w:p>
      <w:pPr>
        <w:spacing w:line="219" w:lineRule="auto"/>
        <w:rPr>
          <w:rFonts w:ascii="宋体" w:eastAsia="宋体" w:hAnsi="宋体" w:cs="宋体"/>
          <w:sz w:val="18"/>
          <w:szCs w:val="18"/>
        </w:rPr>
        <w:sectPr>
          <w:headerReference w:type="default" r:id="rId53"/>
          <w:footerReference w:type="default" r:id="rId54"/>
          <w:pgSz w:w="11906" w:h="16839"/>
          <w:pgMar w:top="400" w:right="259" w:bottom="400" w:left="1695" w:header="0" w:footer="0" w:gutter="0"/>
          <w:pgNumType w:start="23"/>
          <w:cols w:num="1" w:space="720"/>
        </w:sectPr>
      </w:pPr>
    </w:p>
    <w:p>
      <w:pPr>
        <w:spacing w:line="274" w:lineRule="auto"/>
      </w:pPr>
    </w:p>
    <w:p>
      <w:pPr>
        <w:spacing w:line="274" w:lineRule="auto"/>
      </w:pPr>
    </w:p>
    <w:p>
      <w:pPr>
        <w:spacing w:line="274" w:lineRule="auto"/>
      </w:pPr>
    </w:p>
    <w:p>
      <w:pPr>
        <w:spacing w:line="274" w:lineRule="auto"/>
      </w:pPr>
    </w:p>
    <w:p>
      <w:pPr>
        <w:spacing w:before="65" w:line="432" w:lineRule="auto"/>
        <w:ind w:left="118" w:right="1537" w:firstLine="454"/>
        <w:jc w:val="both"/>
        <w:rPr>
          <w:rFonts w:ascii="宋体" w:eastAsia="宋体" w:hAnsi="宋体" w:cs="宋体"/>
          <w:sz w:val="20"/>
          <w:szCs w:val="20"/>
        </w:rPr>
      </w:pPr>
      <w:r>
        <w:rPr>
          <w:rFonts w:ascii="宋体" w:eastAsia="宋体" w:hAnsi="宋体" w:cs="宋体"/>
          <w:spacing w:val="6"/>
          <w:sz w:val="20"/>
          <w:szCs w:val="20"/>
        </w:rPr>
        <w:t>(2) 若符合资本化条件的资产在购建或者生产过程中发生非正常中断，并且中断时间连</w:t>
      </w:r>
      <w:r>
        <w:rPr>
          <w:rFonts w:ascii="宋体" w:eastAsia="宋体" w:hAnsi="宋体" w:cs="宋体"/>
          <w:spacing w:val="5"/>
          <w:sz w:val="20"/>
          <w:szCs w:val="20"/>
        </w:rPr>
        <w:t xml:space="preserve"> </w:t>
      </w:r>
      <w:r>
        <w:rPr>
          <w:rFonts w:ascii="宋体" w:eastAsia="宋体" w:hAnsi="宋体" w:cs="宋体"/>
          <w:spacing w:val="7"/>
          <w:sz w:val="20"/>
          <w:szCs w:val="20"/>
        </w:rPr>
        <w:t>续超过</w:t>
      </w:r>
      <w:r>
        <w:rPr>
          <w:rFonts w:ascii="宋体" w:eastAsia="宋体" w:hAnsi="宋体" w:cs="宋体"/>
          <w:spacing w:val="-35"/>
          <w:sz w:val="20"/>
          <w:szCs w:val="20"/>
        </w:rPr>
        <w:t xml:space="preserve"> </w:t>
      </w:r>
      <w:r>
        <w:rPr>
          <w:rFonts w:ascii="宋体" w:eastAsia="宋体" w:hAnsi="宋体" w:cs="宋体"/>
          <w:spacing w:val="7"/>
          <w:sz w:val="20"/>
          <w:szCs w:val="20"/>
        </w:rPr>
        <w:t>3</w:t>
      </w:r>
      <w:r>
        <w:rPr>
          <w:rFonts w:ascii="宋体" w:eastAsia="宋体" w:hAnsi="宋体" w:cs="宋体"/>
          <w:spacing w:val="-38"/>
          <w:sz w:val="20"/>
          <w:szCs w:val="20"/>
        </w:rPr>
        <w:t xml:space="preserve"> </w:t>
      </w:r>
      <w:r>
        <w:rPr>
          <w:rFonts w:ascii="宋体" w:eastAsia="宋体" w:hAnsi="宋体" w:cs="宋体"/>
          <w:spacing w:val="7"/>
          <w:sz w:val="20"/>
          <w:szCs w:val="20"/>
        </w:rPr>
        <w:t>个月，暂停借款费用的资本化；中断期间发生的借款费用确认为</w:t>
      </w:r>
      <w:r>
        <w:rPr>
          <w:rFonts w:ascii="宋体" w:eastAsia="宋体" w:hAnsi="宋体" w:cs="宋体"/>
          <w:spacing w:val="6"/>
          <w:sz w:val="20"/>
          <w:szCs w:val="20"/>
        </w:rPr>
        <w:t>当期费用，直至资</w:t>
      </w:r>
    </w:p>
    <w:p>
      <w:pPr>
        <w:spacing w:line="227" w:lineRule="auto"/>
        <w:ind w:left="115"/>
        <w:rPr>
          <w:rFonts w:ascii="宋体" w:eastAsia="宋体" w:hAnsi="宋体" w:cs="宋体"/>
          <w:sz w:val="20"/>
          <w:szCs w:val="20"/>
        </w:rPr>
      </w:pPr>
      <w:r>
        <w:rPr>
          <w:rFonts w:ascii="宋体" w:eastAsia="宋体" w:hAnsi="宋体" w:cs="宋体"/>
          <w:spacing w:val="8"/>
          <w:sz w:val="20"/>
          <w:szCs w:val="20"/>
        </w:rPr>
        <w:t>产的购建或者生产活动重新开始。</w:t>
      </w:r>
    </w:p>
    <w:p>
      <w:pPr>
        <w:spacing w:before="221" w:line="468" w:lineRule="exact"/>
        <w:ind w:left="572"/>
        <w:rPr>
          <w:rFonts w:ascii="宋体" w:eastAsia="宋体" w:hAnsi="宋体" w:cs="宋体"/>
          <w:sz w:val="20"/>
          <w:szCs w:val="20"/>
        </w:rPr>
      </w:pPr>
      <w:r>
        <w:rPr>
          <w:rFonts w:ascii="宋体" w:eastAsia="宋体" w:hAnsi="宋体" w:cs="宋体"/>
          <w:spacing w:val="6"/>
          <w:position w:val="20"/>
          <w:sz w:val="20"/>
          <w:szCs w:val="20"/>
        </w:rPr>
        <w:t>(3) 当所购建或者生产符合资本化条件的资产达到预定可使用或可销售状态时，借款费</w:t>
      </w:r>
    </w:p>
    <w:p>
      <w:pPr>
        <w:spacing w:line="226" w:lineRule="auto"/>
        <w:ind w:left="117"/>
        <w:rPr>
          <w:rFonts w:ascii="宋体" w:eastAsia="宋体" w:hAnsi="宋体" w:cs="宋体"/>
          <w:sz w:val="20"/>
          <w:szCs w:val="20"/>
        </w:rPr>
      </w:pPr>
      <w:r>
        <w:rPr>
          <w:rFonts w:ascii="宋体" w:eastAsia="宋体" w:hAnsi="宋体" w:cs="宋体"/>
          <w:spacing w:val="6"/>
          <w:sz w:val="20"/>
          <w:szCs w:val="20"/>
        </w:rPr>
        <w:t>用停止资本化。</w:t>
      </w:r>
    </w:p>
    <w:p>
      <w:pPr>
        <w:spacing w:before="223" w:line="227" w:lineRule="auto"/>
        <w:ind w:left="539"/>
        <w:outlineLvl w:val="2"/>
        <w:rPr>
          <w:rFonts w:ascii="宋体" w:eastAsia="宋体" w:hAnsi="宋体" w:cs="宋体"/>
          <w:sz w:val="20"/>
          <w:szCs w:val="20"/>
        </w:rPr>
      </w:pPr>
      <w:r>
        <w:rPr>
          <w:rFonts w:ascii="宋体" w:eastAsia="宋体" w:hAnsi="宋体" w:cs="宋体"/>
          <w:spacing w:val="8"/>
          <w:sz w:val="20"/>
          <w:szCs w:val="20"/>
        </w:rPr>
        <w:t>3. 借款费用资本化率以及资本化金额</w:t>
      </w:r>
    </w:p>
    <w:p>
      <w:pPr>
        <w:spacing w:before="222" w:line="432" w:lineRule="auto"/>
        <w:ind w:left="114" w:right="1537" w:firstLine="423"/>
        <w:jc w:val="both"/>
        <w:rPr>
          <w:rFonts w:ascii="宋体" w:eastAsia="宋体" w:hAnsi="宋体" w:cs="宋体"/>
          <w:sz w:val="20"/>
          <w:szCs w:val="20"/>
        </w:rPr>
      </w:pPr>
      <w:r>
        <w:rPr>
          <w:rFonts w:ascii="宋体" w:eastAsia="宋体" w:hAnsi="宋体" w:cs="宋体"/>
          <w:spacing w:val="7"/>
          <w:sz w:val="20"/>
          <w:szCs w:val="20"/>
        </w:rPr>
        <w:t>为购建或者生产符合资本化条件的资产而借入专门借款的，以专门借款当期实际发生的</w:t>
      </w:r>
      <w:r>
        <w:rPr>
          <w:rFonts w:ascii="宋体" w:eastAsia="宋体" w:hAnsi="宋体" w:cs="宋体"/>
          <w:spacing w:val="11"/>
          <w:sz w:val="20"/>
          <w:szCs w:val="20"/>
        </w:rPr>
        <w:t xml:space="preserve"> </w:t>
      </w:r>
      <w:r>
        <w:rPr>
          <w:rFonts w:ascii="宋体" w:eastAsia="宋体" w:hAnsi="宋体" w:cs="宋体"/>
          <w:spacing w:val="9"/>
          <w:sz w:val="20"/>
          <w:szCs w:val="20"/>
        </w:rPr>
        <w:t>利息费用（包括按照实际利率法确定的折价或溢价的摊销</w:t>
      </w:r>
      <w:r>
        <w:rPr>
          <w:rFonts w:ascii="宋体" w:eastAsia="宋体" w:hAnsi="宋体" w:cs="宋体"/>
          <w:spacing w:val="-14"/>
          <w:sz w:val="20"/>
          <w:szCs w:val="20"/>
        </w:rPr>
        <w:t>），</w:t>
      </w:r>
      <w:r>
        <w:rPr>
          <w:rFonts w:ascii="宋体" w:eastAsia="宋体" w:hAnsi="宋体" w:cs="宋体"/>
          <w:spacing w:val="9"/>
          <w:sz w:val="20"/>
          <w:szCs w:val="20"/>
        </w:rPr>
        <w:t>减</w:t>
      </w:r>
      <w:r>
        <w:rPr>
          <w:rFonts w:ascii="宋体" w:eastAsia="宋体" w:hAnsi="宋体" w:cs="宋体"/>
          <w:spacing w:val="8"/>
          <w:sz w:val="20"/>
          <w:szCs w:val="20"/>
        </w:rPr>
        <w:t>去将尚未动用的借款资金存</w:t>
      </w:r>
      <w:r>
        <w:rPr>
          <w:rFonts w:ascii="宋体" w:eastAsia="宋体" w:hAnsi="宋体" w:cs="宋体"/>
          <w:sz w:val="20"/>
          <w:szCs w:val="20"/>
        </w:rPr>
        <w:t xml:space="preserve"> </w:t>
      </w:r>
      <w:r>
        <w:rPr>
          <w:rFonts w:ascii="宋体" w:eastAsia="宋体" w:hAnsi="宋体" w:cs="宋体"/>
          <w:spacing w:val="8"/>
          <w:sz w:val="20"/>
          <w:szCs w:val="20"/>
        </w:rPr>
        <w:t>入银行取得的利息收入或进行暂时性投资取得</w:t>
      </w:r>
      <w:r>
        <w:rPr>
          <w:rFonts w:ascii="宋体" w:eastAsia="宋体" w:hAnsi="宋体" w:cs="宋体"/>
          <w:spacing w:val="7"/>
          <w:sz w:val="20"/>
          <w:szCs w:val="20"/>
        </w:rPr>
        <w:t>的投资收益后的金额，确定应予资本化的利息</w:t>
      </w:r>
      <w:r>
        <w:rPr>
          <w:rFonts w:ascii="宋体" w:eastAsia="宋体" w:hAnsi="宋体" w:cs="宋体"/>
          <w:sz w:val="20"/>
          <w:szCs w:val="20"/>
        </w:rPr>
        <w:t xml:space="preserve"> </w:t>
      </w:r>
      <w:r>
        <w:rPr>
          <w:rFonts w:ascii="宋体" w:eastAsia="宋体" w:hAnsi="宋体" w:cs="宋体"/>
          <w:spacing w:val="8"/>
          <w:sz w:val="20"/>
          <w:szCs w:val="20"/>
        </w:rPr>
        <w:t>金额；为购建或者生产符合资本化条件的资产占用了</w:t>
      </w:r>
      <w:r>
        <w:rPr>
          <w:rFonts w:ascii="宋体" w:eastAsia="宋体" w:hAnsi="宋体" w:cs="宋体"/>
          <w:spacing w:val="7"/>
          <w:sz w:val="20"/>
          <w:szCs w:val="20"/>
        </w:rPr>
        <w:t>一般借款的，根据累计资产支出超过专</w:t>
      </w:r>
      <w:r>
        <w:rPr>
          <w:rFonts w:ascii="宋体" w:eastAsia="宋体" w:hAnsi="宋体" w:cs="宋体"/>
          <w:sz w:val="20"/>
          <w:szCs w:val="20"/>
        </w:rPr>
        <w:t xml:space="preserve"> </w:t>
      </w:r>
      <w:r>
        <w:rPr>
          <w:rFonts w:ascii="宋体" w:eastAsia="宋体" w:hAnsi="宋体" w:cs="宋体"/>
          <w:spacing w:val="8"/>
          <w:sz w:val="20"/>
          <w:szCs w:val="20"/>
        </w:rPr>
        <w:t>门借款的资产支出加权平均数乘以占用一般借款的</w:t>
      </w:r>
      <w:r>
        <w:rPr>
          <w:rFonts w:ascii="宋体" w:eastAsia="宋体" w:hAnsi="宋体" w:cs="宋体"/>
          <w:spacing w:val="7"/>
          <w:sz w:val="20"/>
          <w:szCs w:val="20"/>
        </w:rPr>
        <w:t>资本化率，计算确定一般借款应予资本化</w:t>
      </w:r>
    </w:p>
    <w:p>
      <w:pPr>
        <w:spacing w:line="227" w:lineRule="auto"/>
        <w:ind w:left="132"/>
        <w:rPr>
          <w:rFonts w:ascii="宋体" w:eastAsia="宋体" w:hAnsi="宋体" w:cs="宋体"/>
          <w:sz w:val="20"/>
          <w:szCs w:val="20"/>
        </w:rPr>
      </w:pPr>
      <w:r>
        <w:rPr>
          <w:rFonts w:ascii="宋体" w:eastAsia="宋体" w:hAnsi="宋体" w:cs="宋体"/>
          <w:spacing w:val="3"/>
          <w:sz w:val="20"/>
          <w:szCs w:val="20"/>
        </w:rPr>
        <w:t>的利息金额。</w:t>
      </w:r>
    </w:p>
    <w:p>
      <w:pPr>
        <w:spacing w:before="221" w:line="228" w:lineRule="auto"/>
        <w:ind w:left="572"/>
        <w:outlineLvl w:val="1"/>
        <w:rPr>
          <w:rFonts w:ascii="宋体" w:eastAsia="宋体" w:hAnsi="宋体" w:cs="宋体"/>
          <w:sz w:val="20"/>
          <w:szCs w:val="20"/>
        </w:rPr>
      </w:pPr>
      <w:r>
        <w:rPr>
          <w:rFonts w:ascii="宋体" w:eastAsia="宋体" w:hAnsi="宋体" w:cs="宋体"/>
          <w:spacing w:val="1"/>
          <w:sz w:val="20"/>
          <w:szCs w:val="20"/>
        </w:rPr>
        <w:t>(十六)</w:t>
      </w:r>
      <w:r>
        <w:rPr>
          <w:rFonts w:ascii="宋体" w:eastAsia="宋体" w:hAnsi="宋体" w:cs="宋体"/>
          <w:spacing w:val="18"/>
          <w:sz w:val="20"/>
          <w:szCs w:val="20"/>
        </w:rPr>
        <w:t xml:space="preserve"> </w:t>
      </w:r>
      <w:r>
        <w:rPr>
          <w:rFonts w:ascii="宋体" w:eastAsia="宋体" w:hAnsi="宋体" w:cs="宋体"/>
          <w:spacing w:val="1"/>
          <w:sz w:val="20"/>
          <w:szCs w:val="20"/>
        </w:rPr>
        <w:t>无形资产</w:t>
      </w:r>
    </w:p>
    <w:p>
      <w:pPr>
        <w:spacing w:before="222" w:line="227" w:lineRule="auto"/>
        <w:ind w:left="551"/>
        <w:rPr>
          <w:rFonts w:ascii="宋体" w:eastAsia="宋体" w:hAnsi="宋体" w:cs="宋体"/>
          <w:sz w:val="20"/>
          <w:szCs w:val="20"/>
        </w:rPr>
      </w:pPr>
      <w:r>
        <w:rPr>
          <w:rFonts w:ascii="宋体" w:eastAsia="宋体" w:hAnsi="宋体" w:cs="宋体"/>
          <w:spacing w:val="8"/>
          <w:sz w:val="20"/>
          <w:szCs w:val="20"/>
        </w:rPr>
        <w:t>1. 无形资产包括办公软件等，按成本进行初始计</w:t>
      </w:r>
      <w:r>
        <w:rPr>
          <w:rFonts w:ascii="宋体" w:eastAsia="宋体" w:hAnsi="宋体" w:cs="宋体"/>
          <w:spacing w:val="7"/>
          <w:sz w:val="20"/>
          <w:szCs w:val="20"/>
        </w:rPr>
        <w:t>量。</w:t>
      </w:r>
    </w:p>
    <w:p>
      <w:pPr>
        <w:spacing w:before="222" w:line="432" w:lineRule="auto"/>
        <w:ind w:left="118" w:right="1537" w:firstLine="420"/>
        <w:rPr>
          <w:rFonts w:ascii="宋体" w:eastAsia="宋体" w:hAnsi="宋体" w:cs="宋体"/>
          <w:sz w:val="20"/>
          <w:szCs w:val="20"/>
        </w:rPr>
      </w:pPr>
      <w:r>
        <w:rPr>
          <w:rFonts w:ascii="宋体" w:eastAsia="宋体" w:hAnsi="宋体" w:cs="宋体"/>
          <w:spacing w:val="10"/>
          <w:sz w:val="20"/>
          <w:szCs w:val="20"/>
        </w:rPr>
        <w:t>2. 使用寿命有限的无形资产，在使用寿命内按照与该项</w:t>
      </w:r>
      <w:r>
        <w:rPr>
          <w:rFonts w:ascii="宋体" w:eastAsia="宋体" w:hAnsi="宋体" w:cs="宋体"/>
          <w:spacing w:val="9"/>
          <w:sz w:val="20"/>
          <w:szCs w:val="20"/>
        </w:rPr>
        <w:t>无形资产有关的经济利益的预</w:t>
      </w:r>
      <w:r>
        <w:rPr>
          <w:rFonts w:ascii="宋体" w:eastAsia="宋体" w:hAnsi="宋体" w:cs="宋体"/>
          <w:sz w:val="20"/>
          <w:szCs w:val="20"/>
        </w:rPr>
        <w:t xml:space="preserve"> </w:t>
      </w:r>
      <w:r>
        <w:rPr>
          <w:rFonts w:ascii="宋体" w:eastAsia="宋体" w:hAnsi="宋体" w:cs="宋体"/>
          <w:spacing w:val="8"/>
          <w:sz w:val="20"/>
          <w:szCs w:val="20"/>
        </w:rPr>
        <w:t>期实现方式系统合理地摊销，无法可靠确定</w:t>
      </w:r>
      <w:r>
        <w:rPr>
          <w:rFonts w:ascii="宋体" w:eastAsia="宋体" w:hAnsi="宋体" w:cs="宋体"/>
          <w:spacing w:val="7"/>
          <w:sz w:val="20"/>
          <w:szCs w:val="20"/>
        </w:rPr>
        <w:t>预期实现方式的，采用直线法摊销。具体年限如</w:t>
      </w:r>
    </w:p>
    <w:p>
      <w:pPr>
        <w:spacing w:line="229" w:lineRule="auto"/>
        <w:ind w:left="122"/>
        <w:rPr>
          <w:rFonts w:ascii="宋体" w:eastAsia="宋体" w:hAnsi="宋体" w:cs="宋体"/>
          <w:sz w:val="20"/>
          <w:szCs w:val="20"/>
        </w:rPr>
      </w:pPr>
      <w:r>
        <w:rPr>
          <w:rFonts w:ascii="宋体" w:eastAsia="宋体" w:hAnsi="宋体" w:cs="宋体"/>
          <w:spacing w:val="-3"/>
          <w:sz w:val="20"/>
          <w:szCs w:val="20"/>
        </w:rPr>
        <w:t>下：</w:t>
      </w:r>
    </w:p>
    <w:p>
      <w:pPr>
        <w:spacing w:line="91" w:lineRule="exact"/>
      </w:pPr>
    </w:p>
    <w:tbl>
      <w:tblPr>
        <w:tblStyle w:val="TableNormal03"/>
        <w:tblW w:w="8525"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6055"/>
        <w:gridCol w:w="2470"/>
      </w:tblGrid>
      <w:tr>
        <w:tblPrEx>
          <w:tblW w:w="8525"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461"/>
        </w:trPr>
        <w:tc>
          <w:tcPr>
            <w:tcW w:w="6055" w:type="dxa"/>
            <w:tcBorders>
              <w:left w:val="nil"/>
            </w:tcBorders>
            <w:vAlign w:val="top"/>
          </w:tcPr>
          <w:p>
            <w:pPr>
              <w:pStyle w:val="TableText"/>
              <w:spacing w:before="128" w:line="228" w:lineRule="auto"/>
              <w:ind w:left="330"/>
            </w:pPr>
            <w:r>
              <w:rPr>
                <w:spacing w:val="-2"/>
              </w:rPr>
              <w:t>项</w:t>
            </w:r>
            <w:r>
              <w:rPr>
                <w:spacing w:val="29"/>
              </w:rPr>
              <w:t xml:space="preserve">  </w:t>
            </w:r>
            <w:r>
              <w:rPr>
                <w:spacing w:val="-2"/>
              </w:rPr>
              <w:t>目</w:t>
            </w:r>
          </w:p>
        </w:tc>
        <w:tc>
          <w:tcPr>
            <w:tcW w:w="2470" w:type="dxa"/>
            <w:tcBorders>
              <w:right w:val="nil"/>
            </w:tcBorders>
            <w:vAlign w:val="top"/>
          </w:tcPr>
          <w:p>
            <w:pPr>
              <w:pStyle w:val="TableText"/>
              <w:spacing w:before="128" w:line="228" w:lineRule="auto"/>
              <w:ind w:left="506"/>
            </w:pPr>
            <w:r>
              <w:rPr>
                <w:spacing w:val="7"/>
              </w:rPr>
              <w:t>摊销年限（年）</w:t>
            </w:r>
          </w:p>
        </w:tc>
      </w:tr>
      <w:tr>
        <w:tblPrEx>
          <w:tblW w:w="8525" w:type="dxa"/>
          <w:tblInd w:w="0" w:type="dxa"/>
          <w:tblLayout w:type="fixed"/>
          <w:tblCellMar>
            <w:top w:w="0" w:type="dxa"/>
            <w:left w:w="0" w:type="dxa"/>
            <w:bottom w:w="0" w:type="dxa"/>
            <w:right w:w="0" w:type="dxa"/>
          </w:tblCellMar>
        </w:tblPrEx>
        <w:trPr>
          <w:trHeight w:val="461"/>
        </w:trPr>
        <w:tc>
          <w:tcPr>
            <w:tcW w:w="6055" w:type="dxa"/>
            <w:tcBorders>
              <w:left w:val="nil"/>
            </w:tcBorders>
            <w:vAlign w:val="top"/>
          </w:tcPr>
          <w:p>
            <w:pPr>
              <w:pStyle w:val="TableText"/>
              <w:spacing w:before="125" w:line="228" w:lineRule="auto"/>
              <w:ind w:left="119"/>
            </w:pPr>
            <w:r>
              <w:rPr>
                <w:spacing w:val="6"/>
              </w:rPr>
              <w:t>办公软件</w:t>
            </w:r>
          </w:p>
        </w:tc>
        <w:tc>
          <w:tcPr>
            <w:tcW w:w="2470" w:type="dxa"/>
            <w:tcBorders>
              <w:right w:val="nil"/>
            </w:tcBorders>
            <w:vAlign w:val="top"/>
          </w:tcPr>
          <w:p>
            <w:pPr>
              <w:pStyle w:val="TableText"/>
              <w:spacing w:before="157" w:line="190" w:lineRule="auto"/>
              <w:ind w:left="2173"/>
            </w:pPr>
            <w:r>
              <w:rPr>
                <w:spacing w:val="-7"/>
              </w:rPr>
              <w:t>10</w:t>
            </w:r>
          </w:p>
        </w:tc>
      </w:tr>
    </w:tbl>
    <w:p>
      <w:pPr>
        <w:spacing w:before="130" w:line="432" w:lineRule="auto"/>
        <w:ind w:left="114" w:right="1537" w:firstLine="425"/>
        <w:jc w:val="both"/>
        <w:rPr>
          <w:rFonts w:ascii="宋体" w:eastAsia="宋体" w:hAnsi="宋体" w:cs="宋体"/>
          <w:sz w:val="20"/>
          <w:szCs w:val="20"/>
        </w:rPr>
      </w:pPr>
      <w:r>
        <w:rPr>
          <w:rFonts w:ascii="宋体" w:eastAsia="宋体" w:hAnsi="宋体" w:cs="宋体"/>
          <w:spacing w:val="8"/>
          <w:sz w:val="20"/>
          <w:szCs w:val="20"/>
        </w:rPr>
        <w:t>3.</w:t>
      </w:r>
      <w:r>
        <w:rPr>
          <w:rFonts w:ascii="宋体" w:eastAsia="宋体" w:hAnsi="宋体" w:cs="宋体"/>
          <w:spacing w:val="40"/>
          <w:sz w:val="20"/>
          <w:szCs w:val="20"/>
        </w:rPr>
        <w:t xml:space="preserve"> </w:t>
      </w:r>
      <w:r>
        <w:rPr>
          <w:rFonts w:ascii="宋体" w:eastAsia="宋体" w:hAnsi="宋体" w:cs="宋体"/>
          <w:spacing w:val="8"/>
          <w:sz w:val="20"/>
          <w:szCs w:val="20"/>
        </w:rPr>
        <w:t>内部研究开发项目研究阶段的支出，于发生时计入当期损</w:t>
      </w:r>
      <w:r>
        <w:rPr>
          <w:rFonts w:ascii="宋体" w:eastAsia="宋体" w:hAnsi="宋体" w:cs="宋体"/>
          <w:spacing w:val="7"/>
          <w:sz w:val="20"/>
          <w:szCs w:val="20"/>
        </w:rPr>
        <w:t>益。</w:t>
      </w:r>
      <w:r>
        <w:rPr>
          <w:rFonts w:ascii="宋体" w:eastAsia="宋体" w:hAnsi="宋体" w:cs="宋体"/>
          <w:spacing w:val="-58"/>
          <w:sz w:val="20"/>
          <w:szCs w:val="20"/>
        </w:rPr>
        <w:t xml:space="preserve"> </w:t>
      </w:r>
      <w:r>
        <w:rPr>
          <w:rFonts w:ascii="宋体" w:eastAsia="宋体" w:hAnsi="宋体" w:cs="宋体"/>
          <w:spacing w:val="7"/>
          <w:sz w:val="20"/>
          <w:szCs w:val="20"/>
        </w:rPr>
        <w:t>内部研究开发项目开</w:t>
      </w:r>
      <w:r>
        <w:rPr>
          <w:rFonts w:ascii="宋体" w:eastAsia="宋体" w:hAnsi="宋体" w:cs="宋体"/>
          <w:sz w:val="20"/>
          <w:szCs w:val="20"/>
        </w:rPr>
        <w:t xml:space="preserve"> </w:t>
      </w:r>
      <w:r>
        <w:rPr>
          <w:rFonts w:ascii="宋体" w:eastAsia="宋体" w:hAnsi="宋体" w:cs="宋体"/>
          <w:spacing w:val="7"/>
          <w:sz w:val="20"/>
          <w:szCs w:val="20"/>
        </w:rPr>
        <w:t>发阶段的支出，同时满足下列条件的，确认为无形资产：(1) 完成该无形资产以使其能够使</w:t>
      </w:r>
      <w:r>
        <w:rPr>
          <w:rFonts w:ascii="宋体" w:eastAsia="宋体" w:hAnsi="宋体" w:cs="宋体"/>
          <w:spacing w:val="8"/>
          <w:sz w:val="20"/>
          <w:szCs w:val="20"/>
        </w:rPr>
        <w:t xml:space="preserve"> </w:t>
      </w:r>
      <w:r>
        <w:rPr>
          <w:rFonts w:ascii="宋体" w:eastAsia="宋体" w:hAnsi="宋体" w:cs="宋体"/>
          <w:spacing w:val="7"/>
          <w:sz w:val="20"/>
          <w:szCs w:val="20"/>
        </w:rPr>
        <w:t>用或出售在技术上具有可行性；(2) 具有完成该无形资产并使用或出售的意图；(3</w:t>
      </w:r>
      <w:r>
        <w:rPr>
          <w:rFonts w:ascii="宋体" w:eastAsia="宋体" w:hAnsi="宋体" w:cs="宋体"/>
          <w:spacing w:val="6"/>
          <w:sz w:val="20"/>
          <w:szCs w:val="20"/>
        </w:rPr>
        <w:t>) 无形资</w:t>
      </w:r>
      <w:r>
        <w:rPr>
          <w:rFonts w:ascii="宋体" w:eastAsia="宋体" w:hAnsi="宋体" w:cs="宋体"/>
          <w:sz w:val="20"/>
          <w:szCs w:val="20"/>
        </w:rPr>
        <w:t xml:space="preserve"> </w:t>
      </w:r>
      <w:r>
        <w:rPr>
          <w:rFonts w:ascii="宋体" w:eastAsia="宋体" w:hAnsi="宋体" w:cs="宋体"/>
          <w:spacing w:val="8"/>
          <w:sz w:val="20"/>
          <w:szCs w:val="20"/>
        </w:rPr>
        <w:t>产产生经济利益的方式，包括能够证明运用该无形</w:t>
      </w:r>
      <w:r>
        <w:rPr>
          <w:rFonts w:ascii="宋体" w:eastAsia="宋体" w:hAnsi="宋体" w:cs="宋体"/>
          <w:spacing w:val="7"/>
          <w:sz w:val="20"/>
          <w:szCs w:val="20"/>
        </w:rPr>
        <w:t>资产生产的产品存在市场或无形资产自身</w:t>
      </w:r>
      <w:r>
        <w:rPr>
          <w:rFonts w:ascii="宋体" w:eastAsia="宋体" w:hAnsi="宋体" w:cs="宋体"/>
          <w:sz w:val="20"/>
          <w:szCs w:val="20"/>
        </w:rPr>
        <w:t xml:space="preserve"> </w:t>
      </w:r>
      <w:r>
        <w:rPr>
          <w:rFonts w:ascii="宋体" w:eastAsia="宋体" w:hAnsi="宋体" w:cs="宋体"/>
          <w:spacing w:val="7"/>
          <w:sz w:val="20"/>
          <w:szCs w:val="20"/>
        </w:rPr>
        <w:t>存在市场，无形资产将在内部使用的，能证明其有用性；(4) 有足够的技术、财务资源和其</w:t>
      </w:r>
      <w:r>
        <w:rPr>
          <w:rFonts w:ascii="宋体" w:eastAsia="宋体" w:hAnsi="宋体" w:cs="宋体"/>
          <w:spacing w:val="6"/>
          <w:sz w:val="20"/>
          <w:szCs w:val="20"/>
        </w:rPr>
        <w:t xml:space="preserve"> </w:t>
      </w:r>
      <w:r>
        <w:rPr>
          <w:rFonts w:ascii="宋体" w:eastAsia="宋体" w:hAnsi="宋体" w:cs="宋体"/>
          <w:spacing w:val="7"/>
          <w:sz w:val="20"/>
          <w:szCs w:val="20"/>
        </w:rPr>
        <w:t>他资源支持，以完成该无形资产的开发，并有能力使用或出售该无形资产；(5) 归属于该无</w:t>
      </w:r>
    </w:p>
    <w:p>
      <w:pPr>
        <w:spacing w:line="227" w:lineRule="auto"/>
        <w:ind w:left="118"/>
        <w:rPr>
          <w:rFonts w:ascii="宋体" w:eastAsia="宋体" w:hAnsi="宋体" w:cs="宋体"/>
          <w:sz w:val="20"/>
          <w:szCs w:val="20"/>
        </w:rPr>
      </w:pPr>
      <w:r>
        <w:rPr>
          <w:rFonts w:ascii="宋体" w:eastAsia="宋体" w:hAnsi="宋体" w:cs="宋体"/>
          <w:spacing w:val="8"/>
          <w:sz w:val="20"/>
          <w:szCs w:val="20"/>
        </w:rPr>
        <w:t>形资产开发阶段的支出能够可靠地计量。</w:t>
      </w:r>
    </w:p>
    <w:p>
      <w:pPr>
        <w:spacing w:before="221" w:line="228" w:lineRule="auto"/>
        <w:ind w:left="572"/>
        <w:outlineLvl w:val="1"/>
        <w:rPr>
          <w:rFonts w:ascii="宋体" w:eastAsia="宋体" w:hAnsi="宋体" w:cs="宋体"/>
          <w:sz w:val="20"/>
          <w:szCs w:val="20"/>
        </w:rPr>
      </w:pPr>
      <w:r>
        <w:rPr>
          <w:rFonts w:ascii="宋体" w:eastAsia="宋体" w:hAnsi="宋体" w:cs="宋体"/>
          <w:spacing w:val="5"/>
          <w:sz w:val="20"/>
          <w:szCs w:val="20"/>
        </w:rPr>
        <w:t>(十七) 部分长期资产减值</w:t>
      </w:r>
    </w:p>
    <w:p>
      <w:pPr>
        <w:spacing w:before="222" w:line="432" w:lineRule="auto"/>
        <w:ind w:left="124" w:right="1537" w:firstLine="410"/>
        <w:jc w:val="both"/>
        <w:rPr>
          <w:rFonts w:ascii="宋体" w:eastAsia="宋体" w:hAnsi="宋体" w:cs="宋体"/>
          <w:sz w:val="20"/>
          <w:szCs w:val="20"/>
        </w:rPr>
      </w:pPr>
      <w:r>
        <w:rPr>
          <w:rFonts w:ascii="宋体" w:eastAsia="宋体" w:hAnsi="宋体" w:cs="宋体"/>
          <w:spacing w:val="7"/>
          <w:sz w:val="20"/>
          <w:szCs w:val="20"/>
        </w:rPr>
        <w:t>对长期股权投资、固定资产、在建工程、使用权资产、使用寿命有限的无形资产等长期</w:t>
      </w:r>
      <w:r>
        <w:rPr>
          <w:rFonts w:ascii="宋体" w:eastAsia="宋体" w:hAnsi="宋体" w:cs="宋体"/>
          <w:spacing w:val="17"/>
          <w:sz w:val="20"/>
          <w:szCs w:val="20"/>
        </w:rPr>
        <w:t xml:space="preserve"> </w:t>
      </w:r>
      <w:r>
        <w:rPr>
          <w:rFonts w:ascii="宋体" w:eastAsia="宋体" w:hAnsi="宋体" w:cs="宋体"/>
          <w:spacing w:val="7"/>
          <w:sz w:val="20"/>
          <w:szCs w:val="20"/>
        </w:rPr>
        <w:t>资产，在资产负债表日有迹象表明发生减值的，估计其可收回金额。对因企业合并所形成的</w:t>
      </w:r>
    </w:p>
    <w:p>
      <w:pPr>
        <w:spacing w:before="1" w:line="226" w:lineRule="auto"/>
        <w:ind w:left="119"/>
        <w:rPr>
          <w:rFonts w:ascii="宋体" w:eastAsia="宋体" w:hAnsi="宋体" w:cs="宋体"/>
          <w:sz w:val="20"/>
          <w:szCs w:val="20"/>
        </w:rPr>
      </w:pPr>
      <w:r>
        <w:rPr>
          <w:rFonts w:ascii="宋体" w:eastAsia="宋体" w:hAnsi="宋体" w:cs="宋体"/>
          <w:spacing w:val="7"/>
          <w:sz w:val="20"/>
          <w:szCs w:val="20"/>
        </w:rPr>
        <w:t>商誉和使用寿命不确定的无形资产，无论是否存在减值迹象，每年都进行减值测试。商誉结</w:t>
      </w:r>
    </w:p>
    <w:p>
      <w:pPr>
        <w:spacing w:before="252" w:line="219" w:lineRule="auto"/>
        <w:ind w:left="3505"/>
        <w:rPr>
          <w:rFonts w:ascii="宋体" w:eastAsia="宋体" w:hAnsi="宋体" w:cs="宋体"/>
          <w:sz w:val="18"/>
          <w:szCs w:val="18"/>
        </w:rPr>
      </w:pPr>
      <w:r>
        <w:rPr>
          <w:rFonts w:ascii="宋体" w:eastAsia="宋体" w:hAnsi="宋体" w:cs="宋体"/>
          <w:spacing w:val="-5"/>
          <w:sz w:val="18"/>
          <w:szCs w:val="18"/>
        </w:rPr>
        <w:t>第</w:t>
      </w:r>
      <w:r>
        <w:rPr>
          <w:rFonts w:ascii="宋体" w:eastAsia="宋体" w:hAnsi="宋体" w:cs="宋体"/>
          <w:spacing w:val="14"/>
          <w:sz w:val="18"/>
          <w:szCs w:val="18"/>
        </w:rPr>
        <w:t xml:space="preserve"> </w:t>
      </w:r>
      <w:r>
        <w:rPr>
          <w:rFonts w:ascii="宋体" w:eastAsia="宋体" w:hAnsi="宋体" w:cs="宋体"/>
          <w:spacing w:val="-5"/>
          <w:sz w:val="18"/>
          <w:szCs w:val="18"/>
        </w:rPr>
        <w:t>23</w:t>
      </w:r>
      <w:r>
        <w:rPr>
          <w:rFonts w:ascii="宋体" w:eastAsia="宋体" w:hAnsi="宋体" w:cs="宋体"/>
          <w:spacing w:val="12"/>
          <w:sz w:val="18"/>
          <w:szCs w:val="18"/>
        </w:rPr>
        <w:t xml:space="preserve"> </w:t>
      </w:r>
      <w:r>
        <w:rPr>
          <w:rFonts w:ascii="宋体" w:eastAsia="宋体" w:hAnsi="宋体" w:cs="宋体"/>
          <w:spacing w:val="-5"/>
          <w:sz w:val="18"/>
          <w:szCs w:val="18"/>
        </w:rPr>
        <w:t>页 共</w:t>
      </w:r>
      <w:r>
        <w:rPr>
          <w:rFonts w:ascii="宋体" w:eastAsia="宋体" w:hAnsi="宋体" w:cs="宋体"/>
          <w:spacing w:val="12"/>
          <w:sz w:val="18"/>
          <w:szCs w:val="18"/>
        </w:rPr>
        <w:t xml:space="preserve"> </w:t>
      </w:r>
      <w:r>
        <w:rPr>
          <w:rFonts w:ascii="宋体" w:eastAsia="宋体" w:hAnsi="宋体" w:cs="宋体"/>
          <w:spacing w:val="-5"/>
          <w:sz w:val="18"/>
          <w:szCs w:val="18"/>
        </w:rPr>
        <w:t>59</w:t>
      </w:r>
      <w:r>
        <w:rPr>
          <w:rFonts w:ascii="宋体" w:eastAsia="宋体" w:hAnsi="宋体" w:cs="宋体"/>
          <w:spacing w:val="9"/>
          <w:sz w:val="18"/>
          <w:szCs w:val="18"/>
        </w:rPr>
        <w:t xml:space="preserve"> </w:t>
      </w:r>
      <w:r>
        <w:rPr>
          <w:rFonts w:ascii="宋体" w:eastAsia="宋体" w:hAnsi="宋体" w:cs="宋体"/>
          <w:spacing w:val="-5"/>
          <w:sz w:val="18"/>
          <w:szCs w:val="18"/>
        </w:rPr>
        <w:t>页</w:t>
      </w:r>
    </w:p>
    <w:p>
      <w:pPr>
        <w:spacing w:line="219" w:lineRule="auto"/>
        <w:rPr>
          <w:rFonts w:ascii="宋体" w:eastAsia="宋体" w:hAnsi="宋体" w:cs="宋体"/>
          <w:sz w:val="18"/>
          <w:szCs w:val="18"/>
        </w:rPr>
        <w:sectPr>
          <w:headerReference w:type="default" r:id="rId55"/>
          <w:footerReference w:type="default" r:id="rId56"/>
          <w:pgSz w:w="11906" w:h="16839"/>
          <w:pgMar w:top="400" w:right="259" w:bottom="400" w:left="1690" w:header="0" w:footer="0" w:gutter="0"/>
          <w:pgNumType w:start="24"/>
          <w:cols w:num="1" w:space="720"/>
        </w:sectPr>
      </w:pPr>
    </w:p>
    <w:p>
      <w:pPr>
        <w:spacing w:line="274" w:lineRule="auto"/>
      </w:pPr>
    </w:p>
    <w:p>
      <w:pPr>
        <w:spacing w:line="274" w:lineRule="auto"/>
      </w:pPr>
    </w:p>
    <w:p>
      <w:pPr>
        <w:spacing w:line="274" w:lineRule="auto"/>
      </w:pPr>
    </w:p>
    <w:p>
      <w:pPr>
        <w:spacing w:line="274" w:lineRule="auto"/>
      </w:pPr>
    </w:p>
    <w:p>
      <w:pPr>
        <w:spacing w:before="65" w:line="228" w:lineRule="auto"/>
        <w:ind w:left="20"/>
        <w:rPr>
          <w:rFonts w:ascii="宋体" w:eastAsia="宋体" w:hAnsi="宋体" w:cs="宋体"/>
          <w:sz w:val="20"/>
          <w:szCs w:val="20"/>
        </w:rPr>
      </w:pPr>
      <w:r>
        <w:rPr>
          <w:rFonts w:ascii="宋体" w:eastAsia="宋体" w:hAnsi="宋体" w:cs="宋体"/>
          <w:spacing w:val="9"/>
          <w:sz w:val="20"/>
          <w:szCs w:val="20"/>
        </w:rPr>
        <w:t>合与其相关的资产组或者资产组组合进行减值测试。</w:t>
      </w:r>
    </w:p>
    <w:p>
      <w:pPr>
        <w:spacing w:before="183" w:line="391" w:lineRule="exact"/>
        <w:ind w:left="440"/>
        <w:rPr>
          <w:rFonts w:ascii="宋体" w:eastAsia="宋体" w:hAnsi="宋体" w:cs="宋体"/>
          <w:sz w:val="20"/>
          <w:szCs w:val="20"/>
        </w:rPr>
      </w:pPr>
      <w:r>
        <w:rPr>
          <w:rFonts w:ascii="宋体" w:eastAsia="宋体" w:hAnsi="宋体" w:cs="宋体"/>
          <w:spacing w:val="7"/>
          <w:position w:val="14"/>
          <w:sz w:val="20"/>
          <w:szCs w:val="20"/>
        </w:rPr>
        <w:t>若上述长期资产的可收回金额低于其账面价值的，按其差额确认资产减值准备并计入当</w:t>
      </w:r>
    </w:p>
    <w:p>
      <w:pPr>
        <w:spacing w:line="228" w:lineRule="auto"/>
        <w:ind w:left="22"/>
        <w:rPr>
          <w:rFonts w:ascii="宋体" w:eastAsia="宋体" w:hAnsi="宋体" w:cs="宋体"/>
          <w:sz w:val="20"/>
          <w:szCs w:val="20"/>
        </w:rPr>
      </w:pPr>
      <w:r>
        <w:rPr>
          <w:rFonts w:ascii="宋体" w:eastAsia="宋体" w:hAnsi="宋体" w:cs="宋体"/>
          <w:spacing w:val="4"/>
          <w:sz w:val="20"/>
          <w:szCs w:val="20"/>
        </w:rPr>
        <w:t>期损益。</w:t>
      </w:r>
    </w:p>
    <w:p>
      <w:pPr>
        <w:spacing w:before="299" w:line="228" w:lineRule="auto"/>
        <w:ind w:left="476"/>
        <w:outlineLvl w:val="1"/>
        <w:rPr>
          <w:rFonts w:ascii="宋体" w:eastAsia="宋体" w:hAnsi="宋体" w:cs="宋体"/>
          <w:sz w:val="20"/>
          <w:szCs w:val="20"/>
        </w:rPr>
      </w:pPr>
      <w:r>
        <w:rPr>
          <w:rFonts w:ascii="宋体" w:eastAsia="宋体" w:hAnsi="宋体" w:cs="宋体"/>
          <w:spacing w:val="4"/>
          <w:sz w:val="20"/>
          <w:szCs w:val="20"/>
        </w:rPr>
        <w:t>(十八) 长期待摊费用</w:t>
      </w:r>
    </w:p>
    <w:p>
      <w:pPr>
        <w:spacing w:before="221" w:line="432" w:lineRule="auto"/>
        <w:ind w:left="31" w:right="1537" w:firstLine="409"/>
        <w:jc w:val="both"/>
        <w:rPr>
          <w:rFonts w:ascii="宋体" w:eastAsia="宋体" w:hAnsi="宋体" w:cs="宋体"/>
          <w:sz w:val="20"/>
          <w:szCs w:val="20"/>
        </w:rPr>
      </w:pPr>
      <w:r>
        <w:rPr>
          <w:rFonts w:ascii="宋体" w:eastAsia="宋体" w:hAnsi="宋体" w:cs="宋体"/>
          <w:spacing w:val="5"/>
          <w:sz w:val="20"/>
          <w:szCs w:val="20"/>
        </w:rPr>
        <w:t>长期待摊费用核算已经支出，摊销期限在</w:t>
      </w:r>
      <w:r>
        <w:rPr>
          <w:rFonts w:ascii="宋体" w:eastAsia="宋体" w:hAnsi="宋体" w:cs="宋体"/>
          <w:spacing w:val="-14"/>
          <w:sz w:val="20"/>
          <w:szCs w:val="20"/>
        </w:rPr>
        <w:t xml:space="preserve"> </w:t>
      </w:r>
      <w:r>
        <w:rPr>
          <w:rFonts w:ascii="宋体" w:eastAsia="宋体" w:hAnsi="宋体" w:cs="宋体"/>
          <w:spacing w:val="5"/>
          <w:sz w:val="20"/>
          <w:szCs w:val="20"/>
        </w:rPr>
        <w:t>1</w:t>
      </w:r>
      <w:r>
        <w:rPr>
          <w:rFonts w:ascii="宋体" w:eastAsia="宋体" w:hAnsi="宋体" w:cs="宋体"/>
          <w:spacing w:val="-37"/>
          <w:sz w:val="20"/>
          <w:szCs w:val="20"/>
        </w:rPr>
        <w:t xml:space="preserve"> </w:t>
      </w:r>
      <w:r>
        <w:rPr>
          <w:rFonts w:ascii="宋体" w:eastAsia="宋体" w:hAnsi="宋体" w:cs="宋体"/>
          <w:spacing w:val="5"/>
          <w:sz w:val="20"/>
          <w:szCs w:val="20"/>
        </w:rPr>
        <w:t>年以上（不含</w:t>
      </w:r>
      <w:r>
        <w:rPr>
          <w:rFonts w:ascii="宋体" w:eastAsia="宋体" w:hAnsi="宋体" w:cs="宋体"/>
          <w:spacing w:val="-21"/>
          <w:sz w:val="20"/>
          <w:szCs w:val="20"/>
        </w:rPr>
        <w:t xml:space="preserve"> </w:t>
      </w:r>
      <w:r>
        <w:rPr>
          <w:rFonts w:ascii="宋体" w:eastAsia="宋体" w:hAnsi="宋体" w:cs="宋体"/>
          <w:spacing w:val="5"/>
          <w:sz w:val="20"/>
          <w:szCs w:val="20"/>
        </w:rPr>
        <w:t>1</w:t>
      </w:r>
      <w:r>
        <w:rPr>
          <w:rFonts w:ascii="宋体" w:eastAsia="宋体" w:hAnsi="宋体" w:cs="宋体"/>
          <w:spacing w:val="-40"/>
          <w:sz w:val="20"/>
          <w:szCs w:val="20"/>
        </w:rPr>
        <w:t xml:space="preserve"> </w:t>
      </w:r>
      <w:r>
        <w:rPr>
          <w:rFonts w:ascii="宋体" w:eastAsia="宋体" w:hAnsi="宋体" w:cs="宋体"/>
          <w:spacing w:val="5"/>
          <w:sz w:val="20"/>
          <w:szCs w:val="20"/>
        </w:rPr>
        <w:t>年）的各项费用。长期待摊</w:t>
      </w:r>
      <w:r>
        <w:rPr>
          <w:rFonts w:ascii="宋体" w:eastAsia="宋体" w:hAnsi="宋体" w:cs="宋体"/>
          <w:sz w:val="20"/>
          <w:szCs w:val="20"/>
        </w:rPr>
        <w:t xml:space="preserve"> </w:t>
      </w:r>
      <w:r>
        <w:rPr>
          <w:rFonts w:ascii="宋体" w:eastAsia="宋体" w:hAnsi="宋体" w:cs="宋体"/>
          <w:spacing w:val="7"/>
          <w:sz w:val="20"/>
          <w:szCs w:val="20"/>
        </w:rPr>
        <w:t>费用按实际发生额入账，在受益期或规定的期限内分期平均摊销。如果长期待摊的费用项目</w:t>
      </w:r>
    </w:p>
    <w:p>
      <w:pPr>
        <w:spacing w:line="226" w:lineRule="auto"/>
        <w:ind w:left="23"/>
        <w:rPr>
          <w:rFonts w:ascii="宋体" w:eastAsia="宋体" w:hAnsi="宋体" w:cs="宋体"/>
          <w:sz w:val="20"/>
          <w:szCs w:val="20"/>
        </w:rPr>
      </w:pPr>
      <w:r>
        <w:rPr>
          <w:rFonts w:ascii="宋体" w:eastAsia="宋体" w:hAnsi="宋体" w:cs="宋体"/>
          <w:spacing w:val="9"/>
          <w:sz w:val="20"/>
          <w:szCs w:val="20"/>
        </w:rPr>
        <w:t>不能使以后会计期间受益则将尚未摊销的该项目的摊余价值全部转入当期损益。</w:t>
      </w:r>
    </w:p>
    <w:p>
      <w:pPr>
        <w:spacing w:before="222" w:line="228" w:lineRule="auto"/>
        <w:ind w:left="476"/>
        <w:outlineLvl w:val="1"/>
        <w:rPr>
          <w:rFonts w:ascii="宋体" w:eastAsia="宋体" w:hAnsi="宋体" w:cs="宋体"/>
          <w:sz w:val="20"/>
          <w:szCs w:val="20"/>
        </w:rPr>
      </w:pPr>
      <w:r>
        <w:rPr>
          <w:rFonts w:ascii="宋体" w:eastAsia="宋体" w:hAnsi="宋体" w:cs="宋体"/>
          <w:spacing w:val="1"/>
          <w:sz w:val="20"/>
          <w:szCs w:val="20"/>
        </w:rPr>
        <w:t>(十九)</w:t>
      </w:r>
      <w:r>
        <w:rPr>
          <w:rFonts w:ascii="宋体" w:eastAsia="宋体" w:hAnsi="宋体" w:cs="宋体"/>
          <w:spacing w:val="18"/>
          <w:sz w:val="20"/>
          <w:szCs w:val="20"/>
        </w:rPr>
        <w:t xml:space="preserve"> </w:t>
      </w:r>
      <w:r>
        <w:rPr>
          <w:rFonts w:ascii="宋体" w:eastAsia="宋体" w:hAnsi="宋体" w:cs="宋体"/>
          <w:spacing w:val="1"/>
          <w:sz w:val="20"/>
          <w:szCs w:val="20"/>
        </w:rPr>
        <w:t>职工薪酬</w:t>
      </w:r>
    </w:p>
    <w:p>
      <w:pPr>
        <w:spacing w:before="222" w:line="468" w:lineRule="exact"/>
        <w:ind w:left="455"/>
        <w:rPr>
          <w:rFonts w:ascii="宋体" w:eastAsia="宋体" w:hAnsi="宋体" w:cs="宋体"/>
          <w:sz w:val="20"/>
          <w:szCs w:val="20"/>
        </w:rPr>
      </w:pPr>
      <w:r>
        <w:rPr>
          <w:rFonts w:ascii="宋体" w:eastAsia="宋体" w:hAnsi="宋体" w:cs="宋体"/>
          <w:spacing w:val="8"/>
          <w:position w:val="20"/>
          <w:sz w:val="20"/>
          <w:szCs w:val="20"/>
        </w:rPr>
        <w:t>1. 职工薪酬包括短期薪酬、离职后福利、辞退福利和其他长期职工福利。</w:t>
      </w:r>
    </w:p>
    <w:p>
      <w:pPr>
        <w:spacing w:before="1" w:line="226" w:lineRule="auto"/>
        <w:ind w:left="442"/>
        <w:rPr>
          <w:rFonts w:ascii="宋体" w:eastAsia="宋体" w:hAnsi="宋体" w:cs="宋体"/>
          <w:sz w:val="20"/>
          <w:szCs w:val="20"/>
        </w:rPr>
      </w:pPr>
      <w:r>
        <w:rPr>
          <w:rFonts w:ascii="宋体" w:eastAsia="宋体" w:hAnsi="宋体" w:cs="宋体"/>
          <w:spacing w:val="8"/>
          <w:sz w:val="20"/>
          <w:szCs w:val="20"/>
        </w:rPr>
        <w:t>2. 短期薪酬的会计处理方法</w:t>
      </w:r>
    </w:p>
    <w:p>
      <w:pPr>
        <w:spacing w:before="222" w:line="468" w:lineRule="exact"/>
        <w:ind w:left="439"/>
        <w:rPr>
          <w:rFonts w:ascii="宋体" w:eastAsia="宋体" w:hAnsi="宋体" w:cs="宋体"/>
          <w:sz w:val="20"/>
          <w:szCs w:val="20"/>
        </w:rPr>
      </w:pPr>
      <w:r>
        <w:rPr>
          <w:rFonts w:ascii="宋体" w:eastAsia="宋体" w:hAnsi="宋体" w:cs="宋体"/>
          <w:spacing w:val="7"/>
          <w:position w:val="20"/>
          <w:sz w:val="20"/>
          <w:szCs w:val="20"/>
        </w:rPr>
        <w:t>在职工为公司提供服务的会计期间，将实际发生的短期薪酬确认为负债，并计入当期损</w:t>
      </w:r>
    </w:p>
    <w:p>
      <w:pPr>
        <w:spacing w:before="1" w:line="226" w:lineRule="auto"/>
        <w:ind w:left="21"/>
        <w:rPr>
          <w:rFonts w:ascii="宋体" w:eastAsia="宋体" w:hAnsi="宋体" w:cs="宋体"/>
          <w:sz w:val="20"/>
          <w:szCs w:val="20"/>
        </w:rPr>
      </w:pPr>
      <w:r>
        <w:rPr>
          <w:rFonts w:ascii="宋体" w:eastAsia="宋体" w:hAnsi="宋体" w:cs="宋体"/>
          <w:spacing w:val="7"/>
          <w:sz w:val="20"/>
          <w:szCs w:val="20"/>
        </w:rPr>
        <w:t>益或相关资产成本。</w:t>
      </w:r>
    </w:p>
    <w:p>
      <w:pPr>
        <w:spacing w:before="222" w:line="227" w:lineRule="auto"/>
        <w:ind w:left="444"/>
        <w:rPr>
          <w:rFonts w:ascii="宋体" w:eastAsia="宋体" w:hAnsi="宋体" w:cs="宋体"/>
          <w:sz w:val="20"/>
          <w:szCs w:val="20"/>
        </w:rPr>
      </w:pPr>
      <w:r>
        <w:rPr>
          <w:rFonts w:ascii="宋体" w:eastAsia="宋体" w:hAnsi="宋体" w:cs="宋体"/>
          <w:spacing w:val="7"/>
          <w:sz w:val="20"/>
          <w:szCs w:val="20"/>
        </w:rPr>
        <w:t>3. 离职后福利的会计处理方法</w:t>
      </w:r>
    </w:p>
    <w:p>
      <w:pPr>
        <w:spacing w:before="222" w:line="228" w:lineRule="auto"/>
        <w:ind w:left="443"/>
        <w:rPr>
          <w:rFonts w:ascii="宋体" w:eastAsia="宋体" w:hAnsi="宋体" w:cs="宋体"/>
          <w:sz w:val="20"/>
          <w:szCs w:val="20"/>
        </w:rPr>
      </w:pPr>
      <w:r>
        <w:rPr>
          <w:rFonts w:ascii="宋体" w:eastAsia="宋体" w:hAnsi="宋体" w:cs="宋体"/>
          <w:spacing w:val="8"/>
          <w:sz w:val="20"/>
          <w:szCs w:val="20"/>
        </w:rPr>
        <w:t>离职后福利分为设定提存计划和设定受益计划。</w:t>
      </w:r>
    </w:p>
    <w:p>
      <w:pPr>
        <w:spacing w:before="221" w:line="468" w:lineRule="exact"/>
        <w:ind w:left="476"/>
        <w:rPr>
          <w:rFonts w:ascii="宋体" w:eastAsia="宋体" w:hAnsi="宋体" w:cs="宋体"/>
          <w:sz w:val="20"/>
          <w:szCs w:val="20"/>
        </w:rPr>
      </w:pPr>
      <w:r>
        <w:rPr>
          <w:rFonts w:ascii="宋体" w:eastAsia="宋体" w:hAnsi="宋体" w:cs="宋体"/>
          <w:spacing w:val="6"/>
          <w:position w:val="20"/>
          <w:sz w:val="20"/>
          <w:szCs w:val="20"/>
        </w:rPr>
        <w:t>(1) 在职工为公司提供服务的会计期间，根据设定提存计划计算的应缴存金额确认为负</w:t>
      </w:r>
    </w:p>
    <w:p>
      <w:pPr>
        <w:spacing w:before="1" w:line="226" w:lineRule="auto"/>
        <w:ind w:left="20"/>
        <w:rPr>
          <w:rFonts w:ascii="宋体" w:eastAsia="宋体" w:hAnsi="宋体" w:cs="宋体"/>
          <w:sz w:val="20"/>
          <w:szCs w:val="20"/>
        </w:rPr>
      </w:pPr>
      <w:r>
        <w:rPr>
          <w:rFonts w:ascii="宋体" w:eastAsia="宋体" w:hAnsi="宋体" w:cs="宋体"/>
          <w:spacing w:val="8"/>
          <w:sz w:val="20"/>
          <w:szCs w:val="20"/>
        </w:rPr>
        <w:t>债，并计入当期损益或相关资产成本。</w:t>
      </w:r>
    </w:p>
    <w:p>
      <w:pPr>
        <w:spacing w:before="222" w:line="227" w:lineRule="auto"/>
        <w:ind w:left="476"/>
        <w:rPr>
          <w:rFonts w:ascii="宋体" w:eastAsia="宋体" w:hAnsi="宋体" w:cs="宋体"/>
          <w:sz w:val="20"/>
          <w:szCs w:val="20"/>
        </w:rPr>
      </w:pPr>
      <w:r>
        <w:rPr>
          <w:rFonts w:ascii="宋体" w:eastAsia="宋体" w:hAnsi="宋体" w:cs="宋体"/>
          <w:spacing w:val="7"/>
          <w:sz w:val="20"/>
          <w:szCs w:val="20"/>
        </w:rPr>
        <w:t>(2) 对设定受益计划的会计处理通常包括下</w:t>
      </w:r>
      <w:r>
        <w:rPr>
          <w:rFonts w:ascii="宋体" w:eastAsia="宋体" w:hAnsi="宋体" w:cs="宋体"/>
          <w:spacing w:val="6"/>
          <w:sz w:val="20"/>
          <w:szCs w:val="20"/>
        </w:rPr>
        <w:t>列步骤：</w:t>
      </w:r>
    </w:p>
    <w:p>
      <w:pPr>
        <w:spacing w:before="222" w:line="432" w:lineRule="auto"/>
        <w:ind w:left="20" w:right="1485" w:firstLine="434"/>
        <w:rPr>
          <w:rFonts w:ascii="宋体" w:eastAsia="宋体" w:hAnsi="宋体" w:cs="宋体"/>
          <w:sz w:val="20"/>
          <w:szCs w:val="20"/>
        </w:rPr>
      </w:pPr>
      <w:r>
        <w:rPr>
          <w:rFonts w:ascii="宋体" w:eastAsia="宋体" w:hAnsi="宋体" w:cs="宋体"/>
          <w:spacing w:val="9"/>
          <w:sz w:val="20"/>
          <w:szCs w:val="20"/>
        </w:rPr>
        <w:t>1) 根据预期累计福利单位法，采用无偏且相互一致的精算假设对有关人口统计变量和</w:t>
      </w:r>
      <w:r>
        <w:rPr>
          <w:rFonts w:ascii="宋体" w:eastAsia="宋体" w:hAnsi="宋体" w:cs="宋体"/>
          <w:spacing w:val="13"/>
          <w:sz w:val="20"/>
          <w:szCs w:val="20"/>
        </w:rPr>
        <w:t xml:space="preserve"> </w:t>
      </w:r>
      <w:r>
        <w:rPr>
          <w:rFonts w:ascii="宋体" w:eastAsia="宋体" w:hAnsi="宋体" w:cs="宋体"/>
          <w:spacing w:val="4"/>
          <w:sz w:val="20"/>
          <w:szCs w:val="20"/>
        </w:rPr>
        <w:t>财务变量等作出估计，计量设定受益计划所产生的义务，并确定相关</w:t>
      </w:r>
      <w:r>
        <w:rPr>
          <w:rFonts w:ascii="宋体" w:eastAsia="宋体" w:hAnsi="宋体" w:cs="宋体"/>
          <w:spacing w:val="3"/>
          <w:sz w:val="20"/>
          <w:szCs w:val="20"/>
        </w:rPr>
        <w:t>义务的所属期间。同时，</w:t>
      </w:r>
    </w:p>
    <w:p>
      <w:pPr>
        <w:spacing w:before="1" w:line="226" w:lineRule="auto"/>
        <w:ind w:left="19"/>
        <w:rPr>
          <w:rFonts w:ascii="宋体" w:eastAsia="宋体" w:hAnsi="宋体" w:cs="宋体"/>
          <w:sz w:val="20"/>
          <w:szCs w:val="20"/>
        </w:rPr>
      </w:pPr>
      <w:r>
        <w:rPr>
          <w:rFonts w:ascii="宋体" w:eastAsia="宋体" w:hAnsi="宋体" w:cs="宋体"/>
          <w:spacing w:val="9"/>
          <w:sz w:val="20"/>
          <w:szCs w:val="20"/>
        </w:rPr>
        <w:t>对设定受益计划所产生的义务予以折现，</w:t>
      </w:r>
      <w:r>
        <w:rPr>
          <w:rFonts w:ascii="宋体" w:eastAsia="宋体" w:hAnsi="宋体" w:cs="宋体"/>
          <w:spacing w:val="-59"/>
          <w:sz w:val="20"/>
          <w:szCs w:val="20"/>
        </w:rPr>
        <w:t xml:space="preserve"> </w:t>
      </w:r>
      <w:r>
        <w:rPr>
          <w:rFonts w:ascii="宋体" w:eastAsia="宋体" w:hAnsi="宋体" w:cs="宋体"/>
          <w:spacing w:val="9"/>
          <w:sz w:val="20"/>
          <w:szCs w:val="20"/>
        </w:rPr>
        <w:t>以</w:t>
      </w:r>
      <w:r>
        <w:rPr>
          <w:rFonts w:ascii="宋体" w:eastAsia="宋体" w:hAnsi="宋体" w:cs="宋体"/>
          <w:spacing w:val="8"/>
          <w:sz w:val="20"/>
          <w:szCs w:val="20"/>
        </w:rPr>
        <w:t>确定设定受益计划义务的现值和当期服务成本；</w:t>
      </w:r>
    </w:p>
    <w:p>
      <w:pPr>
        <w:spacing w:before="222" w:line="432" w:lineRule="auto"/>
        <w:ind w:left="19" w:right="1379" w:firstLine="422"/>
        <w:rPr>
          <w:rFonts w:ascii="宋体" w:eastAsia="宋体" w:hAnsi="宋体" w:cs="宋体"/>
          <w:sz w:val="20"/>
          <w:szCs w:val="20"/>
        </w:rPr>
      </w:pPr>
      <w:r>
        <w:rPr>
          <w:rFonts w:ascii="宋体" w:eastAsia="宋体" w:hAnsi="宋体" w:cs="宋体"/>
          <w:spacing w:val="9"/>
          <w:sz w:val="20"/>
          <w:szCs w:val="20"/>
        </w:rPr>
        <w:t>2) 设定受益计划存在资产的，将设定受益计划义务现值减去设</w:t>
      </w:r>
      <w:r>
        <w:rPr>
          <w:rFonts w:ascii="宋体" w:eastAsia="宋体" w:hAnsi="宋体" w:cs="宋体"/>
          <w:spacing w:val="8"/>
          <w:sz w:val="20"/>
          <w:szCs w:val="20"/>
        </w:rPr>
        <w:t xml:space="preserve">定受益计划资产公允价  </w:t>
      </w:r>
      <w:r>
        <w:rPr>
          <w:rFonts w:ascii="宋体" w:eastAsia="宋体" w:hAnsi="宋体" w:cs="宋体"/>
          <w:spacing w:val="6"/>
          <w:sz w:val="20"/>
          <w:szCs w:val="20"/>
        </w:rPr>
        <w:t>值所形成的赤字或盈余确认为一项设定受益计划净负债或净资产。设定受益计划存在盈余的，</w:t>
      </w:r>
    </w:p>
    <w:p>
      <w:pPr>
        <w:spacing w:before="1" w:line="227" w:lineRule="auto"/>
        <w:ind w:left="43"/>
        <w:rPr>
          <w:rFonts w:ascii="宋体" w:eastAsia="宋体" w:hAnsi="宋体" w:cs="宋体"/>
          <w:sz w:val="20"/>
          <w:szCs w:val="20"/>
        </w:rPr>
      </w:pPr>
      <w:r>
        <w:rPr>
          <w:rFonts w:ascii="宋体" w:eastAsia="宋体" w:hAnsi="宋体" w:cs="宋体"/>
          <w:spacing w:val="9"/>
          <w:sz w:val="20"/>
          <w:szCs w:val="20"/>
        </w:rPr>
        <w:t>以设定受益计划的盈余和资产上限两项的孰低</w:t>
      </w:r>
      <w:r>
        <w:rPr>
          <w:rFonts w:ascii="宋体" w:eastAsia="宋体" w:hAnsi="宋体" w:cs="宋体"/>
          <w:spacing w:val="8"/>
          <w:sz w:val="20"/>
          <w:szCs w:val="20"/>
        </w:rPr>
        <w:t>者计量设定受益计划净资产；</w:t>
      </w:r>
    </w:p>
    <w:p>
      <w:pPr>
        <w:spacing w:before="221" w:line="432" w:lineRule="auto"/>
        <w:ind w:left="19" w:right="1537" w:firstLine="424"/>
        <w:rPr>
          <w:rFonts w:ascii="宋体" w:eastAsia="宋体" w:hAnsi="宋体" w:cs="宋体"/>
          <w:sz w:val="20"/>
          <w:szCs w:val="20"/>
        </w:rPr>
      </w:pPr>
      <w:r>
        <w:rPr>
          <w:rFonts w:ascii="宋体" w:eastAsia="宋体" w:hAnsi="宋体" w:cs="宋体"/>
          <w:spacing w:val="10"/>
          <w:sz w:val="20"/>
          <w:szCs w:val="20"/>
        </w:rPr>
        <w:t>3) 期末，将设定受益计划产生的职工薪酬成本确认</w:t>
      </w:r>
      <w:r>
        <w:rPr>
          <w:rFonts w:ascii="宋体" w:eastAsia="宋体" w:hAnsi="宋体" w:cs="宋体"/>
          <w:spacing w:val="9"/>
          <w:sz w:val="20"/>
          <w:szCs w:val="20"/>
        </w:rPr>
        <w:t>为服务成本、设定受益计划净负债</w:t>
      </w:r>
      <w:r>
        <w:rPr>
          <w:rFonts w:ascii="宋体" w:eastAsia="宋体" w:hAnsi="宋体" w:cs="宋体"/>
          <w:sz w:val="20"/>
          <w:szCs w:val="20"/>
        </w:rPr>
        <w:t xml:space="preserve"> </w:t>
      </w:r>
      <w:r>
        <w:rPr>
          <w:rFonts w:ascii="宋体" w:eastAsia="宋体" w:hAnsi="宋体" w:cs="宋体"/>
          <w:spacing w:val="8"/>
          <w:sz w:val="20"/>
          <w:szCs w:val="20"/>
        </w:rPr>
        <w:t>或净资产的利息净额以及重新计量设定受益计划净</w:t>
      </w:r>
      <w:r>
        <w:rPr>
          <w:rFonts w:ascii="宋体" w:eastAsia="宋体" w:hAnsi="宋体" w:cs="宋体"/>
          <w:spacing w:val="7"/>
          <w:sz w:val="20"/>
          <w:szCs w:val="20"/>
        </w:rPr>
        <w:t>负债或净资产所产生的变动等三部分，其</w:t>
      </w:r>
      <w:r>
        <w:rPr>
          <w:rFonts w:ascii="宋体" w:eastAsia="宋体" w:hAnsi="宋体" w:cs="宋体"/>
          <w:sz w:val="20"/>
          <w:szCs w:val="20"/>
        </w:rPr>
        <w:t xml:space="preserve"> </w:t>
      </w:r>
      <w:r>
        <w:rPr>
          <w:rFonts w:ascii="宋体" w:eastAsia="宋体" w:hAnsi="宋体" w:cs="宋体"/>
          <w:spacing w:val="8"/>
          <w:sz w:val="20"/>
          <w:szCs w:val="20"/>
        </w:rPr>
        <w:t>中服务成本和设定受益计划净负债或净资产</w:t>
      </w:r>
      <w:r>
        <w:rPr>
          <w:rFonts w:ascii="宋体" w:eastAsia="宋体" w:hAnsi="宋体" w:cs="宋体"/>
          <w:spacing w:val="7"/>
          <w:sz w:val="20"/>
          <w:szCs w:val="20"/>
        </w:rPr>
        <w:t>的利息净额计入当期损益或相关资产成本，重新</w:t>
      </w:r>
      <w:r>
        <w:rPr>
          <w:rFonts w:ascii="宋体" w:eastAsia="宋体" w:hAnsi="宋体" w:cs="宋体"/>
          <w:sz w:val="20"/>
          <w:szCs w:val="20"/>
        </w:rPr>
        <w:t xml:space="preserve"> </w:t>
      </w:r>
      <w:r>
        <w:rPr>
          <w:rFonts w:ascii="宋体" w:eastAsia="宋体" w:hAnsi="宋体" w:cs="宋体"/>
          <w:spacing w:val="8"/>
          <w:sz w:val="20"/>
          <w:szCs w:val="20"/>
        </w:rPr>
        <w:t>计量设定受益计划净负债或净资产所产生的</w:t>
      </w:r>
      <w:r>
        <w:rPr>
          <w:rFonts w:ascii="宋体" w:eastAsia="宋体" w:hAnsi="宋体" w:cs="宋体"/>
          <w:spacing w:val="7"/>
          <w:sz w:val="20"/>
          <w:szCs w:val="20"/>
        </w:rPr>
        <w:t>变动计入其他综合收益，并且在后续会计期间不</w:t>
      </w:r>
    </w:p>
    <w:p>
      <w:pPr>
        <w:spacing w:before="1" w:line="227" w:lineRule="auto"/>
        <w:ind w:left="27"/>
        <w:rPr>
          <w:rFonts w:ascii="宋体" w:eastAsia="宋体" w:hAnsi="宋体" w:cs="宋体"/>
          <w:sz w:val="20"/>
          <w:szCs w:val="20"/>
        </w:rPr>
      </w:pPr>
      <w:r>
        <w:rPr>
          <w:rFonts w:ascii="宋体" w:eastAsia="宋体" w:hAnsi="宋体" w:cs="宋体"/>
          <w:spacing w:val="9"/>
          <w:sz w:val="20"/>
          <w:szCs w:val="20"/>
        </w:rPr>
        <w:t>允许转回至损益，但可以在权益范围内转移这些在其他综合收益确认的金额。</w:t>
      </w:r>
    </w:p>
    <w:p>
      <w:pPr>
        <w:spacing w:before="221" w:line="227" w:lineRule="auto"/>
        <w:ind w:left="439"/>
        <w:rPr>
          <w:rFonts w:ascii="宋体" w:eastAsia="宋体" w:hAnsi="宋体" w:cs="宋体"/>
          <w:sz w:val="20"/>
          <w:szCs w:val="20"/>
        </w:rPr>
      </w:pPr>
      <w:r>
        <w:rPr>
          <w:rFonts w:ascii="宋体" w:eastAsia="宋体" w:hAnsi="宋体" w:cs="宋体"/>
          <w:spacing w:val="8"/>
          <w:sz w:val="20"/>
          <w:szCs w:val="20"/>
        </w:rPr>
        <w:t>4. 辞退福利的会计处理方法</w:t>
      </w:r>
    </w:p>
    <w:p>
      <w:pPr>
        <w:spacing w:before="223" w:line="227" w:lineRule="auto"/>
        <w:ind w:left="461"/>
        <w:rPr>
          <w:rFonts w:ascii="宋体" w:eastAsia="宋体" w:hAnsi="宋体" w:cs="宋体"/>
          <w:sz w:val="20"/>
          <w:szCs w:val="20"/>
        </w:rPr>
      </w:pPr>
      <w:r>
        <w:rPr>
          <w:rFonts w:ascii="宋体" w:eastAsia="宋体" w:hAnsi="宋体" w:cs="宋体"/>
          <w:spacing w:val="7"/>
          <w:sz w:val="20"/>
          <w:szCs w:val="20"/>
        </w:rPr>
        <w:t>向职工提供的辞退福利，在下列两者孰早日确认辞退福利产生的职工薪酬</w:t>
      </w:r>
      <w:r>
        <w:rPr>
          <w:rFonts w:ascii="宋体" w:eastAsia="宋体" w:hAnsi="宋体" w:cs="宋体"/>
          <w:spacing w:val="6"/>
          <w:sz w:val="20"/>
          <w:szCs w:val="20"/>
        </w:rPr>
        <w:t>负债，并计入</w:t>
      </w:r>
    </w:p>
    <w:p>
      <w:pPr>
        <w:spacing w:before="290" w:line="219" w:lineRule="auto"/>
        <w:ind w:left="3409"/>
        <w:rPr>
          <w:rFonts w:ascii="宋体" w:eastAsia="宋体" w:hAnsi="宋体" w:cs="宋体"/>
          <w:sz w:val="18"/>
          <w:szCs w:val="18"/>
        </w:rPr>
      </w:pPr>
      <w:r>
        <w:rPr>
          <w:rFonts w:ascii="宋体" w:eastAsia="宋体" w:hAnsi="宋体" w:cs="宋体"/>
          <w:spacing w:val="-5"/>
          <w:sz w:val="18"/>
          <w:szCs w:val="18"/>
        </w:rPr>
        <w:t>第</w:t>
      </w:r>
      <w:r>
        <w:rPr>
          <w:rFonts w:ascii="宋体" w:eastAsia="宋体" w:hAnsi="宋体" w:cs="宋体"/>
          <w:spacing w:val="14"/>
          <w:sz w:val="18"/>
          <w:szCs w:val="18"/>
        </w:rPr>
        <w:t xml:space="preserve"> </w:t>
      </w:r>
      <w:r>
        <w:rPr>
          <w:rFonts w:ascii="宋体" w:eastAsia="宋体" w:hAnsi="宋体" w:cs="宋体"/>
          <w:spacing w:val="-5"/>
          <w:sz w:val="18"/>
          <w:szCs w:val="18"/>
        </w:rPr>
        <w:t>24</w:t>
      </w:r>
      <w:r>
        <w:rPr>
          <w:rFonts w:ascii="宋体" w:eastAsia="宋体" w:hAnsi="宋体" w:cs="宋体"/>
          <w:spacing w:val="12"/>
          <w:sz w:val="18"/>
          <w:szCs w:val="18"/>
        </w:rPr>
        <w:t xml:space="preserve"> </w:t>
      </w:r>
      <w:r>
        <w:rPr>
          <w:rFonts w:ascii="宋体" w:eastAsia="宋体" w:hAnsi="宋体" w:cs="宋体"/>
          <w:spacing w:val="-5"/>
          <w:sz w:val="18"/>
          <w:szCs w:val="18"/>
        </w:rPr>
        <w:t>页 共</w:t>
      </w:r>
      <w:r>
        <w:rPr>
          <w:rFonts w:ascii="宋体" w:eastAsia="宋体" w:hAnsi="宋体" w:cs="宋体"/>
          <w:spacing w:val="12"/>
          <w:sz w:val="18"/>
          <w:szCs w:val="18"/>
        </w:rPr>
        <w:t xml:space="preserve"> </w:t>
      </w:r>
      <w:r>
        <w:rPr>
          <w:rFonts w:ascii="宋体" w:eastAsia="宋体" w:hAnsi="宋体" w:cs="宋体"/>
          <w:spacing w:val="-5"/>
          <w:sz w:val="18"/>
          <w:szCs w:val="18"/>
        </w:rPr>
        <w:t>59</w:t>
      </w:r>
      <w:r>
        <w:rPr>
          <w:rFonts w:ascii="宋体" w:eastAsia="宋体" w:hAnsi="宋体" w:cs="宋体"/>
          <w:spacing w:val="9"/>
          <w:sz w:val="18"/>
          <w:szCs w:val="18"/>
        </w:rPr>
        <w:t xml:space="preserve"> </w:t>
      </w:r>
      <w:r>
        <w:rPr>
          <w:rFonts w:ascii="宋体" w:eastAsia="宋体" w:hAnsi="宋体" w:cs="宋体"/>
          <w:spacing w:val="-5"/>
          <w:sz w:val="18"/>
          <w:szCs w:val="18"/>
        </w:rPr>
        <w:t>页</w:t>
      </w:r>
    </w:p>
    <w:p>
      <w:pPr>
        <w:spacing w:line="219" w:lineRule="auto"/>
        <w:rPr>
          <w:rFonts w:ascii="宋体" w:eastAsia="宋体" w:hAnsi="宋体" w:cs="宋体"/>
          <w:sz w:val="18"/>
          <w:szCs w:val="18"/>
        </w:rPr>
        <w:sectPr>
          <w:headerReference w:type="default" r:id="rId57"/>
          <w:footerReference w:type="default" r:id="rId58"/>
          <w:pgSz w:w="11906" w:h="16839"/>
          <w:pgMar w:top="400" w:right="259" w:bottom="400" w:left="1785" w:header="0" w:footer="0" w:gutter="0"/>
          <w:pgNumType w:start="25"/>
          <w:cols w:num="1" w:space="720"/>
        </w:sectPr>
      </w:pPr>
    </w:p>
    <w:p>
      <w:pPr>
        <w:spacing w:line="274" w:lineRule="auto"/>
      </w:pPr>
    </w:p>
    <w:p>
      <w:pPr>
        <w:spacing w:line="274" w:lineRule="auto"/>
      </w:pPr>
    </w:p>
    <w:p>
      <w:pPr>
        <w:spacing w:line="274" w:lineRule="auto"/>
      </w:pPr>
    </w:p>
    <w:p>
      <w:pPr>
        <w:spacing w:line="274" w:lineRule="auto"/>
      </w:pPr>
    </w:p>
    <w:p>
      <w:pPr>
        <w:spacing w:before="65" w:line="468" w:lineRule="exact"/>
        <w:ind w:left="33"/>
        <w:rPr>
          <w:rFonts w:ascii="宋体" w:eastAsia="宋体" w:hAnsi="宋体" w:cs="宋体"/>
          <w:sz w:val="20"/>
          <w:szCs w:val="20"/>
        </w:rPr>
      </w:pPr>
      <w:r>
        <w:rPr>
          <w:rFonts w:ascii="宋体" w:eastAsia="宋体" w:hAnsi="宋体" w:cs="宋体"/>
          <w:spacing w:val="7"/>
          <w:position w:val="20"/>
          <w:sz w:val="20"/>
          <w:szCs w:val="20"/>
        </w:rPr>
        <w:t>当期损益：</w:t>
      </w:r>
      <w:r>
        <w:rPr>
          <w:rFonts w:ascii="宋体" w:eastAsia="宋体" w:hAnsi="宋体" w:cs="宋体"/>
          <w:spacing w:val="-30"/>
          <w:position w:val="20"/>
          <w:sz w:val="20"/>
          <w:szCs w:val="20"/>
        </w:rPr>
        <w:t xml:space="preserve"> </w:t>
      </w:r>
      <w:r>
        <w:rPr>
          <w:rFonts w:ascii="宋体" w:eastAsia="宋体" w:hAnsi="宋体" w:cs="宋体"/>
          <w:spacing w:val="7"/>
          <w:position w:val="20"/>
          <w:sz w:val="20"/>
          <w:szCs w:val="20"/>
        </w:rPr>
        <w:t>(1) 公司不能单方面撤回因解除劳动关系计划或裁减建议所提供的辞退福利时；</w:t>
      </w:r>
    </w:p>
    <w:p>
      <w:pPr>
        <w:spacing w:line="226" w:lineRule="auto"/>
        <w:ind w:left="56"/>
        <w:rPr>
          <w:rFonts w:ascii="宋体" w:eastAsia="宋体" w:hAnsi="宋体" w:cs="宋体"/>
          <w:sz w:val="20"/>
          <w:szCs w:val="20"/>
        </w:rPr>
      </w:pPr>
      <w:r>
        <w:rPr>
          <w:rFonts w:ascii="宋体" w:eastAsia="宋体" w:hAnsi="宋体" w:cs="宋体"/>
          <w:spacing w:val="7"/>
          <w:sz w:val="20"/>
          <w:szCs w:val="20"/>
        </w:rPr>
        <w:t>(2) 公司确认与涉及支付辞退福利的重组相关的成本或费用时。</w:t>
      </w:r>
    </w:p>
    <w:p>
      <w:pPr>
        <w:spacing w:before="222" w:line="227" w:lineRule="auto"/>
        <w:ind w:left="444"/>
        <w:rPr>
          <w:rFonts w:ascii="宋体" w:eastAsia="宋体" w:hAnsi="宋体" w:cs="宋体"/>
          <w:sz w:val="20"/>
          <w:szCs w:val="20"/>
        </w:rPr>
      </w:pPr>
      <w:r>
        <w:rPr>
          <w:rFonts w:ascii="宋体" w:eastAsia="宋体" w:hAnsi="宋体" w:cs="宋体"/>
          <w:spacing w:val="8"/>
          <w:sz w:val="20"/>
          <w:szCs w:val="20"/>
        </w:rPr>
        <w:t>5. 其他长期职工福利的会计处理方法</w:t>
      </w:r>
    </w:p>
    <w:p>
      <w:pPr>
        <w:spacing w:before="222" w:line="432" w:lineRule="auto"/>
        <w:ind w:left="18" w:right="1537" w:firstLine="442"/>
        <w:rPr>
          <w:rFonts w:ascii="宋体" w:eastAsia="宋体" w:hAnsi="宋体" w:cs="宋体"/>
          <w:sz w:val="20"/>
          <w:szCs w:val="20"/>
        </w:rPr>
      </w:pPr>
      <w:r>
        <w:rPr>
          <w:rFonts w:ascii="宋体" w:eastAsia="宋体" w:hAnsi="宋体" w:cs="宋体"/>
          <w:spacing w:val="7"/>
          <w:sz w:val="20"/>
          <w:szCs w:val="20"/>
        </w:rPr>
        <w:t>向职工提供的其他长期福利，符合设定提存计划条件的，按照设定提存计</w:t>
      </w:r>
      <w:r>
        <w:rPr>
          <w:rFonts w:ascii="宋体" w:eastAsia="宋体" w:hAnsi="宋体" w:cs="宋体"/>
          <w:spacing w:val="6"/>
          <w:sz w:val="20"/>
          <w:szCs w:val="20"/>
        </w:rPr>
        <w:t>划的有关规定</w:t>
      </w:r>
      <w:r>
        <w:rPr>
          <w:rFonts w:ascii="宋体" w:eastAsia="宋体" w:hAnsi="宋体" w:cs="宋体"/>
          <w:sz w:val="20"/>
          <w:szCs w:val="20"/>
        </w:rPr>
        <w:t xml:space="preserve"> </w:t>
      </w:r>
      <w:r>
        <w:rPr>
          <w:rFonts w:ascii="宋体" w:eastAsia="宋体" w:hAnsi="宋体" w:cs="宋体"/>
          <w:spacing w:val="8"/>
          <w:sz w:val="20"/>
          <w:szCs w:val="20"/>
        </w:rPr>
        <w:t>进行会计处理；除此之外的其他长期福利，按照设定</w:t>
      </w:r>
      <w:r>
        <w:rPr>
          <w:rFonts w:ascii="宋体" w:eastAsia="宋体" w:hAnsi="宋体" w:cs="宋体"/>
          <w:spacing w:val="7"/>
          <w:sz w:val="20"/>
          <w:szCs w:val="20"/>
        </w:rPr>
        <w:t>受益计划的有关规定进行会计处理，为</w:t>
      </w:r>
      <w:r>
        <w:rPr>
          <w:rFonts w:ascii="宋体" w:eastAsia="宋体" w:hAnsi="宋体" w:cs="宋体"/>
          <w:sz w:val="20"/>
          <w:szCs w:val="20"/>
        </w:rPr>
        <w:t xml:space="preserve"> </w:t>
      </w:r>
      <w:r>
        <w:rPr>
          <w:rFonts w:ascii="宋体" w:eastAsia="宋体" w:hAnsi="宋体" w:cs="宋体"/>
          <w:spacing w:val="8"/>
          <w:sz w:val="20"/>
          <w:szCs w:val="20"/>
        </w:rPr>
        <w:t>简化相关会计处理，将其产生的职工薪酬成本确</w:t>
      </w:r>
      <w:r>
        <w:rPr>
          <w:rFonts w:ascii="宋体" w:eastAsia="宋体" w:hAnsi="宋体" w:cs="宋体"/>
          <w:spacing w:val="7"/>
          <w:sz w:val="20"/>
          <w:szCs w:val="20"/>
        </w:rPr>
        <w:t>认为服务成本、其他长期职工福利净负债或</w:t>
      </w:r>
      <w:r>
        <w:rPr>
          <w:rFonts w:ascii="宋体" w:eastAsia="宋体" w:hAnsi="宋体" w:cs="宋体"/>
          <w:sz w:val="20"/>
          <w:szCs w:val="20"/>
        </w:rPr>
        <w:t xml:space="preserve"> </w:t>
      </w:r>
      <w:r>
        <w:rPr>
          <w:rFonts w:ascii="宋体" w:eastAsia="宋体" w:hAnsi="宋体" w:cs="宋体"/>
          <w:spacing w:val="13"/>
          <w:sz w:val="20"/>
          <w:szCs w:val="20"/>
        </w:rPr>
        <w:t>净资产的利息净额以及重新计量其他长期职工福利净负债或净资产所产生的变动</w:t>
      </w:r>
      <w:r>
        <w:rPr>
          <w:rFonts w:ascii="宋体" w:eastAsia="宋体" w:hAnsi="宋体" w:cs="宋体"/>
          <w:spacing w:val="12"/>
          <w:sz w:val="20"/>
          <w:szCs w:val="20"/>
        </w:rPr>
        <w:t>等组成项</w:t>
      </w:r>
    </w:p>
    <w:p>
      <w:pPr>
        <w:spacing w:before="1" w:line="226" w:lineRule="auto"/>
        <w:ind w:left="59"/>
        <w:rPr>
          <w:rFonts w:ascii="宋体" w:eastAsia="宋体" w:hAnsi="宋体" w:cs="宋体"/>
          <w:sz w:val="20"/>
          <w:szCs w:val="20"/>
        </w:rPr>
      </w:pPr>
      <w:r>
        <w:rPr>
          <w:rFonts w:ascii="宋体" w:eastAsia="宋体" w:hAnsi="宋体" w:cs="宋体"/>
          <w:spacing w:val="6"/>
          <w:sz w:val="20"/>
          <w:szCs w:val="20"/>
        </w:rPr>
        <w:t>目的总净额计入当期损益或相关资产成本。</w:t>
      </w:r>
    </w:p>
    <w:p>
      <w:pPr>
        <w:spacing w:before="221" w:line="228" w:lineRule="auto"/>
        <w:ind w:left="476"/>
        <w:outlineLvl w:val="1"/>
        <w:rPr>
          <w:rFonts w:ascii="宋体" w:eastAsia="宋体" w:hAnsi="宋体" w:cs="宋体"/>
          <w:sz w:val="20"/>
          <w:szCs w:val="20"/>
        </w:rPr>
      </w:pPr>
      <w:r>
        <w:rPr>
          <w:rFonts w:ascii="宋体" w:eastAsia="宋体" w:hAnsi="宋体" w:cs="宋体"/>
          <w:spacing w:val="1"/>
          <w:sz w:val="20"/>
          <w:szCs w:val="20"/>
        </w:rPr>
        <w:t>(二十)</w:t>
      </w:r>
      <w:r>
        <w:rPr>
          <w:rFonts w:ascii="宋体" w:eastAsia="宋体" w:hAnsi="宋体" w:cs="宋体"/>
          <w:spacing w:val="18"/>
          <w:sz w:val="20"/>
          <w:szCs w:val="20"/>
        </w:rPr>
        <w:t xml:space="preserve"> </w:t>
      </w:r>
      <w:r>
        <w:rPr>
          <w:rFonts w:ascii="宋体" w:eastAsia="宋体" w:hAnsi="宋体" w:cs="宋体"/>
          <w:spacing w:val="1"/>
          <w:sz w:val="20"/>
          <w:szCs w:val="20"/>
        </w:rPr>
        <w:t>预计负债</w:t>
      </w:r>
    </w:p>
    <w:p>
      <w:pPr>
        <w:spacing w:before="222" w:line="432" w:lineRule="auto"/>
        <w:ind w:left="26" w:right="1537" w:firstLine="428"/>
        <w:jc w:val="both"/>
        <w:rPr>
          <w:rFonts w:ascii="宋体" w:eastAsia="宋体" w:hAnsi="宋体" w:cs="宋体"/>
          <w:sz w:val="20"/>
          <w:szCs w:val="20"/>
        </w:rPr>
      </w:pPr>
      <w:r>
        <w:rPr>
          <w:rFonts w:ascii="宋体" w:eastAsia="宋体" w:hAnsi="宋体" w:cs="宋体"/>
          <w:spacing w:val="9"/>
          <w:sz w:val="20"/>
          <w:szCs w:val="20"/>
        </w:rPr>
        <w:t>1. 因对外提供担保、诉讼事项、产品质量保证、亏损合同等或有事项形成的义务成为</w:t>
      </w:r>
      <w:r>
        <w:rPr>
          <w:rFonts w:ascii="宋体" w:eastAsia="宋体" w:hAnsi="宋体" w:cs="宋体"/>
          <w:spacing w:val="15"/>
          <w:sz w:val="20"/>
          <w:szCs w:val="20"/>
        </w:rPr>
        <w:t xml:space="preserve"> </w:t>
      </w:r>
      <w:r>
        <w:rPr>
          <w:rFonts w:ascii="宋体" w:eastAsia="宋体" w:hAnsi="宋体" w:cs="宋体"/>
          <w:spacing w:val="7"/>
          <w:sz w:val="20"/>
          <w:szCs w:val="20"/>
        </w:rPr>
        <w:t>公司承担的现时义务，履行该义务很可能导致经济利益流出公司，且该义务的金额能够可靠</w:t>
      </w:r>
    </w:p>
    <w:p>
      <w:pPr>
        <w:spacing w:line="227" w:lineRule="auto"/>
        <w:ind w:left="36"/>
        <w:rPr>
          <w:rFonts w:ascii="宋体" w:eastAsia="宋体" w:hAnsi="宋体" w:cs="宋体"/>
          <w:sz w:val="20"/>
          <w:szCs w:val="20"/>
        </w:rPr>
      </w:pPr>
      <w:r>
        <w:rPr>
          <w:rFonts w:ascii="宋体" w:eastAsia="宋体" w:hAnsi="宋体" w:cs="宋体"/>
          <w:spacing w:val="8"/>
          <w:sz w:val="20"/>
          <w:szCs w:val="20"/>
        </w:rPr>
        <w:t>的计量时，公司将该项义务确认为预计负债。</w:t>
      </w:r>
    </w:p>
    <w:p>
      <w:pPr>
        <w:spacing w:before="222" w:line="468" w:lineRule="exact"/>
        <w:ind w:left="442"/>
        <w:rPr>
          <w:rFonts w:ascii="宋体" w:eastAsia="宋体" w:hAnsi="宋体" w:cs="宋体"/>
          <w:sz w:val="20"/>
          <w:szCs w:val="20"/>
        </w:rPr>
      </w:pPr>
      <w:r>
        <w:rPr>
          <w:rFonts w:ascii="宋体" w:eastAsia="宋体" w:hAnsi="宋体" w:cs="宋体"/>
          <w:spacing w:val="10"/>
          <w:position w:val="20"/>
          <w:sz w:val="20"/>
          <w:szCs w:val="20"/>
        </w:rPr>
        <w:t>2. 公司按照履行相关现时义务所需支出的最佳估计数对</w:t>
      </w:r>
      <w:r>
        <w:rPr>
          <w:rFonts w:ascii="宋体" w:eastAsia="宋体" w:hAnsi="宋体" w:cs="宋体"/>
          <w:spacing w:val="9"/>
          <w:position w:val="20"/>
          <w:sz w:val="20"/>
          <w:szCs w:val="20"/>
        </w:rPr>
        <w:t>预计负债进行初始计量，并在</w:t>
      </w:r>
    </w:p>
    <w:p>
      <w:pPr>
        <w:spacing w:line="226" w:lineRule="auto"/>
        <w:ind w:left="28"/>
        <w:rPr>
          <w:rFonts w:ascii="宋体" w:eastAsia="宋体" w:hAnsi="宋体" w:cs="宋体"/>
          <w:sz w:val="20"/>
          <w:szCs w:val="20"/>
        </w:rPr>
      </w:pPr>
      <w:r>
        <w:rPr>
          <w:rFonts w:ascii="宋体" w:eastAsia="宋体" w:hAnsi="宋体" w:cs="宋体"/>
          <w:spacing w:val="8"/>
          <w:sz w:val="20"/>
          <w:szCs w:val="20"/>
        </w:rPr>
        <w:t>资产负债表日对预计负债的账面价值进行复核。</w:t>
      </w:r>
    </w:p>
    <w:p>
      <w:pPr>
        <w:spacing w:before="223" w:line="228" w:lineRule="auto"/>
        <w:ind w:left="476"/>
        <w:outlineLvl w:val="1"/>
        <w:rPr>
          <w:rFonts w:ascii="宋体" w:eastAsia="宋体" w:hAnsi="宋体" w:cs="宋体"/>
          <w:sz w:val="20"/>
          <w:szCs w:val="20"/>
        </w:rPr>
      </w:pPr>
      <w:r>
        <w:rPr>
          <w:rFonts w:ascii="宋体" w:eastAsia="宋体" w:hAnsi="宋体" w:cs="宋体"/>
          <w:spacing w:val="-1"/>
          <w:sz w:val="20"/>
          <w:szCs w:val="20"/>
        </w:rPr>
        <w:t>(二十一)</w:t>
      </w:r>
      <w:r>
        <w:rPr>
          <w:rFonts w:ascii="宋体" w:eastAsia="宋体" w:hAnsi="宋体" w:cs="宋体"/>
          <w:spacing w:val="22"/>
          <w:sz w:val="20"/>
          <w:szCs w:val="20"/>
        </w:rPr>
        <w:t xml:space="preserve"> </w:t>
      </w:r>
      <w:r>
        <w:rPr>
          <w:rFonts w:ascii="宋体" w:eastAsia="宋体" w:hAnsi="宋体" w:cs="宋体"/>
          <w:spacing w:val="-1"/>
          <w:sz w:val="20"/>
          <w:szCs w:val="20"/>
        </w:rPr>
        <w:t>收入</w:t>
      </w:r>
    </w:p>
    <w:p>
      <w:pPr>
        <w:spacing w:before="221" w:line="228" w:lineRule="auto"/>
        <w:ind w:left="455"/>
        <w:outlineLvl w:val="2"/>
        <w:rPr>
          <w:rFonts w:ascii="宋体" w:eastAsia="宋体" w:hAnsi="宋体" w:cs="宋体"/>
          <w:sz w:val="20"/>
          <w:szCs w:val="20"/>
        </w:rPr>
      </w:pPr>
      <w:r>
        <w:rPr>
          <w:rFonts w:ascii="宋体" w:eastAsia="宋体" w:hAnsi="宋体" w:cs="宋体"/>
          <w:spacing w:val="3"/>
          <w:sz w:val="20"/>
          <w:szCs w:val="20"/>
        </w:rPr>
        <w:t>1.</w:t>
      </w:r>
      <w:r>
        <w:rPr>
          <w:rFonts w:ascii="宋体" w:eastAsia="宋体" w:hAnsi="宋体" w:cs="宋体"/>
          <w:spacing w:val="23"/>
          <w:sz w:val="20"/>
          <w:szCs w:val="20"/>
        </w:rPr>
        <w:t xml:space="preserve"> </w:t>
      </w:r>
      <w:r>
        <w:rPr>
          <w:rFonts w:ascii="宋体" w:eastAsia="宋体" w:hAnsi="宋体" w:cs="宋体"/>
          <w:spacing w:val="3"/>
          <w:sz w:val="20"/>
          <w:szCs w:val="20"/>
        </w:rPr>
        <w:t>收入确认原则</w:t>
      </w:r>
    </w:p>
    <w:p>
      <w:pPr>
        <w:spacing w:before="221" w:line="468" w:lineRule="exact"/>
        <w:ind w:left="443"/>
        <w:rPr>
          <w:rFonts w:ascii="宋体" w:eastAsia="宋体" w:hAnsi="宋体" w:cs="宋体"/>
          <w:sz w:val="20"/>
          <w:szCs w:val="20"/>
        </w:rPr>
      </w:pPr>
      <w:r>
        <w:rPr>
          <w:rFonts w:ascii="宋体" w:eastAsia="宋体" w:hAnsi="宋体" w:cs="宋体"/>
          <w:spacing w:val="7"/>
          <w:position w:val="20"/>
          <w:sz w:val="20"/>
          <w:szCs w:val="20"/>
        </w:rPr>
        <w:t>于合同开始日，公司对合同进行评估，识别合同所包含的各单项履约义务，并确定各单</w:t>
      </w:r>
    </w:p>
    <w:p>
      <w:pPr>
        <w:spacing w:before="1" w:line="227" w:lineRule="auto"/>
        <w:ind w:left="23"/>
        <w:rPr>
          <w:rFonts w:ascii="宋体" w:eastAsia="宋体" w:hAnsi="宋体" w:cs="宋体"/>
          <w:sz w:val="20"/>
          <w:szCs w:val="20"/>
        </w:rPr>
      </w:pPr>
      <w:r>
        <w:rPr>
          <w:rFonts w:ascii="宋体" w:eastAsia="宋体" w:hAnsi="宋体" w:cs="宋体"/>
          <w:spacing w:val="9"/>
          <w:sz w:val="20"/>
          <w:szCs w:val="20"/>
        </w:rPr>
        <w:t>项履约义务是在某一时段内履行，还是在某一时点履行。</w:t>
      </w:r>
    </w:p>
    <w:p>
      <w:pPr>
        <w:spacing w:before="221" w:line="432" w:lineRule="auto"/>
        <w:ind w:left="19" w:right="1537" w:firstLine="420"/>
        <w:rPr>
          <w:rFonts w:ascii="宋体" w:eastAsia="宋体" w:hAnsi="宋体" w:cs="宋体"/>
          <w:sz w:val="20"/>
          <w:szCs w:val="20"/>
        </w:rPr>
      </w:pPr>
      <w:r>
        <w:rPr>
          <w:rFonts w:ascii="宋体" w:eastAsia="宋体" w:hAnsi="宋体" w:cs="宋体"/>
          <w:spacing w:val="7"/>
          <w:sz w:val="20"/>
          <w:szCs w:val="20"/>
        </w:rPr>
        <w:t>满足下列条件之一时，属于在某一时段内履行履约义务，否则，属于在某一时点履行履</w:t>
      </w:r>
      <w:r>
        <w:rPr>
          <w:rFonts w:ascii="宋体" w:eastAsia="宋体" w:hAnsi="宋体" w:cs="宋体"/>
          <w:spacing w:val="13"/>
          <w:sz w:val="20"/>
          <w:szCs w:val="20"/>
        </w:rPr>
        <w:t xml:space="preserve"> </w:t>
      </w:r>
      <w:r>
        <w:rPr>
          <w:rFonts w:ascii="宋体" w:eastAsia="宋体" w:hAnsi="宋体" w:cs="宋体"/>
          <w:spacing w:val="7"/>
          <w:sz w:val="20"/>
          <w:szCs w:val="20"/>
        </w:rPr>
        <w:t>约义务：(1) 客户在公司履约的同时即取得并消耗公司履约所带来的经济利益；(2</w:t>
      </w:r>
      <w:r>
        <w:rPr>
          <w:rFonts w:ascii="宋体" w:eastAsia="宋体" w:hAnsi="宋体" w:cs="宋体"/>
          <w:spacing w:val="6"/>
          <w:sz w:val="20"/>
          <w:szCs w:val="20"/>
        </w:rPr>
        <w:t>) 客户能</w:t>
      </w:r>
      <w:r>
        <w:rPr>
          <w:rFonts w:ascii="宋体" w:eastAsia="宋体" w:hAnsi="宋体" w:cs="宋体"/>
          <w:sz w:val="20"/>
          <w:szCs w:val="20"/>
        </w:rPr>
        <w:t xml:space="preserve"> </w:t>
      </w:r>
      <w:r>
        <w:rPr>
          <w:rFonts w:ascii="宋体" w:eastAsia="宋体" w:hAnsi="宋体" w:cs="宋体"/>
          <w:spacing w:val="7"/>
          <w:sz w:val="20"/>
          <w:szCs w:val="20"/>
        </w:rPr>
        <w:t>够控制公司履约过程中在建商品；(3) 公司履约过程中所产出的商品具有不可替代用途，且</w:t>
      </w:r>
    </w:p>
    <w:p>
      <w:pPr>
        <w:spacing w:before="1" w:line="227" w:lineRule="auto"/>
        <w:ind w:left="26"/>
        <w:rPr>
          <w:rFonts w:ascii="宋体" w:eastAsia="宋体" w:hAnsi="宋体" w:cs="宋体"/>
          <w:sz w:val="20"/>
          <w:szCs w:val="20"/>
        </w:rPr>
      </w:pPr>
      <w:r>
        <w:rPr>
          <w:rFonts w:ascii="宋体" w:eastAsia="宋体" w:hAnsi="宋体" w:cs="宋体"/>
          <w:spacing w:val="9"/>
          <w:sz w:val="20"/>
          <w:szCs w:val="20"/>
        </w:rPr>
        <w:t>公司在整个合同期间内有权就累计至今已完成的履约部分收取款项。</w:t>
      </w:r>
    </w:p>
    <w:p>
      <w:pPr>
        <w:spacing w:before="221" w:line="432" w:lineRule="auto"/>
        <w:ind w:left="19" w:right="1503" w:firstLine="420"/>
        <w:rPr>
          <w:rFonts w:ascii="宋体" w:eastAsia="宋体" w:hAnsi="宋体" w:cs="宋体"/>
          <w:sz w:val="20"/>
          <w:szCs w:val="20"/>
        </w:rPr>
      </w:pPr>
      <w:r>
        <w:rPr>
          <w:rFonts w:ascii="宋体" w:eastAsia="宋体" w:hAnsi="宋体" w:cs="宋体"/>
          <w:spacing w:val="7"/>
          <w:sz w:val="20"/>
          <w:szCs w:val="20"/>
        </w:rPr>
        <w:t>对于在某一时段内履行的履约义务，公司在该段时间内按照履约进度确认收入。履约进</w:t>
      </w:r>
      <w:r>
        <w:rPr>
          <w:rFonts w:ascii="宋体" w:eastAsia="宋体" w:hAnsi="宋体" w:cs="宋体"/>
          <w:spacing w:val="17"/>
          <w:sz w:val="20"/>
          <w:szCs w:val="20"/>
        </w:rPr>
        <w:t xml:space="preserve"> </w:t>
      </w:r>
      <w:r>
        <w:rPr>
          <w:rFonts w:ascii="宋体" w:eastAsia="宋体" w:hAnsi="宋体" w:cs="宋体"/>
          <w:spacing w:val="8"/>
          <w:sz w:val="20"/>
          <w:szCs w:val="20"/>
        </w:rPr>
        <w:t>度不能合理确定时，已经发生的成本预计能够</w:t>
      </w:r>
      <w:r>
        <w:rPr>
          <w:rFonts w:ascii="宋体" w:eastAsia="宋体" w:hAnsi="宋体" w:cs="宋体"/>
          <w:spacing w:val="7"/>
          <w:sz w:val="20"/>
          <w:szCs w:val="20"/>
        </w:rPr>
        <w:t>得到补偿的，按照已经发生的成本金额确认收</w:t>
      </w:r>
      <w:r>
        <w:rPr>
          <w:rFonts w:ascii="宋体" w:eastAsia="宋体" w:hAnsi="宋体" w:cs="宋体"/>
          <w:sz w:val="20"/>
          <w:szCs w:val="20"/>
        </w:rPr>
        <w:t xml:space="preserve"> </w:t>
      </w:r>
      <w:r>
        <w:rPr>
          <w:rFonts w:ascii="宋体" w:eastAsia="宋体" w:hAnsi="宋体" w:cs="宋体"/>
          <w:spacing w:val="8"/>
          <w:sz w:val="20"/>
          <w:szCs w:val="20"/>
        </w:rPr>
        <w:t>入，直到履约进度能够合理确定为止。对于在</w:t>
      </w:r>
      <w:r>
        <w:rPr>
          <w:rFonts w:ascii="宋体" w:eastAsia="宋体" w:hAnsi="宋体" w:cs="宋体"/>
          <w:spacing w:val="7"/>
          <w:sz w:val="20"/>
          <w:szCs w:val="20"/>
        </w:rPr>
        <w:t>某一时点履行的履约义务，在客户取得相关商</w:t>
      </w:r>
      <w:r>
        <w:rPr>
          <w:rFonts w:ascii="宋体" w:eastAsia="宋体" w:hAnsi="宋体" w:cs="宋体"/>
          <w:sz w:val="20"/>
          <w:szCs w:val="20"/>
        </w:rPr>
        <w:t xml:space="preserve"> </w:t>
      </w:r>
      <w:r>
        <w:rPr>
          <w:rFonts w:ascii="宋体" w:eastAsia="宋体" w:hAnsi="宋体" w:cs="宋体"/>
          <w:spacing w:val="8"/>
          <w:sz w:val="20"/>
          <w:szCs w:val="20"/>
        </w:rPr>
        <w:t>品或服务控制权时点确认收入。在判断客户是否已取得商品控制权时，公司考虑下列迹象：</w:t>
      </w:r>
      <w:r>
        <w:rPr>
          <w:rFonts w:ascii="宋体" w:eastAsia="宋体" w:hAnsi="宋体" w:cs="宋体"/>
          <w:spacing w:val="16"/>
          <w:sz w:val="20"/>
          <w:szCs w:val="20"/>
        </w:rPr>
        <w:t xml:space="preserve"> </w:t>
      </w:r>
      <w:r>
        <w:rPr>
          <w:rFonts w:ascii="宋体" w:eastAsia="宋体" w:hAnsi="宋体" w:cs="宋体"/>
          <w:spacing w:val="7"/>
          <w:sz w:val="20"/>
          <w:szCs w:val="20"/>
        </w:rPr>
        <w:t xml:space="preserve">(1) 公司就该商品享有现时收款权利，即客户就该商品负有现时付款义务；(2) </w:t>
      </w:r>
      <w:r>
        <w:rPr>
          <w:rFonts w:ascii="宋体" w:eastAsia="宋体" w:hAnsi="宋体" w:cs="宋体"/>
          <w:spacing w:val="6"/>
          <w:sz w:val="20"/>
          <w:szCs w:val="20"/>
        </w:rPr>
        <w:t>公司已将该</w:t>
      </w:r>
      <w:r>
        <w:rPr>
          <w:rFonts w:ascii="宋体" w:eastAsia="宋体" w:hAnsi="宋体" w:cs="宋体"/>
          <w:sz w:val="20"/>
          <w:szCs w:val="20"/>
        </w:rPr>
        <w:t xml:space="preserve"> </w:t>
      </w:r>
      <w:r>
        <w:rPr>
          <w:rFonts w:ascii="宋体" w:eastAsia="宋体" w:hAnsi="宋体" w:cs="宋体"/>
          <w:spacing w:val="7"/>
          <w:sz w:val="20"/>
          <w:szCs w:val="20"/>
        </w:rPr>
        <w:t>商品的法定所有权转移给客户，即客户已拥有该商品的法定所有权；(3) 公司已将该商品实</w:t>
      </w:r>
      <w:r>
        <w:rPr>
          <w:rFonts w:ascii="宋体" w:eastAsia="宋体" w:hAnsi="宋体" w:cs="宋体"/>
          <w:spacing w:val="6"/>
          <w:sz w:val="20"/>
          <w:szCs w:val="20"/>
        </w:rPr>
        <w:t xml:space="preserve"> </w:t>
      </w:r>
      <w:r>
        <w:rPr>
          <w:rFonts w:ascii="宋体" w:eastAsia="宋体" w:hAnsi="宋体" w:cs="宋体"/>
          <w:spacing w:val="7"/>
          <w:sz w:val="20"/>
          <w:szCs w:val="20"/>
        </w:rPr>
        <w:t>物转移给客户，即客户已实物占有该商品；(4) 公司已将该商品所有权上的主要风险和报酬</w:t>
      </w:r>
    </w:p>
    <w:p>
      <w:pPr>
        <w:spacing w:before="1" w:line="227" w:lineRule="auto"/>
        <w:ind w:left="20"/>
        <w:rPr>
          <w:rFonts w:ascii="宋体" w:eastAsia="宋体" w:hAnsi="宋体" w:cs="宋体"/>
          <w:sz w:val="20"/>
          <w:szCs w:val="20"/>
        </w:rPr>
      </w:pPr>
      <w:r>
        <w:rPr>
          <w:rFonts w:ascii="宋体" w:eastAsia="宋体" w:hAnsi="宋体" w:cs="宋体"/>
          <w:spacing w:val="5"/>
          <w:sz w:val="20"/>
          <w:szCs w:val="20"/>
        </w:rPr>
        <w:t>转移给客户，即客户已取得该商品所有权上的主要风险和报</w:t>
      </w:r>
      <w:r>
        <w:rPr>
          <w:rFonts w:ascii="宋体" w:eastAsia="宋体" w:hAnsi="宋体" w:cs="宋体"/>
          <w:spacing w:val="4"/>
          <w:sz w:val="20"/>
          <w:szCs w:val="20"/>
        </w:rPr>
        <w:t>酬；(5) 客户已接受该商品；(6)</w:t>
      </w:r>
    </w:p>
    <w:p>
      <w:pPr>
        <w:spacing w:before="254" w:line="219" w:lineRule="auto"/>
        <w:ind w:left="3409"/>
        <w:rPr>
          <w:rFonts w:ascii="宋体" w:eastAsia="宋体" w:hAnsi="宋体" w:cs="宋体"/>
          <w:sz w:val="18"/>
          <w:szCs w:val="18"/>
        </w:rPr>
      </w:pPr>
      <w:r>
        <w:rPr>
          <w:rFonts w:ascii="宋体" w:eastAsia="宋体" w:hAnsi="宋体" w:cs="宋体"/>
          <w:spacing w:val="-5"/>
          <w:sz w:val="18"/>
          <w:szCs w:val="18"/>
        </w:rPr>
        <w:t>第</w:t>
      </w:r>
      <w:r>
        <w:rPr>
          <w:rFonts w:ascii="宋体" w:eastAsia="宋体" w:hAnsi="宋体" w:cs="宋体"/>
          <w:spacing w:val="14"/>
          <w:sz w:val="18"/>
          <w:szCs w:val="18"/>
        </w:rPr>
        <w:t xml:space="preserve"> </w:t>
      </w:r>
      <w:r>
        <w:rPr>
          <w:rFonts w:ascii="宋体" w:eastAsia="宋体" w:hAnsi="宋体" w:cs="宋体"/>
          <w:spacing w:val="-5"/>
          <w:sz w:val="18"/>
          <w:szCs w:val="18"/>
        </w:rPr>
        <w:t>25</w:t>
      </w:r>
      <w:r>
        <w:rPr>
          <w:rFonts w:ascii="宋体" w:eastAsia="宋体" w:hAnsi="宋体" w:cs="宋体"/>
          <w:spacing w:val="12"/>
          <w:sz w:val="18"/>
          <w:szCs w:val="18"/>
        </w:rPr>
        <w:t xml:space="preserve"> </w:t>
      </w:r>
      <w:r>
        <w:rPr>
          <w:rFonts w:ascii="宋体" w:eastAsia="宋体" w:hAnsi="宋体" w:cs="宋体"/>
          <w:spacing w:val="-5"/>
          <w:sz w:val="18"/>
          <w:szCs w:val="18"/>
        </w:rPr>
        <w:t>页 共</w:t>
      </w:r>
      <w:r>
        <w:rPr>
          <w:rFonts w:ascii="宋体" w:eastAsia="宋体" w:hAnsi="宋体" w:cs="宋体"/>
          <w:spacing w:val="12"/>
          <w:sz w:val="18"/>
          <w:szCs w:val="18"/>
        </w:rPr>
        <w:t xml:space="preserve"> </w:t>
      </w:r>
      <w:r>
        <w:rPr>
          <w:rFonts w:ascii="宋体" w:eastAsia="宋体" w:hAnsi="宋体" w:cs="宋体"/>
          <w:spacing w:val="-5"/>
          <w:sz w:val="18"/>
          <w:szCs w:val="18"/>
        </w:rPr>
        <w:t>59</w:t>
      </w:r>
      <w:r>
        <w:rPr>
          <w:rFonts w:ascii="宋体" w:eastAsia="宋体" w:hAnsi="宋体" w:cs="宋体"/>
          <w:spacing w:val="9"/>
          <w:sz w:val="18"/>
          <w:szCs w:val="18"/>
        </w:rPr>
        <w:t xml:space="preserve"> </w:t>
      </w:r>
      <w:r>
        <w:rPr>
          <w:rFonts w:ascii="宋体" w:eastAsia="宋体" w:hAnsi="宋体" w:cs="宋体"/>
          <w:spacing w:val="-5"/>
          <w:sz w:val="18"/>
          <w:szCs w:val="18"/>
        </w:rPr>
        <w:t>页</w:t>
      </w:r>
    </w:p>
    <w:p>
      <w:pPr>
        <w:spacing w:line="219" w:lineRule="auto"/>
        <w:rPr>
          <w:rFonts w:ascii="宋体" w:eastAsia="宋体" w:hAnsi="宋体" w:cs="宋体"/>
          <w:sz w:val="18"/>
          <w:szCs w:val="18"/>
        </w:rPr>
        <w:sectPr>
          <w:headerReference w:type="default" r:id="rId59"/>
          <w:footerReference w:type="default" r:id="rId60"/>
          <w:pgSz w:w="11906" w:h="16839"/>
          <w:pgMar w:top="400" w:right="259" w:bottom="400" w:left="1785" w:header="0" w:footer="0" w:gutter="0"/>
          <w:pgNumType w:start="26"/>
          <w:cols w:num="1" w:space="720"/>
        </w:sectPr>
      </w:pPr>
    </w:p>
    <w:p>
      <w:pPr>
        <w:spacing w:line="274" w:lineRule="auto"/>
      </w:pPr>
    </w:p>
    <w:p>
      <w:pPr>
        <w:spacing w:line="274" w:lineRule="auto"/>
      </w:pPr>
    </w:p>
    <w:p>
      <w:pPr>
        <w:spacing w:line="274" w:lineRule="auto"/>
      </w:pPr>
    </w:p>
    <w:p>
      <w:pPr>
        <w:spacing w:line="274" w:lineRule="auto"/>
      </w:pPr>
    </w:p>
    <w:p>
      <w:pPr>
        <w:spacing w:before="65" w:line="228" w:lineRule="auto"/>
        <w:ind w:left="20"/>
        <w:rPr>
          <w:rFonts w:ascii="宋体" w:eastAsia="宋体" w:hAnsi="宋体" w:cs="宋体"/>
          <w:sz w:val="20"/>
          <w:szCs w:val="20"/>
        </w:rPr>
      </w:pPr>
      <w:r>
        <w:rPr>
          <w:rFonts w:ascii="宋体" w:eastAsia="宋体" w:hAnsi="宋体" w:cs="宋体"/>
          <w:spacing w:val="8"/>
          <w:sz w:val="20"/>
          <w:szCs w:val="20"/>
        </w:rPr>
        <w:t>其他表明客户已取得商品控制权的迹象。</w:t>
      </w:r>
    </w:p>
    <w:p>
      <w:pPr>
        <w:spacing w:before="221" w:line="228" w:lineRule="auto"/>
        <w:ind w:left="442"/>
        <w:outlineLvl w:val="2"/>
        <w:rPr>
          <w:rFonts w:ascii="宋体" w:eastAsia="宋体" w:hAnsi="宋体" w:cs="宋体"/>
          <w:sz w:val="20"/>
          <w:szCs w:val="20"/>
        </w:rPr>
      </w:pPr>
      <w:r>
        <w:rPr>
          <w:rFonts w:ascii="宋体" w:eastAsia="宋体" w:hAnsi="宋体" w:cs="宋体"/>
          <w:spacing w:val="4"/>
          <w:sz w:val="20"/>
          <w:szCs w:val="20"/>
        </w:rPr>
        <w:t>2.</w:t>
      </w:r>
      <w:r>
        <w:rPr>
          <w:rFonts w:ascii="宋体" w:eastAsia="宋体" w:hAnsi="宋体" w:cs="宋体"/>
          <w:spacing w:val="28"/>
          <w:sz w:val="20"/>
          <w:szCs w:val="20"/>
        </w:rPr>
        <w:t xml:space="preserve"> </w:t>
      </w:r>
      <w:r>
        <w:rPr>
          <w:rFonts w:ascii="宋体" w:eastAsia="宋体" w:hAnsi="宋体" w:cs="宋体"/>
          <w:spacing w:val="4"/>
          <w:sz w:val="20"/>
          <w:szCs w:val="20"/>
        </w:rPr>
        <w:t>收入计量原则</w:t>
      </w:r>
    </w:p>
    <w:p>
      <w:pPr>
        <w:spacing w:before="221" w:line="432" w:lineRule="auto"/>
        <w:ind w:left="21" w:right="1537" w:firstLine="455"/>
        <w:jc w:val="both"/>
        <w:rPr>
          <w:rFonts w:ascii="宋体" w:eastAsia="宋体" w:hAnsi="宋体" w:cs="宋体"/>
          <w:sz w:val="20"/>
          <w:szCs w:val="20"/>
        </w:rPr>
      </w:pPr>
      <w:r>
        <w:rPr>
          <w:rFonts w:ascii="宋体" w:eastAsia="宋体" w:hAnsi="宋体" w:cs="宋体"/>
          <w:spacing w:val="6"/>
          <w:sz w:val="20"/>
          <w:szCs w:val="20"/>
        </w:rPr>
        <w:t>(1) 公司按照分摊至各单项履约义务的交易价格计量收入。交易价格是公司因向客户转</w:t>
      </w:r>
      <w:r>
        <w:rPr>
          <w:rFonts w:ascii="宋体" w:eastAsia="宋体" w:hAnsi="宋体" w:cs="宋体"/>
          <w:spacing w:val="2"/>
          <w:sz w:val="20"/>
          <w:szCs w:val="20"/>
        </w:rPr>
        <w:t xml:space="preserve"> </w:t>
      </w:r>
      <w:r>
        <w:rPr>
          <w:rFonts w:ascii="宋体" w:eastAsia="宋体" w:hAnsi="宋体" w:cs="宋体"/>
          <w:spacing w:val="8"/>
          <w:sz w:val="20"/>
          <w:szCs w:val="20"/>
        </w:rPr>
        <w:t>让商品或服务而预期有权收取的对价金额，不</w:t>
      </w:r>
      <w:r>
        <w:rPr>
          <w:rFonts w:ascii="宋体" w:eastAsia="宋体" w:hAnsi="宋体" w:cs="宋体"/>
          <w:spacing w:val="7"/>
          <w:sz w:val="20"/>
          <w:szCs w:val="20"/>
        </w:rPr>
        <w:t>包括代第三方收取的款项以及预期将退还给客</w:t>
      </w:r>
    </w:p>
    <w:p>
      <w:pPr>
        <w:spacing w:line="228" w:lineRule="auto"/>
        <w:ind w:left="20"/>
        <w:rPr>
          <w:rFonts w:ascii="宋体" w:eastAsia="宋体" w:hAnsi="宋体" w:cs="宋体"/>
          <w:sz w:val="20"/>
          <w:szCs w:val="20"/>
        </w:rPr>
      </w:pPr>
      <w:r>
        <w:rPr>
          <w:rFonts w:ascii="宋体" w:eastAsia="宋体" w:hAnsi="宋体" w:cs="宋体"/>
          <w:spacing w:val="5"/>
          <w:sz w:val="20"/>
          <w:szCs w:val="20"/>
        </w:rPr>
        <w:t>户的款项。</w:t>
      </w:r>
    </w:p>
    <w:p>
      <w:pPr>
        <w:spacing w:before="220" w:line="432" w:lineRule="auto"/>
        <w:ind w:left="19" w:right="1537" w:firstLine="456"/>
        <w:jc w:val="both"/>
        <w:rPr>
          <w:rFonts w:ascii="宋体" w:eastAsia="宋体" w:hAnsi="宋体" w:cs="宋体"/>
          <w:sz w:val="20"/>
          <w:szCs w:val="20"/>
        </w:rPr>
      </w:pPr>
      <w:r>
        <w:rPr>
          <w:rFonts w:ascii="宋体" w:eastAsia="宋体" w:hAnsi="宋体" w:cs="宋体"/>
          <w:spacing w:val="6"/>
          <w:sz w:val="20"/>
          <w:szCs w:val="20"/>
        </w:rPr>
        <w:t>(2) 合同中存在可变对价的，公司按照期望值或最可能发生金额确定可变对价的最佳估</w:t>
      </w:r>
      <w:r>
        <w:rPr>
          <w:rFonts w:ascii="宋体" w:eastAsia="宋体" w:hAnsi="宋体" w:cs="宋体"/>
          <w:spacing w:val="5"/>
          <w:sz w:val="20"/>
          <w:szCs w:val="20"/>
        </w:rPr>
        <w:t xml:space="preserve"> </w:t>
      </w:r>
      <w:r>
        <w:rPr>
          <w:rFonts w:ascii="宋体" w:eastAsia="宋体" w:hAnsi="宋体" w:cs="宋体"/>
          <w:spacing w:val="8"/>
          <w:sz w:val="20"/>
          <w:szCs w:val="20"/>
        </w:rPr>
        <w:t>计数，但包含可变对价的交易价格，不超过</w:t>
      </w:r>
      <w:r>
        <w:rPr>
          <w:rFonts w:ascii="宋体" w:eastAsia="宋体" w:hAnsi="宋体" w:cs="宋体"/>
          <w:spacing w:val="7"/>
          <w:sz w:val="20"/>
          <w:szCs w:val="20"/>
        </w:rPr>
        <w:t>在相关不确定性消除时累计已确认收入极可能不</w:t>
      </w:r>
    </w:p>
    <w:p>
      <w:pPr>
        <w:spacing w:line="226" w:lineRule="auto"/>
        <w:ind w:left="19"/>
        <w:rPr>
          <w:rFonts w:ascii="宋体" w:eastAsia="宋体" w:hAnsi="宋体" w:cs="宋体"/>
          <w:sz w:val="20"/>
          <w:szCs w:val="20"/>
        </w:rPr>
      </w:pPr>
      <w:r>
        <w:rPr>
          <w:rFonts w:ascii="宋体" w:eastAsia="宋体" w:hAnsi="宋体" w:cs="宋体"/>
          <w:spacing w:val="8"/>
          <w:sz w:val="20"/>
          <w:szCs w:val="20"/>
        </w:rPr>
        <w:t>会发生重大转回的金额。</w:t>
      </w:r>
    </w:p>
    <w:p>
      <w:pPr>
        <w:spacing w:before="223" w:line="432" w:lineRule="auto"/>
        <w:ind w:left="21" w:right="1537" w:firstLine="455"/>
        <w:jc w:val="both"/>
        <w:rPr>
          <w:rFonts w:ascii="宋体" w:eastAsia="宋体" w:hAnsi="宋体" w:cs="宋体"/>
          <w:sz w:val="20"/>
          <w:szCs w:val="20"/>
        </w:rPr>
      </w:pPr>
      <w:r>
        <w:rPr>
          <w:rFonts w:ascii="宋体" w:eastAsia="宋体" w:hAnsi="宋体" w:cs="宋体"/>
          <w:spacing w:val="6"/>
          <w:sz w:val="20"/>
          <w:szCs w:val="20"/>
        </w:rPr>
        <w:t>(3) 合同中存在重大融资成分的，公司按照假定客户在取得商品或服务控制权时即以现</w:t>
      </w:r>
      <w:r>
        <w:rPr>
          <w:rFonts w:ascii="宋体" w:eastAsia="宋体" w:hAnsi="宋体" w:cs="宋体"/>
          <w:spacing w:val="5"/>
          <w:sz w:val="20"/>
          <w:szCs w:val="20"/>
        </w:rPr>
        <w:t xml:space="preserve"> </w:t>
      </w:r>
      <w:r>
        <w:rPr>
          <w:rFonts w:ascii="宋体" w:eastAsia="宋体" w:hAnsi="宋体" w:cs="宋体"/>
          <w:spacing w:val="8"/>
          <w:sz w:val="20"/>
          <w:szCs w:val="20"/>
        </w:rPr>
        <w:t>金支付的应付金额确定交易价格。该交易价格</w:t>
      </w:r>
      <w:r>
        <w:rPr>
          <w:rFonts w:ascii="宋体" w:eastAsia="宋体" w:hAnsi="宋体" w:cs="宋体"/>
          <w:spacing w:val="7"/>
          <w:sz w:val="20"/>
          <w:szCs w:val="20"/>
        </w:rPr>
        <w:t>与合同对价之间的差额，在合同期间内采用实</w:t>
      </w:r>
    </w:p>
    <w:p>
      <w:pPr>
        <w:spacing w:line="227" w:lineRule="auto"/>
        <w:ind w:left="34"/>
        <w:rPr>
          <w:rFonts w:ascii="宋体" w:eastAsia="宋体" w:hAnsi="宋体" w:cs="宋体"/>
          <w:sz w:val="20"/>
          <w:szCs w:val="20"/>
        </w:rPr>
      </w:pPr>
      <w:r>
        <w:rPr>
          <w:rFonts w:ascii="宋体" w:eastAsia="宋体" w:hAnsi="宋体" w:cs="宋体"/>
          <w:spacing w:val="4"/>
          <w:sz w:val="20"/>
          <w:szCs w:val="20"/>
        </w:rPr>
        <w:t>际利率法摊销。</w:t>
      </w:r>
    </w:p>
    <w:p>
      <w:pPr>
        <w:spacing w:before="222" w:line="468" w:lineRule="exact"/>
        <w:ind w:left="476"/>
        <w:rPr>
          <w:rFonts w:ascii="宋体" w:eastAsia="宋体" w:hAnsi="宋体" w:cs="宋体"/>
          <w:sz w:val="20"/>
          <w:szCs w:val="20"/>
        </w:rPr>
      </w:pPr>
      <w:r>
        <w:rPr>
          <w:rFonts w:ascii="宋体" w:eastAsia="宋体" w:hAnsi="宋体" w:cs="宋体"/>
          <w:spacing w:val="6"/>
          <w:position w:val="20"/>
          <w:sz w:val="20"/>
          <w:szCs w:val="20"/>
        </w:rPr>
        <w:t>(4) 合同中包含两项或多项履约义务的，公司于合同开始日，按照各单项履约义务所承</w:t>
      </w:r>
    </w:p>
    <w:p>
      <w:pPr>
        <w:spacing w:line="226" w:lineRule="auto"/>
        <w:ind w:left="19"/>
        <w:rPr>
          <w:rFonts w:ascii="宋体" w:eastAsia="宋体" w:hAnsi="宋体" w:cs="宋体"/>
          <w:sz w:val="20"/>
          <w:szCs w:val="20"/>
        </w:rPr>
      </w:pPr>
      <w:r>
        <w:rPr>
          <w:rFonts w:ascii="宋体" w:eastAsia="宋体" w:hAnsi="宋体" w:cs="宋体"/>
          <w:spacing w:val="9"/>
          <w:sz w:val="20"/>
          <w:szCs w:val="20"/>
        </w:rPr>
        <w:t>诺商品的单独售价的相对比例，将交易价格分摊至各单项履约义务。</w:t>
      </w:r>
    </w:p>
    <w:p>
      <w:pPr>
        <w:spacing w:before="223" w:line="227" w:lineRule="auto"/>
        <w:ind w:left="476"/>
        <w:outlineLvl w:val="1"/>
        <w:rPr>
          <w:rFonts w:ascii="宋体" w:eastAsia="宋体" w:hAnsi="宋体" w:cs="宋体"/>
          <w:sz w:val="20"/>
          <w:szCs w:val="20"/>
        </w:rPr>
      </w:pPr>
      <w:r>
        <w:rPr>
          <w:rFonts w:ascii="宋体" w:eastAsia="宋体" w:hAnsi="宋体" w:cs="宋体"/>
          <w:spacing w:val="6"/>
          <w:sz w:val="20"/>
          <w:szCs w:val="20"/>
        </w:rPr>
        <w:t>(二十二) 合同取得成本、合同履约成本</w:t>
      </w:r>
    </w:p>
    <w:p>
      <w:pPr>
        <w:spacing w:before="222" w:line="468" w:lineRule="exact"/>
        <w:ind w:left="446"/>
        <w:rPr>
          <w:rFonts w:ascii="宋体" w:eastAsia="宋体" w:hAnsi="宋体" w:cs="宋体"/>
          <w:sz w:val="20"/>
          <w:szCs w:val="20"/>
        </w:rPr>
      </w:pPr>
      <w:r>
        <w:rPr>
          <w:rFonts w:ascii="宋体" w:eastAsia="宋体" w:hAnsi="宋体" w:cs="宋体"/>
          <w:spacing w:val="9"/>
          <w:position w:val="20"/>
          <w:sz w:val="20"/>
          <w:szCs w:val="20"/>
        </w:rPr>
        <w:t>公司为取得合同发生的增量成本预期能够收回的，作为合同取得成本确认为一项资产。</w:t>
      </w:r>
    </w:p>
    <w:p>
      <w:pPr>
        <w:spacing w:before="1" w:line="226" w:lineRule="auto"/>
        <w:ind w:left="23"/>
        <w:rPr>
          <w:rFonts w:ascii="宋体" w:eastAsia="宋体" w:hAnsi="宋体" w:cs="宋体"/>
          <w:sz w:val="20"/>
          <w:szCs w:val="20"/>
        </w:rPr>
      </w:pPr>
      <w:r>
        <w:rPr>
          <w:rFonts w:ascii="宋体" w:eastAsia="宋体" w:hAnsi="宋体" w:cs="宋体"/>
          <w:spacing w:val="9"/>
          <w:sz w:val="20"/>
          <w:szCs w:val="20"/>
        </w:rPr>
        <w:t>如果合同取得成本的摊销期限不超过一年，在发生时直接计入当期损益。</w:t>
      </w:r>
    </w:p>
    <w:p>
      <w:pPr>
        <w:spacing w:before="222" w:line="468" w:lineRule="exact"/>
        <w:ind w:left="446"/>
        <w:rPr>
          <w:rFonts w:ascii="宋体" w:eastAsia="宋体" w:hAnsi="宋体" w:cs="宋体"/>
          <w:sz w:val="20"/>
          <w:szCs w:val="20"/>
        </w:rPr>
      </w:pPr>
      <w:r>
        <w:rPr>
          <w:rFonts w:ascii="宋体" w:eastAsia="宋体" w:hAnsi="宋体" w:cs="宋体"/>
          <w:spacing w:val="7"/>
          <w:position w:val="20"/>
          <w:sz w:val="20"/>
          <w:szCs w:val="20"/>
        </w:rPr>
        <w:t>公司为履行合同发生的成本，不适用存货、固定资产或无形资产等相关准则的规范范围</w:t>
      </w:r>
    </w:p>
    <w:p>
      <w:pPr>
        <w:spacing w:before="1" w:line="226" w:lineRule="auto"/>
        <w:ind w:left="19"/>
        <w:rPr>
          <w:rFonts w:ascii="宋体" w:eastAsia="宋体" w:hAnsi="宋体" w:cs="宋体"/>
          <w:sz w:val="20"/>
          <w:szCs w:val="20"/>
        </w:rPr>
      </w:pPr>
      <w:r>
        <w:rPr>
          <w:rFonts w:ascii="宋体" w:eastAsia="宋体" w:hAnsi="宋体" w:cs="宋体"/>
          <w:spacing w:val="9"/>
          <w:sz w:val="20"/>
          <w:szCs w:val="20"/>
        </w:rPr>
        <w:t>且同时满足下列条件的，作为合同履约成本确认为一项资产：</w:t>
      </w:r>
    </w:p>
    <w:p>
      <w:pPr>
        <w:spacing w:before="222" w:line="468" w:lineRule="exact"/>
        <w:ind w:left="455"/>
        <w:rPr>
          <w:rFonts w:ascii="宋体" w:eastAsia="宋体" w:hAnsi="宋体" w:cs="宋体"/>
          <w:sz w:val="20"/>
          <w:szCs w:val="20"/>
        </w:rPr>
      </w:pPr>
      <w:r>
        <w:rPr>
          <w:rFonts w:ascii="宋体" w:eastAsia="宋体" w:hAnsi="宋体" w:cs="宋体"/>
          <w:spacing w:val="9"/>
          <w:position w:val="20"/>
          <w:sz w:val="20"/>
          <w:szCs w:val="20"/>
        </w:rPr>
        <w:t>1. 该成本与一份当前或预期取得的合同直接相关，包括直接人工、直接材料、制造费</w:t>
      </w:r>
    </w:p>
    <w:p>
      <w:pPr>
        <w:spacing w:before="1" w:line="226" w:lineRule="auto"/>
        <w:ind w:left="21"/>
        <w:rPr>
          <w:rFonts w:ascii="宋体" w:eastAsia="宋体" w:hAnsi="宋体" w:cs="宋体"/>
          <w:sz w:val="20"/>
          <w:szCs w:val="20"/>
        </w:rPr>
      </w:pPr>
      <w:r>
        <w:rPr>
          <w:rFonts w:ascii="宋体" w:eastAsia="宋体" w:hAnsi="宋体" w:cs="宋体"/>
          <w:spacing w:val="9"/>
          <w:sz w:val="20"/>
          <w:szCs w:val="20"/>
        </w:rPr>
        <w:t>用（或类似费用）、明确由客户承担的成本以及仅因该合同而发生的其他成本；</w:t>
      </w:r>
    </w:p>
    <w:p>
      <w:pPr>
        <w:spacing w:before="222" w:line="468" w:lineRule="exact"/>
        <w:ind w:left="442"/>
        <w:rPr>
          <w:rFonts w:ascii="宋体" w:eastAsia="宋体" w:hAnsi="宋体" w:cs="宋体"/>
          <w:sz w:val="20"/>
          <w:szCs w:val="20"/>
        </w:rPr>
      </w:pPr>
      <w:r>
        <w:rPr>
          <w:rFonts w:ascii="宋体" w:eastAsia="宋体" w:hAnsi="宋体" w:cs="宋体"/>
          <w:spacing w:val="8"/>
          <w:position w:val="20"/>
          <w:sz w:val="20"/>
          <w:szCs w:val="20"/>
        </w:rPr>
        <w:t>2. 该成本增加了公司未来用于履行履约义务的资源；</w:t>
      </w:r>
    </w:p>
    <w:p>
      <w:pPr>
        <w:spacing w:before="1" w:line="226" w:lineRule="auto"/>
        <w:ind w:left="444"/>
        <w:rPr>
          <w:rFonts w:ascii="宋体" w:eastAsia="宋体" w:hAnsi="宋体" w:cs="宋体"/>
          <w:sz w:val="20"/>
          <w:szCs w:val="20"/>
        </w:rPr>
      </w:pPr>
      <w:r>
        <w:rPr>
          <w:rFonts w:ascii="宋体" w:eastAsia="宋体" w:hAnsi="宋体" w:cs="宋体"/>
          <w:spacing w:val="7"/>
          <w:sz w:val="20"/>
          <w:szCs w:val="20"/>
        </w:rPr>
        <w:t>3. 该成本预期能够收回。</w:t>
      </w:r>
    </w:p>
    <w:p>
      <w:pPr>
        <w:spacing w:before="223" w:line="468" w:lineRule="exact"/>
        <w:ind w:left="446"/>
        <w:rPr>
          <w:rFonts w:ascii="宋体" w:eastAsia="宋体" w:hAnsi="宋体" w:cs="宋体"/>
          <w:sz w:val="20"/>
          <w:szCs w:val="20"/>
        </w:rPr>
      </w:pPr>
      <w:r>
        <w:rPr>
          <w:rFonts w:ascii="宋体" w:eastAsia="宋体" w:hAnsi="宋体" w:cs="宋体"/>
          <w:spacing w:val="13"/>
          <w:position w:val="20"/>
          <w:sz w:val="20"/>
          <w:szCs w:val="20"/>
        </w:rPr>
        <w:t>公司对于与合同成本有关的资产采用与该资产相关的商品或服务收入确</w:t>
      </w:r>
      <w:r>
        <w:rPr>
          <w:rFonts w:ascii="宋体" w:eastAsia="宋体" w:hAnsi="宋体" w:cs="宋体"/>
          <w:spacing w:val="12"/>
          <w:position w:val="20"/>
          <w:sz w:val="20"/>
          <w:szCs w:val="20"/>
        </w:rPr>
        <w:t>认相同的基础</w:t>
      </w:r>
    </w:p>
    <w:p>
      <w:pPr>
        <w:spacing w:line="227" w:lineRule="auto"/>
        <w:ind w:left="18"/>
        <w:rPr>
          <w:rFonts w:ascii="宋体" w:eastAsia="宋体" w:hAnsi="宋体" w:cs="宋体"/>
          <w:sz w:val="20"/>
          <w:szCs w:val="20"/>
        </w:rPr>
      </w:pPr>
      <w:r>
        <w:rPr>
          <w:rFonts w:ascii="宋体" w:eastAsia="宋体" w:hAnsi="宋体" w:cs="宋体"/>
          <w:spacing w:val="8"/>
          <w:sz w:val="20"/>
          <w:szCs w:val="20"/>
        </w:rPr>
        <w:t>进行摊销，计入当期损益。</w:t>
      </w:r>
    </w:p>
    <w:p>
      <w:pPr>
        <w:spacing w:before="222" w:line="432" w:lineRule="auto"/>
        <w:ind w:left="19" w:right="1537" w:firstLine="424"/>
        <w:rPr>
          <w:rFonts w:ascii="宋体" w:eastAsia="宋体" w:hAnsi="宋体" w:cs="宋体"/>
          <w:sz w:val="20"/>
          <w:szCs w:val="20"/>
        </w:rPr>
      </w:pPr>
      <w:r>
        <w:rPr>
          <w:rFonts w:ascii="宋体" w:eastAsia="宋体" w:hAnsi="宋体" w:cs="宋体"/>
          <w:spacing w:val="13"/>
          <w:sz w:val="20"/>
          <w:szCs w:val="20"/>
        </w:rPr>
        <w:t>如果与合同成本有关的资产的账面价值高于因转让与该资产相关的商品或服务</w:t>
      </w:r>
      <w:r>
        <w:rPr>
          <w:rFonts w:ascii="宋体" w:eastAsia="宋体" w:hAnsi="宋体" w:cs="宋体"/>
          <w:spacing w:val="12"/>
          <w:sz w:val="20"/>
          <w:szCs w:val="20"/>
        </w:rPr>
        <w:t>预期能</w:t>
      </w:r>
      <w:r>
        <w:rPr>
          <w:rFonts w:ascii="宋体" w:eastAsia="宋体" w:hAnsi="宋体" w:cs="宋体"/>
          <w:sz w:val="20"/>
          <w:szCs w:val="20"/>
        </w:rPr>
        <w:t xml:space="preserve"> </w:t>
      </w:r>
      <w:r>
        <w:rPr>
          <w:rFonts w:ascii="宋体" w:eastAsia="宋体" w:hAnsi="宋体" w:cs="宋体"/>
          <w:spacing w:val="8"/>
          <w:sz w:val="20"/>
          <w:szCs w:val="20"/>
        </w:rPr>
        <w:t>够取得的剩余对价减去估计将要发生的成本，</w:t>
      </w:r>
      <w:r>
        <w:rPr>
          <w:rFonts w:ascii="宋体" w:eastAsia="宋体" w:hAnsi="宋体" w:cs="宋体"/>
          <w:spacing w:val="7"/>
          <w:sz w:val="20"/>
          <w:szCs w:val="20"/>
        </w:rPr>
        <w:t>公司对超出部分计提减值准备，并确认为资产</w:t>
      </w:r>
      <w:r>
        <w:rPr>
          <w:rFonts w:ascii="宋体" w:eastAsia="宋体" w:hAnsi="宋体" w:cs="宋体"/>
          <w:sz w:val="20"/>
          <w:szCs w:val="20"/>
        </w:rPr>
        <w:t xml:space="preserve"> </w:t>
      </w:r>
      <w:r>
        <w:rPr>
          <w:rFonts w:ascii="宋体" w:eastAsia="宋体" w:hAnsi="宋体" w:cs="宋体"/>
          <w:spacing w:val="8"/>
          <w:sz w:val="20"/>
          <w:szCs w:val="20"/>
        </w:rPr>
        <w:t>减值损失。以前期间减值的因素之后发生变化，使</w:t>
      </w:r>
      <w:r>
        <w:rPr>
          <w:rFonts w:ascii="宋体" w:eastAsia="宋体" w:hAnsi="宋体" w:cs="宋体"/>
          <w:spacing w:val="7"/>
          <w:sz w:val="20"/>
          <w:szCs w:val="20"/>
        </w:rPr>
        <w:t>得转让该资产相关的商品或服务预期能够</w:t>
      </w:r>
      <w:r>
        <w:rPr>
          <w:rFonts w:ascii="宋体" w:eastAsia="宋体" w:hAnsi="宋体" w:cs="宋体"/>
          <w:sz w:val="20"/>
          <w:szCs w:val="20"/>
        </w:rPr>
        <w:t xml:space="preserve"> </w:t>
      </w:r>
      <w:r>
        <w:rPr>
          <w:rFonts w:ascii="宋体" w:eastAsia="宋体" w:hAnsi="宋体" w:cs="宋体"/>
          <w:spacing w:val="8"/>
          <w:sz w:val="20"/>
          <w:szCs w:val="20"/>
        </w:rPr>
        <w:t>取得的剩余对价减去估计将要发生的成本高于该资产</w:t>
      </w:r>
      <w:r>
        <w:rPr>
          <w:rFonts w:ascii="宋体" w:eastAsia="宋体" w:hAnsi="宋体" w:cs="宋体"/>
          <w:spacing w:val="7"/>
          <w:sz w:val="20"/>
          <w:szCs w:val="20"/>
        </w:rPr>
        <w:t>账面价值的，转回原已计提的资产减值</w:t>
      </w:r>
      <w:r>
        <w:rPr>
          <w:rFonts w:ascii="宋体" w:eastAsia="宋体" w:hAnsi="宋体" w:cs="宋体"/>
          <w:sz w:val="20"/>
          <w:szCs w:val="20"/>
        </w:rPr>
        <w:t xml:space="preserve"> </w:t>
      </w:r>
      <w:r>
        <w:rPr>
          <w:rFonts w:ascii="宋体" w:eastAsia="宋体" w:hAnsi="宋体" w:cs="宋体"/>
          <w:spacing w:val="8"/>
          <w:sz w:val="20"/>
          <w:szCs w:val="20"/>
        </w:rPr>
        <w:t>准备，并计入当期损益，但转回后的资产账面价值</w:t>
      </w:r>
      <w:r>
        <w:rPr>
          <w:rFonts w:ascii="宋体" w:eastAsia="宋体" w:hAnsi="宋体" w:cs="宋体"/>
          <w:spacing w:val="7"/>
          <w:sz w:val="20"/>
          <w:szCs w:val="20"/>
        </w:rPr>
        <w:t>不超过假定不计提减值准备情况下该资产</w:t>
      </w:r>
    </w:p>
    <w:p>
      <w:pPr>
        <w:spacing w:line="226" w:lineRule="auto"/>
        <w:ind w:left="19"/>
        <w:rPr>
          <w:rFonts w:ascii="宋体" w:eastAsia="宋体" w:hAnsi="宋体" w:cs="宋体"/>
          <w:sz w:val="20"/>
          <w:szCs w:val="20"/>
        </w:rPr>
      </w:pPr>
      <w:r>
        <w:rPr>
          <w:rFonts w:ascii="宋体" w:eastAsia="宋体" w:hAnsi="宋体" w:cs="宋体"/>
          <w:spacing w:val="8"/>
          <w:sz w:val="20"/>
          <w:szCs w:val="20"/>
        </w:rPr>
        <w:t>在转回日的账面价值。</w:t>
      </w:r>
    </w:p>
    <w:p>
      <w:pPr>
        <w:spacing w:before="255" w:line="219" w:lineRule="auto"/>
        <w:ind w:left="3409"/>
        <w:rPr>
          <w:rFonts w:ascii="宋体" w:eastAsia="宋体" w:hAnsi="宋体" w:cs="宋体"/>
          <w:sz w:val="18"/>
          <w:szCs w:val="18"/>
        </w:rPr>
      </w:pPr>
      <w:r>
        <w:rPr>
          <w:rFonts w:ascii="宋体" w:eastAsia="宋体" w:hAnsi="宋体" w:cs="宋体"/>
          <w:spacing w:val="-5"/>
          <w:sz w:val="18"/>
          <w:szCs w:val="18"/>
        </w:rPr>
        <w:t>第</w:t>
      </w:r>
      <w:r>
        <w:rPr>
          <w:rFonts w:ascii="宋体" w:eastAsia="宋体" w:hAnsi="宋体" w:cs="宋体"/>
          <w:spacing w:val="14"/>
          <w:sz w:val="18"/>
          <w:szCs w:val="18"/>
        </w:rPr>
        <w:t xml:space="preserve"> </w:t>
      </w:r>
      <w:r>
        <w:rPr>
          <w:rFonts w:ascii="宋体" w:eastAsia="宋体" w:hAnsi="宋体" w:cs="宋体"/>
          <w:spacing w:val="-5"/>
          <w:sz w:val="18"/>
          <w:szCs w:val="18"/>
        </w:rPr>
        <w:t>26</w:t>
      </w:r>
      <w:r>
        <w:rPr>
          <w:rFonts w:ascii="宋体" w:eastAsia="宋体" w:hAnsi="宋体" w:cs="宋体"/>
          <w:spacing w:val="12"/>
          <w:sz w:val="18"/>
          <w:szCs w:val="18"/>
        </w:rPr>
        <w:t xml:space="preserve"> </w:t>
      </w:r>
      <w:r>
        <w:rPr>
          <w:rFonts w:ascii="宋体" w:eastAsia="宋体" w:hAnsi="宋体" w:cs="宋体"/>
          <w:spacing w:val="-5"/>
          <w:sz w:val="18"/>
          <w:szCs w:val="18"/>
        </w:rPr>
        <w:t>页 共</w:t>
      </w:r>
      <w:r>
        <w:rPr>
          <w:rFonts w:ascii="宋体" w:eastAsia="宋体" w:hAnsi="宋体" w:cs="宋体"/>
          <w:spacing w:val="12"/>
          <w:sz w:val="18"/>
          <w:szCs w:val="18"/>
        </w:rPr>
        <w:t xml:space="preserve"> </w:t>
      </w:r>
      <w:r>
        <w:rPr>
          <w:rFonts w:ascii="宋体" w:eastAsia="宋体" w:hAnsi="宋体" w:cs="宋体"/>
          <w:spacing w:val="-5"/>
          <w:sz w:val="18"/>
          <w:szCs w:val="18"/>
        </w:rPr>
        <w:t>59</w:t>
      </w:r>
      <w:r>
        <w:rPr>
          <w:rFonts w:ascii="宋体" w:eastAsia="宋体" w:hAnsi="宋体" w:cs="宋体"/>
          <w:spacing w:val="9"/>
          <w:sz w:val="18"/>
          <w:szCs w:val="18"/>
        </w:rPr>
        <w:t xml:space="preserve"> </w:t>
      </w:r>
      <w:r>
        <w:rPr>
          <w:rFonts w:ascii="宋体" w:eastAsia="宋体" w:hAnsi="宋体" w:cs="宋体"/>
          <w:spacing w:val="-5"/>
          <w:sz w:val="18"/>
          <w:szCs w:val="18"/>
        </w:rPr>
        <w:t>页</w:t>
      </w:r>
    </w:p>
    <w:p>
      <w:pPr>
        <w:spacing w:line="219" w:lineRule="auto"/>
        <w:rPr>
          <w:rFonts w:ascii="宋体" w:eastAsia="宋体" w:hAnsi="宋体" w:cs="宋体"/>
          <w:sz w:val="18"/>
          <w:szCs w:val="18"/>
        </w:rPr>
      </w:pPr>
      <w:r>
        <w:rPr>
          <w:rFonts w:ascii="宋体" w:eastAsia="宋体" w:hAnsi="宋体" w:cs="宋体"/>
          <w:sz w:val="18"/>
          <w:szCs w:val="18"/>
        </w:rPr>
        <w:br/>
      </w:r>
      <w:r>
        <w:rPr>
          <w:rFonts w:ascii="宋体" w:eastAsia="宋体" w:hAnsi="宋体" w:cs="宋体"/>
          <w:sz w:val="18"/>
          <w:szCs w:val="18"/>
        </w:rPr>
        <w:br/>
      </w:r>
    </w:p>
    <w:p>
      <w:pPr>
        <w:kinsoku/>
        <w:autoSpaceDE/>
        <w:autoSpaceDN/>
        <w:adjustRightInd/>
        <w:snapToGrid/>
        <w:spacing w:line="240" w:lineRule="auto"/>
        <w:jc w:val="left"/>
        <w:textAlignment w:val="auto"/>
        <w:rPr>
          <w:rFonts w:ascii="SimSun" w:eastAsia="SimSun" w:hAnsi="SimSun" w:cs="SimSun"/>
          <w:b/>
          <w:bCs/>
          <w:snapToGrid/>
          <w:kern w:val="0"/>
          <w:sz w:val="30"/>
          <w:szCs w:val="30"/>
        </w:rPr>
      </w:pPr>
      <w:r>
        <w:rPr>
          <w:rFonts w:ascii="SimSun" w:eastAsia="SimSun" w:hAnsi="SimSun" w:cs="SimSun"/>
          <w:b/>
          <w:bCs/>
          <w:snapToGrid/>
          <w:kern w:val="0"/>
          <w:sz w:val="30"/>
          <w:szCs w:val="30"/>
        </w:rPr>
        <w:t>以上内容仅为本文档的试下载部分，为可阅读页数的一半内容。如要下载或阅读全文，请访问：</w:t>
      </w:r>
      <w:hyperlink r:id="rId61" w:history="1">
        <w:r>
          <w:rPr>
            <w:rFonts w:ascii="SimSun" w:eastAsia="SimSun" w:hAnsi="SimSun" w:cs="SimSun"/>
            <w:b/>
            <w:bCs/>
            <w:snapToGrid/>
            <w:color w:val="0000EE"/>
            <w:kern w:val="0"/>
            <w:sz w:val="30"/>
            <w:szCs w:val="30"/>
            <w:u w:val="single" w:color="0000EE"/>
          </w:rPr>
          <w:t>https://d.book118.com/528002062006006040</w:t>
        </w:r>
      </w:hyperlink>
    </w:p>
    <w:p>
      <w:pPr>
        <w:spacing w:line="219" w:lineRule="auto"/>
        <w:rPr>
          <w:rFonts w:ascii="宋体" w:eastAsia="宋体" w:hAnsi="宋体" w:cs="宋体"/>
          <w:sz w:val="18"/>
          <w:szCs w:val="18"/>
        </w:rPr>
      </w:pPr>
    </w:p>
    <w:sectPr>
      <w:headerReference w:type="default" r:id="rId62"/>
      <w:footerReference w:type="default" r:id="rId63"/>
      <w:pgSz w:w="11906" w:h="16839"/>
      <w:pgMar w:top="400" w:right="259" w:bottom="400" w:left="1785" w:header="0" w:footer="0" w:gutter="0"/>
      <w:pgNumType w:start="27"/>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59486DC5"/>
  </w:rsids>
  <w:docVars>
    <w:docVar w:name="commondata" w:val="eyJoZGlkIjoiMzg5MzIzOGViZDdkODk4MmE0YTVmMDFiMmQzMDNhZDU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US" w:eastAsia="en-US" w:bidi="ar-SA"/>
      </w:rPr>
    </w:rPrDefault>
    <w:pPrDefault/>
  </w:docDefaults>
  <w:latentStyles w:defLockedState="0" w:defUIPriority="99" w:defSemiHidden="1" w:defUnhideWhenUsed="1" w:defQFormat="0" w:count="260">
    <w:lsdException w:name="Normal"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rFonts w:ascii="Arial" w:eastAsia="Arial" w:hAnsi="Arial" w:cs="Arial"/>
      <w:snapToGrid w:val="0"/>
      <w:color w:val="000000"/>
      <w:kern w:val="0"/>
      <w:sz w:val="21"/>
      <w:szCs w:val="21"/>
      <w:lang w:val="en-US" w:eastAsia="en-US"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semiHidden/>
    <w:qFormat/>
    <w:rPr>
      <w:rFonts w:ascii="黑体" w:eastAsia="黑体" w:hAnsi="黑体" w:cs="黑体"/>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宋体" w:eastAsia="宋体" w:hAnsi="宋体" w:cs="宋体"/>
      <w:sz w:val="20"/>
      <w:szCs w:val="20"/>
      <w:lang w:val="en-US" w:eastAsia="en-US" w:bidi="ar-SA"/>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5.xml" /><Relationship Id="rId12" Type="http://schemas.openxmlformats.org/officeDocument/2006/relationships/image" Target="media/image2.jpeg" /><Relationship Id="rId13" Type="http://schemas.openxmlformats.org/officeDocument/2006/relationships/header" Target="header2.xml" /><Relationship Id="rId14" Type="http://schemas.openxmlformats.org/officeDocument/2006/relationships/footer" Target="footer6.xml" /><Relationship Id="rId15" Type="http://schemas.openxmlformats.org/officeDocument/2006/relationships/image" Target="media/image3.jpeg" /><Relationship Id="rId16" Type="http://schemas.openxmlformats.org/officeDocument/2006/relationships/header" Target="header3.xml" /><Relationship Id="rId17" Type="http://schemas.openxmlformats.org/officeDocument/2006/relationships/footer" Target="footer7.xml" /><Relationship Id="rId18" Type="http://schemas.openxmlformats.org/officeDocument/2006/relationships/image" Target="media/image4.png"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5.jpeg" /><Relationship Id="rId22" Type="http://schemas.openxmlformats.org/officeDocument/2006/relationships/header" Target="header5.xml" /><Relationship Id="rId23" Type="http://schemas.openxmlformats.org/officeDocument/2006/relationships/footer" Target="footer9.xml" /><Relationship Id="rId24" Type="http://schemas.openxmlformats.org/officeDocument/2006/relationships/image" Target="media/image6.jpeg" /><Relationship Id="rId25" Type="http://schemas.openxmlformats.org/officeDocument/2006/relationships/header" Target="header6.xml" /><Relationship Id="rId26" Type="http://schemas.openxmlformats.org/officeDocument/2006/relationships/footer" Target="footer10.xml" /><Relationship Id="rId27" Type="http://schemas.openxmlformats.org/officeDocument/2006/relationships/image" Target="media/image7.jpeg" /><Relationship Id="rId28" Type="http://schemas.openxmlformats.org/officeDocument/2006/relationships/header" Target="header7.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image" Target="media/image8.jpeg" /><Relationship Id="rId31" Type="http://schemas.openxmlformats.org/officeDocument/2006/relationships/header" Target="header8.xml" /><Relationship Id="rId32" Type="http://schemas.openxmlformats.org/officeDocument/2006/relationships/footer" Target="footer12.xml" /><Relationship Id="rId33" Type="http://schemas.openxmlformats.org/officeDocument/2006/relationships/header" Target="header9.xml" /><Relationship Id="rId34" Type="http://schemas.openxmlformats.org/officeDocument/2006/relationships/footer" Target="footer13.xml" /><Relationship Id="rId35" Type="http://schemas.openxmlformats.org/officeDocument/2006/relationships/header" Target="header10.xml" /><Relationship Id="rId36" Type="http://schemas.openxmlformats.org/officeDocument/2006/relationships/footer" Target="footer14.xml" /><Relationship Id="rId37" Type="http://schemas.openxmlformats.org/officeDocument/2006/relationships/header" Target="header11.xml" /><Relationship Id="rId38" Type="http://schemas.openxmlformats.org/officeDocument/2006/relationships/footer" Target="footer15.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16.xml" /><Relationship Id="rId41" Type="http://schemas.openxmlformats.org/officeDocument/2006/relationships/header" Target="header13.xml" /><Relationship Id="rId42" Type="http://schemas.openxmlformats.org/officeDocument/2006/relationships/footer" Target="footer17.xml" /><Relationship Id="rId43" Type="http://schemas.openxmlformats.org/officeDocument/2006/relationships/header" Target="header14.xml" /><Relationship Id="rId44" Type="http://schemas.openxmlformats.org/officeDocument/2006/relationships/footer" Target="footer18.xml" /><Relationship Id="rId45" Type="http://schemas.openxmlformats.org/officeDocument/2006/relationships/header" Target="header15.xml" /><Relationship Id="rId46" Type="http://schemas.openxmlformats.org/officeDocument/2006/relationships/footer" Target="footer19.xml" /><Relationship Id="rId47" Type="http://schemas.openxmlformats.org/officeDocument/2006/relationships/header" Target="header16.xml" /><Relationship Id="rId48" Type="http://schemas.openxmlformats.org/officeDocument/2006/relationships/footer" Target="footer20.xml" /><Relationship Id="rId49" Type="http://schemas.openxmlformats.org/officeDocument/2006/relationships/header" Target="header17.xml" /><Relationship Id="rId5" Type="http://schemas.openxmlformats.org/officeDocument/2006/relationships/footer" Target="footer1.xml" /><Relationship Id="rId50" Type="http://schemas.openxmlformats.org/officeDocument/2006/relationships/footer" Target="footer21.xml" /><Relationship Id="rId51" Type="http://schemas.openxmlformats.org/officeDocument/2006/relationships/header" Target="header18.xml" /><Relationship Id="rId52" Type="http://schemas.openxmlformats.org/officeDocument/2006/relationships/footer" Target="footer22.xml" /><Relationship Id="rId53" Type="http://schemas.openxmlformats.org/officeDocument/2006/relationships/header" Target="header19.xml" /><Relationship Id="rId54" Type="http://schemas.openxmlformats.org/officeDocument/2006/relationships/footer" Target="footer23.xml" /><Relationship Id="rId55" Type="http://schemas.openxmlformats.org/officeDocument/2006/relationships/header" Target="header20.xml" /><Relationship Id="rId56" Type="http://schemas.openxmlformats.org/officeDocument/2006/relationships/footer" Target="footer24.xml" /><Relationship Id="rId57" Type="http://schemas.openxmlformats.org/officeDocument/2006/relationships/header" Target="header21.xml" /><Relationship Id="rId58" Type="http://schemas.openxmlformats.org/officeDocument/2006/relationships/footer" Target="footer25.xml" /><Relationship Id="rId59" Type="http://schemas.openxmlformats.org/officeDocument/2006/relationships/header" Target="header22.xml" /><Relationship Id="rId6" Type="http://schemas.openxmlformats.org/officeDocument/2006/relationships/footer" Target="footer2.xml" /><Relationship Id="rId60" Type="http://schemas.openxmlformats.org/officeDocument/2006/relationships/footer" Target="footer26.xml" /><Relationship Id="rId61" Type="http://schemas.openxmlformats.org/officeDocument/2006/relationships/hyperlink" Target="https://d.book118.com/528002062006006040" TargetMode="External" /><Relationship Id="rId62" Type="http://schemas.openxmlformats.org/officeDocument/2006/relationships/header" Target="header23.xml" /><Relationship Id="rId63" Type="http://schemas.openxmlformats.org/officeDocument/2006/relationships/footer" Target="footer27.xml" /><Relationship Id="rId64" Type="http://schemas.openxmlformats.org/officeDocument/2006/relationships/theme" Target="theme/theme1.xml" /><Relationship Id="rId65" Type="http://schemas.openxmlformats.org/officeDocument/2006/relationships/styles" Target="styles.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1.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龙风呈祥</cp:lastModifiedBy>
  <cp:revision>0</cp:revision>
  <dcterms:created xsi:type="dcterms:W3CDTF">2024-02-21T18:27:00Z</dcterms:created>
  <dcterms:modified xsi:type="dcterms:W3CDTF">2024-02-22T04:22:33Z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2024-02-22T12:22:06Z</vt:filetime>
  </property>
  <property fmtid="{D5CDD505-2E9C-101B-9397-08002B2CF9AE}" pid="3" name="CRO">
    <vt:lpwstr>wqlLaW5nc29mdCBQREYgdG8gV1BTIDkw</vt:lpwstr>
  </property>
  <property fmtid="{D5CDD505-2E9C-101B-9397-08002B2CF9AE}" pid="4" name="ICV">
    <vt:lpwstr>4ABE7BF43CF04B9CBF207CB8C0FD6E50_12</vt:lpwstr>
  </property>
  <property fmtid="{D5CDD505-2E9C-101B-9397-08002B2CF9AE}" pid="5" name="KSOProductBuildVer">
    <vt:lpwstr>2052-12.1.0.16250</vt:lpwstr>
  </property>
</Properties>
</file>