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drawing>
          <wp:anchor distT="0" distB="0" distL="0" distR="0" simplePos="0" relativeHeight="251658240" behindDoc="0" locked="0" layoutInCell="1" allowOverlap="1">
            <wp:simplePos x="0" y="0"/>
            <wp:positionH relativeFrom="page">
              <wp:posOffset>751168</wp:posOffset>
            </wp:positionH>
            <wp:positionV relativeFrom="page">
              <wp:posOffset>585879</wp:posOffset>
            </wp:positionV>
            <wp:extent cx="10589676" cy="166610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10589676" cy="166610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72"/>
        <w:ind w:left="6305" w:right="0" w:firstLine="0"/>
        <w:jc w:val="left"/>
        <w:rPr>
          <w:b/>
          <w:sz w:val="60"/>
        </w:rPr>
      </w:pPr>
      <w:r>
        <w:rPr>
          <w:b/>
          <w:sz w:val="60"/>
        </w:rPr>
        <w:t>、控制阀流量特性解析</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pStyle w:val="BodyText"/>
        <w:rPr>
          <w:b/>
          <w:sz w:val="12"/>
        </w:rPr>
      </w:pPr>
    </w:p>
    <w:p>
      <w:pPr>
        <w:pStyle w:val="BodyText"/>
        <w:rPr>
          <w:b/>
          <w:sz w:val="12"/>
        </w:rPr>
      </w:pPr>
    </w:p>
    <w:p>
      <w:pPr>
        <w:pStyle w:val="BodyText"/>
        <w:rPr>
          <w:b/>
          <w:sz w:val="12"/>
        </w:rPr>
      </w:pPr>
    </w:p>
    <w:p>
      <w:pPr>
        <w:pStyle w:val="BodyText"/>
        <w:rPr>
          <w:b/>
          <w:sz w:val="12"/>
        </w:rPr>
      </w:pPr>
    </w:p>
    <w:p>
      <w:pPr>
        <w:pStyle w:val="BodyText"/>
        <w:rPr>
          <w:b/>
          <w:sz w:val="12"/>
        </w:rPr>
      </w:pPr>
    </w:p>
    <w:p>
      <w:pPr>
        <w:pStyle w:val="BodyText"/>
        <w:spacing w:before="5"/>
        <w:rPr>
          <w:b/>
          <w:sz w:val="15"/>
        </w:rPr>
      </w:pPr>
    </w:p>
    <w:p>
      <w:pPr>
        <w:spacing w:before="1"/>
        <w:ind w:left="1338" w:right="0" w:firstLine="0"/>
        <w:jc w:val="left"/>
        <w:rPr>
          <w:sz w:val="12"/>
        </w:rPr>
      </w:pPr>
      <w:r>
        <w:pict>
          <v:shapetype id="_x0000_t202" coordsize="21600,21600" o:spt="202" path="m,l,21600r21600,l21600,xe">
            <v:stroke joinstyle="miter"/>
            <v:path gradientshapeok="t" o:connecttype="rect"/>
          </v:shapetype>
          <v:shape id="_x0000_s1025" type="#_x0000_t202" style="width:9.5pt;height:51.6pt;margin-top:-21.74pt;margin-left:821.55pt;mso-position-horizontal-relative:page;position:absolute;z-index:-251656192" filled="f" stroked="f">
            <v:textbox inset="0,0,0,0">
              <w:txbxContent>
                <w:p>
                  <w:pPr>
                    <w:spacing w:before="0" w:line="1031" w:lineRule="exact"/>
                    <w:ind w:left="0" w:right="0" w:firstLine="0"/>
                    <w:jc w:val="left"/>
                    <w:rPr>
                      <w:rFonts w:ascii="Times New Roman"/>
                      <w:sz w:val="93"/>
                    </w:rPr>
                  </w:pPr>
                  <w:r>
                    <w:rPr>
                      <w:rFonts w:ascii="Times New Roman"/>
                      <w:color w:val="A7FDE1"/>
                      <w:w w:val="61"/>
                      <w:sz w:val="93"/>
                    </w:rPr>
                    <w:t>-</w:t>
                  </w:r>
                </w:p>
              </w:txbxContent>
            </v:textbox>
          </v:shape>
        </w:pict>
      </w:r>
      <w:r>
        <w:pict>
          <v:group id="_x0000_s1026" style="width:790.95pt;height:118.8pt;margin-top:-47.14pt;margin-left:102.06pt;mso-position-horizontal-relative:page;position:absolute;z-index:251659264" coordorigin="2041,-943" coordsize="15819,23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5819;height:1348;left:2041;position:absolute;top:84" stroked="f">
              <v:imagedata r:id="rId5" o:title=""/>
            </v:shape>
            <v:shape id="_x0000_s1028" style="width:4146;height:1926;left:13714;position:absolute;top:-943" coordorigin="13714,-943" coordsize="4146,1926" path="m14443,467l13714,467,13714,777,14443,777,14443,467xm16619,11l16581,11,16581,-573,16242,-573,16242,680,16581,680,16581,441,16619,441,16619,11xm17860,-943l16820,-943,16820,983,17860,983,17860,-943xe" filled="t" fillcolor="#acfbe2" stroked="f">
              <v:fill type="solid"/>
              <v:path arrowok="t"/>
            </v:shape>
            <v:shape id="_x0000_s1029" type="#_x0000_t202" style="width:15819;height:2376;left:2041;position:absolute;top:-943" filled="f" stroked="f">
              <v:textbox inset="0,0,0,0">
                <w:txbxContent>
                  <w:p>
                    <w:pPr>
                      <w:spacing w:before="0" w:line="1500" w:lineRule="exact"/>
                      <w:ind w:left="0" w:right="1238" w:firstLine="0"/>
                      <w:jc w:val="right"/>
                      <w:rPr>
                        <w:sz w:val="43"/>
                      </w:rPr>
                    </w:pPr>
                    <w:r>
                      <w:rPr>
                        <w:color w:val="A7FDE1"/>
                        <w:spacing w:val="124"/>
                        <w:w w:val="79"/>
                        <w:position w:val="2"/>
                        <w:sz w:val="144"/>
                        <w:shd w:val="clear" w:color="auto" w:fill="ACFBE2"/>
                      </w:rPr>
                      <w:t>＿</w:t>
                    </w:r>
                    <w:r>
                      <w:rPr>
                        <w:rFonts w:ascii="Arial" w:eastAsia="Arial"/>
                        <w:color w:val="A7FDE1"/>
                        <w:spacing w:val="-1"/>
                        <w:w w:val="124"/>
                        <w:sz w:val="38"/>
                        <w:shd w:val="clear" w:color="auto" w:fill="ACFBE2"/>
                      </w:rPr>
                      <w:t>...</w:t>
                    </w:r>
                    <w:r>
                      <w:rPr>
                        <w:rFonts w:ascii="Arial" w:eastAsia="Arial"/>
                        <w:color w:val="A7FDE1"/>
                        <w:spacing w:val="-51"/>
                        <w:w w:val="124"/>
                        <w:sz w:val="38"/>
                        <w:shd w:val="clear" w:color="auto" w:fill="ACFBE2"/>
                      </w:rPr>
                      <w:t>.</w:t>
                    </w:r>
                    <w:r>
                      <w:rPr>
                        <w:rFonts w:ascii="Times New Roman" w:eastAsia="Times New Roman"/>
                        <w:color w:val="A7FDE1"/>
                        <w:spacing w:val="-58"/>
                        <w:w w:val="61"/>
                        <w:sz w:val="93"/>
                      </w:rPr>
                      <w:t>-</w:t>
                    </w:r>
                    <w:r>
                      <w:rPr>
                        <w:color w:val="A7FDE1"/>
                        <w:w w:val="57"/>
                        <w:position w:val="1"/>
                        <w:sz w:val="43"/>
                      </w:rPr>
                      <w:t>＿</w:t>
                    </w:r>
                  </w:p>
                  <w:p>
                    <w:pPr>
                      <w:spacing w:before="0" w:line="315" w:lineRule="exact"/>
                      <w:ind w:left="0" w:right="3360" w:firstLine="0"/>
                      <w:jc w:val="right"/>
                      <w:rPr>
                        <w:sz w:val="31"/>
                      </w:rPr>
                    </w:pPr>
                    <w:r>
                      <w:rPr>
                        <w:color w:val="A7FDE1"/>
                        <w:spacing w:val="-16"/>
                        <w:w w:val="62"/>
                        <w:position w:val="3"/>
                        <w:sz w:val="25"/>
                        <w:shd w:val="clear" w:color="auto" w:fill="ACFBE2"/>
                      </w:rPr>
                      <w:t>＿</w:t>
                    </w:r>
                    <w:r>
                      <w:rPr>
                        <w:color w:val="A7FDE1"/>
                        <w:w w:val="56"/>
                        <w:sz w:val="31"/>
                        <w:shd w:val="clear" w:color="auto" w:fill="ACFBE2"/>
                      </w:rPr>
                      <w:t>~－</w:t>
                    </w:r>
                    <w:r>
                      <w:rPr>
                        <w:color w:val="A7FDE1"/>
                        <w:spacing w:val="-61"/>
                        <w:w w:val="56"/>
                        <w:sz w:val="31"/>
                        <w:shd w:val="clear" w:color="auto" w:fill="ACFBE2"/>
                      </w:rPr>
                      <w:t>“</w:t>
                    </w:r>
                    <w:r>
                      <w:rPr>
                        <w:color w:val="A7FDE1"/>
                        <w:spacing w:val="-197"/>
                        <w:w w:val="61"/>
                        <w:position w:val="-1"/>
                        <w:sz w:val="42"/>
                        <w:shd w:val="clear" w:color="auto" w:fill="ACFBE2"/>
                      </w:rPr>
                      <w:t>．</w:t>
                    </w:r>
                    <w:r>
                      <w:rPr>
                        <w:color w:val="A7FDE1"/>
                        <w:w w:val="56"/>
                        <w:sz w:val="31"/>
                      </w:rPr>
                      <w:t>一·</w:t>
                    </w:r>
                  </w:p>
                </w:txbxContent>
              </v:textbox>
            </v:shape>
            <v:shape id="_x0000_s1030" type="#_x0000_t202" style="width:144;height:337;left:16676;position:absolute;top:134" filled="t" fillcolor="#acfbe2" stroked="f">
              <v:fill type="solid"/>
              <v:textbox inset="0,0,0,0">
                <w:txbxContent>
                  <w:p>
                    <w:pPr>
                      <w:spacing w:before="26"/>
                      <w:ind w:left="-1" w:right="0" w:firstLine="0"/>
                      <w:jc w:val="left"/>
                      <w:rPr>
                        <w:rFonts w:ascii="Times New Roman"/>
                        <w:sz w:val="25"/>
                      </w:rPr>
                    </w:pPr>
                    <w:r>
                      <w:rPr>
                        <w:rFonts w:ascii="Times New Roman"/>
                        <w:color w:val="A7FDE1"/>
                        <w:w w:val="61"/>
                        <w:sz w:val="25"/>
                      </w:rPr>
                      <w:t>-</w:t>
                    </w:r>
                  </w:p>
                </w:txbxContent>
              </v:textbox>
            </v:shape>
            <v:shape id="_x0000_s1031" type="#_x0000_t202" style="width:1040;height:1078;left:16820;position:absolute;top:-943" filled="t" fillcolor="#acfbe2" stroked="f">
              <v:fill type="solid"/>
              <v:textbox inset="0,0,0,0">
                <w:txbxContent>
                  <w:p>
                    <w:pPr>
                      <w:spacing w:before="145" w:line="933" w:lineRule="exact"/>
                      <w:ind w:left="-1" w:right="0" w:firstLine="0"/>
                      <w:jc w:val="left"/>
                      <w:rPr>
                        <w:rFonts w:ascii="Arial"/>
                        <w:sz w:val="141"/>
                      </w:rPr>
                    </w:pPr>
                    <w:r>
                      <w:rPr>
                        <w:rFonts w:ascii="Arial"/>
                        <w:color w:val="A7FDE1"/>
                        <w:w w:val="50"/>
                        <w:sz w:val="141"/>
                      </w:rPr>
                      <w:t>----</w:t>
                    </w:r>
                  </w:p>
                </w:txbxContent>
              </v:textbox>
            </v:shape>
          </v:group>
        </w:pict>
      </w:r>
      <w:r>
        <w:rPr>
          <w:color w:val="A7FDE1"/>
          <w:w w:val="100"/>
          <w:sz w:val="12"/>
          <w:shd w:val="clear" w:color="auto" w:fill="ACFBE2"/>
        </w:rPr>
        <w:t>霾</w:t>
      </w:r>
    </w:p>
    <w:p>
      <w:pPr>
        <w:spacing w:after="0"/>
        <w:jc w:val="left"/>
        <w:rPr>
          <w:sz w:val="12"/>
        </w:rPr>
        <w:sectPr>
          <w:type w:val="continuous"/>
          <w:pgSz w:w="17860" w:h="25260"/>
          <w:pgMar w:top="900" w:right="0" w:bottom="0" w:left="500" w:header="708" w:footer="708"/>
          <w:cols w:space="708"/>
        </w:sectPr>
      </w:pPr>
    </w:p>
    <w:p>
      <w:pPr>
        <w:pStyle w:val="BodyText"/>
        <w:rPr>
          <w:sz w:val="20"/>
        </w:rPr>
      </w:pPr>
      <w:r>
        <w:drawing>
          <wp:anchor distT="0" distB="0" distL="0" distR="0" simplePos="0" relativeHeight="251661312" behindDoc="0" locked="0" layoutInCell="1" allowOverlap="1">
            <wp:simplePos x="0" y="0"/>
            <wp:positionH relativeFrom="page">
              <wp:posOffset>751168</wp:posOffset>
            </wp:positionH>
            <wp:positionV relativeFrom="page">
              <wp:posOffset>585879</wp:posOffset>
            </wp:positionV>
            <wp:extent cx="10589676" cy="166610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pic:nvPicPr>
                  <pic:blipFill>
                    <a:blip xmlns:r="http://schemas.openxmlformats.org/officeDocument/2006/relationships" r:embed="rId4" cstate="print"/>
                    <a:stretch>
                      <a:fillRect/>
                    </a:stretch>
                  </pic:blipFill>
                  <pic:spPr>
                    <a:xfrm>
                      <a:off x="0" y="0"/>
                      <a:ext cx="10589676" cy="1666105"/>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p>
    <w:p>
      <w:pPr>
        <w:spacing w:before="50"/>
        <w:ind w:left="2197" w:right="0" w:firstLine="0"/>
        <w:jc w:val="left"/>
        <w:rPr>
          <w:rFonts w:ascii="幼圆" w:eastAsia="幼圆" w:hAnsi="幼圆" w:hint="eastAsia"/>
          <w:sz w:val="31"/>
        </w:rPr>
      </w:pPr>
      <w:r>
        <w:rPr>
          <w:rFonts w:ascii="幼圆" w:eastAsia="幼圆" w:hAnsi="幼圆" w:hint="eastAsia"/>
          <w:sz w:val="31"/>
        </w:rPr>
        <w:t>————————————————————————————————  作者：</w:t>
      </w:r>
    </w:p>
    <w:p>
      <w:pPr>
        <w:spacing w:before="71"/>
        <w:ind w:left="2197" w:right="0" w:firstLine="0"/>
        <w:jc w:val="left"/>
        <w:rPr>
          <w:rFonts w:ascii="幼圆" w:eastAsia="幼圆" w:hAnsi="幼圆" w:hint="eastAsia"/>
          <w:sz w:val="31"/>
        </w:rPr>
      </w:pPr>
      <w:r>
        <w:rPr>
          <w:rFonts w:ascii="幼圆" w:eastAsia="幼圆" w:hAnsi="幼圆" w:hint="eastAsia"/>
          <w:sz w:val="31"/>
        </w:rPr>
        <w:t>————————————————————————————————  日期：</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9"/>
        <w:rPr>
          <w:rFonts w:ascii="幼圆"/>
          <w:sz w:val="17"/>
        </w:rPr>
      </w:pPr>
    </w:p>
    <w:p>
      <w:pPr>
        <w:pStyle w:val="BodyText"/>
        <w:rPr>
          <w:rFonts w:ascii="幼圆"/>
          <w:sz w:val="12"/>
        </w:rPr>
      </w:pPr>
    </w:p>
    <w:p>
      <w:pPr>
        <w:pStyle w:val="BodyText"/>
        <w:rPr>
          <w:rFonts w:ascii="幼圆"/>
          <w:sz w:val="12"/>
        </w:rPr>
      </w:pPr>
    </w:p>
    <w:p>
      <w:pPr>
        <w:pStyle w:val="BodyText"/>
        <w:rPr>
          <w:rFonts w:ascii="幼圆"/>
          <w:sz w:val="12"/>
        </w:rPr>
      </w:pPr>
    </w:p>
    <w:p>
      <w:pPr>
        <w:pStyle w:val="BodyText"/>
        <w:rPr>
          <w:rFonts w:ascii="幼圆"/>
          <w:sz w:val="12"/>
        </w:rPr>
      </w:pPr>
    </w:p>
    <w:p>
      <w:pPr>
        <w:pStyle w:val="BodyText"/>
        <w:rPr>
          <w:rFonts w:ascii="幼圆"/>
          <w:sz w:val="12"/>
        </w:rPr>
      </w:pPr>
    </w:p>
    <w:p>
      <w:pPr>
        <w:pStyle w:val="BodyText"/>
        <w:spacing w:before="6"/>
        <w:rPr>
          <w:rFonts w:ascii="幼圆"/>
          <w:sz w:val="15"/>
        </w:rPr>
      </w:pPr>
    </w:p>
    <w:p>
      <w:pPr>
        <w:spacing w:before="0"/>
        <w:ind w:left="1338" w:right="0" w:firstLine="0"/>
        <w:jc w:val="left"/>
        <w:rPr>
          <w:sz w:val="12"/>
        </w:rPr>
      </w:pPr>
      <w:r>
        <w:pict>
          <v:shape id="_x0000_s1032" type="#_x0000_t202" style="width:9.5pt;height:51.6pt;margin-top:-21.79pt;margin-left:821.55pt;mso-position-horizontal-relative:page;position:absolute;z-index:-251653120" filled="f" stroked="f">
            <v:textbox inset="0,0,0,0">
              <w:txbxContent>
                <w:p>
                  <w:pPr>
                    <w:spacing w:before="0" w:line="1031" w:lineRule="exact"/>
                    <w:ind w:left="0" w:right="0" w:firstLine="0"/>
                    <w:jc w:val="left"/>
                    <w:rPr>
                      <w:rFonts w:ascii="Times New Roman"/>
                      <w:sz w:val="93"/>
                    </w:rPr>
                  </w:pPr>
                  <w:r>
                    <w:rPr>
                      <w:rFonts w:ascii="Times New Roman"/>
                      <w:color w:val="A7FDE1"/>
                      <w:w w:val="61"/>
                      <w:sz w:val="93"/>
                    </w:rPr>
                    <w:t>-</w:t>
                  </w:r>
                </w:p>
              </w:txbxContent>
            </v:textbox>
          </v:shape>
        </w:pict>
      </w:r>
      <w:r>
        <w:pict>
          <v:group id="_x0000_s1033" style="width:790.95pt;height:118.8pt;margin-top:-47.19pt;margin-left:102.06pt;mso-position-horizontal-relative:page;position:absolute;z-index:251662336" coordorigin="2041,-944" coordsize="15819,2376">
            <v:shape id="_x0000_s1034" type="#_x0000_t75" style="width:15819;height:1348;left:2041;position:absolute;top:83" stroked="f">
              <v:imagedata r:id="rId5" o:title=""/>
            </v:shape>
            <v:shape id="_x0000_s1035" style="width:4285;height:1926;left:13574;position:absolute;top:-944" coordorigin="13575,-944" coordsize="4285,1926" path="m14443,466l14154,466,14154,393,14089,393,14089,466,13714,466,13714,489,13575,489,13575,739,13714,739,13714,776,14089,776,14089,813,14154,813,14154,776,14443,776,14443,466xm16619,10l16581,10,16581,-574,16242,-574,16242,679,16581,679,16581,440,16619,440,16619,10xm17860,-944l16820,-944,16820,982,17860,982,17860,-944xe" filled="t" fillcolor="#acfbe2" stroked="f">
              <v:fill type="solid"/>
              <v:path arrowok="t"/>
            </v:shape>
            <v:shape id="_x0000_s1036" type="#_x0000_t202" style="width:15819;height:2376;left:2041;position:absolute;top:-944" filled="f" stroked="f">
              <v:textbox inset="0,0,0,0">
                <w:txbxContent>
                  <w:p>
                    <w:pPr>
                      <w:spacing w:before="0" w:line="1500" w:lineRule="exact"/>
                      <w:ind w:left="0" w:right="1238" w:firstLine="0"/>
                      <w:jc w:val="right"/>
                      <w:rPr>
                        <w:sz w:val="43"/>
                      </w:rPr>
                    </w:pPr>
                    <w:r>
                      <w:rPr>
                        <w:color w:val="A7FDE1"/>
                        <w:spacing w:val="124"/>
                        <w:w w:val="79"/>
                        <w:position w:val="2"/>
                        <w:sz w:val="144"/>
                        <w:shd w:val="clear" w:color="auto" w:fill="ACFBE2"/>
                      </w:rPr>
                      <w:t>＿</w:t>
                    </w:r>
                    <w:r>
                      <w:rPr>
                        <w:rFonts w:ascii="Arial" w:eastAsia="Arial"/>
                        <w:color w:val="A7FDE1"/>
                        <w:spacing w:val="-1"/>
                        <w:w w:val="124"/>
                        <w:sz w:val="38"/>
                        <w:shd w:val="clear" w:color="auto" w:fill="ACFBE2"/>
                      </w:rPr>
                      <w:t>...</w:t>
                    </w:r>
                    <w:r>
                      <w:rPr>
                        <w:rFonts w:ascii="Arial" w:eastAsia="Arial"/>
                        <w:color w:val="A7FDE1"/>
                        <w:spacing w:val="-51"/>
                        <w:w w:val="124"/>
                        <w:sz w:val="38"/>
                        <w:shd w:val="clear" w:color="auto" w:fill="ACFBE2"/>
                      </w:rPr>
                      <w:t>.</w:t>
                    </w:r>
                    <w:r>
                      <w:rPr>
                        <w:rFonts w:ascii="Times New Roman" w:eastAsia="Times New Roman"/>
                        <w:color w:val="A7FDE1"/>
                        <w:spacing w:val="-58"/>
                        <w:w w:val="61"/>
                        <w:sz w:val="93"/>
                      </w:rPr>
                      <w:t>-</w:t>
                    </w:r>
                    <w:r>
                      <w:rPr>
                        <w:color w:val="A7FDE1"/>
                        <w:w w:val="57"/>
                        <w:position w:val="1"/>
                        <w:sz w:val="43"/>
                      </w:rPr>
                      <w:t>＿</w:t>
                    </w:r>
                  </w:p>
                  <w:p>
                    <w:pPr>
                      <w:spacing w:before="0" w:line="315" w:lineRule="exact"/>
                      <w:ind w:left="0" w:right="3360" w:firstLine="0"/>
                      <w:jc w:val="right"/>
                      <w:rPr>
                        <w:sz w:val="31"/>
                      </w:rPr>
                    </w:pPr>
                    <w:r>
                      <w:rPr>
                        <w:color w:val="A7FDE1"/>
                        <w:spacing w:val="-16"/>
                        <w:w w:val="62"/>
                        <w:position w:val="3"/>
                        <w:sz w:val="25"/>
                      </w:rPr>
                      <w:t>＿</w:t>
                    </w:r>
                    <w:r>
                      <w:rPr>
                        <w:color w:val="A7FDE1"/>
                        <w:w w:val="56"/>
                        <w:sz w:val="31"/>
                      </w:rPr>
                      <w:t>~－</w:t>
                    </w:r>
                    <w:r>
                      <w:rPr>
                        <w:color w:val="A7FDE1"/>
                        <w:spacing w:val="-61"/>
                        <w:w w:val="56"/>
                        <w:sz w:val="31"/>
                      </w:rPr>
                      <w:t>“</w:t>
                    </w:r>
                    <w:r>
                      <w:rPr>
                        <w:color w:val="A7FDE1"/>
                        <w:spacing w:val="-197"/>
                        <w:w w:val="61"/>
                        <w:position w:val="-1"/>
                        <w:sz w:val="42"/>
                      </w:rPr>
                      <w:t>．</w:t>
                    </w:r>
                    <w:r>
                      <w:rPr>
                        <w:color w:val="A7FDE1"/>
                        <w:w w:val="56"/>
                        <w:sz w:val="31"/>
                      </w:rPr>
                      <w:t>一·</w:t>
                    </w:r>
                  </w:p>
                </w:txbxContent>
              </v:textbox>
            </v:shape>
            <v:shape id="_x0000_s1037" type="#_x0000_t202" style="width:144;height:337;left:16676;position:absolute;top:133" filled="t" fillcolor="#acfbe2" stroked="f">
              <v:fill type="solid"/>
              <v:textbox inset="0,0,0,0">
                <w:txbxContent>
                  <w:p>
                    <w:pPr>
                      <w:spacing w:before="26"/>
                      <w:ind w:left="-1" w:right="0" w:firstLine="0"/>
                      <w:jc w:val="left"/>
                      <w:rPr>
                        <w:rFonts w:ascii="Times New Roman"/>
                        <w:sz w:val="25"/>
                      </w:rPr>
                    </w:pPr>
                    <w:r>
                      <w:rPr>
                        <w:rFonts w:ascii="Times New Roman"/>
                        <w:color w:val="A7FDE1"/>
                        <w:w w:val="61"/>
                        <w:sz w:val="25"/>
                      </w:rPr>
                      <w:t>-</w:t>
                    </w:r>
                  </w:p>
                </w:txbxContent>
              </v:textbox>
            </v:shape>
            <v:shape id="_x0000_s1038" type="#_x0000_t202" style="width:1040;height:1078;left:16820;position:absolute;top:-944" filled="t" fillcolor="#acfbe2" stroked="f">
              <v:fill type="solid"/>
              <v:textbox inset="0,0,0,0">
                <w:txbxContent>
                  <w:p>
                    <w:pPr>
                      <w:spacing w:before="145" w:line="933" w:lineRule="exact"/>
                      <w:ind w:left="-1" w:right="0" w:firstLine="0"/>
                      <w:jc w:val="left"/>
                      <w:rPr>
                        <w:rFonts w:ascii="Arial"/>
                        <w:sz w:val="141"/>
                      </w:rPr>
                    </w:pPr>
                    <w:r>
                      <w:rPr>
                        <w:rFonts w:ascii="Arial"/>
                        <w:color w:val="A7FDE1"/>
                        <w:w w:val="50"/>
                        <w:sz w:val="141"/>
                      </w:rPr>
                      <w:t>----</w:t>
                    </w:r>
                  </w:p>
                </w:txbxContent>
              </v:textbox>
            </v:shape>
          </v:group>
        </w:pict>
      </w:r>
      <w:r>
        <w:rPr>
          <w:color w:val="A7FDE1"/>
          <w:w w:val="65"/>
          <w:sz w:val="12"/>
          <w:shd w:val="clear" w:color="auto" w:fill="ACFBE2"/>
        </w:rPr>
        <w:t>霾</w:t>
      </w:r>
      <w:r>
        <w:rPr>
          <w:color w:val="A7FDE1"/>
          <w:sz w:val="12"/>
          <w:shd w:val="clear" w:color="auto" w:fill="ACFBE2"/>
        </w:rPr>
        <w:t xml:space="preserve"> </w:t>
      </w:r>
    </w:p>
    <w:p>
      <w:pPr>
        <w:spacing w:after="0"/>
        <w:jc w:val="left"/>
        <w:rPr>
          <w:sz w:val="12"/>
        </w:rPr>
        <w:sectPr>
          <w:pgSz w:w="17860" w:h="25260"/>
          <w:pgMar w:top="900" w:right="0" w:bottom="0" w:left="500" w:header="708" w:footer="708"/>
          <w:pgNumType w:start="2"/>
          <w:cols w:space="708"/>
        </w:sectPr>
      </w:pPr>
    </w:p>
    <w:p>
      <w:pPr>
        <w:pStyle w:val="Heading1"/>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21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t>控制阀流量特性解析</w:t>
      </w:r>
    </w:p>
    <w:p>
      <w:pPr>
        <w:spacing w:before="233" w:line="225" w:lineRule="auto"/>
        <w:ind w:left="1628" w:right="1853" w:firstLine="1079"/>
        <w:jc w:val="left"/>
        <w:rPr>
          <w:rFonts w:ascii="微软雅黑" w:eastAsia="微软雅黑" w:hint="eastAsia"/>
          <w:sz w:val="54"/>
        </w:rPr>
      </w:pPr>
      <w:r>
        <w:rPr>
          <w:rFonts w:ascii="微软雅黑" w:eastAsia="微软雅黑" w:hint="eastAsia"/>
          <w:sz w:val="54"/>
        </w:rPr>
        <w:t>控制阀的流量特性是控制阀重要技术指标之一，流量特性的偏差大小直接影响自动控制系统的稳定性。使用单位希望所选用的控制阀具有标准的固有流量特性，而控制阀生产企业要想制造出完全符合标准的固有流量特性控制</w:t>
      </w:r>
      <w:r>
        <w:rPr>
          <w:rFonts w:ascii="微软雅黑" w:eastAsia="微软雅黑" w:hint="eastAsia"/>
          <w:spacing w:val="-14"/>
          <w:sz w:val="54"/>
        </w:rPr>
        <w:t xml:space="preserve">阀是非常困难的，因直线流量特性相对简单，且应用较少， </w:t>
      </w:r>
      <w:r>
        <w:rPr>
          <w:rFonts w:ascii="微软雅黑" w:eastAsia="微软雅黑" w:hint="eastAsia"/>
          <w:sz w:val="54"/>
        </w:rPr>
        <w:t>所以本文重点对等百分比流量特性进行讨论。</w:t>
      </w:r>
    </w:p>
    <w:p>
      <w:pPr>
        <w:spacing w:before="3" w:line="225" w:lineRule="auto"/>
        <w:ind w:left="1628" w:right="2229" w:firstLine="1079"/>
        <w:jc w:val="left"/>
        <w:rPr>
          <w:rFonts w:ascii="微软雅黑" w:eastAsia="微软雅黑" w:hint="eastAsia"/>
          <w:sz w:val="54"/>
        </w:rPr>
      </w:pPr>
      <w:r>
        <w:rPr>
          <w:rFonts w:ascii="微软雅黑" w:eastAsia="微软雅黑" w:hint="eastAsia"/>
          <w:sz w:val="54"/>
        </w:rPr>
        <w:t>控制阀的流量特性是指介质流过阀门的相对流量与相对行程之间的关系，数学表达式为 Q/Qmax = f(l/L),</w:t>
      </w:r>
    </w:p>
    <w:p>
      <w:pPr>
        <w:spacing w:before="1" w:line="225" w:lineRule="auto"/>
        <w:ind w:left="1628" w:right="2124" w:firstLine="1079"/>
        <w:jc w:val="left"/>
        <w:rPr>
          <w:rFonts w:ascii="微软雅黑" w:eastAsia="微软雅黑" w:hAnsi="微软雅黑" w:hint="eastAsia"/>
          <w:sz w:val="54"/>
        </w:rPr>
      </w:pPr>
      <w:r>
        <w:rPr>
          <w:rFonts w:ascii="微软雅黑" w:eastAsia="微软雅黑" w:hAnsi="微软雅黑" w:hint="eastAsia"/>
          <w:sz w:val="54"/>
        </w:rPr>
        <w:t>式中:Q/Qmax</w:t>
      </w:r>
      <w:r>
        <w:rPr>
          <w:rFonts w:ascii="微软雅黑" w:eastAsia="微软雅黑" w:hAnsi="微软雅黑" w:hint="eastAsia"/>
          <w:spacing w:val="-11"/>
          <w:sz w:val="54"/>
        </w:rPr>
        <w:t>—相对流量。指控制阀在某一开度时的</w:t>
      </w:r>
      <w:r>
        <w:rPr>
          <w:rFonts w:ascii="微软雅黑" w:eastAsia="微软雅黑" w:hAnsi="微软雅黑" w:hint="eastAsia"/>
          <w:spacing w:val="-16"/>
          <w:sz w:val="54"/>
        </w:rPr>
        <w:t xml:space="preserve">流量 </w:t>
      </w:r>
      <w:r>
        <w:rPr>
          <w:rFonts w:ascii="微软雅黑" w:eastAsia="微软雅黑" w:hAnsi="微软雅黑" w:hint="eastAsia"/>
          <w:sz w:val="54"/>
        </w:rPr>
        <w:t>Q</w:t>
      </w:r>
      <w:r>
        <w:rPr>
          <w:rFonts w:ascii="微软雅黑" w:eastAsia="微软雅黑" w:hAnsi="微软雅黑" w:hint="eastAsia"/>
          <w:spacing w:val="-8"/>
          <w:sz w:val="54"/>
        </w:rPr>
        <w:t xml:space="preserve"> 与全开流量 </w:t>
      </w:r>
      <w:r>
        <w:rPr>
          <w:rFonts w:ascii="微软雅黑" w:eastAsia="微软雅黑" w:hAnsi="微软雅黑" w:hint="eastAsia"/>
          <w:sz w:val="54"/>
        </w:rPr>
        <w:t>Qmax</w:t>
      </w:r>
      <w:r>
        <w:rPr>
          <w:rFonts w:ascii="微软雅黑" w:eastAsia="微软雅黑" w:hAnsi="微软雅黑" w:hint="eastAsia"/>
          <w:spacing w:val="-6"/>
          <w:sz w:val="54"/>
        </w:rPr>
        <w:t xml:space="preserve"> 之比；</w:t>
      </w:r>
    </w:p>
    <w:p>
      <w:pPr>
        <w:spacing w:before="1" w:line="225" w:lineRule="auto"/>
        <w:ind w:left="1628" w:right="2075" w:firstLine="2159"/>
        <w:jc w:val="left"/>
        <w:rPr>
          <w:rFonts w:ascii="微软雅黑" w:eastAsia="微软雅黑" w:hAnsi="微软雅黑" w:hint="eastAsia"/>
          <w:sz w:val="54"/>
        </w:rPr>
      </w:pPr>
      <w:r>
        <w:rPr>
          <w:rFonts w:ascii="微软雅黑" w:eastAsia="微软雅黑" w:hAnsi="微软雅黑" w:hint="eastAsia"/>
          <w:sz w:val="54"/>
        </w:rPr>
        <w:t>l/L—相对行程。指控制阀在某一开度时的阀芯行程 l 与全开行程L 之比</w:t>
      </w:r>
    </w:p>
    <w:p>
      <w:pPr>
        <w:spacing w:before="1" w:line="225" w:lineRule="auto"/>
        <w:ind w:left="1628" w:right="2229" w:firstLine="1079"/>
        <w:jc w:val="both"/>
        <w:rPr>
          <w:rFonts w:ascii="微软雅黑" w:eastAsia="微软雅黑" w:hint="eastAsia"/>
          <w:sz w:val="54"/>
        </w:rPr>
      </w:pPr>
      <w:r>
        <w:rPr>
          <w:rFonts w:ascii="微软雅黑" w:eastAsia="微软雅黑" w:hint="eastAsia"/>
          <w:sz w:val="54"/>
        </w:rPr>
        <w:t>一般来讲，改变控制阀的流通面积便可以控制流量。但实际上由于多种因素的影响，在节流面积发生变化的同时，还会产生阀前、阀后压力的变化，而压差的变化又将引起流量的变化，为了便于分析，先假定阀前、阀后压差不变，此时的流量特性称为理想流量特性。</w:t>
      </w:r>
    </w:p>
    <w:p>
      <w:pPr>
        <w:spacing w:before="3" w:line="225" w:lineRule="auto"/>
        <w:ind w:left="1628" w:right="2124" w:firstLine="1079"/>
        <w:jc w:val="both"/>
        <w:rPr>
          <w:rFonts w:ascii="微软雅黑" w:eastAsia="微软雅黑" w:hint="eastAsia"/>
          <w:sz w:val="54"/>
        </w:rPr>
      </w:pPr>
      <w:r>
        <w:rPr>
          <w:rFonts w:ascii="微软雅黑" w:eastAsia="微软雅黑" w:hint="eastAsia"/>
          <w:spacing w:val="-7"/>
          <w:sz w:val="54"/>
        </w:rPr>
        <w:t>理想流量特性主要有等百分比</w:t>
      </w:r>
      <w:r>
        <w:rPr>
          <w:rFonts w:ascii="微软雅黑" w:eastAsia="微软雅黑" w:hint="eastAsia"/>
          <w:sz w:val="54"/>
        </w:rPr>
        <w:t>（也称对数</w:t>
      </w:r>
      <w:r>
        <w:rPr>
          <w:rFonts w:ascii="微软雅黑" w:eastAsia="微软雅黑" w:hint="eastAsia"/>
          <w:spacing w:val="-270"/>
          <w:sz w:val="54"/>
        </w:rPr>
        <w:t>）</w:t>
      </w:r>
      <w:r>
        <w:rPr>
          <w:rFonts w:ascii="微软雅黑" w:eastAsia="微软雅黑" w:hint="eastAsia"/>
          <w:spacing w:val="-20"/>
          <w:sz w:val="54"/>
        </w:rPr>
        <w:t>、直线两种</w:t>
      </w:r>
      <w:r>
        <w:rPr>
          <w:rFonts w:ascii="微软雅黑" w:eastAsia="微软雅黑" w:hint="eastAsia"/>
          <w:sz w:val="54"/>
        </w:rPr>
        <w:t>常用特性，理想等百分比流量特性定义为：相对行程的等值增量产生相对流量系数的等百分比增加的流量特性，数</w:t>
      </w:r>
    </w:p>
    <w:p>
      <w:pPr>
        <w:spacing w:after="0" w:line="225" w:lineRule="auto"/>
        <w:jc w:val="both"/>
        <w:rPr>
          <w:rFonts w:ascii="微软雅黑" w:eastAsia="微软雅黑" w:hint="eastAsia"/>
          <w:sz w:val="54"/>
        </w:rPr>
        <w:sectPr>
          <w:pgSz w:w="17860" w:h="25260"/>
          <w:pgMar w:top="1640" w:right="0" w:bottom="280" w:left="500" w:header="708" w:footer="708"/>
          <w:pgNumType w:start="3"/>
          <w:cols w:space="708"/>
        </w:sectPr>
      </w:pPr>
    </w:p>
    <w:p>
      <w:pPr>
        <w:spacing w:before="0" w:line="909" w:lineRule="exact"/>
        <w:ind w:left="1628" w:right="0" w:firstLine="0"/>
        <w:jc w:val="left"/>
        <w:rPr>
          <w:rFonts w:ascii="微软雅黑" w:eastAsia="微软雅黑" w:hint="eastAsia"/>
          <w:sz w:val="54"/>
        </w:rPr>
      </w:pPr>
      <w:r>
        <w:pict>
          <v:group id="_x0000_s1039" style="width:893pt;height:1248pt;margin-top:0;margin-left:0;mso-position-horizontal-relative:page;mso-position-vertical-relative:page;position:absolute;z-index:-251651072" coordorigin="0,0" coordsize="17860,24960">
            <v:shape id="_x0000_s1040" type="#_x0000_t75" style="width:17860;height:24960;position:absolute" stroked="f">
              <v:imagedata r:id="rId7" o:title=""/>
            </v:shape>
            <v:shape id="_x0000_s1041" type="#_x0000_t75" style="width:16640;height:5780;left:620;position:absolute;top:11205" stroked="f">
              <v:imagedata r:id="rId8" o:title=""/>
            </v:shape>
          </v:group>
        </w:pict>
      </w:r>
      <w:r>
        <w:rPr>
          <w:rFonts w:ascii="微软雅黑" w:eastAsia="微软雅黑" w:hint="eastAsia"/>
          <w:sz w:val="54"/>
        </w:rPr>
        <w:t>学表达式为 Q/Qmax = R</w:t>
      </w:r>
      <w:r>
        <w:rPr>
          <w:rFonts w:ascii="微软雅黑" w:eastAsia="微软雅黑" w:hint="eastAsia"/>
          <w:position w:val="-4"/>
          <w:sz w:val="29"/>
        </w:rPr>
        <w:t xml:space="preserve">(l/L-1) </w:t>
      </w:r>
      <w:r>
        <w:rPr>
          <w:rFonts w:ascii="微软雅黑" w:eastAsia="微软雅黑" w:hint="eastAsia"/>
          <w:sz w:val="54"/>
        </w:rPr>
        <w:t>。</w:t>
      </w:r>
    </w:p>
    <w:p>
      <w:pPr>
        <w:spacing w:before="13" w:line="225" w:lineRule="auto"/>
        <w:ind w:left="1628" w:right="2229" w:firstLine="1079"/>
        <w:jc w:val="left"/>
        <w:rPr>
          <w:rFonts w:ascii="微软雅黑" w:eastAsia="微软雅黑" w:hint="eastAsia"/>
          <w:sz w:val="54"/>
        </w:rPr>
      </w:pPr>
      <w:r>
        <w:rPr>
          <w:rFonts w:ascii="微软雅黑" w:eastAsia="微软雅黑" w:hint="eastAsia"/>
          <w:sz w:val="54"/>
        </w:rPr>
        <w:t>理想直线流量特性定义为：相对行程的等值增量产生相对流量系数的等值增量的流量特性，数学表达式为Q/Qmax=1/R[1+（R-1）l/L]</w:t>
      </w:r>
    </w:p>
    <w:p>
      <w:pPr>
        <w:spacing w:before="1" w:line="225" w:lineRule="auto"/>
        <w:ind w:left="1628" w:right="2187" w:firstLine="1079"/>
        <w:jc w:val="left"/>
        <w:rPr>
          <w:rFonts w:ascii="微软雅黑" w:eastAsia="微软雅黑" w:hAnsi="微软雅黑" w:hint="eastAsia"/>
          <w:sz w:val="54"/>
        </w:rPr>
      </w:pPr>
      <w:r>
        <w:rPr>
          <w:rFonts w:ascii="微软雅黑" w:eastAsia="微软雅黑" w:hAnsi="微软雅黑" w:hint="eastAsia"/>
          <w:sz w:val="54"/>
        </w:rPr>
        <w:t>式中 R—固有可调比，定义为在规定偏差内的最大流量系数与最小流量系数之比。</w:t>
      </w:r>
    </w:p>
    <w:p>
      <w:pPr>
        <w:spacing w:before="0" w:line="925" w:lineRule="exact"/>
        <w:ind w:left="2708" w:right="0" w:firstLine="0"/>
        <w:jc w:val="left"/>
        <w:rPr>
          <w:rFonts w:ascii="微软雅黑" w:eastAsia="微软雅黑" w:hint="eastAsia"/>
          <w:sz w:val="54"/>
        </w:rPr>
      </w:pPr>
      <w:r>
        <w:rPr>
          <w:rFonts w:ascii="微软雅黑" w:eastAsia="微软雅黑" w:hint="eastAsia"/>
          <w:sz w:val="54"/>
        </w:rPr>
        <w:t>常见的控制阀固有可调比有 30、50 两种。</w:t>
      </w:r>
    </w:p>
    <w:p>
      <w:pPr>
        <w:spacing w:before="13" w:line="225" w:lineRule="auto"/>
        <w:ind w:left="1628" w:right="2149" w:firstLine="1079"/>
        <w:jc w:val="left"/>
        <w:rPr>
          <w:rFonts w:ascii="微软雅黑" w:eastAsia="微软雅黑" w:hint="eastAsia"/>
          <w:sz w:val="54"/>
        </w:rPr>
      </w:pPr>
      <w:r>
        <w:rPr>
          <w:rFonts w:ascii="微软雅黑" w:eastAsia="微软雅黑" w:hint="eastAsia"/>
          <w:spacing w:val="-5"/>
          <w:sz w:val="54"/>
        </w:rPr>
        <w:t xml:space="preserve">当可调比 </w:t>
      </w:r>
      <w:r>
        <w:rPr>
          <w:rFonts w:ascii="微软雅黑" w:eastAsia="微软雅黑" w:hint="eastAsia"/>
          <w:sz w:val="54"/>
        </w:rPr>
        <w:t>R=30</w:t>
      </w:r>
      <w:r>
        <w:rPr>
          <w:rFonts w:ascii="微软雅黑" w:eastAsia="微软雅黑" w:hint="eastAsia"/>
          <w:spacing w:val="-16"/>
          <w:sz w:val="54"/>
        </w:rPr>
        <w:t xml:space="preserve"> 和 </w:t>
      </w:r>
      <w:r>
        <w:rPr>
          <w:rFonts w:ascii="微软雅黑" w:eastAsia="微软雅黑" w:hint="eastAsia"/>
          <w:sz w:val="54"/>
        </w:rPr>
        <w:t>R=50</w:t>
      </w:r>
      <w:r>
        <w:rPr>
          <w:rFonts w:ascii="微软雅黑" w:eastAsia="微软雅黑" w:hint="eastAsia"/>
          <w:spacing w:val="-6"/>
          <w:sz w:val="54"/>
        </w:rPr>
        <w:t xml:space="preserve"> 时，直线、等百分比的流量</w:t>
      </w:r>
      <w:r>
        <w:rPr>
          <w:rFonts w:ascii="微软雅黑" w:eastAsia="微软雅黑" w:hint="eastAsia"/>
          <w:spacing w:val="-3"/>
          <w:sz w:val="54"/>
        </w:rPr>
        <w:t xml:space="preserve">特性在相对行程 </w:t>
      </w:r>
      <w:r>
        <w:rPr>
          <w:rFonts w:ascii="微软雅黑" w:eastAsia="微软雅黑" w:hint="eastAsia"/>
          <w:sz w:val="54"/>
        </w:rPr>
        <w:t>10%～100%时各流量值见表一</w:t>
      </w:r>
    </w:p>
    <w:p>
      <w:pPr>
        <w:spacing w:before="0" w:line="953" w:lineRule="exact"/>
        <w:ind w:left="8429" w:right="0" w:firstLine="0"/>
        <w:jc w:val="left"/>
        <w:rPr>
          <w:rFonts w:ascii="微软雅黑" w:eastAsia="微软雅黑" w:hint="eastAsia"/>
          <w:sz w:val="54"/>
        </w:rPr>
      </w:pPr>
      <w:r>
        <w:rPr>
          <w:rFonts w:ascii="微软雅黑" w:eastAsia="微软雅黑" w:hint="eastAsia"/>
          <w:sz w:val="54"/>
        </w:rPr>
        <w:t>表一</w:t>
      </w:r>
    </w:p>
    <w:p>
      <w:pPr>
        <w:pStyle w:val="BodyText"/>
        <w:spacing w:before="4"/>
        <w:rPr>
          <w:rFonts w:ascii="微软雅黑"/>
          <w:sz w:val="5"/>
        </w:rPr>
      </w:pPr>
    </w:p>
    <w:tbl>
      <w:tblPr>
        <w:tblStyle w:val="TableNormal0"/>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6"/>
        <w:gridCol w:w="1427"/>
        <w:gridCol w:w="1370"/>
        <w:gridCol w:w="1372"/>
        <w:gridCol w:w="1265"/>
        <w:gridCol w:w="2846"/>
        <w:gridCol w:w="1372"/>
        <w:gridCol w:w="1372"/>
        <w:gridCol w:w="1345"/>
        <w:gridCol w:w="1119"/>
      </w:tblGrid>
      <w:tr>
        <w:tblPrEx>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24"/>
          <w:jc w:val="left"/>
        </w:trPr>
        <w:tc>
          <w:tcPr>
            <w:tcW w:w="3076" w:type="dxa"/>
          </w:tcPr>
          <w:p>
            <w:pPr>
              <w:pStyle w:val="TableParagraph"/>
              <w:spacing w:line="804" w:lineRule="exact"/>
              <w:ind w:left="770"/>
              <w:rPr>
                <w:sz w:val="54"/>
              </w:rPr>
            </w:pPr>
            <w:r>
              <w:rPr>
                <w:sz w:val="54"/>
              </w:rPr>
              <w:t>可调比</w:t>
            </w:r>
          </w:p>
        </w:tc>
        <w:tc>
          <w:tcPr>
            <w:tcW w:w="1427" w:type="dxa"/>
          </w:tcPr>
          <w:p>
            <w:pPr>
              <w:pStyle w:val="TableParagraph"/>
              <w:rPr>
                <w:rFonts w:ascii="Times New Roman"/>
                <w:sz w:val="52"/>
              </w:rPr>
            </w:pPr>
          </w:p>
        </w:tc>
        <w:tc>
          <w:tcPr>
            <w:tcW w:w="1370" w:type="dxa"/>
          </w:tcPr>
          <w:p>
            <w:pPr>
              <w:pStyle w:val="TableParagraph"/>
              <w:rPr>
                <w:rFonts w:ascii="Times New Roman"/>
                <w:sz w:val="52"/>
              </w:rPr>
            </w:pPr>
          </w:p>
        </w:tc>
        <w:tc>
          <w:tcPr>
            <w:tcW w:w="1372" w:type="dxa"/>
          </w:tcPr>
          <w:p>
            <w:pPr>
              <w:pStyle w:val="TableParagraph"/>
              <w:rPr>
                <w:rFonts w:ascii="Times New Roman"/>
                <w:sz w:val="52"/>
              </w:rPr>
            </w:pPr>
          </w:p>
        </w:tc>
        <w:tc>
          <w:tcPr>
            <w:tcW w:w="1265" w:type="dxa"/>
          </w:tcPr>
          <w:p>
            <w:pPr>
              <w:pStyle w:val="TableParagraph"/>
              <w:rPr>
                <w:rFonts w:ascii="Times New Roman"/>
                <w:sz w:val="52"/>
              </w:rPr>
            </w:pPr>
          </w:p>
        </w:tc>
        <w:tc>
          <w:tcPr>
            <w:tcW w:w="2846" w:type="dxa"/>
          </w:tcPr>
          <w:p>
            <w:pPr>
              <w:pStyle w:val="TableParagraph"/>
              <w:spacing w:line="804" w:lineRule="exact"/>
              <w:ind w:right="161"/>
              <w:jc w:val="right"/>
              <w:rPr>
                <w:sz w:val="54"/>
              </w:rPr>
            </w:pPr>
            <w:r>
              <w:rPr>
                <w:sz w:val="54"/>
              </w:rPr>
              <w:t>相对行程%</w:t>
            </w:r>
          </w:p>
        </w:tc>
        <w:tc>
          <w:tcPr>
            <w:tcW w:w="5208" w:type="dxa"/>
            <w:gridSpan w:val="4"/>
          </w:tcPr>
          <w:p>
            <w:pPr>
              <w:pStyle w:val="TableParagraph"/>
              <w:rPr>
                <w:rFonts w:ascii="Times New Roman"/>
                <w:sz w:val="52"/>
              </w:rPr>
            </w:pPr>
          </w:p>
        </w:tc>
      </w:tr>
      <w:tr>
        <w:tblPrEx>
          <w:tblW w:w="0" w:type="auto"/>
          <w:jc w:val="left"/>
          <w:tblInd w:w="119" w:type="dxa"/>
          <w:tblLayout w:type="fixed"/>
          <w:tblCellMar>
            <w:top w:w="0" w:type="dxa"/>
            <w:left w:w="0" w:type="dxa"/>
            <w:bottom w:w="0" w:type="dxa"/>
            <w:right w:w="0" w:type="dxa"/>
          </w:tblCellMar>
          <w:tblLook w:val="01E0"/>
        </w:tblPrEx>
        <w:trPr>
          <w:trHeight w:val="957"/>
          <w:jc w:val="left"/>
        </w:trPr>
        <w:tc>
          <w:tcPr>
            <w:tcW w:w="3076" w:type="dxa"/>
          </w:tcPr>
          <w:p>
            <w:pPr>
              <w:pStyle w:val="TableParagraph"/>
              <w:spacing w:line="938" w:lineRule="exact"/>
              <w:ind w:left="85"/>
              <w:jc w:val="center"/>
              <w:rPr>
                <w:sz w:val="54"/>
              </w:rPr>
            </w:pPr>
            <w:r>
              <w:rPr>
                <w:sz w:val="54"/>
              </w:rPr>
              <w:t>R</w:t>
            </w:r>
          </w:p>
        </w:tc>
        <w:tc>
          <w:tcPr>
            <w:tcW w:w="1427" w:type="dxa"/>
          </w:tcPr>
          <w:p>
            <w:pPr>
              <w:pStyle w:val="TableParagraph"/>
              <w:spacing w:line="938" w:lineRule="exact"/>
              <w:ind w:left="60"/>
              <w:jc w:val="center"/>
              <w:rPr>
                <w:sz w:val="54"/>
              </w:rPr>
            </w:pPr>
            <w:r>
              <w:rPr>
                <w:sz w:val="54"/>
              </w:rPr>
              <w:t>1</w:t>
            </w:r>
          </w:p>
        </w:tc>
        <w:tc>
          <w:tcPr>
            <w:tcW w:w="1370" w:type="dxa"/>
          </w:tcPr>
          <w:p>
            <w:pPr>
              <w:pStyle w:val="TableParagraph"/>
              <w:rPr>
                <w:rFonts w:ascii="Times New Roman"/>
                <w:sz w:val="52"/>
              </w:rPr>
            </w:pPr>
          </w:p>
        </w:tc>
        <w:tc>
          <w:tcPr>
            <w:tcW w:w="1372" w:type="dxa"/>
          </w:tcPr>
          <w:p>
            <w:pPr>
              <w:pStyle w:val="TableParagraph"/>
              <w:rPr>
                <w:rFonts w:ascii="Times New Roman"/>
                <w:sz w:val="52"/>
              </w:rPr>
            </w:pPr>
          </w:p>
        </w:tc>
        <w:tc>
          <w:tcPr>
            <w:tcW w:w="1265" w:type="dxa"/>
          </w:tcPr>
          <w:p>
            <w:pPr>
              <w:pStyle w:val="TableParagraph"/>
              <w:rPr>
                <w:rFonts w:ascii="Times New Roman"/>
                <w:sz w:val="52"/>
              </w:rPr>
            </w:pPr>
          </w:p>
        </w:tc>
        <w:tc>
          <w:tcPr>
            <w:tcW w:w="2846" w:type="dxa"/>
          </w:tcPr>
          <w:p>
            <w:pPr>
              <w:pStyle w:val="TableParagraph"/>
              <w:rPr>
                <w:rFonts w:ascii="Times New Roman"/>
                <w:sz w:val="52"/>
              </w:rPr>
            </w:pPr>
          </w:p>
        </w:tc>
        <w:tc>
          <w:tcPr>
            <w:tcW w:w="1372" w:type="dxa"/>
          </w:tcPr>
          <w:p>
            <w:pPr>
              <w:pStyle w:val="TableParagraph"/>
              <w:spacing w:line="938" w:lineRule="exact"/>
              <w:ind w:left="126" w:right="124"/>
              <w:jc w:val="center"/>
              <w:rPr>
                <w:sz w:val="54"/>
              </w:rPr>
            </w:pPr>
            <w:r>
              <w:rPr>
                <w:sz w:val="54"/>
              </w:rPr>
              <w:t>70</w:t>
            </w:r>
          </w:p>
        </w:tc>
        <w:tc>
          <w:tcPr>
            <w:tcW w:w="1372" w:type="dxa"/>
          </w:tcPr>
          <w:p>
            <w:pPr>
              <w:pStyle w:val="TableParagraph"/>
              <w:spacing w:line="938" w:lineRule="exact"/>
              <w:ind w:left="126" w:right="123"/>
              <w:jc w:val="center"/>
              <w:rPr>
                <w:sz w:val="54"/>
              </w:rPr>
            </w:pPr>
            <w:r>
              <w:rPr>
                <w:sz w:val="54"/>
              </w:rPr>
              <w:t>80</w:t>
            </w:r>
          </w:p>
        </w:tc>
        <w:tc>
          <w:tcPr>
            <w:tcW w:w="1345" w:type="dxa"/>
          </w:tcPr>
          <w:p>
            <w:pPr>
              <w:pStyle w:val="TableParagraph"/>
              <w:spacing w:line="938" w:lineRule="exact"/>
              <w:ind w:left="127" w:right="98"/>
              <w:jc w:val="center"/>
              <w:rPr>
                <w:sz w:val="54"/>
              </w:rPr>
            </w:pPr>
            <w:r>
              <w:rPr>
                <w:sz w:val="54"/>
              </w:rPr>
              <w:t>90</w:t>
            </w:r>
          </w:p>
        </w:tc>
        <w:tc>
          <w:tcPr>
            <w:tcW w:w="1119" w:type="dxa"/>
          </w:tcPr>
          <w:p>
            <w:pPr>
              <w:pStyle w:val="TableParagraph"/>
              <w:spacing w:line="938" w:lineRule="exact"/>
              <w:ind w:left="100" w:right="29"/>
              <w:jc w:val="center"/>
              <w:rPr>
                <w:sz w:val="54"/>
              </w:rPr>
            </w:pPr>
            <w:r>
              <w:rPr>
                <w:sz w:val="54"/>
              </w:rPr>
              <w:t>100</w:t>
            </w:r>
          </w:p>
        </w:tc>
      </w:tr>
      <w:tr>
        <w:tblPrEx>
          <w:tblW w:w="0" w:type="auto"/>
          <w:jc w:val="left"/>
          <w:tblInd w:w="119" w:type="dxa"/>
          <w:tblLayout w:type="fixed"/>
          <w:tblCellMar>
            <w:top w:w="0" w:type="dxa"/>
            <w:left w:w="0" w:type="dxa"/>
            <w:bottom w:w="0" w:type="dxa"/>
            <w:right w:w="0" w:type="dxa"/>
          </w:tblCellMar>
          <w:tblLook w:val="01E0"/>
        </w:tblPrEx>
        <w:trPr>
          <w:trHeight w:val="952"/>
          <w:jc w:val="left"/>
        </w:trPr>
        <w:tc>
          <w:tcPr>
            <w:tcW w:w="3076" w:type="dxa"/>
          </w:tcPr>
          <w:p>
            <w:pPr>
              <w:pStyle w:val="TableParagraph"/>
              <w:spacing w:line="933" w:lineRule="exact"/>
              <w:ind w:left="50"/>
              <w:rPr>
                <w:sz w:val="54"/>
              </w:rPr>
            </w:pPr>
            <w:r>
              <w:rPr>
                <w:sz w:val="54"/>
              </w:rPr>
              <w:t>30等百分比</w:t>
            </w:r>
          </w:p>
        </w:tc>
        <w:tc>
          <w:tcPr>
            <w:tcW w:w="1427" w:type="dxa"/>
          </w:tcPr>
          <w:p>
            <w:pPr>
              <w:pStyle w:val="TableParagraph"/>
              <w:spacing w:line="933" w:lineRule="exact"/>
              <w:ind w:left="183" w:right="124"/>
              <w:jc w:val="center"/>
              <w:rPr>
                <w:sz w:val="54"/>
              </w:rPr>
            </w:pPr>
            <w:r>
              <w:rPr>
                <w:sz w:val="54"/>
              </w:rPr>
              <w:t>4.68</w:t>
            </w:r>
          </w:p>
        </w:tc>
        <w:tc>
          <w:tcPr>
            <w:tcW w:w="1370" w:type="dxa"/>
          </w:tcPr>
          <w:p>
            <w:pPr>
              <w:pStyle w:val="TableParagraph"/>
              <w:spacing w:line="933" w:lineRule="exact"/>
              <w:ind w:left="124" w:right="125"/>
              <w:jc w:val="center"/>
              <w:rPr>
                <w:sz w:val="54"/>
              </w:rPr>
            </w:pPr>
            <w:r>
              <w:rPr>
                <w:sz w:val="54"/>
              </w:rPr>
              <w:t>6.58</w:t>
            </w:r>
          </w:p>
        </w:tc>
        <w:tc>
          <w:tcPr>
            <w:tcW w:w="1372" w:type="dxa"/>
          </w:tcPr>
          <w:p>
            <w:pPr>
              <w:pStyle w:val="TableParagraph"/>
              <w:spacing w:line="933" w:lineRule="exact"/>
              <w:ind w:left="125" w:right="124"/>
              <w:jc w:val="center"/>
              <w:rPr>
                <w:sz w:val="54"/>
              </w:rPr>
            </w:pPr>
            <w:r>
              <w:rPr>
                <w:sz w:val="54"/>
              </w:rPr>
              <w:t>9.25</w:t>
            </w:r>
          </w:p>
        </w:tc>
        <w:tc>
          <w:tcPr>
            <w:tcW w:w="1265" w:type="dxa"/>
          </w:tcPr>
          <w:p>
            <w:pPr>
              <w:pStyle w:val="TableParagraph"/>
              <w:spacing w:line="933" w:lineRule="exact"/>
              <w:ind w:left="126" w:right="18"/>
              <w:jc w:val="center"/>
              <w:rPr>
                <w:sz w:val="54"/>
              </w:rPr>
            </w:pPr>
            <w:r>
              <w:rPr>
                <w:sz w:val="54"/>
              </w:rPr>
              <w:t>13</w:t>
            </w:r>
          </w:p>
        </w:tc>
        <w:tc>
          <w:tcPr>
            <w:tcW w:w="2846" w:type="dxa"/>
          </w:tcPr>
          <w:p>
            <w:pPr>
              <w:pStyle w:val="TableParagraph"/>
              <w:tabs>
                <w:tab w:val="left" w:pos="1368"/>
              </w:tabs>
              <w:spacing w:line="933" w:lineRule="exact"/>
              <w:ind w:right="142"/>
              <w:jc w:val="right"/>
              <w:rPr>
                <w:sz w:val="54"/>
              </w:rPr>
            </w:pPr>
            <w:r>
              <w:rPr>
                <w:sz w:val="54"/>
              </w:rPr>
              <w:t>18.3</w:t>
              <w:tab/>
            </w:r>
            <w:r>
              <w:rPr>
                <w:spacing w:val="-1"/>
                <w:sz w:val="54"/>
              </w:rPr>
              <w:t>25.7</w:t>
            </w:r>
          </w:p>
        </w:tc>
        <w:tc>
          <w:tcPr>
            <w:tcW w:w="1372" w:type="dxa"/>
          </w:tcPr>
          <w:p>
            <w:pPr>
              <w:pStyle w:val="TableParagraph"/>
              <w:spacing w:line="933" w:lineRule="exact"/>
              <w:ind w:left="126" w:right="124"/>
              <w:jc w:val="center"/>
              <w:rPr>
                <w:sz w:val="54"/>
              </w:rPr>
            </w:pPr>
            <w:r>
              <w:rPr>
                <w:sz w:val="54"/>
              </w:rPr>
              <w:t>36</w:t>
            </w:r>
          </w:p>
        </w:tc>
        <w:tc>
          <w:tcPr>
            <w:tcW w:w="1372" w:type="dxa"/>
          </w:tcPr>
          <w:p>
            <w:pPr>
              <w:pStyle w:val="TableParagraph"/>
              <w:spacing w:line="933" w:lineRule="exact"/>
              <w:ind w:left="126" w:right="123"/>
              <w:jc w:val="center"/>
              <w:rPr>
                <w:sz w:val="54"/>
              </w:rPr>
            </w:pPr>
            <w:r>
              <w:rPr>
                <w:sz w:val="54"/>
              </w:rPr>
              <w:t>50.6</w:t>
            </w:r>
          </w:p>
        </w:tc>
        <w:tc>
          <w:tcPr>
            <w:tcW w:w="1345" w:type="dxa"/>
          </w:tcPr>
          <w:p>
            <w:pPr>
              <w:pStyle w:val="TableParagraph"/>
              <w:spacing w:line="933" w:lineRule="exact"/>
              <w:ind w:left="127" w:right="98"/>
              <w:jc w:val="center"/>
              <w:rPr>
                <w:sz w:val="54"/>
              </w:rPr>
            </w:pPr>
            <w:r>
              <w:rPr>
                <w:sz w:val="54"/>
              </w:rPr>
              <w:t>71.2</w:t>
            </w:r>
          </w:p>
        </w:tc>
        <w:tc>
          <w:tcPr>
            <w:tcW w:w="1119" w:type="dxa"/>
          </w:tcPr>
          <w:p>
            <w:pPr>
              <w:pStyle w:val="TableParagraph"/>
              <w:spacing w:line="933" w:lineRule="exact"/>
              <w:ind w:left="100" w:right="29"/>
              <w:jc w:val="center"/>
              <w:rPr>
                <w:sz w:val="54"/>
              </w:rPr>
            </w:pPr>
            <w:r>
              <w:rPr>
                <w:sz w:val="54"/>
              </w:rPr>
              <w:t>100</w:t>
            </w:r>
          </w:p>
        </w:tc>
      </w:tr>
      <w:tr>
        <w:tblPrEx>
          <w:tblW w:w="0" w:type="auto"/>
          <w:jc w:val="left"/>
          <w:tblInd w:w="119" w:type="dxa"/>
          <w:tblLayout w:type="fixed"/>
          <w:tblCellMar>
            <w:top w:w="0" w:type="dxa"/>
            <w:left w:w="0" w:type="dxa"/>
            <w:bottom w:w="0" w:type="dxa"/>
            <w:right w:w="0" w:type="dxa"/>
          </w:tblCellMar>
          <w:tblLook w:val="01E0"/>
        </w:tblPrEx>
        <w:trPr>
          <w:trHeight w:val="952"/>
          <w:jc w:val="left"/>
        </w:trPr>
        <w:tc>
          <w:tcPr>
            <w:tcW w:w="3076" w:type="dxa"/>
          </w:tcPr>
          <w:p>
            <w:pPr>
              <w:pStyle w:val="TableParagraph"/>
              <w:spacing w:line="932" w:lineRule="exact"/>
              <w:ind w:left="50"/>
              <w:rPr>
                <w:sz w:val="54"/>
              </w:rPr>
            </w:pPr>
            <w:r>
              <w:rPr>
                <w:sz w:val="54"/>
              </w:rPr>
              <w:t>50</w:t>
            </w:r>
          </w:p>
        </w:tc>
        <w:tc>
          <w:tcPr>
            <w:tcW w:w="1427" w:type="dxa"/>
          </w:tcPr>
          <w:p>
            <w:pPr>
              <w:pStyle w:val="TableParagraph"/>
              <w:spacing w:line="932" w:lineRule="exact"/>
              <w:ind w:left="183" w:right="124"/>
              <w:jc w:val="center"/>
              <w:rPr>
                <w:sz w:val="54"/>
              </w:rPr>
            </w:pPr>
            <w:r>
              <w:rPr>
                <w:sz w:val="54"/>
              </w:rPr>
              <w:t>2.96</w:t>
            </w:r>
          </w:p>
        </w:tc>
        <w:tc>
          <w:tcPr>
            <w:tcW w:w="1370" w:type="dxa"/>
          </w:tcPr>
          <w:p>
            <w:pPr>
              <w:pStyle w:val="TableParagraph"/>
              <w:spacing w:line="932" w:lineRule="exact"/>
              <w:ind w:left="124" w:right="125"/>
              <w:jc w:val="center"/>
              <w:rPr>
                <w:sz w:val="54"/>
              </w:rPr>
            </w:pPr>
            <w:r>
              <w:rPr>
                <w:sz w:val="54"/>
              </w:rPr>
              <w:t>4.37</w:t>
            </w:r>
          </w:p>
        </w:tc>
        <w:tc>
          <w:tcPr>
            <w:tcW w:w="1372" w:type="dxa"/>
          </w:tcPr>
          <w:p>
            <w:pPr>
              <w:pStyle w:val="TableParagraph"/>
              <w:spacing w:line="932" w:lineRule="exact"/>
              <w:ind w:left="125" w:right="124"/>
              <w:jc w:val="center"/>
              <w:rPr>
                <w:sz w:val="54"/>
              </w:rPr>
            </w:pPr>
            <w:r>
              <w:rPr>
                <w:sz w:val="54"/>
              </w:rPr>
              <w:t>6.47</w:t>
            </w:r>
          </w:p>
        </w:tc>
        <w:tc>
          <w:tcPr>
            <w:tcW w:w="1265" w:type="dxa"/>
          </w:tcPr>
          <w:p>
            <w:pPr>
              <w:pStyle w:val="TableParagraph"/>
              <w:spacing w:line="932" w:lineRule="exact"/>
              <w:ind w:left="126" w:right="19"/>
              <w:jc w:val="center"/>
              <w:rPr>
                <w:sz w:val="54"/>
              </w:rPr>
            </w:pPr>
            <w:r>
              <w:rPr>
                <w:sz w:val="54"/>
              </w:rPr>
              <w:t>9.56</w:t>
            </w:r>
          </w:p>
        </w:tc>
        <w:tc>
          <w:tcPr>
            <w:tcW w:w="2846" w:type="dxa"/>
          </w:tcPr>
          <w:p>
            <w:pPr>
              <w:pStyle w:val="TableParagraph"/>
              <w:tabs>
                <w:tab w:val="left" w:pos="1368"/>
              </w:tabs>
              <w:spacing w:line="932" w:lineRule="exact"/>
              <w:ind w:right="142"/>
              <w:jc w:val="right"/>
              <w:rPr>
                <w:sz w:val="54"/>
              </w:rPr>
            </w:pPr>
            <w:r>
              <w:rPr>
                <w:sz w:val="54"/>
              </w:rPr>
              <w:t>14.1</w:t>
              <w:tab/>
            </w:r>
            <w:r>
              <w:rPr>
                <w:spacing w:val="-1"/>
                <w:sz w:val="54"/>
              </w:rPr>
              <w:t>20.9</w:t>
            </w:r>
          </w:p>
        </w:tc>
        <w:tc>
          <w:tcPr>
            <w:tcW w:w="1372" w:type="dxa"/>
          </w:tcPr>
          <w:p>
            <w:pPr>
              <w:pStyle w:val="TableParagraph"/>
              <w:spacing w:line="932" w:lineRule="exact"/>
              <w:ind w:left="126" w:right="124"/>
              <w:jc w:val="center"/>
              <w:rPr>
                <w:sz w:val="54"/>
              </w:rPr>
            </w:pPr>
            <w:r>
              <w:rPr>
                <w:sz w:val="54"/>
              </w:rPr>
              <w:t>30.9</w:t>
            </w:r>
          </w:p>
        </w:tc>
        <w:tc>
          <w:tcPr>
            <w:tcW w:w="1372" w:type="dxa"/>
          </w:tcPr>
          <w:p>
            <w:pPr>
              <w:pStyle w:val="TableParagraph"/>
              <w:spacing w:line="932" w:lineRule="exact"/>
              <w:ind w:left="126" w:right="123"/>
              <w:jc w:val="center"/>
              <w:rPr>
                <w:sz w:val="54"/>
              </w:rPr>
            </w:pPr>
            <w:r>
              <w:rPr>
                <w:sz w:val="54"/>
              </w:rPr>
              <w:t>45.7</w:t>
            </w:r>
          </w:p>
        </w:tc>
        <w:tc>
          <w:tcPr>
            <w:tcW w:w="1345" w:type="dxa"/>
          </w:tcPr>
          <w:p>
            <w:pPr>
              <w:pStyle w:val="TableParagraph"/>
              <w:spacing w:line="932" w:lineRule="exact"/>
              <w:ind w:left="127" w:right="98"/>
              <w:jc w:val="center"/>
              <w:rPr>
                <w:sz w:val="54"/>
              </w:rPr>
            </w:pPr>
            <w:r>
              <w:rPr>
                <w:sz w:val="54"/>
              </w:rPr>
              <w:t>67.6</w:t>
            </w:r>
          </w:p>
        </w:tc>
        <w:tc>
          <w:tcPr>
            <w:tcW w:w="1119" w:type="dxa"/>
          </w:tcPr>
          <w:p>
            <w:pPr>
              <w:pStyle w:val="TableParagraph"/>
              <w:spacing w:line="932" w:lineRule="exact"/>
              <w:ind w:left="100" w:right="29"/>
              <w:jc w:val="center"/>
              <w:rPr>
                <w:sz w:val="54"/>
              </w:rPr>
            </w:pPr>
            <w:r>
              <w:rPr>
                <w:sz w:val="54"/>
              </w:rPr>
              <w:t>100</w:t>
            </w:r>
          </w:p>
        </w:tc>
      </w:tr>
      <w:tr>
        <w:tblPrEx>
          <w:tblW w:w="0" w:type="auto"/>
          <w:jc w:val="left"/>
          <w:tblInd w:w="119" w:type="dxa"/>
          <w:tblLayout w:type="fixed"/>
          <w:tblCellMar>
            <w:top w:w="0" w:type="dxa"/>
            <w:left w:w="0" w:type="dxa"/>
            <w:bottom w:w="0" w:type="dxa"/>
            <w:right w:w="0" w:type="dxa"/>
          </w:tblCellMar>
          <w:tblLook w:val="01E0"/>
        </w:tblPrEx>
        <w:trPr>
          <w:trHeight w:val="950"/>
          <w:jc w:val="left"/>
        </w:trPr>
        <w:tc>
          <w:tcPr>
            <w:tcW w:w="3076" w:type="dxa"/>
          </w:tcPr>
          <w:p>
            <w:pPr>
              <w:pStyle w:val="TableParagraph"/>
              <w:tabs>
                <w:tab w:val="left" w:pos="1379"/>
              </w:tabs>
              <w:spacing w:line="930" w:lineRule="exact"/>
              <w:ind w:left="50"/>
              <w:rPr>
                <w:sz w:val="54"/>
              </w:rPr>
            </w:pPr>
            <w:r>
              <w:rPr>
                <w:sz w:val="54"/>
              </w:rPr>
              <w:t>30</w:t>
              <w:tab/>
              <w:t>直线</w:t>
            </w:r>
          </w:p>
        </w:tc>
        <w:tc>
          <w:tcPr>
            <w:tcW w:w="1427" w:type="dxa"/>
          </w:tcPr>
          <w:p>
            <w:pPr>
              <w:pStyle w:val="TableParagraph"/>
              <w:spacing w:line="930" w:lineRule="exact"/>
              <w:ind w:left="183" w:right="124"/>
              <w:jc w:val="center"/>
              <w:rPr>
                <w:sz w:val="54"/>
              </w:rPr>
            </w:pPr>
            <w:r>
              <w:rPr>
                <w:sz w:val="54"/>
              </w:rPr>
              <w:t>13</w:t>
            </w:r>
          </w:p>
        </w:tc>
        <w:tc>
          <w:tcPr>
            <w:tcW w:w="1370" w:type="dxa"/>
          </w:tcPr>
          <w:p>
            <w:pPr>
              <w:pStyle w:val="TableParagraph"/>
              <w:spacing w:line="930" w:lineRule="exact"/>
              <w:ind w:left="124" w:right="125"/>
              <w:jc w:val="center"/>
              <w:rPr>
                <w:sz w:val="54"/>
              </w:rPr>
            </w:pPr>
            <w:r>
              <w:rPr>
                <w:sz w:val="54"/>
              </w:rPr>
              <w:t>22.7</w:t>
            </w:r>
          </w:p>
        </w:tc>
        <w:tc>
          <w:tcPr>
            <w:tcW w:w="1372" w:type="dxa"/>
          </w:tcPr>
          <w:p>
            <w:pPr>
              <w:pStyle w:val="TableParagraph"/>
              <w:spacing w:line="930" w:lineRule="exact"/>
              <w:ind w:left="125" w:right="124"/>
              <w:jc w:val="center"/>
              <w:rPr>
                <w:sz w:val="54"/>
              </w:rPr>
            </w:pPr>
            <w:r>
              <w:rPr>
                <w:sz w:val="54"/>
              </w:rPr>
              <w:t>32.4</w:t>
            </w:r>
          </w:p>
        </w:tc>
        <w:tc>
          <w:tcPr>
            <w:tcW w:w="1265" w:type="dxa"/>
          </w:tcPr>
          <w:p>
            <w:pPr>
              <w:pStyle w:val="TableParagraph"/>
              <w:spacing w:line="930" w:lineRule="exact"/>
              <w:ind w:left="126" w:right="18"/>
              <w:jc w:val="center"/>
              <w:rPr>
                <w:sz w:val="54"/>
              </w:rPr>
            </w:pPr>
            <w:r>
              <w:rPr>
                <w:sz w:val="54"/>
              </w:rPr>
              <w:t>42</w:t>
            </w:r>
          </w:p>
        </w:tc>
        <w:tc>
          <w:tcPr>
            <w:tcW w:w="2846" w:type="dxa"/>
          </w:tcPr>
          <w:p>
            <w:pPr>
              <w:pStyle w:val="TableParagraph"/>
              <w:tabs>
                <w:tab w:val="left" w:pos="1368"/>
              </w:tabs>
              <w:spacing w:line="930" w:lineRule="exact"/>
              <w:ind w:right="142"/>
              <w:jc w:val="right"/>
              <w:rPr>
                <w:sz w:val="54"/>
              </w:rPr>
            </w:pPr>
            <w:r>
              <w:rPr>
                <w:sz w:val="54"/>
              </w:rPr>
              <w:t>51.7</w:t>
              <w:tab/>
            </w:r>
            <w:r>
              <w:rPr>
                <w:spacing w:val="-1"/>
                <w:sz w:val="54"/>
              </w:rPr>
              <w:t>61.3</w:t>
            </w:r>
          </w:p>
        </w:tc>
        <w:tc>
          <w:tcPr>
            <w:tcW w:w="1372" w:type="dxa"/>
          </w:tcPr>
          <w:p>
            <w:pPr>
              <w:pStyle w:val="TableParagraph"/>
              <w:spacing w:line="930" w:lineRule="exact"/>
              <w:ind w:left="126" w:right="124"/>
              <w:jc w:val="center"/>
              <w:rPr>
                <w:sz w:val="54"/>
              </w:rPr>
            </w:pPr>
            <w:r>
              <w:rPr>
                <w:sz w:val="54"/>
              </w:rPr>
              <w:t>71</w:t>
            </w:r>
          </w:p>
        </w:tc>
        <w:tc>
          <w:tcPr>
            <w:tcW w:w="1372" w:type="dxa"/>
          </w:tcPr>
          <w:p>
            <w:pPr>
              <w:pStyle w:val="TableParagraph"/>
              <w:spacing w:line="930" w:lineRule="exact"/>
              <w:ind w:left="126" w:right="123"/>
              <w:jc w:val="center"/>
              <w:rPr>
                <w:sz w:val="54"/>
              </w:rPr>
            </w:pPr>
            <w:r>
              <w:rPr>
                <w:sz w:val="54"/>
              </w:rPr>
              <w:t>80.6</w:t>
            </w:r>
          </w:p>
        </w:tc>
        <w:tc>
          <w:tcPr>
            <w:tcW w:w="1345" w:type="dxa"/>
          </w:tcPr>
          <w:p>
            <w:pPr>
              <w:pStyle w:val="TableParagraph"/>
              <w:spacing w:line="930" w:lineRule="exact"/>
              <w:ind w:left="127" w:right="98"/>
              <w:jc w:val="center"/>
              <w:rPr>
                <w:sz w:val="54"/>
              </w:rPr>
            </w:pPr>
            <w:r>
              <w:rPr>
                <w:sz w:val="54"/>
              </w:rPr>
              <w:t>90.3</w:t>
            </w:r>
          </w:p>
        </w:tc>
        <w:tc>
          <w:tcPr>
            <w:tcW w:w="1119" w:type="dxa"/>
          </w:tcPr>
          <w:p>
            <w:pPr>
              <w:pStyle w:val="TableParagraph"/>
              <w:spacing w:line="930" w:lineRule="exact"/>
              <w:ind w:left="100" w:right="29"/>
              <w:jc w:val="center"/>
              <w:rPr>
                <w:sz w:val="54"/>
              </w:rPr>
            </w:pPr>
            <w:r>
              <w:rPr>
                <w:sz w:val="54"/>
              </w:rPr>
              <w:t>100</w:t>
            </w:r>
          </w:p>
        </w:tc>
      </w:tr>
      <w:tr>
        <w:tblPrEx>
          <w:tblW w:w="0" w:type="auto"/>
          <w:jc w:val="left"/>
          <w:tblInd w:w="119" w:type="dxa"/>
          <w:tblLayout w:type="fixed"/>
          <w:tblCellMar>
            <w:top w:w="0" w:type="dxa"/>
            <w:left w:w="0" w:type="dxa"/>
            <w:bottom w:w="0" w:type="dxa"/>
            <w:right w:w="0" w:type="dxa"/>
          </w:tblCellMar>
          <w:tblLook w:val="01E0"/>
        </w:tblPrEx>
        <w:trPr>
          <w:trHeight w:val="831"/>
          <w:jc w:val="left"/>
        </w:trPr>
        <w:tc>
          <w:tcPr>
            <w:tcW w:w="3076" w:type="dxa"/>
          </w:tcPr>
          <w:p>
            <w:pPr>
              <w:pStyle w:val="TableParagraph"/>
              <w:spacing w:line="812" w:lineRule="exact"/>
              <w:ind w:left="50"/>
              <w:rPr>
                <w:sz w:val="54"/>
              </w:rPr>
            </w:pPr>
            <w:r>
              <w:rPr>
                <w:sz w:val="54"/>
              </w:rPr>
              <w:t>50</w:t>
            </w:r>
          </w:p>
        </w:tc>
        <w:tc>
          <w:tcPr>
            <w:tcW w:w="1427" w:type="dxa"/>
          </w:tcPr>
          <w:p>
            <w:pPr>
              <w:pStyle w:val="TableParagraph"/>
              <w:spacing w:line="812" w:lineRule="exact"/>
              <w:ind w:left="183" w:right="124"/>
              <w:jc w:val="center"/>
              <w:rPr>
                <w:sz w:val="54"/>
              </w:rPr>
            </w:pPr>
            <w:r>
              <w:rPr>
                <w:sz w:val="54"/>
              </w:rPr>
              <w:t>11.8</w:t>
            </w:r>
          </w:p>
        </w:tc>
        <w:tc>
          <w:tcPr>
            <w:tcW w:w="1370" w:type="dxa"/>
          </w:tcPr>
          <w:p>
            <w:pPr>
              <w:pStyle w:val="TableParagraph"/>
              <w:spacing w:line="812" w:lineRule="exact"/>
              <w:ind w:left="124" w:right="125"/>
              <w:jc w:val="center"/>
              <w:rPr>
                <w:sz w:val="54"/>
              </w:rPr>
            </w:pPr>
            <w:r>
              <w:rPr>
                <w:sz w:val="54"/>
              </w:rPr>
              <w:t>21.6</w:t>
            </w:r>
          </w:p>
        </w:tc>
        <w:tc>
          <w:tcPr>
            <w:tcW w:w="1372" w:type="dxa"/>
          </w:tcPr>
          <w:p>
            <w:pPr>
              <w:pStyle w:val="TableParagraph"/>
              <w:spacing w:line="812" w:lineRule="exact"/>
              <w:ind w:left="125" w:right="124"/>
              <w:jc w:val="center"/>
              <w:rPr>
                <w:sz w:val="54"/>
              </w:rPr>
            </w:pPr>
            <w:r>
              <w:rPr>
                <w:sz w:val="54"/>
              </w:rPr>
              <w:t>31.4</w:t>
            </w:r>
          </w:p>
        </w:tc>
        <w:tc>
          <w:tcPr>
            <w:tcW w:w="1265" w:type="dxa"/>
          </w:tcPr>
          <w:p>
            <w:pPr>
              <w:pStyle w:val="TableParagraph"/>
              <w:spacing w:line="812" w:lineRule="exact"/>
              <w:ind w:left="126" w:right="19"/>
              <w:jc w:val="center"/>
              <w:rPr>
                <w:sz w:val="54"/>
              </w:rPr>
            </w:pPr>
            <w:r>
              <w:rPr>
                <w:sz w:val="54"/>
              </w:rPr>
              <w:t>41.2</w:t>
            </w:r>
          </w:p>
        </w:tc>
        <w:tc>
          <w:tcPr>
            <w:tcW w:w="2846" w:type="dxa"/>
          </w:tcPr>
          <w:p>
            <w:pPr>
              <w:pStyle w:val="TableParagraph"/>
              <w:tabs>
                <w:tab w:val="left" w:pos="1144"/>
              </w:tabs>
              <w:spacing w:line="812" w:lineRule="exact"/>
              <w:ind w:right="142"/>
              <w:jc w:val="right"/>
              <w:rPr>
                <w:sz w:val="54"/>
              </w:rPr>
            </w:pPr>
            <w:r>
              <w:rPr>
                <w:sz w:val="54"/>
              </w:rPr>
              <w:t>51</w:t>
              <w:tab/>
            </w:r>
            <w:r>
              <w:rPr>
                <w:spacing w:val="-1"/>
                <w:sz w:val="54"/>
              </w:rPr>
              <w:t>60.8</w:t>
            </w:r>
          </w:p>
        </w:tc>
        <w:tc>
          <w:tcPr>
            <w:tcW w:w="1372" w:type="dxa"/>
          </w:tcPr>
          <w:p>
            <w:pPr>
              <w:pStyle w:val="TableParagraph"/>
              <w:spacing w:line="812" w:lineRule="exact"/>
              <w:ind w:left="126" w:right="124"/>
              <w:jc w:val="center"/>
              <w:rPr>
                <w:sz w:val="54"/>
              </w:rPr>
            </w:pPr>
            <w:r>
              <w:rPr>
                <w:sz w:val="54"/>
              </w:rPr>
              <w:t>70.6</w:t>
            </w:r>
          </w:p>
        </w:tc>
        <w:tc>
          <w:tcPr>
            <w:tcW w:w="1372" w:type="dxa"/>
          </w:tcPr>
          <w:p>
            <w:pPr>
              <w:pStyle w:val="TableParagraph"/>
              <w:spacing w:line="812" w:lineRule="exact"/>
              <w:ind w:left="126" w:right="123"/>
              <w:jc w:val="center"/>
              <w:rPr>
                <w:sz w:val="54"/>
              </w:rPr>
            </w:pPr>
            <w:r>
              <w:rPr>
                <w:sz w:val="54"/>
              </w:rPr>
              <w:t>80.4</w:t>
            </w:r>
          </w:p>
        </w:tc>
        <w:tc>
          <w:tcPr>
            <w:tcW w:w="1345" w:type="dxa"/>
          </w:tcPr>
          <w:p>
            <w:pPr>
              <w:pStyle w:val="TableParagraph"/>
              <w:spacing w:line="812" w:lineRule="exact"/>
              <w:ind w:left="127" w:right="98"/>
              <w:jc w:val="center"/>
              <w:rPr>
                <w:sz w:val="54"/>
              </w:rPr>
            </w:pPr>
            <w:r>
              <w:rPr>
                <w:sz w:val="54"/>
              </w:rPr>
              <w:t>90.2</w:t>
            </w:r>
          </w:p>
        </w:tc>
        <w:tc>
          <w:tcPr>
            <w:tcW w:w="1119" w:type="dxa"/>
          </w:tcPr>
          <w:p>
            <w:pPr>
              <w:pStyle w:val="TableParagraph"/>
              <w:spacing w:line="812" w:lineRule="exact"/>
              <w:ind w:left="100" w:right="29"/>
              <w:jc w:val="center"/>
              <w:rPr>
                <w:sz w:val="54"/>
              </w:rPr>
            </w:pPr>
            <w:r>
              <w:rPr>
                <w:sz w:val="54"/>
              </w:rPr>
              <w:t>100</w:t>
            </w:r>
          </w:p>
        </w:tc>
      </w:tr>
    </w:tbl>
    <w:p>
      <w:pPr>
        <w:pStyle w:val="BodyText"/>
        <w:spacing w:before="7"/>
        <w:rPr>
          <w:rFonts w:ascii="微软雅黑"/>
          <w:sz w:val="58"/>
        </w:rPr>
      </w:pPr>
    </w:p>
    <w:p>
      <w:pPr>
        <w:spacing w:before="0" w:line="225" w:lineRule="auto"/>
        <w:ind w:left="1628" w:right="2229" w:firstLine="0"/>
        <w:jc w:val="both"/>
        <w:rPr>
          <w:rFonts w:ascii="微软雅黑" w:eastAsia="微软雅黑" w:hint="eastAsia"/>
          <w:sz w:val="54"/>
        </w:rPr>
      </w:pPr>
      <w:r>
        <w:rPr>
          <w:rFonts w:ascii="微软雅黑" w:eastAsia="微软雅黑" w:hint="eastAsia"/>
          <w:sz w:val="54"/>
        </w:rPr>
        <w:t>由上表可以看出，直线流量特性在小开度时，流量相对变化大，调节作用强，容易产生超调，可引起震荡，在大开度时调节作用弱，及时性差。而等百分比流量特性小开度时流量小，流量变化也小，在大开度时流量大，流量变化也大，调节作用灵敏有效。由于上述原因，在实际工况中</w:t>
      </w:r>
    </w:p>
    <w:p>
      <w:pPr>
        <w:spacing w:after="0" w:line="225" w:lineRule="auto"/>
        <w:jc w:val="both"/>
        <w:rPr>
          <w:rFonts w:ascii="微软雅黑" w:eastAsia="微软雅黑" w:hint="eastAsia"/>
          <w:sz w:val="54"/>
        </w:rPr>
        <w:sectPr>
          <w:pgSz w:w="17860" w:h="25260"/>
          <w:pgMar w:top="1600" w:right="0" w:bottom="280" w:left="500" w:header="708" w:footer="708"/>
          <w:pgNumType w:start="4"/>
          <w:cols w:space="708"/>
        </w:sectPr>
      </w:pPr>
    </w:p>
    <w:p>
      <w:pPr>
        <w:spacing w:before="0" w:line="909" w:lineRule="exact"/>
        <w:ind w:left="1628" w:right="0" w:firstLine="0"/>
        <w:jc w:val="left"/>
        <w:rPr>
          <w:rFonts w:ascii="微软雅黑" w:eastAsia="微软雅黑" w:hint="eastAsia"/>
          <w:sz w:val="54"/>
        </w:rPr>
      </w:pPr>
      <w:r>
        <w:rPr>
          <w:rFonts w:ascii="微软雅黑" w:eastAsia="微软雅黑" w:hint="eastAsia"/>
          <w:sz w:val="54"/>
        </w:rPr>
        <w:t>多数场合优选等百分比流量特性。</w:t>
      </w:r>
    </w:p>
    <w:p>
      <w:pPr>
        <w:spacing w:before="13" w:line="225" w:lineRule="auto"/>
        <w:ind w:left="1628" w:right="1852" w:firstLine="1079"/>
        <w:jc w:val="left"/>
        <w:rPr>
          <w:rFonts w:ascii="微软雅黑" w:eastAsia="微软雅黑" w:hint="eastAsia"/>
          <w:sz w:val="54"/>
        </w:rPr>
      </w:pPr>
      <w:r>
        <w:rPr>
          <w:rFonts w:ascii="微软雅黑" w:eastAsia="微软雅黑" w:hint="eastAsia"/>
          <w:spacing w:val="-4"/>
          <w:sz w:val="54"/>
        </w:rPr>
        <w:t>GB/T4213-2008</w:t>
      </w:r>
      <w:r>
        <w:rPr>
          <w:rFonts w:ascii="微软雅黑" w:eastAsia="微软雅黑" w:hint="eastAsia"/>
          <w:spacing w:val="-6"/>
          <w:sz w:val="54"/>
        </w:rPr>
        <w:t xml:space="preserve">《气动调节阀》标准 </w:t>
      </w:r>
      <w:r>
        <w:rPr>
          <w:rFonts w:ascii="微软雅黑" w:eastAsia="微软雅黑" w:hint="eastAsia"/>
          <w:sz w:val="54"/>
        </w:rPr>
        <w:t>5.11.2</w:t>
      </w:r>
      <w:r>
        <w:rPr>
          <w:rFonts w:ascii="微软雅黑" w:eastAsia="微软雅黑" w:hint="eastAsia"/>
          <w:spacing w:val="-5"/>
          <w:sz w:val="54"/>
        </w:rPr>
        <w:t xml:space="preserve"> 条规定， </w:t>
      </w:r>
      <w:r>
        <w:rPr>
          <w:rFonts w:ascii="微软雅黑" w:eastAsia="微软雅黑" w:hint="eastAsia"/>
          <w:spacing w:val="1"/>
          <w:sz w:val="54"/>
        </w:rPr>
        <w:t xml:space="preserve">等百分比流量特性的斜率偏差：在相对行程 </w:t>
      </w:r>
      <w:r>
        <w:rPr>
          <w:rFonts w:ascii="微软雅黑" w:eastAsia="微软雅黑" w:hint="eastAsia"/>
          <w:sz w:val="54"/>
        </w:rPr>
        <w:t>h=0.1～0.9 之间，任意相邻流量系数测量值的十进对数（lg）差值应符合表二规定。</w:t>
      </w:r>
    </w:p>
    <w:p>
      <w:pPr>
        <w:spacing w:after="0" w:line="225" w:lineRule="auto"/>
        <w:jc w:val="left"/>
        <w:rPr>
          <w:rFonts w:ascii="微软雅黑" w:eastAsia="微软雅黑" w:hint="eastAsia"/>
          <w:sz w:val="54"/>
        </w:rPr>
        <w:sectPr>
          <w:pgSz w:w="17860" w:h="25260"/>
          <w:pgMar w:top="1600" w:right="0" w:bottom="280" w:left="500" w:header="708" w:footer="708"/>
          <w:pgNumType w:start="5"/>
          <w:cols w:space="708"/>
        </w:sectPr>
      </w:pPr>
    </w:p>
    <w:p>
      <w:pPr>
        <w:pStyle w:val="BodyText"/>
        <w:rPr>
          <w:rFonts w:ascii="微软雅黑"/>
          <w:sz w:val="70"/>
        </w:rPr>
      </w:pPr>
    </w:p>
    <w:p>
      <w:pPr>
        <w:pStyle w:val="BodyText"/>
        <w:rPr>
          <w:rFonts w:ascii="微软雅黑"/>
          <w:sz w:val="70"/>
        </w:rPr>
      </w:pPr>
    </w:p>
    <w:p>
      <w:pPr>
        <w:pStyle w:val="BodyText"/>
        <w:spacing w:before="5"/>
        <w:rPr>
          <w:rFonts w:ascii="微软雅黑"/>
          <w:sz w:val="38"/>
        </w:rPr>
      </w:pPr>
    </w:p>
    <w:p>
      <w:pPr>
        <w:spacing w:before="0"/>
        <w:ind w:left="1707" w:right="0" w:firstLine="0"/>
        <w:jc w:val="left"/>
        <w:rPr>
          <w:rFonts w:ascii="微软雅黑" w:eastAsia="微软雅黑" w:hint="eastAsia"/>
          <w:sz w:val="54"/>
        </w:rPr>
      </w:pPr>
      <w:r>
        <w:rPr>
          <w:rFonts w:ascii="微软雅黑" w:eastAsia="微软雅黑" w:hint="eastAsia"/>
          <w:spacing w:val="-6"/>
          <w:sz w:val="54"/>
        </w:rPr>
        <w:t xml:space="preserve">可调比 </w:t>
      </w:r>
      <w:r>
        <w:rPr>
          <w:rFonts w:ascii="微软雅黑" w:eastAsia="微软雅黑" w:hint="eastAsia"/>
          <w:spacing w:val="-19"/>
          <w:sz w:val="54"/>
        </w:rPr>
        <w:t>R</w:t>
      </w:r>
    </w:p>
    <w:p>
      <w:pPr>
        <w:pStyle w:val="BodyText"/>
        <w:spacing w:before="17"/>
        <w:rPr>
          <w:rFonts w:ascii="微软雅黑"/>
          <w:sz w:val="100"/>
        </w:rPr>
      </w:pPr>
      <w:r>
        <w:br w:type="column"/>
      </w:r>
    </w:p>
    <w:p>
      <w:pPr>
        <w:spacing w:before="0"/>
        <w:ind w:left="824" w:right="0" w:firstLine="0"/>
        <w:jc w:val="left"/>
        <w:rPr>
          <w:rFonts w:ascii="微软雅黑" w:eastAsia="微软雅黑" w:hint="eastAsia"/>
          <w:sz w:val="54"/>
        </w:rPr>
      </w:pPr>
      <w:r>
        <w:rPr>
          <w:rFonts w:ascii="微软雅黑" w:eastAsia="微软雅黑" w:hint="eastAsia"/>
          <w:spacing w:val="-1"/>
          <w:sz w:val="54"/>
        </w:rPr>
        <w:t>h=0.2～0.8</w:t>
      </w:r>
    </w:p>
    <w:p>
      <w:pPr>
        <w:pStyle w:val="BodyText"/>
        <w:spacing w:before="5"/>
        <w:rPr>
          <w:rFonts w:ascii="微软雅黑"/>
          <w:sz w:val="51"/>
        </w:rPr>
      </w:pPr>
      <w:r>
        <w:br w:type="column"/>
      </w:r>
    </w:p>
    <w:p>
      <w:pPr>
        <w:tabs>
          <w:tab w:val="left" w:pos="2463"/>
        </w:tabs>
        <w:spacing w:before="0" w:line="228" w:lineRule="auto"/>
        <w:ind w:left="1732" w:right="0" w:hanging="966"/>
        <w:jc w:val="left"/>
        <w:rPr>
          <w:rFonts w:ascii="微软雅黑" w:hAnsi="微软雅黑"/>
          <w:sz w:val="54"/>
        </w:rPr>
      </w:pPr>
      <w:r>
        <w:rPr>
          <w:rFonts w:ascii="微软雅黑" w:hAnsi="微软雅黑"/>
          <w:sz w:val="54"/>
        </w:rPr>
        <w:t>lgKvn</w:t>
        <w:tab/>
      </w:r>
      <w:r>
        <w:rPr>
          <w:rFonts w:ascii="微软雅黑" w:hAnsi="微软雅黑"/>
          <w:spacing w:val="-3"/>
          <w:sz w:val="54"/>
        </w:rPr>
        <w:t xml:space="preserve">–lgKvn-1 </w:t>
      </w:r>
      <w:r>
        <w:rPr>
          <w:rFonts w:ascii="微软雅黑" w:hAnsi="微软雅黑"/>
          <w:sz w:val="54"/>
        </w:rPr>
        <w:t>h&lt;0.2</w:t>
      </w:r>
    </w:p>
    <w:p>
      <w:pPr>
        <w:spacing w:before="468"/>
        <w:ind w:left="1400" w:right="0" w:firstLine="0"/>
        <w:jc w:val="left"/>
        <w:rPr>
          <w:rFonts w:ascii="微软雅黑" w:eastAsia="微软雅黑" w:hint="eastAsia"/>
          <w:sz w:val="54"/>
        </w:rPr>
      </w:pPr>
      <w:r>
        <w:rPr>
          <w:rFonts w:ascii="微软雅黑" w:eastAsia="微软雅黑" w:hint="eastAsia"/>
          <w:sz w:val="54"/>
        </w:rPr>
        <w:t>斜率偏差</w:t>
      </w:r>
    </w:p>
    <w:p>
      <w:pPr>
        <w:spacing w:before="0" w:line="954" w:lineRule="exact"/>
        <w:ind w:left="139" w:right="417" w:firstLine="0"/>
        <w:jc w:val="center"/>
        <w:rPr>
          <w:rFonts w:ascii="微软雅黑" w:eastAsia="微软雅黑" w:hint="eastAsia"/>
          <w:sz w:val="54"/>
        </w:rPr>
      </w:pPr>
      <w:r>
        <w:br w:type="column"/>
      </w:r>
      <w:r>
        <w:rPr>
          <w:rFonts w:ascii="微软雅黑" w:eastAsia="微软雅黑" w:hint="eastAsia"/>
          <w:sz w:val="54"/>
        </w:rPr>
        <w:t>表二</w:t>
      </w:r>
    </w:p>
    <w:p>
      <w:pPr>
        <w:pStyle w:val="BodyText"/>
        <w:spacing w:before="3"/>
        <w:rPr>
          <w:rFonts w:ascii="微软雅黑"/>
          <w:sz w:val="49"/>
        </w:rPr>
      </w:pPr>
    </w:p>
    <w:p>
      <w:pPr>
        <w:spacing w:before="0"/>
        <w:ind w:left="132" w:right="1436" w:firstLine="0"/>
        <w:jc w:val="center"/>
        <w:rPr>
          <w:rFonts w:ascii="微软雅黑"/>
          <w:sz w:val="54"/>
        </w:rPr>
      </w:pPr>
      <w:r>
        <w:rPr>
          <w:rFonts w:ascii="微软雅黑"/>
          <w:sz w:val="54"/>
        </w:rPr>
        <w:t>h&gt;0.8</w:t>
      </w:r>
    </w:p>
    <w:p>
      <w:pPr>
        <w:pStyle w:val="BodyText"/>
        <w:spacing w:before="13"/>
        <w:rPr>
          <w:rFonts w:ascii="微软雅黑"/>
          <w:sz w:val="49"/>
        </w:rPr>
      </w:pPr>
    </w:p>
    <w:p>
      <w:pPr>
        <w:spacing w:before="0" w:line="609" w:lineRule="exact"/>
        <w:ind w:left="139" w:right="1436" w:firstLine="0"/>
        <w:jc w:val="center"/>
        <w:rPr>
          <w:rFonts w:ascii="微软雅黑" w:eastAsia="微软雅黑" w:hint="eastAsia"/>
          <w:sz w:val="54"/>
        </w:rPr>
      </w:pPr>
      <w:r>
        <w:rPr>
          <w:rFonts w:ascii="微软雅黑" w:eastAsia="微软雅黑" w:hint="eastAsia"/>
          <w:sz w:val="54"/>
        </w:rPr>
        <w:t>斜率偏差 30%</w:t>
      </w:r>
    </w:p>
    <w:p>
      <w:pPr>
        <w:spacing w:after="0" w:line="609" w:lineRule="exact"/>
        <w:jc w:val="center"/>
        <w:rPr>
          <w:rFonts w:ascii="微软雅黑" w:eastAsia="微软雅黑" w:hint="eastAsia"/>
          <w:sz w:val="54"/>
        </w:rPr>
        <w:sectPr>
          <w:type w:val="continuous"/>
          <w:pgSz w:w="17860" w:h="25260"/>
          <w:pgMar w:top="900" w:right="0" w:bottom="0" w:left="500" w:header="708" w:footer="708"/>
          <w:pgNumType w:start="6"/>
          <w:cols w:num="4" w:space="708" w:equalWidth="0">
            <w:col w:w="3817" w:space="40"/>
            <w:col w:w="3622" w:space="39"/>
            <w:col w:w="4753" w:space="40"/>
            <w:col w:w="5049" w:space="0"/>
          </w:cols>
        </w:sectPr>
      </w:pPr>
    </w:p>
    <w:p>
      <w:pPr>
        <w:spacing w:before="0" w:line="854" w:lineRule="exact"/>
        <w:ind w:left="4245" w:right="0" w:firstLine="0"/>
        <w:jc w:val="left"/>
        <w:rPr>
          <w:rFonts w:ascii="微软雅黑" w:eastAsia="微软雅黑" w:hAnsi="微软雅黑" w:hint="eastAsia"/>
          <w:sz w:val="54"/>
        </w:rPr>
      </w:pPr>
      <w:r>
        <w:rPr>
          <w:rFonts w:ascii="微软雅黑" w:eastAsia="微软雅黑" w:hAnsi="微软雅黑" w:hint="eastAsia"/>
          <w:sz w:val="54"/>
        </w:rPr>
        <w:t>斜率偏差±30%</w:t>
      </w:r>
    </w:p>
    <w:p>
      <w:pPr>
        <w:tabs>
          <w:tab w:val="left" w:pos="5551"/>
        </w:tabs>
        <w:spacing w:before="0" w:line="153" w:lineRule="auto"/>
        <w:ind w:left="1284" w:right="0" w:firstLine="0"/>
        <w:jc w:val="left"/>
        <w:rPr>
          <w:rFonts w:ascii="微软雅黑"/>
          <w:sz w:val="54"/>
        </w:rPr>
      </w:pPr>
      <w:r>
        <w:br w:type="column"/>
      </w:r>
      <w:r>
        <w:rPr>
          <w:rFonts w:ascii="微软雅黑"/>
          <w:sz w:val="54"/>
        </w:rPr>
        <w:t>+80%</w:t>
        <w:tab/>
      </w:r>
      <w:r>
        <w:rPr>
          <w:rFonts w:ascii="微软雅黑"/>
          <w:position w:val="-46"/>
          <w:sz w:val="54"/>
        </w:rPr>
        <w:t>-80%</w:t>
      </w:r>
    </w:p>
    <w:p>
      <w:pPr>
        <w:spacing w:before="0" w:line="729" w:lineRule="exact"/>
        <w:ind w:left="1367" w:right="0" w:firstLine="0"/>
        <w:jc w:val="left"/>
        <w:rPr>
          <w:rFonts w:ascii="微软雅黑"/>
          <w:sz w:val="54"/>
        </w:rPr>
      </w:pPr>
      <w:r>
        <w:rPr>
          <w:rFonts w:ascii="微软雅黑"/>
          <w:sz w:val="54"/>
        </w:rPr>
        <w:t>-30%</w:t>
      </w:r>
    </w:p>
    <w:p>
      <w:pPr>
        <w:spacing w:after="0" w:line="729" w:lineRule="exact"/>
        <w:jc w:val="left"/>
        <w:rPr>
          <w:rFonts w:ascii="微软雅黑"/>
          <w:sz w:val="54"/>
        </w:rPr>
        <w:sectPr>
          <w:type w:val="continuous"/>
          <w:pgSz w:w="17860" w:h="25260"/>
          <w:pgMar w:top="900" w:right="0" w:bottom="0" w:left="500" w:header="708" w:footer="708"/>
          <w:pgNumType w:start="7"/>
          <w:cols w:num="2" w:space="708" w:equalWidth="0">
            <w:col w:w="7920" w:space="40"/>
            <w:col w:w="9400" w:space="0"/>
          </w:cols>
        </w:sectPr>
      </w:pPr>
    </w:p>
    <w:p>
      <w:pPr>
        <w:pStyle w:val="BodyText"/>
        <w:spacing w:before="6"/>
        <w:rPr>
          <w:rFonts w:ascii="微软雅黑"/>
          <w:sz w:val="23"/>
        </w:rPr>
      </w:pPr>
    </w:p>
    <w:p>
      <w:pPr>
        <w:spacing w:after="0"/>
        <w:rPr>
          <w:rFonts w:ascii="微软雅黑"/>
          <w:sz w:val="23"/>
        </w:rPr>
        <w:sectPr>
          <w:type w:val="continuous"/>
          <w:pgSz w:w="17860" w:h="25260"/>
          <w:pgMar w:top="900" w:right="0" w:bottom="0" w:left="500" w:header="708" w:footer="708"/>
          <w:pgNumType w:start="8"/>
          <w:cols w:space="708"/>
        </w:sectPr>
      </w:pPr>
    </w:p>
    <w:p>
      <w:pPr>
        <w:tabs>
          <w:tab w:val="left" w:pos="4731"/>
        </w:tabs>
        <w:spacing w:before="0" w:line="932" w:lineRule="exact"/>
        <w:ind w:left="2445" w:right="0" w:firstLine="0"/>
        <w:jc w:val="left"/>
        <w:rPr>
          <w:rFonts w:ascii="微软雅黑" w:eastAsia="微软雅黑" w:hint="eastAsia"/>
          <w:sz w:val="54"/>
        </w:rPr>
      </w:pPr>
      <w:r>
        <w:rPr>
          <w:rFonts w:ascii="微软雅黑" w:eastAsia="微软雅黑" w:hint="eastAsia"/>
          <w:sz w:val="54"/>
        </w:rPr>
        <w:t>30</w:t>
        <w:tab/>
      </w:r>
      <w:r>
        <w:rPr>
          <w:rFonts w:ascii="微软雅黑" w:eastAsia="微软雅黑" w:hint="eastAsia"/>
          <w:spacing w:val="-3"/>
          <w:sz w:val="54"/>
        </w:rPr>
        <w:t>0.19～0.10</w:t>
      </w:r>
    </w:p>
    <w:p>
      <w:pPr>
        <w:tabs>
          <w:tab w:val="left" w:pos="4731"/>
        </w:tabs>
        <w:spacing w:before="0" w:line="973" w:lineRule="exact"/>
        <w:ind w:left="2445" w:right="0" w:firstLine="0"/>
        <w:jc w:val="left"/>
        <w:rPr>
          <w:rFonts w:ascii="微软雅黑" w:eastAsia="微软雅黑" w:hint="eastAsia"/>
          <w:sz w:val="54"/>
        </w:rPr>
      </w:pPr>
      <w:r>
        <w:rPr>
          <w:rFonts w:ascii="微软雅黑" w:eastAsia="微软雅黑" w:hint="eastAsia"/>
          <w:sz w:val="54"/>
        </w:rPr>
        <w:t>50</w:t>
        <w:tab/>
      </w:r>
      <w:r>
        <w:rPr>
          <w:rFonts w:ascii="微软雅黑" w:eastAsia="微软雅黑" w:hint="eastAsia"/>
          <w:spacing w:val="-3"/>
          <w:sz w:val="54"/>
        </w:rPr>
        <w:t>0.22～0.12</w:t>
      </w:r>
    </w:p>
    <w:p>
      <w:pPr>
        <w:spacing w:before="0" w:line="932" w:lineRule="exact"/>
        <w:ind w:left="1177" w:right="0" w:firstLine="0"/>
        <w:jc w:val="left"/>
        <w:rPr>
          <w:rFonts w:ascii="微软雅黑" w:eastAsia="微软雅黑" w:hint="eastAsia"/>
          <w:sz w:val="54"/>
        </w:rPr>
      </w:pPr>
      <w:r>
        <w:br w:type="column"/>
      </w:r>
      <w:r>
        <w:rPr>
          <w:rFonts w:ascii="微软雅黑" w:eastAsia="微软雅黑" w:hint="eastAsia"/>
          <w:spacing w:val="-1"/>
          <w:sz w:val="54"/>
        </w:rPr>
        <w:t>0.26～0.10</w:t>
      </w:r>
    </w:p>
    <w:p>
      <w:pPr>
        <w:spacing w:before="0" w:line="973" w:lineRule="exact"/>
        <w:ind w:left="1177" w:right="0" w:firstLine="0"/>
        <w:jc w:val="left"/>
        <w:rPr>
          <w:rFonts w:ascii="微软雅黑" w:eastAsia="微软雅黑" w:hint="eastAsia"/>
          <w:sz w:val="54"/>
        </w:rPr>
      </w:pPr>
      <w:r>
        <w:rPr>
          <w:rFonts w:ascii="微软雅黑" w:eastAsia="微软雅黑" w:hint="eastAsia"/>
          <w:spacing w:val="-1"/>
          <w:sz w:val="54"/>
        </w:rPr>
        <w:t>0.30～0.12</w:t>
      </w:r>
    </w:p>
    <w:p>
      <w:pPr>
        <w:spacing w:before="0" w:line="932" w:lineRule="exact"/>
        <w:ind w:left="1445" w:right="0" w:firstLine="0"/>
        <w:jc w:val="left"/>
        <w:rPr>
          <w:rFonts w:ascii="微软雅黑" w:eastAsia="微软雅黑" w:hint="eastAsia"/>
          <w:sz w:val="54"/>
        </w:rPr>
      </w:pPr>
      <w:r>
        <w:br w:type="column"/>
      </w:r>
      <w:r>
        <w:rPr>
          <w:rFonts w:ascii="微软雅黑" w:eastAsia="微软雅黑" w:hint="eastAsia"/>
          <w:sz w:val="54"/>
        </w:rPr>
        <w:t>0.19～0.03</w:t>
      </w:r>
    </w:p>
    <w:p>
      <w:pPr>
        <w:spacing w:before="0" w:line="973" w:lineRule="exact"/>
        <w:ind w:left="1445" w:right="0" w:firstLine="0"/>
        <w:jc w:val="left"/>
        <w:rPr>
          <w:rFonts w:ascii="微软雅黑" w:eastAsia="微软雅黑" w:hint="eastAsia"/>
          <w:sz w:val="54"/>
        </w:rPr>
      </w:pPr>
      <w:r>
        <w:rPr>
          <w:rFonts w:ascii="微软雅黑" w:eastAsia="微软雅黑" w:hint="eastAsia"/>
          <w:sz w:val="54"/>
        </w:rPr>
        <w:t>0.22～0.03</w:t>
      </w:r>
    </w:p>
    <w:p>
      <w:pPr>
        <w:spacing w:after="0" w:line="973" w:lineRule="exact"/>
        <w:jc w:val="left"/>
        <w:rPr>
          <w:rFonts w:ascii="微软雅黑" w:eastAsia="微软雅黑" w:hint="eastAsia"/>
          <w:sz w:val="54"/>
        </w:rPr>
        <w:sectPr>
          <w:type w:val="continuous"/>
          <w:pgSz w:w="17860" w:h="25260"/>
          <w:pgMar w:top="900" w:right="0" w:bottom="0" w:left="500" w:header="708" w:footer="708"/>
          <w:pgNumType w:start="9"/>
          <w:cols w:num="3" w:space="708" w:equalWidth="0">
            <w:col w:w="7432" w:space="40"/>
            <w:col w:w="3878" w:space="39"/>
            <w:col w:w="5971" w:space="0"/>
          </w:cols>
        </w:sectPr>
      </w:pPr>
    </w:p>
    <w:p>
      <w:pPr>
        <w:pStyle w:val="BodyText"/>
        <w:rPr>
          <w:rFonts w:ascii="微软雅黑"/>
          <w:sz w:val="20"/>
        </w:rPr>
      </w:pPr>
    </w:p>
    <w:p>
      <w:pPr>
        <w:pStyle w:val="BodyText"/>
        <w:rPr>
          <w:rFonts w:ascii="微软雅黑"/>
          <w:sz w:val="20"/>
        </w:rPr>
      </w:pPr>
    </w:p>
    <w:p>
      <w:pPr>
        <w:pStyle w:val="BodyText"/>
        <w:spacing w:before="10"/>
        <w:rPr>
          <w:rFonts w:ascii="微软雅黑"/>
          <w:sz w:val="10"/>
        </w:rPr>
      </w:pPr>
    </w:p>
    <w:p>
      <w:pPr>
        <w:spacing w:before="2" w:line="225" w:lineRule="auto"/>
        <w:ind w:left="1628" w:right="2122" w:firstLine="1079"/>
        <w:jc w:val="left"/>
        <w:rPr>
          <w:rFonts w:ascii="微软雅黑" w:eastAsia="微软雅黑" w:hAnsi="微软雅黑" w:hint="eastAsia"/>
          <w:sz w:val="54"/>
        </w:rPr>
      </w:pPr>
      <w:r>
        <w:rPr>
          <w:rFonts w:ascii="微软雅黑" w:eastAsia="微软雅黑" w:hAnsi="微软雅黑" w:hint="eastAsia"/>
          <w:sz w:val="54"/>
        </w:rPr>
        <w:t>由表二可以看出当相对行程h&lt;0.2 和h&gt;0.8 不在遵守斜率偏差必须在±30%范围内，而是扩大到了当相对行程</w:t>
      </w:r>
    </w:p>
    <w:p>
      <w:pPr>
        <w:spacing w:after="0" w:line="225" w:lineRule="auto"/>
        <w:jc w:val="left"/>
        <w:rPr>
          <w:rFonts w:ascii="微软雅黑" w:eastAsia="微软雅黑" w:hAnsi="微软雅黑" w:hint="eastAsia"/>
          <w:sz w:val="54"/>
        </w:rPr>
        <w:sectPr>
          <w:type w:val="continuous"/>
          <w:pgSz w:w="17860" w:h="25260"/>
          <w:pgMar w:top="900" w:right="0" w:bottom="0" w:left="500" w:header="708" w:footer="708"/>
          <w:pgNumType w:start="10"/>
          <w:cols w:space="708"/>
        </w:sectPr>
      </w:pPr>
    </w:p>
    <w:p>
      <w:pPr>
        <w:spacing w:before="0" w:line="954" w:lineRule="exact"/>
        <w:ind w:left="1628" w:right="0" w:firstLine="0"/>
        <w:jc w:val="left"/>
        <w:rPr>
          <w:rFonts w:ascii="微软雅黑" w:eastAsia="微软雅黑" w:hint="eastAsia"/>
          <w:sz w:val="54"/>
        </w:rPr>
      </w:pPr>
      <w:r>
        <w:rPr>
          <w:rFonts w:ascii="微软雅黑" w:eastAsia="微软雅黑" w:hint="eastAsia"/>
          <w:sz w:val="54"/>
        </w:rPr>
        <w:t>h&lt;0.2</w:t>
      </w:r>
      <w:r>
        <w:rPr>
          <w:rFonts w:ascii="微软雅黑" w:eastAsia="微软雅黑" w:hint="eastAsia"/>
          <w:spacing w:val="-8"/>
          <w:sz w:val="54"/>
        </w:rPr>
        <w:t xml:space="preserve"> 时斜率偏差可达</w:t>
      </w:r>
    </w:p>
    <w:p>
      <w:pPr>
        <w:pStyle w:val="BodyText"/>
        <w:rPr>
          <w:rFonts w:ascii="微软雅黑"/>
          <w:sz w:val="24"/>
        </w:rPr>
      </w:pPr>
      <w:r>
        <w:br w:type="column"/>
      </w:r>
    </w:p>
    <w:p>
      <w:pPr>
        <w:pStyle w:val="BodyText"/>
        <w:spacing w:before="18"/>
        <w:rPr>
          <w:rFonts w:ascii="微软雅黑"/>
          <w:sz w:val="13"/>
        </w:rPr>
      </w:pPr>
    </w:p>
    <w:p>
      <w:pPr>
        <w:spacing w:before="0"/>
        <w:ind w:left="25" w:right="0" w:firstLine="0"/>
        <w:jc w:val="left"/>
        <w:rPr>
          <w:rFonts w:ascii="Arial" w:hAnsi="Arial"/>
          <w:sz w:val="20"/>
        </w:rPr>
      </w:pPr>
      <w:r>
        <w:rPr>
          <w:rFonts w:ascii="Symbol" w:hAnsi="Symbol"/>
          <w:spacing w:val="2"/>
          <w:w w:val="95"/>
          <w:sz w:val="20"/>
        </w:rPr>
        <w:sym w:font="Symbol" w:char="F02B"/>
      </w:r>
      <w:r>
        <w:rPr>
          <w:rFonts w:ascii="Arial" w:hAnsi="Arial"/>
          <w:spacing w:val="2"/>
          <w:w w:val="95"/>
          <w:sz w:val="20"/>
        </w:rPr>
        <w:t>80%</w:t>
      </w:r>
    </w:p>
    <w:p>
      <w:pPr>
        <w:spacing w:before="0" w:line="90" w:lineRule="exact"/>
        <w:ind w:left="19" w:right="0" w:firstLine="0"/>
        <w:jc w:val="left"/>
        <w:rPr>
          <w:rFonts w:ascii="Arial" w:hAnsi="Arial"/>
          <w:sz w:val="20"/>
        </w:rPr>
      </w:pPr>
      <w:r>
        <w:rPr>
          <w:rFonts w:ascii="Symbol" w:hAnsi="Symbol"/>
          <w:spacing w:val="4"/>
          <w:w w:val="95"/>
          <w:sz w:val="20"/>
        </w:rPr>
        <w:sym w:font="Symbol" w:char="F02D"/>
      </w:r>
      <w:r>
        <w:rPr>
          <w:rFonts w:ascii="Arial" w:hAnsi="Arial"/>
          <w:spacing w:val="4"/>
          <w:w w:val="95"/>
          <w:sz w:val="20"/>
        </w:rPr>
        <w:t>30%</w:t>
      </w:r>
    </w:p>
    <w:p>
      <w:pPr>
        <w:spacing w:before="0" w:line="954" w:lineRule="exact"/>
        <w:ind w:left="25" w:right="0" w:firstLine="0"/>
        <w:jc w:val="left"/>
        <w:rPr>
          <w:rFonts w:ascii="微软雅黑" w:eastAsia="微软雅黑" w:hint="eastAsia"/>
          <w:sz w:val="54"/>
        </w:rPr>
      </w:pPr>
      <w:r>
        <w:br w:type="column"/>
      </w:r>
      <w:r>
        <w:rPr>
          <w:rFonts w:ascii="微软雅黑" w:eastAsia="微软雅黑" w:hint="eastAsia"/>
          <w:sz w:val="54"/>
        </w:rPr>
        <w:t>，当相对行程 h&gt;0.8 时，斜率偏</w:t>
      </w:r>
    </w:p>
    <w:p>
      <w:pPr>
        <w:spacing w:after="0" w:line="954" w:lineRule="exact"/>
        <w:jc w:val="left"/>
        <w:rPr>
          <w:rFonts w:ascii="微软雅黑" w:eastAsia="微软雅黑" w:hint="eastAsia"/>
          <w:sz w:val="54"/>
        </w:rPr>
        <w:sectPr>
          <w:type w:val="continuous"/>
          <w:pgSz w:w="17860" w:h="25260"/>
          <w:pgMar w:top="900" w:right="0" w:bottom="0" w:left="500" w:header="708" w:footer="708"/>
          <w:pgNumType w:start="11"/>
          <w:cols w:num="3" w:space="708" w:equalWidth="0">
            <w:col w:w="7040" w:space="40"/>
            <w:col w:w="526" w:space="39"/>
            <w:col w:w="9715" w:space="0"/>
          </w:cols>
        </w:sectPr>
      </w:pPr>
    </w:p>
    <w:p>
      <w:pPr>
        <w:spacing w:before="0" w:line="855" w:lineRule="exact"/>
        <w:ind w:left="1628" w:right="0" w:firstLine="0"/>
        <w:jc w:val="left"/>
        <w:rPr>
          <w:rFonts w:ascii="微软雅黑" w:eastAsia="微软雅黑" w:hint="eastAsia"/>
          <w:sz w:val="54"/>
        </w:rPr>
      </w:pPr>
      <w:r>
        <w:rPr>
          <w:rFonts w:ascii="微软雅黑" w:eastAsia="微软雅黑" w:hint="eastAsia"/>
          <w:sz w:val="54"/>
        </w:rPr>
        <w:t>差可达</w:t>
      </w:r>
    </w:p>
    <w:p>
      <w:pPr>
        <w:pStyle w:val="BodyText"/>
        <w:spacing w:before="10"/>
        <w:rPr>
          <w:rFonts w:ascii="微软雅黑"/>
          <w:sz w:val="32"/>
        </w:rPr>
      </w:pPr>
      <w:r>
        <w:br w:type="column"/>
      </w:r>
    </w:p>
    <w:p>
      <w:pPr>
        <w:spacing w:before="0"/>
        <w:ind w:left="21" w:right="0" w:firstLine="0"/>
        <w:jc w:val="left"/>
        <w:rPr>
          <w:rFonts w:ascii="Arial" w:hAnsi="Arial"/>
          <w:sz w:val="20"/>
        </w:rPr>
      </w:pPr>
      <w:r>
        <w:rPr>
          <w:rFonts w:ascii="Symbol" w:hAnsi="Symbol"/>
          <w:spacing w:val="2"/>
          <w:w w:val="95"/>
          <w:sz w:val="20"/>
        </w:rPr>
        <w:sym w:font="Symbol" w:char="F02B"/>
      </w:r>
      <w:r>
        <w:rPr>
          <w:rFonts w:ascii="Arial" w:hAnsi="Arial"/>
          <w:spacing w:val="2"/>
          <w:w w:val="95"/>
          <w:sz w:val="20"/>
        </w:rPr>
        <w:t>30%</w:t>
      </w:r>
    </w:p>
    <w:p>
      <w:pPr>
        <w:spacing w:before="1" w:line="90" w:lineRule="exact"/>
        <w:ind w:left="18" w:right="0" w:firstLine="0"/>
        <w:jc w:val="left"/>
        <w:rPr>
          <w:rFonts w:ascii="Arial" w:hAnsi="Arial"/>
          <w:sz w:val="20"/>
        </w:rPr>
      </w:pPr>
      <w:r>
        <w:rPr>
          <w:rFonts w:ascii="Symbol" w:hAnsi="Symbol"/>
          <w:spacing w:val="3"/>
          <w:w w:val="95"/>
          <w:sz w:val="20"/>
        </w:rPr>
        <w:sym w:font="Symbol" w:char="F02D"/>
      </w:r>
      <w:r>
        <w:rPr>
          <w:rFonts w:ascii="Arial" w:hAnsi="Arial"/>
          <w:spacing w:val="3"/>
          <w:w w:val="95"/>
          <w:sz w:val="20"/>
        </w:rPr>
        <w:t>80%</w:t>
      </w:r>
    </w:p>
    <w:p>
      <w:pPr>
        <w:spacing w:before="0" w:line="855" w:lineRule="exact"/>
        <w:ind w:left="28" w:right="0" w:firstLine="0"/>
        <w:jc w:val="left"/>
        <w:rPr>
          <w:rFonts w:ascii="微软雅黑" w:eastAsia="微软雅黑" w:hint="eastAsia"/>
          <w:sz w:val="54"/>
        </w:rPr>
      </w:pPr>
      <w:r>
        <w:br w:type="column"/>
      </w:r>
      <w:r>
        <w:rPr>
          <w:rFonts w:ascii="微软雅黑" w:eastAsia="微软雅黑" w:hint="eastAsia"/>
          <w:sz w:val="54"/>
        </w:rPr>
        <w:t>，这样在不影响自动控制系统调节功能的前提下，</w:t>
      </w:r>
    </w:p>
    <w:p>
      <w:pPr>
        <w:spacing w:after="0" w:line="855" w:lineRule="exact"/>
        <w:jc w:val="left"/>
        <w:rPr>
          <w:rFonts w:ascii="微软雅黑" w:eastAsia="微软雅黑" w:hint="eastAsia"/>
          <w:sz w:val="54"/>
        </w:rPr>
        <w:sectPr>
          <w:type w:val="continuous"/>
          <w:pgSz w:w="17860" w:h="25260"/>
          <w:pgMar w:top="900" w:right="0" w:bottom="0" w:left="500" w:header="708" w:footer="708"/>
          <w:pgNumType w:start="12"/>
          <w:cols w:num="3" w:space="708" w:equalWidth="0">
            <w:col w:w="3249" w:space="40"/>
            <w:col w:w="522" w:space="39"/>
            <w:col w:w="13510" w:space="0"/>
          </w:cols>
        </w:sectPr>
      </w:pPr>
    </w:p>
    <w:p>
      <w:pPr>
        <w:spacing w:before="0" w:line="825" w:lineRule="exact"/>
        <w:ind w:left="1628" w:right="0" w:firstLine="0"/>
        <w:jc w:val="left"/>
        <w:rPr>
          <w:rFonts w:ascii="微软雅黑" w:eastAsia="微软雅黑" w:hint="eastAsia"/>
          <w:sz w:val="54"/>
        </w:rPr>
      </w:pPr>
      <w:r>
        <w:pict>
          <v:group id="_x0000_s1042" style="width:893pt;height:1248pt;margin-top:0;margin-left:0;mso-position-horizontal-relative:page;mso-position-vertical-relative:page;position:absolute;z-index:-251650048" coordorigin="0,0" coordsize="17860,24960">
            <v:shape id="_x0000_s1043" type="#_x0000_t75" style="width:17860;height:24960;position:absolute" stroked="f">
              <v:imagedata r:id="rId9" o:title=""/>
            </v:shape>
            <v:shape id="_x0000_s1044" type="#_x0000_t75" style="width:15080;height:7660;left:1940;position:absolute;top:7460" stroked="f">
              <v:imagedata r:id="rId10" o:title=""/>
            </v:shape>
          </v:group>
        </w:pict>
      </w:r>
      <w:r>
        <w:rPr>
          <w:rFonts w:ascii="微软雅黑" w:eastAsia="微软雅黑" w:hint="eastAsia"/>
          <w:sz w:val="54"/>
        </w:rPr>
        <w:t>为控制阀生产制造单位的设计制造提供了方便。</w:t>
      </w:r>
    </w:p>
    <w:p>
      <w:pPr>
        <w:spacing w:before="13" w:line="225" w:lineRule="auto"/>
        <w:ind w:left="1628" w:right="2067" w:firstLine="1079"/>
        <w:jc w:val="left"/>
        <w:rPr>
          <w:rFonts w:ascii="微软雅黑" w:eastAsia="微软雅黑" w:hint="eastAsia"/>
          <w:sz w:val="54"/>
        </w:rPr>
      </w:pPr>
      <w:r>
        <w:rPr>
          <w:rFonts w:ascii="微软雅黑" w:eastAsia="微软雅黑" w:hint="eastAsia"/>
          <w:sz w:val="54"/>
        </w:rPr>
        <w:t>天津精通控制仪表技术有限公司的前身是天津市自动化仪表四厂，在1985 年将原 JB1790～1795-76《气动薄</w:t>
      </w:r>
    </w:p>
    <w:p>
      <w:pPr>
        <w:spacing w:after="0" w:line="225" w:lineRule="auto"/>
        <w:jc w:val="left"/>
        <w:rPr>
          <w:rFonts w:ascii="微软雅黑" w:eastAsia="微软雅黑" w:hint="eastAsia"/>
          <w:sz w:val="54"/>
        </w:rPr>
        <w:sectPr>
          <w:type w:val="continuous"/>
          <w:pgSz w:w="17860" w:h="25260"/>
          <w:pgMar w:top="900" w:right="0" w:bottom="0" w:left="500" w:header="708" w:footer="708"/>
          <w:pgNumType w:start="13"/>
          <w:cols w:space="708"/>
        </w:sectPr>
      </w:pPr>
    </w:p>
    <w:p>
      <w:pPr>
        <w:spacing w:before="0" w:line="909" w:lineRule="exact"/>
        <w:ind w:left="1628" w:right="0" w:firstLine="0"/>
        <w:jc w:val="left"/>
        <w:rPr>
          <w:rFonts w:ascii="微软雅黑" w:eastAsia="微软雅黑" w:hAnsi="微软雅黑" w:hint="eastAsia"/>
          <w:sz w:val="54"/>
        </w:rPr>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219"/>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微软雅黑" w:eastAsia="微软雅黑" w:hAnsi="微软雅黑" w:hint="eastAsia"/>
          <w:sz w:val="54"/>
        </w:rPr>
        <w:t>膜调节阀》标准中的流量特性偏差“单、双座阀实际流量</w:t>
      </w:r>
    </w:p>
    <w:p>
      <w:pPr>
        <w:spacing w:before="13" w:line="225" w:lineRule="auto"/>
        <w:ind w:left="1628" w:right="2198" w:firstLine="0"/>
        <w:jc w:val="left"/>
        <w:rPr>
          <w:rFonts w:ascii="微软雅黑" w:eastAsia="微软雅黑" w:hAnsi="微软雅黑" w:hint="eastAsia"/>
          <w:sz w:val="54"/>
        </w:rPr>
      </w:pPr>
      <w:r>
        <w:rPr>
          <w:rFonts w:ascii="微软雅黑" w:eastAsia="微软雅黑" w:hAnsi="微软雅黑" w:hint="eastAsia"/>
          <w:sz w:val="54"/>
        </w:rPr>
        <w:t>特性与理论流量特性之间偏差应不超过±</w:t>
      </w:r>
      <w:r>
        <w:rPr>
          <w:rFonts w:ascii="微软雅黑" w:eastAsia="微软雅黑" w:hAnsi="微软雅黑" w:hint="eastAsia"/>
          <w:spacing w:val="-1"/>
          <w:sz w:val="54"/>
        </w:rPr>
        <w:t>10%</w:t>
      </w:r>
      <w:r>
        <w:rPr>
          <w:rFonts w:ascii="微软雅黑" w:eastAsia="微软雅黑" w:hAnsi="微软雅黑" w:hint="eastAsia"/>
          <w:spacing w:val="-270"/>
          <w:sz w:val="54"/>
        </w:rPr>
        <w:t>，</w:t>
      </w:r>
      <w:r>
        <w:rPr>
          <w:rFonts w:ascii="微软雅黑" w:eastAsia="微软雅黑" w:hAnsi="微软雅黑" w:hint="eastAsia"/>
          <w:sz w:val="54"/>
        </w:rPr>
        <w:t>（</w:t>
      </w:r>
      <w:r>
        <w:rPr>
          <w:rFonts w:ascii="微软雅黑" w:eastAsia="微软雅黑" w:hAnsi="微软雅黑" w:hint="eastAsia"/>
          <w:spacing w:val="-12"/>
          <w:sz w:val="54"/>
        </w:rPr>
        <w:t xml:space="preserve">按 </w:t>
      </w:r>
      <w:r>
        <w:rPr>
          <w:rFonts w:ascii="微软雅黑" w:eastAsia="微软雅黑" w:hAnsi="微软雅黑" w:hint="eastAsia"/>
          <w:spacing w:val="-1"/>
          <w:sz w:val="54"/>
        </w:rPr>
        <w:t>1976</w:t>
      </w:r>
      <w:r>
        <w:rPr>
          <w:rFonts w:ascii="微软雅黑" w:eastAsia="微软雅黑" w:hAnsi="微软雅黑" w:hint="eastAsia"/>
          <w:sz w:val="54"/>
        </w:rPr>
        <w:t>年《气动薄膜调节阀》标准执行时会出现当相对行程增加10%时，相对流量不增加也定为合格产品的现象）</w:t>
      </w:r>
      <w:r>
        <w:rPr>
          <w:rFonts w:ascii="微软雅黑" w:eastAsia="微软雅黑" w:hAnsi="微软雅黑" w:hint="eastAsia"/>
          <w:spacing w:val="-6"/>
          <w:sz w:val="54"/>
        </w:rPr>
        <w:t>改为流</w:t>
      </w:r>
      <w:r>
        <w:rPr>
          <w:rFonts w:ascii="微软雅黑" w:eastAsia="微软雅黑" w:hAnsi="微软雅黑" w:hint="eastAsia"/>
          <w:sz w:val="54"/>
        </w:rPr>
        <w:t>量特性严格按照斜率偏差±30%的要求执行，历时两年多</w:t>
      </w:r>
      <w:r>
        <w:rPr>
          <w:rFonts w:ascii="微软雅黑" w:eastAsia="微软雅黑" w:hAnsi="微软雅黑" w:hint="eastAsia"/>
          <w:spacing w:val="-1"/>
          <w:sz w:val="54"/>
        </w:rPr>
        <w:t xml:space="preserve">的阀芯修正也只能保证理想直线特性各点合格率为 </w:t>
      </w:r>
      <w:r>
        <w:rPr>
          <w:rFonts w:ascii="微软雅黑" w:eastAsia="微软雅黑" w:hAnsi="微软雅黑" w:hint="eastAsia"/>
          <w:sz w:val="54"/>
        </w:rPr>
        <w:t xml:space="preserve">98%, </w:t>
      </w:r>
      <w:r>
        <w:rPr>
          <w:rFonts w:ascii="微软雅黑" w:eastAsia="微软雅黑" w:hAnsi="微软雅黑" w:hint="eastAsia"/>
          <w:spacing w:val="-2"/>
          <w:sz w:val="54"/>
        </w:rPr>
        <w:t xml:space="preserve">理想等百分比特性各点合格率在 </w:t>
      </w:r>
      <w:r>
        <w:rPr>
          <w:rFonts w:ascii="微软雅黑" w:eastAsia="微软雅黑" w:hAnsi="微软雅黑" w:hint="eastAsia"/>
          <w:sz w:val="54"/>
        </w:rPr>
        <w:t>90%左右。</w:t>
      </w:r>
    </w:p>
    <w:p>
      <w:pPr>
        <w:spacing w:before="3" w:line="225" w:lineRule="auto"/>
        <w:ind w:left="1628" w:right="1853" w:firstLine="0"/>
        <w:jc w:val="left"/>
        <w:rPr>
          <w:rFonts w:ascii="微软雅黑" w:eastAsia="微软雅黑" w:hint="eastAsia"/>
          <w:sz w:val="54"/>
        </w:rPr>
      </w:pPr>
      <w:r>
        <w:rPr>
          <w:rFonts w:ascii="微软雅黑" w:eastAsia="微软雅黑" w:hint="eastAsia"/>
          <w:spacing w:val="-3"/>
          <w:sz w:val="54"/>
        </w:rPr>
        <w:t>GB/T4213-2008</w:t>
      </w:r>
      <w:r>
        <w:rPr>
          <w:rFonts w:ascii="微软雅黑" w:eastAsia="微软雅黑" w:hint="eastAsia"/>
          <w:spacing w:val="-4"/>
          <w:sz w:val="54"/>
        </w:rPr>
        <w:t xml:space="preserve">《气动调节阀》引用了 </w:t>
      </w:r>
      <w:r>
        <w:rPr>
          <w:rFonts w:ascii="微软雅黑" w:eastAsia="微软雅黑" w:hint="eastAsia"/>
          <w:sz w:val="54"/>
        </w:rPr>
        <w:t xml:space="preserve">GB/T </w:t>
      </w:r>
      <w:r>
        <w:rPr>
          <w:rFonts w:ascii="微软雅黑" w:eastAsia="微软雅黑" w:hint="eastAsia"/>
          <w:spacing w:val="-10"/>
          <w:sz w:val="54"/>
        </w:rPr>
        <w:t>17213</w:t>
      </w:r>
      <w:r>
        <w:rPr>
          <w:rFonts w:ascii="微软雅黑" w:eastAsia="微软雅黑" w:hint="eastAsia"/>
          <w:sz w:val="54"/>
        </w:rPr>
        <w:t>《工</w:t>
      </w:r>
      <w:r>
        <w:rPr>
          <w:rFonts w:ascii="微软雅黑" w:eastAsia="微软雅黑" w:hint="eastAsia"/>
          <w:spacing w:val="-19"/>
          <w:sz w:val="54"/>
        </w:rPr>
        <w:t>业过程控制阀》部分内容，</w:t>
      </w:r>
      <w:r>
        <w:rPr>
          <w:rFonts w:ascii="微软雅黑" w:eastAsia="微软雅黑" w:hint="eastAsia"/>
          <w:spacing w:val="-32"/>
          <w:sz w:val="54"/>
        </w:rPr>
        <w:t xml:space="preserve">GB/T </w:t>
      </w:r>
      <w:r>
        <w:rPr>
          <w:rFonts w:ascii="微软雅黑" w:eastAsia="微软雅黑" w:hint="eastAsia"/>
          <w:spacing w:val="-36"/>
          <w:sz w:val="54"/>
        </w:rPr>
        <w:t>17213</w:t>
      </w:r>
      <w:r>
        <w:rPr>
          <w:rFonts w:ascii="微软雅黑" w:eastAsia="微软雅黑" w:hint="eastAsia"/>
          <w:spacing w:val="-2"/>
          <w:sz w:val="54"/>
        </w:rPr>
        <w:t>《工业过程控制阀》</w:t>
      </w:r>
      <w:r>
        <w:rPr>
          <w:rFonts w:ascii="微软雅黑" w:eastAsia="微软雅黑" w:hint="eastAsia"/>
          <w:spacing w:val="-3"/>
          <w:sz w:val="54"/>
        </w:rPr>
        <w:t xml:space="preserve">又全部引用了 </w:t>
      </w:r>
      <w:r>
        <w:rPr>
          <w:rFonts w:ascii="微软雅黑" w:eastAsia="微软雅黑" w:hint="eastAsia"/>
          <w:sz w:val="54"/>
        </w:rPr>
        <w:t>IEC60534《工业过程控制阀》的内容，也就</w:t>
      </w:r>
      <w:r>
        <w:rPr>
          <w:rFonts w:ascii="微软雅黑" w:eastAsia="微软雅黑" w:hint="eastAsia"/>
          <w:spacing w:val="-2"/>
          <w:sz w:val="54"/>
        </w:rPr>
        <w:t xml:space="preserve">是说我们控制阀行业执行的 </w:t>
      </w:r>
      <w:r>
        <w:rPr>
          <w:rFonts w:ascii="微软雅黑" w:eastAsia="微软雅黑" w:hint="eastAsia"/>
          <w:sz w:val="54"/>
        </w:rPr>
        <w:t>GB/T4213-2008《气动调节</w:t>
      </w:r>
      <w:r>
        <w:rPr>
          <w:rFonts w:ascii="微软雅黑" w:eastAsia="微软雅黑" w:hint="eastAsia"/>
          <w:spacing w:val="-3"/>
          <w:sz w:val="54"/>
        </w:rPr>
        <w:t xml:space="preserve">阀》就是在执行 </w:t>
      </w:r>
      <w:r>
        <w:rPr>
          <w:rFonts w:ascii="微软雅黑" w:eastAsia="微软雅黑" w:hint="eastAsia"/>
          <w:sz w:val="54"/>
        </w:rPr>
        <w:t>IEC60534《工业过程控制阀》的部分内容。</w:t>
      </w:r>
    </w:p>
    <w:p>
      <w:pPr>
        <w:spacing w:before="3" w:line="225" w:lineRule="auto"/>
        <w:ind w:left="1628" w:right="2229" w:firstLine="1079"/>
        <w:jc w:val="left"/>
        <w:rPr>
          <w:rFonts w:ascii="微软雅黑" w:eastAsia="微软雅黑" w:hint="eastAsia"/>
          <w:sz w:val="54"/>
        </w:rPr>
      </w:pPr>
      <w:r>
        <w:rPr>
          <w:rFonts w:ascii="微软雅黑" w:eastAsia="微软雅黑" w:hint="eastAsia"/>
          <w:sz w:val="54"/>
        </w:rPr>
        <w:t>控制阀生产企业凡真正具有流量试验室并进行流量试验的单位都知道，理想等百分比流量控制阀达到斜率偏差</w:t>
      </w:r>
    </w:p>
    <w:p>
      <w:pPr>
        <w:spacing w:before="0" w:line="225" w:lineRule="auto"/>
        <w:ind w:left="1628" w:right="1802" w:firstLine="0"/>
        <w:jc w:val="left"/>
        <w:rPr>
          <w:rFonts w:ascii="微软雅黑" w:eastAsia="微软雅黑" w:hAnsi="微软雅黑" w:hint="eastAsia"/>
          <w:sz w:val="54"/>
        </w:rPr>
      </w:pPr>
      <w:r>
        <w:rPr>
          <w:rFonts w:ascii="微软雅黑" w:eastAsia="微软雅黑" w:hAnsi="微软雅黑" w:hint="eastAsia"/>
          <w:sz w:val="54"/>
        </w:rPr>
        <w:t>±30%是非常困难的，特别是当相对行程 h&lt;0.2 和 h&gt;0.8 时，几乎是不可能的，所以 IEC60534《工业过程控制阀》对相对行程 h&lt;0.2 和相对行程 h&gt;0.8 进行了放宽偏差处理，当相对行程 h&lt;0.2 允许相对流量适当增大；当相对行程 h&gt;0.8 时允许相对流量适当减小。</w:t>
      </w:r>
    </w:p>
    <w:p>
      <w:pPr>
        <w:tabs>
          <w:tab w:val="left" w:pos="11561"/>
          <w:tab w:val="left" w:pos="12123"/>
        </w:tabs>
        <w:spacing w:before="3" w:line="225" w:lineRule="auto"/>
        <w:ind w:left="1628" w:right="2069" w:firstLine="1079"/>
        <w:jc w:val="left"/>
        <w:rPr>
          <w:rFonts w:ascii="微软雅黑" w:eastAsia="微软雅黑" w:hAnsi="微软雅黑" w:hint="eastAsia"/>
          <w:sz w:val="54"/>
        </w:rPr>
      </w:pPr>
      <w:r>
        <w:rPr>
          <w:rFonts w:ascii="微软雅黑" w:eastAsia="微软雅黑" w:hAnsi="微软雅黑" w:hint="eastAsia"/>
          <w:sz w:val="54"/>
        </w:rPr>
        <w:t>为了检测方便</w:t>
      </w:r>
      <w:r>
        <w:rPr>
          <w:rFonts w:ascii="微软雅黑" w:eastAsia="微软雅黑" w:hAnsi="微软雅黑" w:hint="eastAsia"/>
          <w:spacing w:val="-9"/>
          <w:sz w:val="54"/>
        </w:rPr>
        <w:t>，GB/T4213-2008</w:t>
      </w:r>
      <w:r>
        <w:rPr>
          <w:rFonts w:ascii="微软雅黑" w:eastAsia="微软雅黑" w:hAnsi="微软雅黑" w:hint="eastAsia"/>
          <w:sz w:val="54"/>
        </w:rPr>
        <w:t>《气动调节阀》标准中将原斜率偏差换算成了对数数值</w:t>
      </w:r>
      <w:r>
        <w:rPr>
          <w:rFonts w:ascii="微软雅黑" w:eastAsia="微软雅黑" w:hAnsi="微软雅黑" w:hint="eastAsia"/>
          <w:spacing w:val="-24"/>
          <w:sz w:val="54"/>
        </w:rPr>
        <w:t xml:space="preserve"> </w:t>
      </w:r>
      <w:r>
        <w:rPr>
          <w:rFonts w:ascii="微软雅黑" w:eastAsia="微软雅黑" w:hAnsi="微软雅黑" w:hint="eastAsia"/>
          <w:sz w:val="54"/>
        </w:rPr>
        <w:t>lgKvn</w:t>
        <w:tab/>
        <w:t>–</w:t>
        <w:tab/>
      </w:r>
      <w:r>
        <w:rPr>
          <w:rFonts w:ascii="微软雅黑" w:eastAsia="微软雅黑" w:hAnsi="微软雅黑" w:hint="eastAsia"/>
          <w:spacing w:val="-4"/>
          <w:sz w:val="54"/>
        </w:rPr>
        <w:t>lgKvn-1，</w:t>
      </w:r>
      <w:r>
        <w:rPr>
          <w:rFonts w:ascii="微软雅黑" w:eastAsia="微软雅黑" w:hAnsi="微软雅黑" w:hint="eastAsia"/>
          <w:sz w:val="54"/>
        </w:rPr>
        <w:t>具</w:t>
      </w:r>
    </w:p>
    <w:p>
      <w:pPr>
        <w:spacing w:after="0" w:line="225" w:lineRule="auto"/>
        <w:jc w:val="left"/>
        <w:rPr>
          <w:rFonts w:ascii="微软雅黑" w:eastAsia="微软雅黑" w:hAnsi="微软雅黑" w:hint="eastAsia"/>
          <w:sz w:val="54"/>
        </w:rPr>
        <w:sectPr>
          <w:pgSz w:w="17860" w:h="25260"/>
          <w:pgMar w:top="1600" w:right="0" w:bottom="280" w:left="500" w:header="708" w:footer="708"/>
          <w:pgNumType w:start="14"/>
          <w:cols w:space="708"/>
        </w:sectPr>
      </w:pPr>
    </w:p>
    <w:p>
      <w:pPr>
        <w:spacing w:before="0" w:line="938" w:lineRule="exact"/>
        <w:ind w:left="1628" w:right="0" w:firstLine="0"/>
        <w:jc w:val="left"/>
        <w:rPr>
          <w:rFonts w:ascii="微软雅黑" w:eastAsia="微软雅黑" w:hint="eastAsia"/>
          <w:sz w:val="54"/>
        </w:rPr>
      </w:pPr>
      <w:r>
        <w:rPr>
          <w:rFonts w:ascii="微软雅黑" w:eastAsia="微软雅黑" w:hint="eastAsia"/>
          <w:sz w:val="54"/>
        </w:rPr>
        <w:t>体数字转换见表三：</w:t>
      </w:r>
    </w:p>
    <w:p>
      <w:pPr>
        <w:pStyle w:val="BodyText"/>
        <w:rPr>
          <w:rFonts w:ascii="微软雅黑"/>
          <w:sz w:val="20"/>
        </w:rPr>
      </w:pPr>
    </w:p>
    <w:p>
      <w:pPr>
        <w:pStyle w:val="BodyText"/>
        <w:spacing w:before="14"/>
        <w:rPr>
          <w:rFonts w:ascii="微软雅黑"/>
          <w:sz w:val="29"/>
        </w:rPr>
      </w:pPr>
    </w:p>
    <w:p>
      <w:pPr>
        <w:spacing w:after="0"/>
        <w:rPr>
          <w:rFonts w:ascii="微软雅黑"/>
          <w:sz w:val="29"/>
        </w:rPr>
        <w:sectPr>
          <w:pgSz w:w="17860" w:h="25260"/>
          <w:pgMar w:top="1600" w:right="0" w:bottom="280" w:left="500" w:header="708" w:footer="708"/>
          <w:pgNumType w:start="15"/>
          <w:cols w:space="708"/>
        </w:sectPr>
      </w:pPr>
    </w:p>
    <w:p>
      <w:pPr>
        <w:pStyle w:val="BodyText"/>
        <w:spacing w:before="6"/>
        <w:rPr>
          <w:rFonts w:ascii="微软雅黑"/>
          <w:sz w:val="49"/>
        </w:rPr>
      </w:pPr>
    </w:p>
    <w:p>
      <w:pPr>
        <w:tabs>
          <w:tab w:val="left" w:pos="3161"/>
        </w:tabs>
        <w:spacing w:before="0"/>
        <w:ind w:left="493" w:right="0" w:firstLine="0"/>
        <w:jc w:val="left"/>
        <w:rPr>
          <w:rFonts w:ascii="微软雅黑" w:eastAsia="微软雅黑" w:hint="eastAsia"/>
          <w:sz w:val="54"/>
        </w:rPr>
      </w:pPr>
      <w:r>
        <w:rPr>
          <w:rFonts w:ascii="微软雅黑" w:eastAsia="微软雅黑" w:hint="eastAsia"/>
          <w:sz w:val="54"/>
        </w:rPr>
        <w:t>相对行程</w:t>
        <w:tab/>
        <w:t>%</w:t>
      </w:r>
    </w:p>
    <w:p>
      <w:pPr>
        <w:spacing w:before="0" w:line="932" w:lineRule="exact"/>
        <w:ind w:left="0" w:right="2122" w:firstLine="0"/>
        <w:jc w:val="right"/>
        <w:rPr>
          <w:rFonts w:ascii="微软雅黑" w:eastAsia="微软雅黑" w:hint="eastAsia"/>
          <w:sz w:val="54"/>
        </w:rPr>
      </w:pPr>
      <w:r>
        <w:br w:type="column"/>
      </w:r>
      <w:r>
        <w:rPr>
          <w:rFonts w:ascii="微软雅黑" w:eastAsia="微软雅黑" w:hint="eastAsia"/>
          <w:sz w:val="54"/>
        </w:rPr>
        <w:t>表三</w:t>
      </w:r>
    </w:p>
    <w:p>
      <w:pPr>
        <w:tabs>
          <w:tab w:val="left" w:pos="6737"/>
          <w:tab w:val="left" w:pos="7834"/>
          <w:tab w:val="left" w:pos="8930"/>
          <w:tab w:val="left" w:pos="9805"/>
        </w:tabs>
        <w:spacing w:before="0" w:line="973" w:lineRule="exact"/>
        <w:ind w:left="0" w:right="2123" w:firstLine="0"/>
        <w:jc w:val="right"/>
        <w:rPr>
          <w:rFonts w:ascii="微软雅黑"/>
          <w:sz w:val="54"/>
        </w:rPr>
      </w:pPr>
      <w:r>
        <w:rPr>
          <w:rFonts w:ascii="微软雅黑"/>
          <w:sz w:val="54"/>
        </w:rPr>
        <w:t>1</w:t>
        <w:tab/>
        <w:t>70</w:t>
        <w:tab/>
        <w:t>80</w:t>
        <w:tab/>
        <w:t>90</w:t>
        <w:tab/>
      </w:r>
      <w:r>
        <w:rPr>
          <w:rFonts w:ascii="微软雅黑"/>
          <w:spacing w:val="-2"/>
          <w:sz w:val="54"/>
        </w:rPr>
        <w:t>100</w:t>
      </w:r>
    </w:p>
    <w:p>
      <w:pPr>
        <w:spacing w:after="0" w:line="973" w:lineRule="exact"/>
        <w:jc w:val="right"/>
        <w:rPr>
          <w:rFonts w:ascii="微软雅黑"/>
          <w:sz w:val="54"/>
        </w:rPr>
        <w:sectPr>
          <w:type w:val="continuous"/>
          <w:pgSz w:w="17860" w:h="25260"/>
          <w:pgMar w:top="900" w:right="0" w:bottom="0" w:left="500" w:header="708" w:footer="708"/>
          <w:pgNumType w:start="16"/>
          <w:cols w:num="2" w:space="708" w:equalWidth="0">
            <w:col w:w="3683" w:space="303"/>
            <w:col w:w="13374" w:space="0"/>
          </w:cols>
        </w:sectPr>
      </w:pPr>
    </w:p>
    <w:p>
      <w:pPr>
        <w:tabs>
          <w:tab w:val="left" w:pos="4097"/>
        </w:tabs>
        <w:spacing w:before="0" w:line="950" w:lineRule="exact"/>
        <w:ind w:left="810" w:right="0" w:firstLine="0"/>
        <w:jc w:val="left"/>
        <w:rPr>
          <w:rFonts w:ascii="微软雅黑" w:eastAsia="微软雅黑" w:hint="eastAsia"/>
          <w:sz w:val="54"/>
        </w:rPr>
      </w:pPr>
      <w:r>
        <w:rPr>
          <w:rFonts w:ascii="微软雅黑" w:eastAsia="微软雅黑" w:hint="eastAsia"/>
          <w:sz w:val="54"/>
        </w:rPr>
        <w:t>流量系数</w:t>
      </w:r>
      <w:r>
        <w:rPr>
          <w:rFonts w:ascii="微软雅黑" w:eastAsia="微软雅黑" w:hint="eastAsia"/>
          <w:spacing w:val="-24"/>
          <w:sz w:val="54"/>
        </w:rPr>
        <w:t xml:space="preserve"> </w:t>
      </w:r>
      <w:r>
        <w:rPr>
          <w:rFonts w:ascii="微软雅黑" w:eastAsia="微软雅黑" w:hint="eastAsia"/>
          <w:sz w:val="54"/>
        </w:rPr>
        <w:t>Kv</w:t>
        <w:tab/>
      </w:r>
      <w:r>
        <w:rPr>
          <w:rFonts w:ascii="微软雅黑" w:eastAsia="微软雅黑" w:hint="eastAsia"/>
          <w:spacing w:val="3"/>
          <w:sz w:val="54"/>
        </w:rPr>
        <w:t>2.964.376.469.5614.1220.930.945.767.6100</w:t>
      </w:r>
    </w:p>
    <w:p>
      <w:pPr>
        <w:spacing w:after="0" w:line="950" w:lineRule="exact"/>
        <w:jc w:val="left"/>
        <w:rPr>
          <w:rFonts w:ascii="微软雅黑" w:eastAsia="微软雅黑" w:hint="eastAsia"/>
          <w:sz w:val="54"/>
        </w:rPr>
        <w:sectPr>
          <w:type w:val="continuous"/>
          <w:pgSz w:w="17860" w:h="25260"/>
          <w:pgMar w:top="900" w:right="0" w:bottom="0" w:left="500" w:header="708" w:footer="708"/>
          <w:pgNumType w:start="17"/>
          <w:cols w:space="708"/>
        </w:sectPr>
      </w:pPr>
    </w:p>
    <w:p>
      <w:pPr>
        <w:spacing w:before="0" w:line="930" w:lineRule="exact"/>
        <w:ind w:left="1714" w:right="0" w:firstLine="0"/>
        <w:jc w:val="left"/>
        <w:rPr>
          <w:rFonts w:ascii="微软雅黑"/>
          <w:sz w:val="54"/>
        </w:rPr>
      </w:pPr>
      <w:r>
        <w:rPr>
          <w:rFonts w:ascii="微软雅黑"/>
          <w:spacing w:val="-1"/>
          <w:sz w:val="54"/>
        </w:rPr>
        <w:t>lgKv</w:t>
      </w:r>
    </w:p>
    <w:p>
      <w:pPr>
        <w:spacing w:before="0" w:line="975" w:lineRule="exact"/>
        <w:ind w:left="1722" w:right="0" w:firstLine="0"/>
        <w:jc w:val="left"/>
        <w:rPr>
          <w:rFonts w:ascii="微软雅黑" w:eastAsia="微软雅黑" w:hint="eastAsia"/>
          <w:sz w:val="54"/>
        </w:rPr>
      </w:pPr>
      <w:r>
        <w:rPr>
          <w:rFonts w:ascii="微软雅黑" w:eastAsia="微软雅黑" w:hint="eastAsia"/>
          <w:sz w:val="54"/>
        </w:rPr>
        <w:t>标准</w:t>
      </w:r>
    </w:p>
    <w:p>
      <w:pPr>
        <w:tabs>
          <w:tab w:val="left" w:pos="11731"/>
        </w:tabs>
        <w:spacing w:before="0" w:line="950" w:lineRule="exact"/>
        <w:ind w:left="1227" w:right="0" w:firstLine="0"/>
        <w:jc w:val="left"/>
        <w:rPr>
          <w:rFonts w:ascii="微软雅黑"/>
          <w:sz w:val="54"/>
        </w:rPr>
      </w:pPr>
      <w:r>
        <w:br w:type="column"/>
      </w:r>
      <w:r>
        <w:rPr>
          <w:rFonts w:ascii="微软雅黑"/>
          <w:spacing w:val="2"/>
          <w:sz w:val="54"/>
        </w:rPr>
        <w:t xml:space="preserve">0.470.640.810.98 </w:t>
      </w:r>
      <w:r>
        <w:rPr>
          <w:rFonts w:ascii="微软雅黑"/>
          <w:sz w:val="54"/>
        </w:rPr>
        <w:t>1.15</w:t>
      </w:r>
      <w:r>
        <w:rPr>
          <w:rFonts w:ascii="微软雅黑"/>
          <w:spacing w:val="-6"/>
          <w:sz w:val="54"/>
        </w:rPr>
        <w:t xml:space="preserve"> </w:t>
      </w:r>
      <w:r>
        <w:rPr>
          <w:rFonts w:ascii="微软雅黑"/>
          <w:sz w:val="54"/>
        </w:rPr>
        <w:t>1.32</w:t>
      </w:r>
      <w:r>
        <w:rPr>
          <w:rFonts w:ascii="微软雅黑"/>
          <w:spacing w:val="-106"/>
          <w:sz w:val="54"/>
        </w:rPr>
        <w:t xml:space="preserve"> </w:t>
      </w:r>
      <w:r>
        <w:rPr>
          <w:rFonts w:ascii="微软雅黑"/>
          <w:spacing w:val="2"/>
          <w:sz w:val="54"/>
        </w:rPr>
        <w:t>1.491.661.83</w:t>
        <w:tab/>
      </w:r>
      <w:r>
        <w:rPr>
          <w:rFonts w:ascii="微软雅黑"/>
          <w:sz w:val="54"/>
        </w:rPr>
        <w:t>2</w:t>
      </w:r>
    </w:p>
    <w:p>
      <w:pPr>
        <w:spacing w:before="427" w:line="609" w:lineRule="exact"/>
        <w:ind w:left="1227" w:right="0" w:firstLine="0"/>
        <w:jc w:val="left"/>
        <w:rPr>
          <w:rFonts w:ascii="微软雅黑"/>
          <w:sz w:val="54"/>
        </w:rPr>
      </w:pPr>
      <w:r>
        <w:rPr>
          <w:rFonts w:ascii="微软雅黑"/>
          <w:spacing w:val="2"/>
          <w:sz w:val="54"/>
        </w:rPr>
        <w:t xml:space="preserve">0.170.170.170.17 </w:t>
      </w:r>
      <w:r>
        <w:rPr>
          <w:rFonts w:ascii="微软雅黑"/>
          <w:sz w:val="54"/>
        </w:rPr>
        <w:t>0.17 0.17</w:t>
      </w:r>
      <w:r>
        <w:rPr>
          <w:rFonts w:ascii="微软雅黑"/>
          <w:spacing w:val="-109"/>
          <w:sz w:val="54"/>
        </w:rPr>
        <w:t xml:space="preserve"> </w:t>
      </w:r>
      <w:r>
        <w:rPr>
          <w:rFonts w:ascii="微软雅黑"/>
          <w:sz w:val="54"/>
        </w:rPr>
        <w:t>0.170.170.17</w:t>
      </w:r>
    </w:p>
    <w:p>
      <w:pPr>
        <w:spacing w:after="0" w:line="609" w:lineRule="exact"/>
        <w:jc w:val="left"/>
        <w:rPr>
          <w:rFonts w:ascii="微软雅黑"/>
          <w:sz w:val="54"/>
        </w:rPr>
        <w:sectPr>
          <w:type w:val="continuous"/>
          <w:pgSz w:w="17860" w:h="25260"/>
          <w:pgMar w:top="900" w:right="0" w:bottom="0" w:left="500" w:header="708" w:footer="708"/>
          <w:pgNumType w:start="18"/>
          <w:cols w:num="2" w:space="708" w:equalWidth="0">
            <w:col w:w="2830" w:space="40"/>
            <w:col w:w="14490" w:space="0"/>
          </w:cols>
        </w:sectPr>
      </w:pPr>
    </w:p>
    <w:p>
      <w:pPr>
        <w:spacing w:before="0" w:line="855" w:lineRule="exact"/>
        <w:ind w:left="439" w:right="0" w:firstLine="0"/>
        <w:jc w:val="center"/>
        <w:rPr>
          <w:rFonts w:ascii="微软雅黑"/>
          <w:sz w:val="54"/>
        </w:rPr>
      </w:pPr>
      <w:r>
        <w:rPr>
          <w:rFonts w:ascii="微软雅黑"/>
          <w:spacing w:val="-1"/>
          <w:sz w:val="54"/>
        </w:rPr>
        <w:t>lgKvn-lgKvn-1</w:t>
      </w:r>
    </w:p>
    <w:p>
      <w:pPr>
        <w:spacing w:before="0" w:line="1420" w:lineRule="atLeast"/>
        <w:ind w:left="1181" w:right="775" w:firstLine="0"/>
        <w:jc w:val="center"/>
        <w:rPr>
          <w:rFonts w:ascii="微软雅黑" w:eastAsia="微软雅黑" w:hint="eastAsia"/>
          <w:sz w:val="54"/>
        </w:rPr>
      </w:pPr>
      <w:r>
        <w:rPr>
          <w:rFonts w:ascii="微软雅黑" w:eastAsia="微软雅黑" w:hint="eastAsia"/>
          <w:sz w:val="54"/>
        </w:rPr>
        <w:t>斜率偏差实际</w:t>
      </w:r>
    </w:p>
    <w:p>
      <w:pPr>
        <w:pStyle w:val="BodyText"/>
        <w:spacing w:before="17"/>
        <w:rPr>
          <w:rFonts w:ascii="微软雅黑"/>
          <w:sz w:val="43"/>
        </w:rPr>
      </w:pPr>
      <w:r>
        <w:br w:type="column"/>
      </w:r>
    </w:p>
    <w:p>
      <w:pPr>
        <w:spacing w:before="0" w:line="966" w:lineRule="exact"/>
        <w:ind w:left="270" w:right="0" w:firstLine="0"/>
        <w:jc w:val="left"/>
        <w:rPr>
          <w:rFonts w:ascii="微软雅黑"/>
          <w:sz w:val="54"/>
        </w:rPr>
      </w:pPr>
      <w:r>
        <w:rPr>
          <w:rFonts w:ascii="微软雅黑"/>
          <w:sz w:val="54"/>
        </w:rPr>
        <w:t>+80%</w:t>
      </w:r>
    </w:p>
    <w:p>
      <w:pPr>
        <w:spacing w:before="6" w:line="228" w:lineRule="auto"/>
        <w:ind w:left="216" w:right="22" w:firstLine="136"/>
        <w:jc w:val="left"/>
        <w:rPr>
          <w:rFonts w:ascii="微软雅黑" w:eastAsia="微软雅黑" w:hint="eastAsia"/>
          <w:sz w:val="54"/>
        </w:rPr>
      </w:pPr>
      <w:r>
        <w:rPr>
          <w:rFonts w:ascii="微软雅黑" w:eastAsia="微软雅黑" w:hint="eastAsia"/>
          <w:sz w:val="54"/>
        </w:rPr>
        <w:t>-30% 0.30～</w:t>
      </w:r>
    </w:p>
    <w:p>
      <w:pPr>
        <w:spacing w:before="393" w:line="1880" w:lineRule="atLeast"/>
        <w:ind w:left="439" w:right="21" w:firstLine="594"/>
        <w:jc w:val="left"/>
        <w:rPr>
          <w:rFonts w:ascii="微软雅黑" w:eastAsia="微软雅黑" w:hAnsi="微软雅黑" w:hint="eastAsia"/>
          <w:sz w:val="54"/>
        </w:rPr>
      </w:pPr>
      <w:r>
        <w:br w:type="column"/>
      </w:r>
      <w:r>
        <w:rPr>
          <w:rFonts w:ascii="微软雅黑" w:eastAsia="微软雅黑" w:hAnsi="微软雅黑" w:hint="eastAsia"/>
          <w:sz w:val="54"/>
        </w:rPr>
        <w:t>±30% 0.22～0.12</w:t>
      </w:r>
    </w:p>
    <w:p>
      <w:pPr>
        <w:pStyle w:val="BodyText"/>
        <w:spacing w:before="17"/>
        <w:rPr>
          <w:rFonts w:ascii="微软雅黑"/>
          <w:sz w:val="43"/>
        </w:rPr>
      </w:pPr>
      <w:r>
        <w:br w:type="column"/>
      </w:r>
    </w:p>
    <w:p>
      <w:pPr>
        <w:spacing w:before="0" w:line="966" w:lineRule="exact"/>
        <w:ind w:left="421" w:right="2325" w:firstLine="0"/>
        <w:jc w:val="center"/>
        <w:rPr>
          <w:rFonts w:ascii="微软雅黑"/>
          <w:sz w:val="54"/>
        </w:rPr>
      </w:pPr>
      <w:r>
        <w:rPr>
          <w:rFonts w:ascii="微软雅黑"/>
          <w:sz w:val="54"/>
        </w:rPr>
        <w:t>+30%</w:t>
      </w:r>
    </w:p>
    <w:p>
      <w:pPr>
        <w:spacing w:before="0" w:line="966" w:lineRule="exact"/>
        <w:ind w:left="421" w:right="2326" w:firstLine="0"/>
        <w:jc w:val="center"/>
        <w:rPr>
          <w:rFonts w:ascii="微软雅黑"/>
          <w:sz w:val="54"/>
        </w:rPr>
      </w:pPr>
      <w:r>
        <w:rPr>
          <w:rFonts w:ascii="微软雅黑"/>
          <w:sz w:val="54"/>
        </w:rPr>
        <w:t>-80%</w:t>
      </w:r>
    </w:p>
    <w:p>
      <w:pPr>
        <w:spacing w:before="423" w:line="609" w:lineRule="exact"/>
        <w:ind w:left="421" w:right="2328" w:firstLine="0"/>
        <w:jc w:val="center"/>
        <w:rPr>
          <w:rFonts w:ascii="微软雅黑" w:eastAsia="微软雅黑" w:hint="eastAsia"/>
          <w:sz w:val="54"/>
        </w:rPr>
      </w:pPr>
      <w:r>
        <w:rPr>
          <w:rFonts w:ascii="微软雅黑" w:eastAsia="微软雅黑" w:hint="eastAsia"/>
          <w:sz w:val="54"/>
        </w:rPr>
        <w:t>0.22～0.03</w:t>
      </w:r>
    </w:p>
    <w:p>
      <w:pPr>
        <w:spacing w:after="0" w:line="609" w:lineRule="exact"/>
        <w:jc w:val="center"/>
        <w:rPr>
          <w:rFonts w:ascii="微软雅黑" w:eastAsia="微软雅黑" w:hint="eastAsia"/>
          <w:sz w:val="54"/>
        </w:rPr>
        <w:sectPr>
          <w:type w:val="continuous"/>
          <w:pgSz w:w="17860" w:h="25260"/>
          <w:pgMar w:top="900" w:right="0" w:bottom="0" w:left="500" w:header="708" w:footer="708"/>
          <w:pgNumType w:start="19"/>
          <w:cols w:num="4" w:space="708" w:equalWidth="0">
            <w:col w:w="4119" w:space="40"/>
            <w:col w:w="1878" w:space="1356"/>
            <w:col w:w="3180" w:space="1298"/>
            <w:col w:w="5489" w:space="0"/>
          </w:cols>
        </w:sectPr>
      </w:pPr>
    </w:p>
    <w:p>
      <w:pPr>
        <w:tabs>
          <w:tab w:val="left" w:pos="4644"/>
        </w:tabs>
        <w:spacing w:before="0" w:line="452" w:lineRule="exact"/>
        <w:ind w:left="439" w:right="0" w:firstLine="0"/>
        <w:jc w:val="left"/>
        <w:rPr>
          <w:rFonts w:ascii="微软雅黑"/>
          <w:sz w:val="54"/>
        </w:rPr>
      </w:pPr>
      <w:r>
        <w:pict>
          <v:group id="_x0000_s1045" style="width:893pt;height:1248pt;margin-top:0;margin-left:0;mso-position-horizontal-relative:page;mso-position-vertical-relative:page;position:absolute;z-index:-251648000" coordorigin="0,0" coordsize="17860,24960">
            <v:shape id="_x0000_s1046" type="#_x0000_t75" style="width:17860;height:24960;position:absolute" stroked="f">
              <v:imagedata r:id="rId11" o:title=""/>
            </v:shape>
            <v:shape id="_x0000_s1047" type="#_x0000_t75" style="width:14875;height:8558;left:905;position:absolute;top:4660" stroked="f">
              <v:imagedata r:id="rId12" o:title=""/>
            </v:shape>
          </v:group>
        </w:pict>
      </w:r>
      <w:r>
        <w:rPr>
          <w:rFonts w:ascii="微软雅黑"/>
          <w:sz w:val="54"/>
        </w:rPr>
        <w:t>lgKvn-lgKvn-1</w:t>
        <w:tab/>
        <w:t>0.12</w:t>
      </w:r>
    </w:p>
    <w:p>
      <w:pPr>
        <w:tabs>
          <w:tab w:val="left" w:pos="8464"/>
        </w:tabs>
        <w:spacing w:before="20" w:line="225" w:lineRule="auto"/>
        <w:ind w:left="1628" w:right="2125" w:firstLine="1079"/>
        <w:jc w:val="left"/>
        <w:rPr>
          <w:rFonts w:ascii="微软雅黑" w:eastAsia="微软雅黑" w:hint="eastAsia"/>
          <w:sz w:val="54"/>
        </w:rPr>
      </w:pPr>
      <w:r>
        <w:rPr>
          <w:rFonts w:ascii="微软雅黑" w:eastAsia="微软雅黑" w:hint="eastAsia"/>
          <w:sz w:val="54"/>
        </w:rPr>
        <w:t>美国艾默生过程管理公司的</w:t>
      </w:r>
      <w:r>
        <w:rPr>
          <w:rFonts w:ascii="微软雅黑" w:eastAsia="微软雅黑" w:hint="eastAsia"/>
          <w:spacing w:val="-61"/>
          <w:sz w:val="54"/>
        </w:rPr>
        <w:t xml:space="preserve"> </w:t>
      </w:r>
      <w:r>
        <w:rPr>
          <w:rFonts w:ascii="微软雅黑" w:eastAsia="微软雅黑" w:hint="eastAsia"/>
          <w:sz w:val="54"/>
        </w:rPr>
        <w:t>Fisher</w:t>
      </w:r>
      <w:r>
        <w:rPr>
          <w:rFonts w:ascii="微软雅黑" w:eastAsia="微软雅黑" w:hint="eastAsia"/>
          <w:spacing w:val="-67"/>
          <w:sz w:val="54"/>
        </w:rPr>
        <w:t xml:space="preserve"> </w:t>
      </w:r>
      <w:r>
        <w:rPr>
          <w:rFonts w:ascii="微软雅黑" w:eastAsia="微软雅黑" w:hint="eastAsia"/>
          <w:sz w:val="54"/>
        </w:rPr>
        <w:t>公司就充分利用了</w:t>
      </w:r>
      <w:r>
        <w:rPr>
          <w:rFonts w:ascii="微软雅黑" w:eastAsia="微软雅黑" w:hint="eastAsia"/>
          <w:spacing w:val="-10"/>
          <w:sz w:val="54"/>
        </w:rPr>
        <w:t>IEC60534</w:t>
      </w:r>
      <w:r>
        <w:rPr>
          <w:rFonts w:ascii="微软雅黑" w:eastAsia="微软雅黑" w:hint="eastAsia"/>
          <w:sz w:val="54"/>
        </w:rPr>
        <w:t>《工业过程控制阀</w:t>
      </w:r>
      <w:r>
        <w:rPr>
          <w:rFonts w:ascii="微软雅黑" w:eastAsia="微软雅黑" w:hint="eastAsia"/>
          <w:spacing w:val="-66"/>
          <w:sz w:val="54"/>
        </w:rPr>
        <w:t>》</w:t>
      </w:r>
      <w:r>
        <w:rPr>
          <w:rFonts w:ascii="微软雅黑" w:eastAsia="微软雅黑" w:hint="eastAsia"/>
          <w:sz w:val="54"/>
        </w:rPr>
        <w:t>标准中关于固有流量特性</w:t>
      </w:r>
      <w:r>
        <w:rPr>
          <w:rFonts w:ascii="微软雅黑" w:eastAsia="微软雅黑" w:hint="eastAsia"/>
          <w:spacing w:val="-13"/>
          <w:sz w:val="54"/>
        </w:rPr>
        <w:t>的</w:t>
      </w:r>
      <w:r>
        <w:rPr>
          <w:rFonts w:ascii="微软雅黑" w:eastAsia="微软雅黑" w:hint="eastAsia"/>
          <w:sz w:val="54"/>
        </w:rPr>
        <w:t>基本要求，也可以说</w:t>
      </w:r>
      <w:r>
        <w:rPr>
          <w:rFonts w:ascii="微软雅黑" w:eastAsia="微软雅黑" w:hint="eastAsia"/>
          <w:spacing w:val="-25"/>
          <w:sz w:val="54"/>
        </w:rPr>
        <w:t xml:space="preserve"> </w:t>
      </w:r>
      <w:r>
        <w:rPr>
          <w:rFonts w:ascii="微软雅黑" w:eastAsia="微软雅黑" w:hint="eastAsia"/>
          <w:sz w:val="54"/>
        </w:rPr>
        <w:t>IEC60534《工业过程控制阀》标准是以</w:t>
      </w:r>
      <w:r>
        <w:rPr>
          <w:rFonts w:ascii="微软雅黑" w:eastAsia="微软雅黑" w:hint="eastAsia"/>
          <w:spacing w:val="-25"/>
          <w:sz w:val="54"/>
        </w:rPr>
        <w:t xml:space="preserve"> </w:t>
      </w:r>
      <w:r>
        <w:rPr>
          <w:rFonts w:ascii="微软雅黑" w:eastAsia="微软雅黑" w:hint="eastAsia"/>
          <w:sz w:val="54"/>
        </w:rPr>
        <w:t>Fisher</w:t>
      </w:r>
      <w:r>
        <w:rPr>
          <w:rFonts w:ascii="微软雅黑" w:eastAsia="微软雅黑" w:hint="eastAsia"/>
          <w:spacing w:val="-27"/>
          <w:sz w:val="54"/>
        </w:rPr>
        <w:t xml:space="preserve"> </w:t>
      </w:r>
      <w:r>
        <w:rPr>
          <w:rFonts w:ascii="微软雅黑" w:eastAsia="微软雅黑" w:hint="eastAsia"/>
          <w:sz w:val="54"/>
        </w:rPr>
        <w:t>公司产品为基型编制而成的。下面我们以Fisher</w:t>
      </w:r>
      <w:r>
        <w:rPr>
          <w:rFonts w:ascii="微软雅黑" w:eastAsia="微软雅黑" w:hint="eastAsia"/>
          <w:spacing w:val="-28"/>
          <w:sz w:val="54"/>
        </w:rPr>
        <w:t xml:space="preserve"> </w:t>
      </w:r>
      <w:r>
        <w:rPr>
          <w:rFonts w:ascii="微软雅黑" w:eastAsia="微软雅黑" w:hint="eastAsia"/>
          <w:sz w:val="54"/>
        </w:rPr>
        <w:t>公司生产的</w:t>
      </w:r>
      <w:r>
        <w:rPr>
          <w:rFonts w:ascii="微软雅黑" w:eastAsia="微软雅黑" w:hint="eastAsia"/>
          <w:spacing w:val="-25"/>
          <w:sz w:val="54"/>
        </w:rPr>
        <w:t xml:space="preserve"> </w:t>
      </w:r>
      <w:r>
        <w:rPr>
          <w:rFonts w:ascii="微软雅黑" w:eastAsia="微软雅黑" w:hint="eastAsia"/>
          <w:sz w:val="54"/>
        </w:rPr>
        <w:t>DN100</w:t>
        <w:tab/>
        <w:t>ET</w:t>
      </w:r>
      <w:r>
        <w:rPr>
          <w:rFonts w:ascii="微软雅黑" w:eastAsia="微软雅黑" w:hint="eastAsia"/>
          <w:spacing w:val="-23"/>
          <w:sz w:val="54"/>
        </w:rPr>
        <w:t xml:space="preserve"> </w:t>
      </w:r>
      <w:r>
        <w:rPr>
          <w:rFonts w:ascii="微软雅黑" w:eastAsia="微软雅黑" w:hint="eastAsia"/>
          <w:sz w:val="54"/>
        </w:rPr>
        <w:t>型笼式阀为例，看一下Fisher</w:t>
      </w:r>
      <w:r>
        <w:rPr>
          <w:rFonts w:ascii="微软雅黑" w:eastAsia="微软雅黑" w:hint="eastAsia"/>
          <w:spacing w:val="-29"/>
          <w:sz w:val="54"/>
        </w:rPr>
        <w:t xml:space="preserve"> </w:t>
      </w:r>
      <w:r>
        <w:rPr>
          <w:rFonts w:ascii="微软雅黑" w:eastAsia="微软雅黑" w:hint="eastAsia"/>
          <w:sz w:val="54"/>
        </w:rPr>
        <w:t>公司是如何利用</w:t>
      </w:r>
      <w:r>
        <w:rPr>
          <w:rFonts w:ascii="微软雅黑" w:eastAsia="微软雅黑" w:hint="eastAsia"/>
          <w:spacing w:val="-26"/>
          <w:sz w:val="54"/>
        </w:rPr>
        <w:t xml:space="preserve"> </w:t>
      </w:r>
      <w:r>
        <w:rPr>
          <w:rFonts w:ascii="微软雅黑" w:eastAsia="微软雅黑" w:hint="eastAsia"/>
          <w:sz w:val="54"/>
        </w:rPr>
        <w:t>IEC60534《工业过程控制阀》标准的。实际流量系数具体数值见表四</w:t>
      </w:r>
    </w:p>
    <w:p>
      <w:pPr>
        <w:spacing w:after="0" w:line="225" w:lineRule="auto"/>
        <w:jc w:val="left"/>
        <w:rPr>
          <w:rFonts w:ascii="微软雅黑" w:eastAsia="微软雅黑" w:hint="eastAsia"/>
          <w:sz w:val="54"/>
        </w:rPr>
        <w:sectPr>
          <w:type w:val="continuous"/>
          <w:pgSz w:w="17860" w:h="25260"/>
          <w:pgMar w:top="900" w:right="0" w:bottom="0" w:left="500" w:header="708" w:footer="708"/>
          <w:pgNumType w:start="20"/>
          <w:cols w:space="708"/>
        </w:sectPr>
      </w:pPr>
    </w:p>
    <w:p>
      <w:pPr>
        <w:pStyle w:val="BodyText"/>
        <w:rPr>
          <w:rFonts w:ascii="微软雅黑"/>
          <w:sz w:val="20"/>
        </w:rPr>
      </w:pPr>
    </w:p>
    <w:p>
      <w:pPr>
        <w:pStyle w:val="BodyText"/>
        <w:rPr>
          <w:rFonts w:ascii="微软雅黑"/>
          <w:sz w:val="20"/>
        </w:rPr>
      </w:pPr>
    </w:p>
    <w:p>
      <w:pPr>
        <w:pStyle w:val="BodyText"/>
        <w:spacing w:before="11" w:after="1"/>
        <w:rPr>
          <w:rFonts w:ascii="微软雅黑"/>
          <w:sz w:val="21"/>
        </w:rPr>
      </w:pPr>
    </w:p>
    <w:tbl>
      <w:tblPr>
        <w:tblStyle w:val="TableNormal1"/>
        <w:tblW w:w="0" w:type="auto"/>
        <w:jc w:val="left"/>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33"/>
        <w:gridCol w:w="1352"/>
        <w:gridCol w:w="9802"/>
      </w:tblGrid>
      <w:tr>
        <w:tblPrEx>
          <w:tblW w:w="0" w:type="auto"/>
          <w:jc w:val="left"/>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08"/>
          <w:jc w:val="left"/>
        </w:trPr>
        <w:tc>
          <w:tcPr>
            <w:tcW w:w="4585" w:type="dxa"/>
            <w:gridSpan w:val="2"/>
          </w:tcPr>
          <w:p>
            <w:pPr>
              <w:pStyle w:val="TableParagraph"/>
              <w:rPr>
                <w:rFonts w:ascii="Times New Roman"/>
                <w:sz w:val="46"/>
              </w:rPr>
            </w:pPr>
          </w:p>
        </w:tc>
        <w:tc>
          <w:tcPr>
            <w:tcW w:w="9802" w:type="dxa"/>
          </w:tcPr>
          <w:p>
            <w:pPr>
              <w:pStyle w:val="TableParagraph"/>
              <w:spacing w:line="854" w:lineRule="exact"/>
              <w:ind w:right="47"/>
              <w:jc w:val="right"/>
              <w:rPr>
                <w:sz w:val="54"/>
              </w:rPr>
            </w:pPr>
            <w:r>
              <w:rPr>
                <w:sz w:val="54"/>
              </w:rPr>
              <w:t>表四</w:t>
            </w:r>
          </w:p>
        </w:tc>
      </w:tr>
      <w:tr>
        <w:tblPrEx>
          <w:tblW w:w="0" w:type="auto"/>
          <w:jc w:val="left"/>
          <w:tblInd w:w="904" w:type="dxa"/>
          <w:tblLayout w:type="fixed"/>
          <w:tblCellMar>
            <w:top w:w="0" w:type="dxa"/>
            <w:left w:w="0" w:type="dxa"/>
            <w:bottom w:w="0" w:type="dxa"/>
            <w:right w:w="0" w:type="dxa"/>
          </w:tblCellMar>
          <w:tblLook w:val="01E0"/>
        </w:tblPrEx>
        <w:trPr>
          <w:trHeight w:val="968"/>
          <w:jc w:val="left"/>
        </w:trPr>
        <w:tc>
          <w:tcPr>
            <w:tcW w:w="3233" w:type="dxa"/>
          </w:tcPr>
          <w:p>
            <w:pPr>
              <w:pStyle w:val="TableParagraph"/>
              <w:spacing w:before="78"/>
              <w:ind w:left="352"/>
              <w:rPr>
                <w:sz w:val="45"/>
              </w:rPr>
            </w:pPr>
            <w:r>
              <w:rPr>
                <w:sz w:val="45"/>
              </w:rPr>
              <w:t>相对行</w:t>
            </w:r>
            <w:r>
              <w:rPr>
                <w:spacing w:val="-180"/>
                <w:sz w:val="45"/>
              </w:rPr>
              <w:t>程%</w:t>
            </w:r>
          </w:p>
        </w:tc>
        <w:tc>
          <w:tcPr>
            <w:tcW w:w="1352" w:type="dxa"/>
          </w:tcPr>
          <w:p>
            <w:pPr>
              <w:pStyle w:val="TableParagraph"/>
              <w:spacing w:before="78"/>
              <w:ind w:right="121"/>
              <w:jc w:val="center"/>
              <w:rPr>
                <w:sz w:val="45"/>
              </w:rPr>
            </w:pPr>
            <w:r>
              <w:rPr>
                <w:sz w:val="45"/>
              </w:rPr>
              <w:t>1</w:t>
            </w:r>
          </w:p>
        </w:tc>
        <w:tc>
          <w:tcPr>
            <w:tcW w:w="9802" w:type="dxa"/>
          </w:tcPr>
          <w:p>
            <w:pPr>
              <w:pStyle w:val="TableParagraph"/>
              <w:tabs>
                <w:tab w:val="left" w:pos="6533"/>
                <w:tab w:val="left" w:pos="7589"/>
                <w:tab w:val="left" w:pos="8532"/>
              </w:tabs>
              <w:spacing w:before="78"/>
              <w:ind w:left="5482"/>
              <w:rPr>
                <w:sz w:val="45"/>
              </w:rPr>
            </w:pPr>
            <w:r>
              <w:rPr>
                <w:sz w:val="45"/>
              </w:rPr>
              <w:t>70</w:t>
              <w:tab/>
              <w:t>80</w:t>
              <w:tab/>
              <w:t>90</w:t>
              <w:tab/>
              <w:t>100</w:t>
            </w:r>
          </w:p>
        </w:tc>
      </w:tr>
      <w:tr>
        <w:tblPrEx>
          <w:tblW w:w="0" w:type="auto"/>
          <w:jc w:val="left"/>
          <w:tblInd w:w="904" w:type="dxa"/>
          <w:tblLayout w:type="fixed"/>
          <w:tblCellMar>
            <w:top w:w="0" w:type="dxa"/>
            <w:left w:w="0" w:type="dxa"/>
            <w:bottom w:w="0" w:type="dxa"/>
            <w:right w:w="0" w:type="dxa"/>
          </w:tblCellMar>
          <w:tblLook w:val="01E0"/>
        </w:tblPrEx>
        <w:trPr>
          <w:trHeight w:val="950"/>
          <w:jc w:val="left"/>
        </w:trPr>
        <w:tc>
          <w:tcPr>
            <w:tcW w:w="3233" w:type="dxa"/>
          </w:tcPr>
          <w:p>
            <w:pPr>
              <w:pStyle w:val="TableParagraph"/>
              <w:spacing w:before="60"/>
              <w:ind w:right="124"/>
              <w:jc w:val="right"/>
              <w:rPr>
                <w:sz w:val="45"/>
              </w:rPr>
            </w:pPr>
            <w:r>
              <w:rPr>
                <w:spacing w:val="-8"/>
                <w:sz w:val="45"/>
              </w:rPr>
              <w:t>理论流量系</w:t>
            </w:r>
            <w:r>
              <w:rPr>
                <w:spacing w:val="-270"/>
                <w:sz w:val="45"/>
              </w:rPr>
              <w:t>C</w:t>
            </w:r>
            <w:r>
              <w:rPr>
                <w:spacing w:val="-182"/>
                <w:sz w:val="45"/>
              </w:rPr>
              <w:t>数</w:t>
            </w:r>
            <w:r>
              <w:rPr>
                <w:sz w:val="45"/>
              </w:rPr>
              <w:t>v</w:t>
            </w:r>
          </w:p>
        </w:tc>
        <w:tc>
          <w:tcPr>
            <w:tcW w:w="1352" w:type="dxa"/>
          </w:tcPr>
          <w:p>
            <w:pPr>
              <w:pStyle w:val="TableParagraph"/>
              <w:spacing w:before="60"/>
              <w:ind w:left="51" w:right="43"/>
              <w:jc w:val="center"/>
              <w:rPr>
                <w:sz w:val="45"/>
              </w:rPr>
            </w:pPr>
            <w:r>
              <w:rPr>
                <w:sz w:val="45"/>
              </w:rPr>
              <w:t>6.63</w:t>
            </w:r>
          </w:p>
        </w:tc>
        <w:tc>
          <w:tcPr>
            <w:tcW w:w="9802" w:type="dxa"/>
          </w:tcPr>
          <w:p>
            <w:pPr>
              <w:pStyle w:val="TableParagraph"/>
              <w:tabs>
                <w:tab w:val="left" w:pos="1118"/>
              </w:tabs>
              <w:spacing w:before="60"/>
              <w:ind w:left="171"/>
              <w:rPr>
                <w:sz w:val="45"/>
              </w:rPr>
            </w:pPr>
            <w:r>
              <w:rPr>
                <w:spacing w:val="-1"/>
                <w:sz w:val="45"/>
              </w:rPr>
              <w:t>9.</w:t>
            </w:r>
            <w:r>
              <w:rPr>
                <w:sz w:val="45"/>
              </w:rPr>
              <w:t>8</w:t>
              <w:tab/>
            </w:r>
            <w:r>
              <w:rPr>
                <w:spacing w:val="-1"/>
                <w:sz w:val="45"/>
              </w:rPr>
              <w:t>14.</w:t>
            </w:r>
            <w:r>
              <w:rPr>
                <w:sz w:val="45"/>
              </w:rPr>
              <w:t>5</w:t>
            </w:r>
            <w:r>
              <w:rPr>
                <w:spacing w:val="18"/>
                <w:sz w:val="45"/>
              </w:rPr>
              <w:t xml:space="preserve"> </w:t>
            </w:r>
            <w:r>
              <w:rPr>
                <w:spacing w:val="-1"/>
                <w:sz w:val="45"/>
              </w:rPr>
              <w:t>21.</w:t>
            </w:r>
            <w:r>
              <w:rPr>
                <w:sz w:val="45"/>
              </w:rPr>
              <w:t>4</w:t>
            </w:r>
            <w:r>
              <w:rPr>
                <w:spacing w:val="22"/>
                <w:sz w:val="45"/>
              </w:rPr>
              <w:t xml:space="preserve"> </w:t>
            </w:r>
            <w:r>
              <w:rPr>
                <w:spacing w:val="-1"/>
                <w:sz w:val="45"/>
              </w:rPr>
              <w:t>31.</w:t>
            </w:r>
            <w:r>
              <w:rPr>
                <w:sz w:val="45"/>
              </w:rPr>
              <w:t>6</w:t>
            </w:r>
            <w:r>
              <w:rPr>
                <w:spacing w:val="19"/>
                <w:sz w:val="45"/>
              </w:rPr>
              <w:t xml:space="preserve"> </w:t>
            </w:r>
            <w:r>
              <w:rPr>
                <w:spacing w:val="-1"/>
                <w:sz w:val="45"/>
              </w:rPr>
              <w:t>46.</w:t>
            </w:r>
            <w:r>
              <w:rPr>
                <w:sz w:val="45"/>
              </w:rPr>
              <w:t>8</w:t>
            </w:r>
            <w:r>
              <w:rPr>
                <w:spacing w:val="22"/>
                <w:sz w:val="45"/>
              </w:rPr>
              <w:t xml:space="preserve"> </w:t>
            </w:r>
            <w:r>
              <w:rPr>
                <w:spacing w:val="-1"/>
                <w:sz w:val="45"/>
              </w:rPr>
              <w:t>69.</w:t>
            </w:r>
            <w:r>
              <w:rPr>
                <w:sz w:val="45"/>
              </w:rPr>
              <w:t>2</w:t>
            </w:r>
            <w:r>
              <w:rPr>
                <w:spacing w:val="-86"/>
                <w:sz w:val="45"/>
              </w:rPr>
              <w:t xml:space="preserve"> </w:t>
            </w:r>
            <w:r>
              <w:rPr>
                <w:spacing w:val="-1"/>
                <w:sz w:val="45"/>
              </w:rPr>
              <w:t>102.</w:t>
            </w:r>
            <w:r>
              <w:rPr>
                <w:sz w:val="45"/>
              </w:rPr>
              <w:t>4</w:t>
            </w:r>
            <w:r>
              <w:rPr>
                <w:spacing w:val="-1"/>
                <w:sz w:val="45"/>
              </w:rPr>
              <w:t xml:space="preserve"> 151.</w:t>
            </w:r>
            <w:r>
              <w:rPr>
                <w:spacing w:val="-204"/>
                <w:sz w:val="45"/>
              </w:rPr>
              <w:t>4</w:t>
            </w:r>
            <w:r>
              <w:rPr>
                <w:spacing w:val="-1"/>
                <w:sz w:val="45"/>
              </w:rPr>
              <w:t>224</w:t>
            </w:r>
          </w:p>
        </w:tc>
      </w:tr>
      <w:tr>
        <w:tblPrEx>
          <w:tblW w:w="0" w:type="auto"/>
          <w:jc w:val="left"/>
          <w:tblInd w:w="904" w:type="dxa"/>
          <w:tblLayout w:type="fixed"/>
          <w:tblCellMar>
            <w:top w:w="0" w:type="dxa"/>
            <w:left w:w="0" w:type="dxa"/>
            <w:bottom w:w="0" w:type="dxa"/>
            <w:right w:w="0" w:type="dxa"/>
          </w:tblCellMar>
          <w:tblLook w:val="01E0"/>
        </w:tblPrEx>
        <w:trPr>
          <w:trHeight w:val="952"/>
          <w:jc w:val="left"/>
        </w:trPr>
        <w:tc>
          <w:tcPr>
            <w:tcW w:w="3233" w:type="dxa"/>
          </w:tcPr>
          <w:p>
            <w:pPr>
              <w:pStyle w:val="TableParagraph"/>
              <w:spacing w:before="60"/>
              <w:ind w:right="124"/>
              <w:jc w:val="right"/>
              <w:rPr>
                <w:sz w:val="45"/>
              </w:rPr>
            </w:pPr>
            <w:r>
              <w:rPr>
                <w:spacing w:val="-8"/>
                <w:sz w:val="45"/>
              </w:rPr>
              <w:t>实际流量系</w:t>
            </w:r>
            <w:r>
              <w:rPr>
                <w:spacing w:val="-270"/>
                <w:sz w:val="45"/>
              </w:rPr>
              <w:t>C</w:t>
            </w:r>
            <w:r>
              <w:rPr>
                <w:spacing w:val="-182"/>
                <w:sz w:val="45"/>
              </w:rPr>
              <w:t>数</w:t>
            </w:r>
            <w:r>
              <w:rPr>
                <w:sz w:val="45"/>
              </w:rPr>
              <w:t>v</w:t>
            </w:r>
          </w:p>
        </w:tc>
        <w:tc>
          <w:tcPr>
            <w:tcW w:w="1352" w:type="dxa"/>
          </w:tcPr>
          <w:p>
            <w:pPr>
              <w:pStyle w:val="TableParagraph"/>
              <w:spacing w:before="60"/>
              <w:ind w:left="51" w:right="43"/>
              <w:jc w:val="center"/>
              <w:rPr>
                <w:sz w:val="45"/>
              </w:rPr>
            </w:pPr>
            <w:r>
              <w:rPr>
                <w:sz w:val="45"/>
              </w:rPr>
              <w:t>5.85</w:t>
            </w:r>
          </w:p>
        </w:tc>
        <w:tc>
          <w:tcPr>
            <w:tcW w:w="9802" w:type="dxa"/>
          </w:tcPr>
          <w:p>
            <w:pPr>
              <w:pStyle w:val="TableParagraph"/>
              <w:tabs>
                <w:tab w:val="left" w:pos="6425"/>
                <w:tab w:val="left" w:pos="7481"/>
                <w:tab w:val="left" w:pos="8532"/>
              </w:tabs>
              <w:spacing w:before="60"/>
              <w:ind w:left="63"/>
              <w:rPr>
                <w:sz w:val="45"/>
              </w:rPr>
            </w:pPr>
            <w:r>
              <w:rPr>
                <w:sz w:val="45"/>
              </w:rPr>
              <w:t>11.6 18.3 30.2 49.7</w:t>
            </w:r>
            <w:r>
              <w:rPr>
                <w:spacing w:val="71"/>
                <w:sz w:val="45"/>
              </w:rPr>
              <w:t xml:space="preserve"> </w:t>
            </w:r>
            <w:r>
              <w:rPr>
                <w:sz w:val="45"/>
              </w:rPr>
              <w:t>79.7</w:t>
            </w:r>
            <w:r>
              <w:rPr>
                <w:spacing w:val="62"/>
                <w:sz w:val="45"/>
              </w:rPr>
              <w:t xml:space="preserve"> </w:t>
            </w:r>
            <w:r>
              <w:rPr>
                <w:sz w:val="45"/>
              </w:rPr>
              <w:t>125</w:t>
              <w:tab/>
              <w:t>171</w:t>
              <w:tab/>
              <w:t>205</w:t>
              <w:tab/>
              <w:t>224</w:t>
            </w:r>
          </w:p>
        </w:tc>
      </w:tr>
      <w:tr>
        <w:tblPrEx>
          <w:tblW w:w="0" w:type="auto"/>
          <w:jc w:val="left"/>
          <w:tblInd w:w="904" w:type="dxa"/>
          <w:tblLayout w:type="fixed"/>
          <w:tblCellMar>
            <w:top w:w="0" w:type="dxa"/>
            <w:left w:w="0" w:type="dxa"/>
            <w:bottom w:w="0" w:type="dxa"/>
            <w:right w:w="0" w:type="dxa"/>
          </w:tblCellMar>
          <w:tblLook w:val="01E0"/>
        </w:tblPrEx>
        <w:trPr>
          <w:trHeight w:val="774"/>
          <w:jc w:val="left"/>
        </w:trPr>
        <w:tc>
          <w:tcPr>
            <w:tcW w:w="3233" w:type="dxa"/>
          </w:tcPr>
          <w:p>
            <w:pPr>
              <w:pStyle w:val="TableParagraph"/>
              <w:spacing w:before="62" w:line="692" w:lineRule="exact"/>
              <w:ind w:left="50"/>
              <w:rPr>
                <w:sz w:val="45"/>
              </w:rPr>
            </w:pPr>
            <w:r>
              <w:rPr>
                <w:sz w:val="45"/>
              </w:rPr>
              <w:t>lgKvn–lgKvn-1</w:t>
            </w:r>
          </w:p>
        </w:tc>
        <w:tc>
          <w:tcPr>
            <w:tcW w:w="1352" w:type="dxa"/>
          </w:tcPr>
          <w:p>
            <w:pPr>
              <w:pStyle w:val="TableParagraph"/>
              <w:spacing w:before="62" w:line="692" w:lineRule="exact"/>
              <w:ind w:left="105" w:right="43"/>
              <w:jc w:val="center"/>
              <w:rPr>
                <w:sz w:val="45"/>
              </w:rPr>
            </w:pPr>
            <w:r>
              <w:rPr>
                <w:sz w:val="45"/>
              </w:rPr>
              <w:t>0.293</w:t>
            </w:r>
          </w:p>
        </w:tc>
        <w:tc>
          <w:tcPr>
            <w:tcW w:w="9802" w:type="dxa"/>
          </w:tcPr>
          <w:p>
            <w:pPr>
              <w:pStyle w:val="TableParagraph"/>
              <w:tabs>
                <w:tab w:val="left" w:pos="1118"/>
              </w:tabs>
              <w:spacing w:before="62" w:line="692" w:lineRule="exact"/>
              <w:ind w:left="171"/>
              <w:rPr>
                <w:sz w:val="45"/>
              </w:rPr>
            </w:pPr>
            <w:r>
              <w:rPr>
                <w:sz w:val="45"/>
              </w:rPr>
              <w:t>0.2</w:t>
              <w:tab/>
              <w:t>0.22 0.22 0.20 0.20 0.13 0.08</w:t>
            </w:r>
            <w:r>
              <w:rPr>
                <w:spacing w:val="113"/>
                <w:sz w:val="45"/>
              </w:rPr>
              <w:t xml:space="preserve"> </w:t>
            </w:r>
            <w:r>
              <w:rPr>
                <w:sz w:val="45"/>
              </w:rPr>
              <w:t>0.04</w:t>
            </w:r>
          </w:p>
        </w:tc>
      </w:tr>
    </w:tbl>
    <w:p>
      <w:pPr>
        <w:pStyle w:val="BodyText"/>
        <w:spacing w:before="9"/>
        <w:rPr>
          <w:rFonts w:ascii="微软雅黑"/>
          <w:sz w:val="5"/>
        </w:rPr>
      </w:pPr>
    </w:p>
    <w:p>
      <w:pPr>
        <w:tabs>
          <w:tab w:val="left" w:pos="7383"/>
        </w:tabs>
        <w:spacing w:before="2" w:line="225" w:lineRule="auto"/>
        <w:ind w:left="1628" w:right="2210" w:firstLine="540"/>
        <w:jc w:val="left"/>
        <w:rPr>
          <w:rFonts w:ascii="微软雅黑" w:eastAsia="微软雅黑" w:hint="eastAsia"/>
          <w:sz w:val="54"/>
        </w:rPr>
      </w:pPr>
      <w:r>
        <w:rPr>
          <w:rFonts w:ascii="微软雅黑" w:eastAsia="微软雅黑" w:hint="eastAsia"/>
          <w:sz w:val="54"/>
        </w:rPr>
        <w:t>Fisher</w:t>
      </w:r>
      <w:r>
        <w:rPr>
          <w:rFonts w:ascii="微软雅黑" w:eastAsia="微软雅黑" w:hint="eastAsia"/>
          <w:spacing w:val="-28"/>
          <w:sz w:val="54"/>
        </w:rPr>
        <w:t xml:space="preserve"> </w:t>
      </w:r>
      <w:r>
        <w:rPr>
          <w:rFonts w:ascii="微软雅黑" w:eastAsia="微软雅黑" w:hint="eastAsia"/>
          <w:sz w:val="54"/>
        </w:rPr>
        <w:t>公司</w:t>
      </w:r>
      <w:r>
        <w:rPr>
          <w:rFonts w:ascii="微软雅黑" w:eastAsia="微软雅黑" w:hint="eastAsia"/>
          <w:spacing w:val="-25"/>
          <w:sz w:val="54"/>
        </w:rPr>
        <w:t xml:space="preserve"> </w:t>
      </w:r>
      <w:r>
        <w:rPr>
          <w:rFonts w:ascii="微软雅黑" w:eastAsia="微软雅黑" w:hint="eastAsia"/>
          <w:sz w:val="54"/>
        </w:rPr>
        <w:t>DN100</w:t>
        <w:tab/>
        <w:t>ET</w:t>
      </w:r>
      <w:r>
        <w:rPr>
          <w:rFonts w:ascii="微软雅黑" w:eastAsia="微软雅黑" w:hint="eastAsia"/>
          <w:spacing w:val="-22"/>
          <w:sz w:val="54"/>
        </w:rPr>
        <w:t xml:space="preserve"> </w:t>
      </w:r>
      <w:r>
        <w:rPr>
          <w:rFonts w:ascii="微软雅黑" w:eastAsia="微软雅黑" w:hint="eastAsia"/>
          <w:sz w:val="54"/>
        </w:rPr>
        <w:t>笼式阀等百分比流量系数与</w:t>
      </w:r>
      <w:r>
        <w:rPr>
          <w:rFonts w:ascii="微软雅黑" w:eastAsia="微软雅黑" w:hint="eastAsia"/>
          <w:spacing w:val="-17"/>
          <w:sz w:val="54"/>
        </w:rPr>
        <w:t>标</w:t>
      </w:r>
      <w:r>
        <w:rPr>
          <w:rFonts w:ascii="微软雅黑" w:eastAsia="微软雅黑" w:hint="eastAsia"/>
          <w:sz w:val="54"/>
        </w:rPr>
        <w:t>准等百分比流量系数对比，见图一</w:t>
      </w:r>
    </w:p>
    <w:p>
      <w:pPr>
        <w:pStyle w:val="BodyText"/>
        <w:spacing w:before="15"/>
        <w:rPr>
          <w:rFonts w:ascii="微软雅黑"/>
          <w:sz w:val="40"/>
        </w:rPr>
      </w:pPr>
    </w:p>
    <w:p>
      <w:pPr>
        <w:spacing w:before="0"/>
        <w:ind w:left="2114" w:right="0" w:firstLine="0"/>
        <w:jc w:val="left"/>
        <w:rPr>
          <w:b/>
          <w:sz w:val="36"/>
        </w:rPr>
      </w:pPr>
      <w:r>
        <w:rPr>
          <w:b/>
          <w:sz w:val="36"/>
        </w:rPr>
        <w:t>相对流量</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spacing w:after="0"/>
        <w:rPr>
          <w:sz w:val="20"/>
        </w:rPr>
        <w:sectPr>
          <w:pgSz w:w="17860" w:h="25260"/>
          <w:pgMar w:top="2420" w:right="0" w:bottom="280" w:left="500" w:header="708" w:footer="708"/>
          <w:pgNumType w:start="21"/>
          <w:cols w:space="708"/>
        </w:sectPr>
      </w:pPr>
    </w:p>
    <w:p>
      <w:pPr>
        <w:spacing w:before="201"/>
        <w:ind w:left="0" w:right="18" w:firstLine="0"/>
        <w:jc w:val="right"/>
        <w:rPr>
          <w:sz w:val="44"/>
        </w:rPr>
      </w:pPr>
      <w:r>
        <w:pict>
          <v:group id="_x0000_s1048" style="width:893pt;height:1248pt;margin-top:0;margin-left:0;mso-position-horizontal-relative:page;mso-position-vertical-relative:page;position:absolute;z-index:-251646976" coordorigin="0,0" coordsize="17860,24960">
            <v:shape id="_x0000_s1049" type="#_x0000_t75" style="width:17860;height:24960;position:absolute" stroked="f">
              <v:imagedata r:id="rId13" o:title=""/>
            </v:shape>
            <v:shape id="_x0000_s1050" type="#_x0000_t75" style="width:13835;height:3859;left:1565;position:absolute;top:4660" stroked="f">
              <v:imagedata r:id="rId14" o:title=""/>
            </v:shape>
            <v:shape id="_x0000_s1051" type="#_x0000_t75" style="width:13400;height:8280;left:2760;position:absolute;top:12560" stroked="f">
              <v:imagedata r:id="rId15" o:title=""/>
            </v:shape>
          </v:group>
        </w:pict>
      </w:r>
      <w:r>
        <w:rPr>
          <w:sz w:val="44"/>
        </w:rPr>
        <w:t>225</w:t>
      </w:r>
    </w:p>
    <w:p>
      <w:pPr>
        <w:spacing w:before="151"/>
        <w:ind w:left="0" w:right="18" w:firstLine="0"/>
        <w:jc w:val="right"/>
        <w:rPr>
          <w:sz w:val="44"/>
        </w:rPr>
      </w:pPr>
      <w:r>
        <w:rPr>
          <w:sz w:val="44"/>
        </w:rPr>
        <w:t>200</w:t>
      </w:r>
    </w:p>
    <w:p>
      <w:pPr>
        <w:spacing w:before="151"/>
        <w:ind w:left="0" w:right="18" w:firstLine="0"/>
        <w:jc w:val="right"/>
        <w:rPr>
          <w:sz w:val="44"/>
        </w:rPr>
      </w:pPr>
      <w:r>
        <w:rPr>
          <w:sz w:val="44"/>
        </w:rPr>
        <w:t>175</w:t>
      </w:r>
    </w:p>
    <w:p>
      <w:pPr>
        <w:spacing w:before="151"/>
        <w:ind w:left="0" w:right="18" w:firstLine="0"/>
        <w:jc w:val="right"/>
        <w:rPr>
          <w:sz w:val="44"/>
        </w:rPr>
      </w:pPr>
      <w:r>
        <w:rPr>
          <w:sz w:val="44"/>
        </w:rPr>
        <w:t>150</w:t>
      </w:r>
    </w:p>
    <w:p>
      <w:pPr>
        <w:spacing w:before="150"/>
        <w:ind w:left="0" w:right="18" w:firstLine="0"/>
        <w:jc w:val="right"/>
        <w:rPr>
          <w:sz w:val="44"/>
        </w:rPr>
      </w:pPr>
      <w:r>
        <w:rPr>
          <w:sz w:val="44"/>
        </w:rPr>
        <w:t>125</w:t>
      </w:r>
    </w:p>
    <w:p>
      <w:pPr>
        <w:spacing w:before="151"/>
        <w:ind w:left="0" w:right="18" w:firstLine="0"/>
        <w:jc w:val="right"/>
        <w:rPr>
          <w:sz w:val="44"/>
        </w:rPr>
      </w:pPr>
      <w:r>
        <w:rPr>
          <w:sz w:val="44"/>
        </w:rPr>
        <w:t>100</w:t>
      </w:r>
    </w:p>
    <w:p>
      <w:pPr>
        <w:spacing w:before="151"/>
        <w:ind w:left="0" w:right="8" w:firstLine="0"/>
        <w:jc w:val="right"/>
        <w:rPr>
          <w:sz w:val="44"/>
        </w:rPr>
      </w:pPr>
      <w:r>
        <w:rPr>
          <w:spacing w:val="-1"/>
          <w:sz w:val="44"/>
        </w:rPr>
        <w:t>75</w:t>
      </w:r>
    </w:p>
    <w:p>
      <w:pPr>
        <w:spacing w:before="151"/>
        <w:ind w:left="0" w:right="8" w:firstLine="0"/>
        <w:jc w:val="right"/>
        <w:rPr>
          <w:sz w:val="44"/>
        </w:rPr>
      </w:pPr>
      <w:r>
        <w:rPr>
          <w:spacing w:val="-1"/>
          <w:sz w:val="44"/>
        </w:rPr>
        <w:t>50</w:t>
      </w:r>
    </w:p>
    <w:p>
      <w:pPr>
        <w:spacing w:before="150"/>
        <w:ind w:left="0" w:right="8" w:firstLine="0"/>
        <w:jc w:val="right"/>
        <w:rPr>
          <w:sz w:val="44"/>
        </w:rPr>
      </w:pPr>
      <w:r>
        <w:rPr>
          <w:spacing w:val="-1"/>
          <w:sz w:val="44"/>
        </w:rPr>
        <w:t>25</w:t>
      </w:r>
    </w:p>
    <w:p>
      <w:pPr>
        <w:spacing w:before="152"/>
        <w:ind w:left="0" w:right="0" w:firstLine="0"/>
        <w:jc w:val="right"/>
        <w:rPr>
          <w:sz w:val="44"/>
        </w:rPr>
      </w:pPr>
      <w:r>
        <w:rPr>
          <w:w w:val="100"/>
          <w:sz w:val="44"/>
        </w:rPr>
        <w:t>0</w:t>
      </w:r>
    </w:p>
    <w:p>
      <w:pPr>
        <w:pStyle w:val="BodyText"/>
        <w:rPr>
          <w:sz w:val="44"/>
        </w:rPr>
      </w:pPr>
      <w:r>
        <w:br w:type="column"/>
      </w:r>
    </w:p>
    <w:p>
      <w:pPr>
        <w:pStyle w:val="BodyText"/>
        <w:rPr>
          <w:sz w:val="44"/>
        </w:rPr>
      </w:pPr>
    </w:p>
    <w:p>
      <w:pPr>
        <w:pStyle w:val="BodyText"/>
        <w:rPr>
          <w:sz w:val="44"/>
        </w:rPr>
      </w:pPr>
    </w:p>
    <w:p>
      <w:pPr>
        <w:pStyle w:val="BodyText"/>
        <w:rPr>
          <w:sz w:val="44"/>
        </w:rPr>
      </w:pPr>
    </w:p>
    <w:p>
      <w:pPr>
        <w:pStyle w:val="BodyText"/>
        <w:spacing w:before="5"/>
        <w:rPr>
          <w:sz w:val="64"/>
        </w:rPr>
      </w:pPr>
    </w:p>
    <w:p>
      <w:pPr>
        <w:spacing w:before="0" w:line="268" w:lineRule="auto"/>
        <w:ind w:left="10793" w:right="1970" w:firstLine="0"/>
        <w:jc w:val="right"/>
        <w:rPr>
          <w:sz w:val="44"/>
        </w:rPr>
      </w:pPr>
      <w:r>
        <w:rPr>
          <w:sz w:val="44"/>
        </w:rPr>
        <w:t>标准值FISHER</w:t>
      </w:r>
    </w:p>
    <w:p>
      <w:pPr>
        <w:pStyle w:val="BodyText"/>
        <w:rPr>
          <w:sz w:val="44"/>
        </w:rPr>
      </w:pPr>
    </w:p>
    <w:p>
      <w:pPr>
        <w:pStyle w:val="BodyText"/>
        <w:rPr>
          <w:sz w:val="44"/>
        </w:rPr>
      </w:pPr>
    </w:p>
    <w:p>
      <w:pPr>
        <w:pStyle w:val="BodyText"/>
        <w:rPr>
          <w:sz w:val="44"/>
        </w:rPr>
      </w:pPr>
    </w:p>
    <w:p>
      <w:pPr>
        <w:pStyle w:val="BodyText"/>
        <w:rPr>
          <w:sz w:val="44"/>
        </w:rPr>
      </w:pPr>
    </w:p>
    <w:p>
      <w:pPr>
        <w:pStyle w:val="BodyText"/>
        <w:spacing w:before="5"/>
        <w:rPr>
          <w:sz w:val="43"/>
        </w:rPr>
      </w:pPr>
    </w:p>
    <w:p>
      <w:pPr>
        <w:tabs>
          <w:tab w:val="left" w:pos="1021"/>
          <w:tab w:val="left" w:pos="1925"/>
          <w:tab w:val="left" w:pos="2849"/>
          <w:tab w:val="left" w:pos="3753"/>
          <w:tab w:val="left" w:pos="4678"/>
          <w:tab w:val="left" w:pos="5581"/>
          <w:tab w:val="left" w:pos="6506"/>
          <w:tab w:val="left" w:pos="7409"/>
          <w:tab w:val="left" w:pos="8229"/>
          <w:tab w:val="left" w:pos="9375"/>
        </w:tabs>
        <w:spacing w:before="0"/>
        <w:ind w:left="96" w:right="0" w:firstLine="0"/>
        <w:jc w:val="left"/>
        <w:rPr>
          <w:b/>
          <w:sz w:val="36"/>
        </w:rPr>
      </w:pPr>
      <w:r>
        <w:rPr>
          <w:sz w:val="44"/>
        </w:rPr>
        <w:t>10</w:t>
        <w:tab/>
        <w:t>20</w:t>
        <w:tab/>
        <w:t>30</w:t>
        <w:tab/>
        <w:t>40</w:t>
        <w:tab/>
        <w:t>50</w:t>
        <w:tab/>
        <w:t>60</w:t>
        <w:tab/>
        <w:t>70</w:t>
        <w:tab/>
        <w:t>80</w:t>
        <w:tab/>
        <w:t>90</w:t>
        <w:tab/>
        <w:t>100</w:t>
        <w:tab/>
      </w:r>
      <w:r>
        <w:rPr>
          <w:b/>
          <w:position w:val="21"/>
          <w:sz w:val="36"/>
        </w:rPr>
        <w:t>相对行程</w:t>
      </w:r>
    </w:p>
    <w:p>
      <w:pPr>
        <w:spacing w:before="381"/>
        <w:ind w:left="4619" w:right="0" w:firstLine="0"/>
        <w:jc w:val="left"/>
        <w:rPr>
          <w:rFonts w:ascii="微软雅黑" w:eastAsia="微软雅黑" w:hint="eastAsia"/>
          <w:sz w:val="54"/>
        </w:rPr>
      </w:pPr>
      <w:r>
        <w:rPr>
          <w:rFonts w:ascii="微软雅黑" w:eastAsia="微软雅黑" w:hint="eastAsia"/>
          <w:sz w:val="54"/>
        </w:rPr>
        <w:t>图一</w:t>
      </w:r>
    </w:p>
    <w:p>
      <w:pPr>
        <w:spacing w:after="0"/>
        <w:jc w:val="left"/>
        <w:rPr>
          <w:rFonts w:ascii="微软雅黑" w:eastAsia="微软雅黑" w:hint="eastAsia"/>
          <w:sz w:val="54"/>
        </w:rPr>
        <w:sectPr>
          <w:type w:val="continuous"/>
          <w:pgSz w:w="17860" w:h="25260"/>
          <w:pgMar w:top="900" w:right="0" w:bottom="0" w:left="500" w:header="708" w:footer="708"/>
          <w:pgNumType w:start="22"/>
          <w:cols w:num="2" w:space="708" w:equalWidth="0">
            <w:col w:w="3231" w:space="40"/>
            <w:col w:w="14089" w:space="0"/>
          </w:cols>
        </w:sectPr>
      </w:pPr>
    </w:p>
    <w:p>
      <w:pPr>
        <w:spacing w:before="0" w:line="909" w:lineRule="exact"/>
        <w:ind w:left="2708" w:right="0" w:firstLine="0"/>
        <w:jc w:val="left"/>
        <w:rPr>
          <w:rFonts w:ascii="微软雅黑" w:eastAsia="微软雅黑" w:hint="eastAsia"/>
          <w:sz w:val="54"/>
        </w:rPr>
      </w:pPr>
      <w:r>
        <w:rPr>
          <w:rFonts w:ascii="微软雅黑" w:eastAsia="微软雅黑" w:hint="eastAsia"/>
          <w:sz w:val="54"/>
        </w:rPr>
        <w:t>我们根据 Fisher 产品选型软件上发布的相对行程与相</w:t>
      </w:r>
    </w:p>
    <w:p>
      <w:pPr>
        <w:spacing w:before="13" w:line="225" w:lineRule="auto"/>
        <w:ind w:left="1628" w:right="1854" w:firstLine="0"/>
        <w:jc w:val="left"/>
        <w:rPr>
          <w:rFonts w:ascii="微软雅黑" w:eastAsia="微软雅黑" w:hAnsi="微软雅黑" w:hint="eastAsia"/>
          <w:sz w:val="54"/>
        </w:rPr>
      </w:pPr>
      <w:r>
        <w:rPr>
          <w:rFonts w:ascii="微软雅黑" w:eastAsia="微软雅黑" w:hAnsi="微软雅黑" w:hint="eastAsia"/>
          <w:spacing w:val="-6"/>
          <w:sz w:val="54"/>
        </w:rPr>
        <w:t xml:space="preserve">对流量数值，计算 </w:t>
      </w:r>
      <w:r>
        <w:rPr>
          <w:rFonts w:ascii="微软雅黑" w:eastAsia="微软雅黑" w:hAnsi="微软雅黑" w:hint="eastAsia"/>
          <w:sz w:val="54"/>
        </w:rPr>
        <w:t>ET</w:t>
      </w:r>
      <w:r>
        <w:rPr>
          <w:rFonts w:ascii="微软雅黑" w:eastAsia="微软雅黑" w:hAnsi="微软雅黑" w:hint="eastAsia"/>
          <w:spacing w:val="-29"/>
          <w:sz w:val="54"/>
        </w:rPr>
        <w:t>、</w:t>
      </w:r>
      <w:r>
        <w:rPr>
          <w:rFonts w:ascii="微软雅黑" w:eastAsia="微软雅黑" w:hAnsi="微软雅黑" w:hint="eastAsia"/>
          <w:sz w:val="54"/>
        </w:rPr>
        <w:t>EZ</w:t>
      </w:r>
      <w:r>
        <w:rPr>
          <w:rFonts w:ascii="微软雅黑" w:eastAsia="微软雅黑" w:hAnsi="微软雅黑" w:hint="eastAsia"/>
          <w:spacing w:val="-6"/>
          <w:sz w:val="54"/>
        </w:rPr>
        <w:t xml:space="preserve"> 两大系列十多种控制阀的曲线， </w:t>
      </w:r>
      <w:r>
        <w:rPr>
          <w:rFonts w:ascii="微软雅黑" w:eastAsia="微软雅黑" w:hAnsi="微软雅黑" w:hint="eastAsia"/>
          <w:sz w:val="54"/>
        </w:rPr>
        <w:t>也基本遵守这个原则。所以各控制阀生产企业不要刻意追求理想等百分比流量特性各点均符合斜率偏差±30%，而应在不影响用户使用前提下，充分利用标准规定的相对行</w:t>
      </w:r>
    </w:p>
    <w:p>
      <w:pPr>
        <w:spacing w:after="0" w:line="225" w:lineRule="auto"/>
        <w:jc w:val="left"/>
        <w:rPr>
          <w:rFonts w:ascii="微软雅黑" w:eastAsia="微软雅黑" w:hAnsi="微软雅黑" w:hint="eastAsia"/>
          <w:sz w:val="54"/>
        </w:rPr>
        <w:sectPr>
          <w:pgSz w:w="17860" w:h="25260"/>
          <w:pgMar w:top="1600" w:right="0" w:bottom="280" w:left="500" w:header="708" w:footer="708"/>
          <w:pgNumType w:start="23"/>
          <w:cols w:space="708"/>
        </w:sectPr>
      </w:pPr>
    </w:p>
    <w:p>
      <w:pPr>
        <w:spacing w:before="0" w:line="954" w:lineRule="exact"/>
        <w:ind w:left="1628" w:right="0" w:firstLine="0"/>
        <w:jc w:val="left"/>
        <w:rPr>
          <w:rFonts w:ascii="微软雅黑" w:eastAsia="微软雅黑" w:hint="eastAsia"/>
          <w:sz w:val="54"/>
        </w:rPr>
      </w:pPr>
      <w:r>
        <w:rPr>
          <w:rFonts w:ascii="微软雅黑" w:eastAsia="微软雅黑" w:hint="eastAsia"/>
          <w:spacing w:val="-14"/>
          <w:sz w:val="54"/>
        </w:rPr>
        <w:t xml:space="preserve">程 </w:t>
      </w:r>
      <w:r>
        <w:rPr>
          <w:rFonts w:ascii="微软雅黑" w:eastAsia="微软雅黑" w:hint="eastAsia"/>
          <w:sz w:val="54"/>
        </w:rPr>
        <w:t>h&lt;0.2,</w:t>
      </w:r>
      <w:r>
        <w:rPr>
          <w:rFonts w:ascii="微软雅黑" w:eastAsia="微软雅黑" w:hint="eastAsia"/>
          <w:spacing w:val="-5"/>
          <w:sz w:val="54"/>
        </w:rPr>
        <w:t>斜率偏差</w:t>
      </w:r>
    </w:p>
    <w:p>
      <w:pPr>
        <w:pStyle w:val="BodyText"/>
        <w:rPr>
          <w:rFonts w:ascii="微软雅黑"/>
          <w:sz w:val="24"/>
        </w:rPr>
      </w:pPr>
      <w:r>
        <w:br w:type="column"/>
      </w:r>
    </w:p>
    <w:p>
      <w:pPr>
        <w:pStyle w:val="BodyText"/>
        <w:spacing w:before="1"/>
        <w:rPr>
          <w:rFonts w:ascii="微软雅黑"/>
          <w:sz w:val="14"/>
        </w:rPr>
      </w:pPr>
    </w:p>
    <w:p>
      <w:pPr>
        <w:spacing w:before="0"/>
        <w:ind w:left="24" w:right="0" w:firstLine="0"/>
        <w:jc w:val="left"/>
        <w:rPr>
          <w:rFonts w:ascii="Arial" w:hAnsi="Arial"/>
          <w:sz w:val="20"/>
        </w:rPr>
      </w:pPr>
      <w:r>
        <w:rPr>
          <w:rFonts w:ascii="Symbol" w:hAnsi="Symbol"/>
          <w:spacing w:val="2"/>
          <w:w w:val="95"/>
          <w:sz w:val="20"/>
        </w:rPr>
        <w:sym w:font="Symbol" w:char="F02B"/>
      </w:r>
      <w:r>
        <w:rPr>
          <w:rFonts w:ascii="Arial" w:hAnsi="Arial"/>
          <w:spacing w:val="2"/>
          <w:w w:val="95"/>
          <w:sz w:val="20"/>
        </w:rPr>
        <w:t>80%</w:t>
      </w:r>
    </w:p>
    <w:p>
      <w:pPr>
        <w:spacing w:before="1" w:line="89" w:lineRule="exact"/>
        <w:ind w:left="19" w:right="0" w:firstLine="0"/>
        <w:jc w:val="left"/>
        <w:rPr>
          <w:rFonts w:ascii="Arial" w:hAnsi="Arial"/>
          <w:sz w:val="20"/>
        </w:rPr>
      </w:pPr>
      <w:r>
        <w:rPr>
          <w:rFonts w:ascii="Symbol" w:hAnsi="Symbol"/>
          <w:spacing w:val="4"/>
          <w:w w:val="95"/>
          <w:sz w:val="20"/>
        </w:rPr>
        <w:sym w:font="Symbol" w:char="F02D"/>
      </w:r>
      <w:r>
        <w:rPr>
          <w:rFonts w:ascii="Arial" w:hAnsi="Arial"/>
          <w:spacing w:val="4"/>
          <w:w w:val="95"/>
          <w:sz w:val="20"/>
        </w:rPr>
        <w:t>30%</w:t>
      </w:r>
    </w:p>
    <w:p>
      <w:pPr>
        <w:spacing w:before="0" w:line="954" w:lineRule="exact"/>
        <w:ind w:left="26" w:right="0" w:firstLine="0"/>
        <w:jc w:val="left"/>
        <w:rPr>
          <w:rFonts w:ascii="微软雅黑" w:eastAsia="微软雅黑" w:hint="eastAsia"/>
          <w:sz w:val="54"/>
        </w:rPr>
      </w:pPr>
      <w:r>
        <w:br w:type="column"/>
      </w:r>
      <w:r>
        <w:rPr>
          <w:rFonts w:ascii="微软雅黑" w:eastAsia="微软雅黑" w:hint="eastAsia"/>
          <w:spacing w:val="-20"/>
          <w:sz w:val="54"/>
        </w:rPr>
        <w:t>，h&gt;0.8</w:t>
      </w:r>
      <w:r>
        <w:rPr>
          <w:rFonts w:ascii="微软雅黑" w:eastAsia="微软雅黑" w:hint="eastAsia"/>
          <w:spacing w:val="-9"/>
          <w:sz w:val="54"/>
        </w:rPr>
        <w:t xml:space="preserve"> 斜率偏差</w:t>
      </w:r>
    </w:p>
    <w:p>
      <w:pPr>
        <w:pStyle w:val="BodyText"/>
        <w:rPr>
          <w:rFonts w:ascii="微软雅黑"/>
          <w:sz w:val="24"/>
        </w:rPr>
      </w:pPr>
      <w:r>
        <w:br w:type="column"/>
      </w:r>
    </w:p>
    <w:p>
      <w:pPr>
        <w:pStyle w:val="BodyText"/>
        <w:spacing w:before="1"/>
        <w:rPr>
          <w:rFonts w:ascii="微软雅黑"/>
          <w:sz w:val="14"/>
        </w:rPr>
      </w:pPr>
    </w:p>
    <w:p>
      <w:pPr>
        <w:spacing w:before="0"/>
        <w:ind w:left="24" w:right="0" w:firstLine="0"/>
        <w:jc w:val="left"/>
        <w:rPr>
          <w:rFonts w:ascii="Arial" w:hAnsi="Arial"/>
          <w:sz w:val="20"/>
        </w:rPr>
      </w:pPr>
      <w:r>
        <w:rPr>
          <w:rFonts w:ascii="Symbol" w:hAnsi="Symbol"/>
          <w:spacing w:val="2"/>
          <w:w w:val="95"/>
          <w:sz w:val="20"/>
        </w:rPr>
        <w:sym w:font="Symbol" w:char="F02B"/>
      </w:r>
      <w:r>
        <w:rPr>
          <w:rFonts w:ascii="Arial" w:hAnsi="Arial"/>
          <w:spacing w:val="2"/>
          <w:w w:val="95"/>
          <w:sz w:val="20"/>
        </w:rPr>
        <w:t>30%</w:t>
      </w:r>
    </w:p>
    <w:p>
      <w:pPr>
        <w:spacing w:before="1" w:line="89" w:lineRule="exact"/>
        <w:ind w:left="22" w:right="0" w:firstLine="0"/>
        <w:jc w:val="left"/>
        <w:rPr>
          <w:rFonts w:ascii="Arial" w:hAnsi="Arial"/>
          <w:sz w:val="20"/>
        </w:rPr>
      </w:pPr>
      <w:r>
        <w:rPr>
          <w:rFonts w:ascii="Symbol" w:hAnsi="Symbol"/>
          <w:spacing w:val="3"/>
          <w:w w:val="95"/>
          <w:sz w:val="20"/>
        </w:rPr>
        <w:sym w:font="Symbol" w:char="F02D"/>
      </w:r>
      <w:r>
        <w:rPr>
          <w:rFonts w:ascii="Arial" w:hAnsi="Arial"/>
          <w:spacing w:val="3"/>
          <w:w w:val="95"/>
          <w:sz w:val="20"/>
        </w:rPr>
        <w:t>80%</w:t>
      </w:r>
    </w:p>
    <w:p>
      <w:pPr>
        <w:spacing w:before="0" w:line="954" w:lineRule="exact"/>
        <w:ind w:left="29" w:right="0" w:firstLine="0"/>
        <w:jc w:val="left"/>
        <w:rPr>
          <w:rFonts w:ascii="微软雅黑" w:eastAsia="微软雅黑" w:hint="eastAsia"/>
          <w:sz w:val="54"/>
        </w:rPr>
      </w:pPr>
      <w:r>
        <w:br w:type="column"/>
      </w:r>
      <w:r>
        <w:rPr>
          <w:rFonts w:ascii="微软雅黑" w:eastAsia="微软雅黑" w:hint="eastAsia"/>
          <w:sz w:val="54"/>
        </w:rPr>
        <w:t>的要求，可使设</w:t>
      </w:r>
    </w:p>
    <w:p>
      <w:pPr>
        <w:spacing w:after="0" w:line="954" w:lineRule="exact"/>
        <w:jc w:val="left"/>
        <w:rPr>
          <w:rFonts w:ascii="微软雅黑" w:eastAsia="微软雅黑" w:hint="eastAsia"/>
          <w:sz w:val="54"/>
        </w:rPr>
        <w:sectPr>
          <w:type w:val="continuous"/>
          <w:pgSz w:w="17860" w:h="25260"/>
          <w:pgMar w:top="900" w:right="0" w:bottom="0" w:left="500" w:header="708" w:footer="708"/>
          <w:pgNumType w:start="24"/>
          <w:cols w:num="5" w:space="708" w:equalWidth="0">
            <w:col w:w="6089" w:space="40"/>
            <w:col w:w="525" w:space="39"/>
            <w:col w:w="4242" w:space="40"/>
            <w:col w:w="525" w:space="40"/>
            <w:col w:w="5820" w:space="0"/>
          </w:cols>
        </w:sectPr>
      </w:pPr>
    </w:p>
    <w:p>
      <w:pPr>
        <w:spacing w:before="0" w:line="824" w:lineRule="exact"/>
        <w:ind w:left="1628" w:right="0" w:firstLine="0"/>
        <w:jc w:val="left"/>
        <w:rPr>
          <w:rFonts w:ascii="微软雅黑" w:eastAsia="微软雅黑" w:hint="eastAsia"/>
          <w:sz w:val="54"/>
        </w:rPr>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11340845" cy="1584921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微软雅黑" w:eastAsia="微软雅黑" w:hint="eastAsia"/>
          <w:sz w:val="54"/>
        </w:rPr>
        <w:t>计和生产制造过程大大简化。</w:t>
      </w:r>
    </w:p>
    <w:p>
      <w:pPr>
        <w:spacing w:before="13" w:line="225" w:lineRule="auto"/>
        <w:ind w:left="1628" w:right="2073" w:firstLine="810"/>
        <w:jc w:val="both"/>
        <w:rPr>
          <w:rFonts w:ascii="微软雅黑" w:eastAsia="微软雅黑" w:hint="eastAsia"/>
          <w:sz w:val="54"/>
        </w:rPr>
      </w:pPr>
      <w:r>
        <w:rPr>
          <w:rFonts w:ascii="微软雅黑" w:eastAsia="微软雅黑" w:hint="eastAsia"/>
          <w:spacing w:val="-14"/>
          <w:sz w:val="54"/>
        </w:rPr>
        <w:t>目前，国内各大、中型项目的采购普遍采取招标的方式进行。在招投标过程中技术分又占有绝对比重，各控制阀生产厂经常遇到设计单位、使用单位与生产制造单位核对控制阀开度情况，核对过程都是按照标准理想流量特性核对的。由于各个控制阀生产制造企业所生产的控制阀的实际流量特性曲线非常不一致，与理想流量特性相差甚远。</w:t>
      </w:r>
      <w:r>
        <w:rPr>
          <w:rFonts w:ascii="微软雅黑" w:eastAsia="微软雅黑" w:hint="eastAsia"/>
          <w:spacing w:val="-18"/>
          <w:sz w:val="54"/>
        </w:rPr>
        <w:t xml:space="preserve">还以 </w:t>
      </w:r>
      <w:r>
        <w:rPr>
          <w:rFonts w:ascii="微软雅黑" w:eastAsia="微软雅黑" w:hint="eastAsia"/>
          <w:sz w:val="54"/>
        </w:rPr>
        <w:t>Fisher</w:t>
      </w:r>
      <w:r>
        <w:rPr>
          <w:rFonts w:ascii="微软雅黑" w:eastAsia="微软雅黑" w:hint="eastAsia"/>
          <w:spacing w:val="-9"/>
          <w:sz w:val="54"/>
        </w:rPr>
        <w:t xml:space="preserve"> 公司生产的 </w:t>
      </w:r>
      <w:r>
        <w:rPr>
          <w:rFonts w:ascii="微软雅黑" w:eastAsia="微软雅黑" w:hint="eastAsia"/>
          <w:sz w:val="54"/>
        </w:rPr>
        <w:t>DN100</w:t>
      </w:r>
      <w:r>
        <w:rPr>
          <w:rFonts w:ascii="微软雅黑" w:eastAsia="微软雅黑" w:hint="eastAsia"/>
          <w:spacing w:val="55"/>
          <w:sz w:val="54"/>
        </w:rPr>
        <w:t xml:space="preserve"> </w:t>
      </w:r>
      <w:r>
        <w:rPr>
          <w:rFonts w:ascii="微软雅黑" w:eastAsia="微软雅黑" w:hint="eastAsia"/>
          <w:sz w:val="54"/>
        </w:rPr>
        <w:t>ET</w:t>
      </w:r>
      <w:r>
        <w:rPr>
          <w:rFonts w:ascii="微软雅黑" w:eastAsia="微软雅黑" w:hint="eastAsia"/>
          <w:spacing w:val="-5"/>
          <w:sz w:val="54"/>
        </w:rPr>
        <w:t xml:space="preserve"> 型笼式阀为例，在相</w:t>
      </w:r>
      <w:r>
        <w:rPr>
          <w:rFonts w:ascii="微软雅黑" w:eastAsia="微软雅黑" w:hint="eastAsia"/>
          <w:spacing w:val="-10"/>
          <w:sz w:val="54"/>
        </w:rPr>
        <w:t xml:space="preserve">对流量为 </w:t>
      </w:r>
      <w:r>
        <w:rPr>
          <w:rFonts w:ascii="微软雅黑" w:eastAsia="微软雅黑" w:hint="eastAsia"/>
          <w:sz w:val="54"/>
        </w:rPr>
        <w:t>100、125、150</w:t>
      </w:r>
      <w:r>
        <w:rPr>
          <w:rFonts w:ascii="微软雅黑" w:eastAsia="微软雅黑" w:hint="eastAsia"/>
          <w:spacing w:val="-8"/>
          <w:sz w:val="54"/>
        </w:rPr>
        <w:t xml:space="preserve"> 时，相对行程都有 </w:t>
      </w:r>
      <w:r>
        <w:rPr>
          <w:rFonts w:ascii="微软雅黑" w:eastAsia="微软雅黑" w:hint="eastAsia"/>
          <w:sz w:val="54"/>
        </w:rPr>
        <w:t>15%左右的</w:t>
      </w:r>
      <w:r>
        <w:rPr>
          <w:rFonts w:ascii="微软雅黑" w:eastAsia="微软雅黑" w:hint="eastAsia"/>
          <w:spacing w:val="-42"/>
          <w:sz w:val="54"/>
        </w:rPr>
        <w:t>误差</w:t>
      </w:r>
      <w:r>
        <w:rPr>
          <w:rFonts w:ascii="微软雅黑" w:eastAsia="微软雅黑" w:hint="eastAsia"/>
          <w:sz w:val="54"/>
        </w:rPr>
        <w:t>（见图一</w:t>
      </w:r>
      <w:r>
        <w:rPr>
          <w:rFonts w:ascii="微软雅黑" w:eastAsia="微软雅黑" w:hint="eastAsia"/>
          <w:spacing w:val="-271"/>
          <w:sz w:val="54"/>
        </w:rPr>
        <w:t>）</w:t>
      </w:r>
      <w:r>
        <w:rPr>
          <w:rFonts w:ascii="微软雅黑" w:eastAsia="微软雅黑" w:hint="eastAsia"/>
          <w:spacing w:val="-10"/>
          <w:sz w:val="54"/>
        </w:rPr>
        <w:t>。因此核对控制阀开度即不科学又无任何实质意义。设计、使用单位要想得到实际控制阀开度，就要根据控制阀生产企业实际流量特性曲线进行核对。</w:t>
      </w:r>
    </w:p>
    <w:p>
      <w:pPr>
        <w:spacing w:before="5" w:line="225" w:lineRule="auto"/>
        <w:ind w:left="1628" w:right="2229" w:firstLine="540"/>
        <w:jc w:val="both"/>
        <w:rPr>
          <w:rFonts w:ascii="微软雅黑" w:eastAsia="微软雅黑" w:hint="eastAsia"/>
          <w:sz w:val="54"/>
        </w:rPr>
      </w:pPr>
      <w:r>
        <w:rPr>
          <w:rFonts w:ascii="微软雅黑" w:eastAsia="微软雅黑" w:hint="eastAsia"/>
          <w:sz w:val="54"/>
        </w:rPr>
        <w:t>控制阀的合理选用是一门综合性科学；需要控制阀设计单位、使用单位和生产企业边学习、边实践以达到满意的使用效果。</w:t>
      </w:r>
    </w:p>
    <w:p>
      <w:pPr>
        <w:spacing w:after="0" w:line="225" w:lineRule="auto"/>
        <w:jc w:val="both"/>
        <w:rPr>
          <w:rFonts w:ascii="微软雅黑" w:eastAsia="微软雅黑" w:hint="eastAsia"/>
          <w:sz w:val="54"/>
        </w:rPr>
      </w:pPr>
      <w:r>
        <w:rPr>
          <w:rFonts w:ascii="微软雅黑" w:eastAsia="微软雅黑" w:hint="eastAsia"/>
          <w:sz w:val="54"/>
        </w:rPr>
        <w:br/>
      </w:r>
      <w:r>
        <w:rPr>
          <w:rFonts w:ascii="微软雅黑" w:eastAsia="微软雅黑" w:hint="eastAsia"/>
          <w:sz w:val="5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https://d.book118.com/528002140014006031</w:t>
        </w:r>
      </w:hyperlink>
    </w:p>
    <w:p>
      <w:pPr>
        <w:spacing w:after="0" w:line="225" w:lineRule="auto"/>
        <w:jc w:val="both"/>
        <w:rPr>
          <w:rFonts w:ascii="微软雅黑" w:eastAsia="微软雅黑" w:hint="eastAsia"/>
          <w:sz w:val="54"/>
        </w:rPr>
      </w:pPr>
    </w:p>
    <w:sectPr>
      <w:type w:val="continuous"/>
      <w:pgSz w:w="17860" w:h="25260"/>
      <w:pgMar w:top="900" w:right="0" w:bottom="0" w:left="500" w:header="708" w:footer="708"/>
      <w:pgNumType w:start="2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AAEF"/>
    <w:multiLevelType w:val="hybridMultilevel"/>
    <w:tmpl w:val="00000000"/>
    <w:lvl w:ilvl="0">
      <w:start w:val="0"/>
      <w:numFmt w:val="bullet"/>
      <w:lvlText w:val="—"/>
      <w:lvlJc w:val="left"/>
      <w:pPr>
        <w:ind w:left="4126" w:hanging="540"/>
      </w:pPr>
      <w:rPr>
        <w:rFonts w:ascii="宋体" w:eastAsia="宋体" w:hAnsi="宋体" w:cs="宋体" w:hint="default"/>
        <w:w w:val="100"/>
        <w:sz w:val="36"/>
        <w:szCs w:val="36"/>
      </w:rPr>
    </w:lvl>
    <w:lvl w:ilvl="1">
      <w:start w:val="0"/>
      <w:numFmt w:val="bullet"/>
      <w:lvlText w:val="•"/>
      <w:lvlJc w:val="left"/>
      <w:pPr>
        <w:ind w:left="5443" w:hanging="540"/>
      </w:pPr>
      <w:rPr>
        <w:rFonts w:hint="default"/>
      </w:rPr>
    </w:lvl>
    <w:lvl w:ilvl="2">
      <w:start w:val="0"/>
      <w:numFmt w:val="bullet"/>
      <w:lvlText w:val="•"/>
      <w:lvlJc w:val="left"/>
      <w:pPr>
        <w:ind w:left="6767" w:hanging="540"/>
      </w:pPr>
      <w:rPr>
        <w:rFonts w:hint="default"/>
      </w:rPr>
    </w:lvl>
    <w:lvl w:ilvl="3">
      <w:start w:val="0"/>
      <w:numFmt w:val="bullet"/>
      <w:lvlText w:val="•"/>
      <w:lvlJc w:val="left"/>
      <w:pPr>
        <w:ind w:left="8091" w:hanging="540"/>
      </w:pPr>
      <w:rPr>
        <w:rFonts w:hint="default"/>
      </w:rPr>
    </w:lvl>
    <w:lvl w:ilvl="4">
      <w:start w:val="0"/>
      <w:numFmt w:val="bullet"/>
      <w:lvlText w:val="•"/>
      <w:lvlJc w:val="left"/>
      <w:pPr>
        <w:ind w:left="9415" w:hanging="540"/>
      </w:pPr>
      <w:rPr>
        <w:rFonts w:hint="default"/>
      </w:rPr>
    </w:lvl>
    <w:lvl w:ilvl="5">
      <w:start w:val="0"/>
      <w:numFmt w:val="bullet"/>
      <w:lvlText w:val="•"/>
      <w:lvlJc w:val="left"/>
      <w:pPr>
        <w:ind w:left="10739" w:hanging="540"/>
      </w:pPr>
      <w:rPr>
        <w:rFonts w:hint="default"/>
      </w:rPr>
    </w:lvl>
    <w:lvl w:ilvl="6">
      <w:start w:val="0"/>
      <w:numFmt w:val="bullet"/>
      <w:lvlText w:val="•"/>
      <w:lvlJc w:val="left"/>
      <w:pPr>
        <w:ind w:left="12063" w:hanging="540"/>
      </w:pPr>
      <w:rPr>
        <w:rFonts w:hint="default"/>
      </w:rPr>
    </w:lvl>
    <w:lvl w:ilvl="7">
      <w:start w:val="0"/>
      <w:numFmt w:val="bullet"/>
      <w:lvlText w:val="•"/>
      <w:lvlJc w:val="left"/>
      <w:pPr>
        <w:ind w:left="13387" w:hanging="540"/>
      </w:pPr>
      <w:rPr>
        <w:rFonts w:hint="default"/>
      </w:rPr>
    </w:lvl>
    <w:lvl w:ilvl="8">
      <w:start w:val="0"/>
      <w:numFmt w:val="bullet"/>
      <w:lvlText w:val="•"/>
      <w:lvlJc w:val="left"/>
      <w:pPr>
        <w:ind w:left="14711" w:hanging="540"/>
      </w:pPr>
      <w:rPr>
        <w:rFonts w:hint="default"/>
      </w:rPr>
    </w:lvl>
  </w:abstractNum>
  <w:abstractNum w:abstractNumId="1">
    <w:nsid w:val="04896469"/>
    <w:multiLevelType w:val="hybridMultilevel"/>
    <w:tmpl w:val="00000000"/>
    <w:lvl w:ilvl="0">
      <w:start w:val="2"/>
      <w:numFmt w:val="decimal"/>
      <w:lvlText w:val="(%1)"/>
      <w:lvlJc w:val="left"/>
      <w:pPr>
        <w:ind w:left="2169" w:hanging="541"/>
        <w:jc w:val="left"/>
      </w:pPr>
      <w:rPr>
        <w:rFonts w:ascii="宋体" w:eastAsia="宋体" w:hAnsi="宋体" w:cs="宋体" w:hint="default"/>
        <w:w w:val="100"/>
        <w:sz w:val="34"/>
        <w:szCs w:val="34"/>
      </w:rPr>
    </w:lvl>
    <w:lvl w:ilvl="1">
      <w:start w:val="0"/>
      <w:numFmt w:val="bullet"/>
      <w:lvlText w:val="•"/>
      <w:lvlJc w:val="left"/>
      <w:pPr>
        <w:ind w:left="3679" w:hanging="541"/>
      </w:pPr>
      <w:rPr>
        <w:rFonts w:hint="default"/>
      </w:rPr>
    </w:lvl>
    <w:lvl w:ilvl="2">
      <w:start w:val="0"/>
      <w:numFmt w:val="bullet"/>
      <w:lvlText w:val="•"/>
      <w:lvlJc w:val="left"/>
      <w:pPr>
        <w:ind w:left="5199" w:hanging="541"/>
      </w:pPr>
      <w:rPr>
        <w:rFonts w:hint="default"/>
      </w:rPr>
    </w:lvl>
    <w:lvl w:ilvl="3">
      <w:start w:val="0"/>
      <w:numFmt w:val="bullet"/>
      <w:lvlText w:val="•"/>
      <w:lvlJc w:val="left"/>
      <w:pPr>
        <w:ind w:left="6719" w:hanging="541"/>
      </w:pPr>
      <w:rPr>
        <w:rFonts w:hint="default"/>
      </w:rPr>
    </w:lvl>
    <w:lvl w:ilvl="4">
      <w:start w:val="0"/>
      <w:numFmt w:val="bullet"/>
      <w:lvlText w:val="•"/>
      <w:lvlJc w:val="left"/>
      <w:pPr>
        <w:ind w:left="8239" w:hanging="541"/>
      </w:pPr>
      <w:rPr>
        <w:rFonts w:hint="default"/>
      </w:rPr>
    </w:lvl>
    <w:lvl w:ilvl="5">
      <w:start w:val="0"/>
      <w:numFmt w:val="bullet"/>
      <w:lvlText w:val="•"/>
      <w:lvlJc w:val="left"/>
      <w:pPr>
        <w:ind w:left="9759" w:hanging="541"/>
      </w:pPr>
      <w:rPr>
        <w:rFonts w:hint="default"/>
      </w:rPr>
    </w:lvl>
    <w:lvl w:ilvl="6">
      <w:start w:val="0"/>
      <w:numFmt w:val="bullet"/>
      <w:lvlText w:val="•"/>
      <w:lvlJc w:val="left"/>
      <w:pPr>
        <w:ind w:left="11279" w:hanging="541"/>
      </w:pPr>
      <w:rPr>
        <w:rFonts w:hint="default"/>
      </w:rPr>
    </w:lvl>
    <w:lvl w:ilvl="7">
      <w:start w:val="0"/>
      <w:numFmt w:val="bullet"/>
      <w:lvlText w:val="•"/>
      <w:lvlJc w:val="left"/>
      <w:pPr>
        <w:ind w:left="12799" w:hanging="541"/>
      </w:pPr>
      <w:rPr>
        <w:rFonts w:hint="default"/>
      </w:rPr>
    </w:lvl>
    <w:lvl w:ilvl="8">
      <w:start w:val="0"/>
      <w:numFmt w:val="bullet"/>
      <w:lvlText w:val="•"/>
      <w:lvlJc w:val="left"/>
      <w:pPr>
        <w:ind w:left="14319" w:hanging="541"/>
      </w:pPr>
      <w:rPr>
        <w:rFonts w:hint="default"/>
      </w:rPr>
    </w:lvl>
  </w:abstractNum>
  <w:abstractNum w:abstractNumId="2">
    <w:nsid w:val="53628A29"/>
    <w:multiLevelType w:val="hybridMultilevel"/>
    <w:tmpl w:val="00000000"/>
    <w:lvl w:ilvl="0">
      <w:start w:val="1"/>
      <w:numFmt w:val="decimal"/>
      <w:lvlText w:val="（%1）"/>
      <w:lvlJc w:val="left"/>
      <w:pPr>
        <w:ind w:left="1628" w:hanging="901"/>
        <w:jc w:val="left"/>
      </w:pPr>
      <w:rPr>
        <w:rFonts w:ascii="宋体" w:eastAsia="宋体" w:hAnsi="宋体" w:cs="宋体" w:hint="default"/>
        <w:w w:val="100"/>
        <w:sz w:val="34"/>
        <w:szCs w:val="34"/>
      </w:rPr>
    </w:lvl>
    <w:lvl w:ilvl="1">
      <w:start w:val="0"/>
      <w:numFmt w:val="bullet"/>
      <w:lvlText w:val="•"/>
      <w:lvlJc w:val="left"/>
      <w:pPr>
        <w:ind w:left="9120" w:hanging="901"/>
      </w:pPr>
      <w:rPr>
        <w:rFonts w:hint="default"/>
      </w:rPr>
    </w:lvl>
    <w:lvl w:ilvl="2">
      <w:start w:val="0"/>
      <w:numFmt w:val="bullet"/>
      <w:lvlText w:val="•"/>
      <w:lvlJc w:val="left"/>
      <w:pPr>
        <w:ind w:left="10035" w:hanging="901"/>
      </w:pPr>
      <w:rPr>
        <w:rFonts w:hint="default"/>
      </w:rPr>
    </w:lvl>
    <w:lvl w:ilvl="3">
      <w:start w:val="0"/>
      <w:numFmt w:val="bullet"/>
      <w:lvlText w:val="•"/>
      <w:lvlJc w:val="left"/>
      <w:pPr>
        <w:ind w:left="10951" w:hanging="901"/>
      </w:pPr>
      <w:rPr>
        <w:rFonts w:hint="default"/>
      </w:rPr>
    </w:lvl>
    <w:lvl w:ilvl="4">
      <w:start w:val="0"/>
      <w:numFmt w:val="bullet"/>
      <w:lvlText w:val="•"/>
      <w:lvlJc w:val="left"/>
      <w:pPr>
        <w:ind w:left="11866" w:hanging="901"/>
      </w:pPr>
      <w:rPr>
        <w:rFonts w:hint="default"/>
      </w:rPr>
    </w:lvl>
    <w:lvl w:ilvl="5">
      <w:start w:val="0"/>
      <w:numFmt w:val="bullet"/>
      <w:lvlText w:val="•"/>
      <w:lvlJc w:val="left"/>
      <w:pPr>
        <w:ind w:left="12782" w:hanging="901"/>
      </w:pPr>
      <w:rPr>
        <w:rFonts w:hint="default"/>
      </w:rPr>
    </w:lvl>
    <w:lvl w:ilvl="6">
      <w:start w:val="0"/>
      <w:numFmt w:val="bullet"/>
      <w:lvlText w:val="•"/>
      <w:lvlJc w:val="left"/>
      <w:pPr>
        <w:ind w:left="13697" w:hanging="901"/>
      </w:pPr>
      <w:rPr>
        <w:rFonts w:hint="default"/>
      </w:rPr>
    </w:lvl>
    <w:lvl w:ilvl="7">
      <w:start w:val="0"/>
      <w:numFmt w:val="bullet"/>
      <w:lvlText w:val="•"/>
      <w:lvlJc w:val="left"/>
      <w:pPr>
        <w:ind w:left="14613" w:hanging="901"/>
      </w:pPr>
      <w:rPr>
        <w:rFonts w:hint="default"/>
      </w:rPr>
    </w:lvl>
    <w:lvl w:ilvl="8">
      <w:start w:val="0"/>
      <w:numFmt w:val="bullet"/>
      <w:lvlText w:val="•"/>
      <w:lvlJc w:val="left"/>
      <w:pPr>
        <w:ind w:left="15528" w:hanging="901"/>
      </w:pPr>
      <w:rPr>
        <w:rFonts w:hint="default"/>
      </w:rPr>
    </w:lvl>
  </w:abstractNum>
  <w:abstractNum w:abstractNumId="3">
    <w:nsid w:val="610A5C2C"/>
    <w:multiLevelType w:val="hybridMultilevel"/>
    <w:tmpl w:val="00000000"/>
    <w:lvl w:ilvl="0">
      <w:start w:val="12"/>
      <w:numFmt w:val="lowerLetter"/>
      <w:lvlText w:val="%1."/>
      <w:lvlJc w:val="left"/>
      <w:pPr>
        <w:ind w:left="409" w:hanging="329"/>
        <w:jc w:val="left"/>
      </w:pPr>
      <w:rPr>
        <w:rFonts w:ascii="Arial" w:eastAsia="Arial" w:hAnsi="Arial" w:cs="Arial" w:hint="default"/>
        <w:color w:val="ACACAC"/>
        <w:w w:val="69"/>
        <w:sz w:val="8"/>
        <w:szCs w:val="8"/>
      </w:rPr>
    </w:lvl>
    <w:lvl w:ilvl="1">
      <w:start w:val="1"/>
      <w:numFmt w:val="decimal"/>
      <w:lvlText w:val="(%2)"/>
      <w:lvlJc w:val="left"/>
      <w:pPr>
        <w:ind w:left="2169" w:hanging="541"/>
        <w:jc w:val="left"/>
      </w:pPr>
      <w:rPr>
        <w:rFonts w:ascii="宋体" w:eastAsia="宋体" w:hAnsi="宋体" w:cs="宋体" w:hint="default"/>
        <w:w w:val="100"/>
        <w:sz w:val="34"/>
        <w:szCs w:val="34"/>
      </w:rPr>
    </w:lvl>
    <w:lvl w:ilvl="2">
      <w:start w:val="0"/>
      <w:numFmt w:val="bullet"/>
      <w:lvlText w:val="•"/>
      <w:lvlJc w:val="left"/>
      <w:pPr>
        <w:ind w:left="1464" w:hanging="541"/>
      </w:pPr>
      <w:rPr>
        <w:rFonts w:hint="default"/>
      </w:rPr>
    </w:lvl>
    <w:lvl w:ilvl="3">
      <w:start w:val="0"/>
      <w:numFmt w:val="bullet"/>
      <w:lvlText w:val="•"/>
      <w:lvlJc w:val="left"/>
      <w:pPr>
        <w:ind w:left="768" w:hanging="541"/>
      </w:pPr>
      <w:rPr>
        <w:rFonts w:hint="default"/>
      </w:rPr>
    </w:lvl>
    <w:lvl w:ilvl="4">
      <w:start w:val="0"/>
      <w:numFmt w:val="bullet"/>
      <w:lvlText w:val="•"/>
      <w:lvlJc w:val="left"/>
      <w:pPr>
        <w:ind w:left="72" w:hanging="541"/>
      </w:pPr>
      <w:rPr>
        <w:rFonts w:hint="default"/>
      </w:rPr>
    </w:lvl>
    <w:lvl w:ilvl="5">
      <w:start w:val="0"/>
      <w:numFmt w:val="bullet"/>
      <w:lvlText w:val="•"/>
      <w:lvlJc w:val="left"/>
      <w:pPr>
        <w:ind w:left="-624" w:hanging="541"/>
      </w:pPr>
      <w:rPr>
        <w:rFonts w:hint="default"/>
      </w:rPr>
    </w:lvl>
    <w:lvl w:ilvl="6">
      <w:start w:val="0"/>
      <w:numFmt w:val="bullet"/>
      <w:lvlText w:val="•"/>
      <w:lvlJc w:val="left"/>
      <w:pPr>
        <w:ind w:left="-1320" w:hanging="541"/>
      </w:pPr>
      <w:rPr>
        <w:rFonts w:hint="default"/>
      </w:rPr>
    </w:lvl>
    <w:lvl w:ilvl="7">
      <w:start w:val="0"/>
      <w:numFmt w:val="bullet"/>
      <w:lvlText w:val="•"/>
      <w:lvlJc w:val="left"/>
      <w:pPr>
        <w:ind w:left="-2016" w:hanging="541"/>
      </w:pPr>
      <w:rPr>
        <w:rFonts w:hint="default"/>
      </w:rPr>
    </w:lvl>
    <w:lvl w:ilvl="8">
      <w:start w:val="0"/>
      <w:numFmt w:val="bullet"/>
      <w:lvlText w:val="•"/>
      <w:lvlJc w:val="left"/>
      <w:pPr>
        <w:ind w:left="-2712" w:hanging="541"/>
      </w:pPr>
      <w:rPr>
        <w:rFonts w:hint="default"/>
      </w:rPr>
    </w:lvl>
  </w:abstractNum>
  <w:abstractNum w:abstractNumId="4">
    <w:nsid w:val="6C1971DC"/>
    <w:multiLevelType w:val="hybridMultilevel"/>
    <w:tmpl w:val="00000000"/>
    <w:lvl w:ilvl="0">
      <w:start w:val="1"/>
      <w:numFmt w:val="decimal"/>
      <w:lvlText w:val="（%1）"/>
      <w:lvlJc w:val="left"/>
      <w:pPr>
        <w:ind w:left="3518" w:hanging="1051"/>
        <w:jc w:val="left"/>
      </w:pPr>
      <w:rPr>
        <w:rFonts w:ascii="宋体" w:eastAsia="宋体" w:hAnsi="宋体" w:cs="宋体" w:hint="default"/>
        <w:spacing w:val="-1"/>
        <w:w w:val="100"/>
        <w:sz w:val="36"/>
        <w:szCs w:val="36"/>
      </w:rPr>
    </w:lvl>
    <w:lvl w:ilvl="1">
      <w:start w:val="0"/>
      <w:numFmt w:val="bullet"/>
      <w:lvlText w:val="—"/>
      <w:lvlJc w:val="left"/>
      <w:pPr>
        <w:ind w:left="4573" w:hanging="540"/>
      </w:pPr>
      <w:rPr>
        <w:rFonts w:ascii="宋体" w:eastAsia="宋体" w:hAnsi="宋体" w:cs="宋体" w:hint="default"/>
        <w:w w:val="100"/>
        <w:sz w:val="36"/>
        <w:szCs w:val="36"/>
      </w:rPr>
    </w:lvl>
    <w:lvl w:ilvl="2">
      <w:start w:val="0"/>
      <w:numFmt w:val="bullet"/>
      <w:lvlText w:val="—"/>
      <w:lvlJc w:val="left"/>
      <w:pPr>
        <w:ind w:left="5149" w:hanging="540"/>
      </w:pPr>
      <w:rPr>
        <w:rFonts w:ascii="宋体" w:eastAsia="宋体" w:hAnsi="宋体" w:cs="宋体" w:hint="default"/>
        <w:w w:val="100"/>
        <w:sz w:val="36"/>
        <w:szCs w:val="36"/>
      </w:rPr>
    </w:lvl>
    <w:lvl w:ilvl="3">
      <w:start w:val="0"/>
      <w:numFmt w:val="bullet"/>
      <w:lvlText w:val="•"/>
      <w:lvlJc w:val="left"/>
      <w:pPr>
        <w:ind w:left="7600" w:hanging="540"/>
      </w:pPr>
      <w:rPr>
        <w:rFonts w:hint="default"/>
      </w:rPr>
    </w:lvl>
    <w:lvl w:ilvl="4">
      <w:start w:val="0"/>
      <w:numFmt w:val="bullet"/>
      <w:lvlText w:val="•"/>
      <w:lvlJc w:val="left"/>
      <w:pPr>
        <w:ind w:left="8994" w:hanging="540"/>
      </w:pPr>
      <w:rPr>
        <w:rFonts w:hint="default"/>
      </w:rPr>
    </w:lvl>
    <w:lvl w:ilvl="5">
      <w:start w:val="0"/>
      <w:numFmt w:val="bullet"/>
      <w:lvlText w:val="•"/>
      <w:lvlJc w:val="left"/>
      <w:pPr>
        <w:ind w:left="10388" w:hanging="540"/>
      </w:pPr>
      <w:rPr>
        <w:rFonts w:hint="default"/>
      </w:rPr>
    </w:lvl>
    <w:lvl w:ilvl="6">
      <w:start w:val="0"/>
      <w:numFmt w:val="bullet"/>
      <w:lvlText w:val="•"/>
      <w:lvlJc w:val="left"/>
      <w:pPr>
        <w:ind w:left="11782" w:hanging="540"/>
      </w:pPr>
      <w:rPr>
        <w:rFonts w:hint="default"/>
      </w:rPr>
    </w:lvl>
    <w:lvl w:ilvl="7">
      <w:start w:val="0"/>
      <w:numFmt w:val="bullet"/>
      <w:lvlText w:val="•"/>
      <w:lvlJc w:val="left"/>
      <w:pPr>
        <w:ind w:left="13176" w:hanging="540"/>
      </w:pPr>
      <w:rPr>
        <w:rFonts w:hint="default"/>
      </w:rPr>
    </w:lvl>
    <w:lvl w:ilvl="8">
      <w:start w:val="0"/>
      <w:numFmt w:val="bullet"/>
      <w:lvlText w:val="•"/>
      <w:lvlJc w:val="left"/>
      <w:pPr>
        <w:ind w:left="14571" w:hanging="540"/>
      </w:pPr>
      <w:rPr>
        <w:rFonts w:hint="default"/>
      </w:rPr>
    </w:lvl>
  </w:abstractNum>
  <w:abstractNum w:abstractNumId="5">
    <w:nsid w:val="741D10BF"/>
    <w:multiLevelType w:val="hybridMultilevel"/>
    <w:tmpl w:val="00000000"/>
    <w:lvl w:ilvl="0">
      <w:start w:val="1"/>
      <w:numFmt w:val="decimal"/>
      <w:lvlText w:val="（%1）"/>
      <w:lvlJc w:val="left"/>
      <w:pPr>
        <w:ind w:left="1628" w:hanging="901"/>
        <w:jc w:val="left"/>
      </w:pPr>
      <w:rPr>
        <w:rFonts w:ascii="宋体" w:eastAsia="宋体" w:hAnsi="宋体" w:cs="宋体" w:hint="default"/>
        <w:w w:val="100"/>
        <w:sz w:val="34"/>
        <w:szCs w:val="34"/>
      </w:rPr>
    </w:lvl>
    <w:lvl w:ilvl="1">
      <w:start w:val="0"/>
      <w:numFmt w:val="bullet"/>
      <w:lvlText w:val="•"/>
      <w:lvlJc w:val="left"/>
      <w:pPr>
        <w:ind w:left="3193" w:hanging="901"/>
      </w:pPr>
      <w:rPr>
        <w:rFonts w:hint="default"/>
      </w:rPr>
    </w:lvl>
    <w:lvl w:ilvl="2">
      <w:start w:val="0"/>
      <w:numFmt w:val="bullet"/>
      <w:lvlText w:val="•"/>
      <w:lvlJc w:val="left"/>
      <w:pPr>
        <w:ind w:left="4767" w:hanging="901"/>
      </w:pPr>
      <w:rPr>
        <w:rFonts w:hint="default"/>
      </w:rPr>
    </w:lvl>
    <w:lvl w:ilvl="3">
      <w:start w:val="0"/>
      <w:numFmt w:val="bullet"/>
      <w:lvlText w:val="•"/>
      <w:lvlJc w:val="left"/>
      <w:pPr>
        <w:ind w:left="6341" w:hanging="901"/>
      </w:pPr>
      <w:rPr>
        <w:rFonts w:hint="default"/>
      </w:rPr>
    </w:lvl>
    <w:lvl w:ilvl="4">
      <w:start w:val="0"/>
      <w:numFmt w:val="bullet"/>
      <w:lvlText w:val="•"/>
      <w:lvlJc w:val="left"/>
      <w:pPr>
        <w:ind w:left="7915" w:hanging="901"/>
      </w:pPr>
      <w:rPr>
        <w:rFonts w:hint="default"/>
      </w:rPr>
    </w:lvl>
    <w:lvl w:ilvl="5">
      <w:start w:val="0"/>
      <w:numFmt w:val="bullet"/>
      <w:lvlText w:val="•"/>
      <w:lvlJc w:val="left"/>
      <w:pPr>
        <w:ind w:left="9489" w:hanging="901"/>
      </w:pPr>
      <w:rPr>
        <w:rFonts w:hint="default"/>
      </w:rPr>
    </w:lvl>
    <w:lvl w:ilvl="6">
      <w:start w:val="0"/>
      <w:numFmt w:val="bullet"/>
      <w:lvlText w:val="•"/>
      <w:lvlJc w:val="left"/>
      <w:pPr>
        <w:ind w:left="11063" w:hanging="901"/>
      </w:pPr>
      <w:rPr>
        <w:rFonts w:hint="default"/>
      </w:rPr>
    </w:lvl>
    <w:lvl w:ilvl="7">
      <w:start w:val="0"/>
      <w:numFmt w:val="bullet"/>
      <w:lvlText w:val="•"/>
      <w:lvlJc w:val="left"/>
      <w:pPr>
        <w:ind w:left="12637" w:hanging="901"/>
      </w:pPr>
      <w:rPr>
        <w:rFonts w:hint="default"/>
      </w:rPr>
    </w:lvl>
    <w:lvl w:ilvl="8">
      <w:start w:val="0"/>
      <w:numFmt w:val="bullet"/>
      <w:lvlText w:val="•"/>
      <w:lvlJc w:val="left"/>
      <w:pPr>
        <w:ind w:left="14211" w:hanging="901"/>
      </w:pPr>
      <w:rPr>
        <w:rFonts w:hint="default"/>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1116" w:lineRule="exact"/>
      <w:ind w:left="365" w:right="874"/>
      <w:jc w:val="center"/>
      <w:outlineLvl w:val="0"/>
    </w:pPr>
    <w:rPr>
      <w:rFonts w:ascii="微软雅黑" w:eastAsia="微软雅黑" w:hAnsi="微软雅黑" w:cs="微软雅黑"/>
      <w:b/>
      <w:bCs/>
      <w:sz w:val="66"/>
      <w:szCs w:val="66"/>
    </w:rPr>
  </w:style>
  <w:style w:type="paragraph" w:styleId="Heading2">
    <w:name w:val="heading 2"/>
    <w:basedOn w:val="Normal"/>
    <w:uiPriority w:val="1"/>
    <w:qFormat/>
    <w:pPr>
      <w:spacing w:line="462" w:lineRule="exact"/>
      <w:ind w:left="767"/>
      <w:outlineLvl w:val="1"/>
    </w:pPr>
    <w:rPr>
      <w:rFonts w:ascii="Times New Roman" w:eastAsia="Times New Roman" w:hAnsi="Times New Roman" w:cs="Times New Roman"/>
      <w:sz w:val="53"/>
      <w:szCs w:val="53"/>
    </w:rPr>
  </w:style>
  <w:style w:type="paragraph" w:styleId="Heading3">
    <w:name w:val="heading 3"/>
    <w:basedOn w:val="Normal"/>
    <w:uiPriority w:val="1"/>
    <w:qFormat/>
    <w:pPr>
      <w:spacing w:line="495" w:lineRule="exact"/>
      <w:ind w:left="1240"/>
      <w:outlineLvl w:val="2"/>
    </w:pPr>
    <w:rPr>
      <w:rFonts w:ascii="Times New Roman" w:eastAsia="Times New Roman" w:hAnsi="Times New Roman" w:cs="Times New Roman"/>
      <w:sz w:val="52"/>
      <w:szCs w:val="52"/>
    </w:rPr>
  </w:style>
  <w:style w:type="paragraph" w:styleId="Heading4">
    <w:name w:val="heading 4"/>
    <w:basedOn w:val="Normal"/>
    <w:uiPriority w:val="1"/>
    <w:qFormat/>
    <w:pPr>
      <w:ind w:left="389"/>
      <w:outlineLvl w:val="3"/>
    </w:pPr>
    <w:rPr>
      <w:rFonts w:ascii="微软雅黑" w:eastAsia="微软雅黑" w:hAnsi="微软雅黑" w:cs="微软雅黑"/>
      <w:b/>
      <w:bCs/>
      <w:sz w:val="42"/>
      <w:szCs w:val="42"/>
    </w:rPr>
  </w:style>
  <w:style w:type="paragraph" w:styleId="Heading5">
    <w:name w:val="heading 5"/>
    <w:basedOn w:val="Normal"/>
    <w:uiPriority w:val="1"/>
    <w:qFormat/>
    <w:pPr>
      <w:ind w:left="365"/>
      <w:outlineLvl w:val="4"/>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2169" w:hanging="542"/>
    </w:pPr>
    <w:rPr>
      <w:rFonts w:ascii="宋体" w:eastAsia="宋体" w:hAnsi="宋体" w:cs="宋体"/>
    </w:rPr>
  </w:style>
  <w:style w:type="paragraph" w:customStyle="1" w:styleId="TableParagraph">
    <w:name w:val="Table Paragraph"/>
    <w:basedOn w:val="Normal"/>
    <w:uiPriority w:val="1"/>
    <w:qFormat/>
    <w:rPr>
      <w:rFonts w:ascii="微软雅黑" w:eastAsia="微软雅黑" w:hAnsi="微软雅黑" w:cs="微软雅黑"/>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hyperlink" Target="https://d.book118.com/528002140014006031"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2024-01-10T14:14:25Z</dcterms:created>
  <dcterms:modified xsi:type="dcterms:W3CDTF">2024-01-10T14:14:25Z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2022-10-30T00:00:00Z</vt:filetime>
  </property>
  <property fmtid="{D5CDD505-2E9C-101B-9397-08002B2CF9AE}" pid="3" name="LastSaved">
    <vt:filetime>2024-01-10T00:00:00Z</vt:filetime>
  </property>
</Properties>
</file>