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农业机械行业相关公司设立可行性研究报告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eastAsia="zh-CN"/>
          </w:rPr>
          <w:t>(七)、农业机械项目建设必要性分析</w:t>
        </w:r>
        <w:r>
          <w:tab/>
        </w:r>
        <w:r>
          <w:fldChar w:fldCharType="begin"/>
        </w:r>
        <w:r>
          <w:instrText xml:space="preserve"> PAGEREF _Toc3202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_Toc14245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_Toc4685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(一)、农业机械项目选址原则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(五)、农业机械项目选址综合评价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五、农业机械项目概况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_Toc23447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(二)、农业机械项目提出的理由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eastAsia="zh-CN"/>
          </w:rPr>
          <w:t>(三)、农业机械项目选址</w:t>
        </w:r>
        <w:r>
          <w:tab/>
        </w:r>
        <w:r>
          <w:fldChar w:fldCharType="begin"/>
        </w:r>
        <w:r>
          <w:instrText xml:space="preserve"> PAGEREF _Toc11484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5" w:history="1">
        <w:r>
          <w:rPr>
            <w:rFonts w:ascii="仿宋" w:eastAsia="仿宋" w:hAnsi="仿宋" w:cs="仿宋" w:hint="eastAsia"/>
            <w:lang w:eastAsia="zh-CN"/>
          </w:rPr>
          <w:t>(六)、农业机械项目投资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(七)、农业机械项目进度规划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(九)、农业机械项目综合评价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_Toc25264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(五)、农业机械项目总投资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_Toc5733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(一)、农业机械项目进度安排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(二)、农业机械项目实施保障措施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7" w:history="1">
        <w:r>
          <w:rPr>
            <w:rFonts w:ascii="仿宋" w:eastAsia="仿宋" w:hAnsi="仿宋" w:cs="仿宋" w:hint="eastAsia"/>
            <w:lang w:eastAsia="zh-CN"/>
          </w:rPr>
          <w:t>十、农业机械项目风险分析</w:t>
        </w:r>
        <w:r>
          <w:tab/>
        </w:r>
        <w:r>
          <w:fldChar w:fldCharType="begin"/>
        </w:r>
        <w:r>
          <w:instrText xml:space="preserve"> PAGEREF _Toc8287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(一)、农业机械项目风险分析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(二)、农业机械项目风险对策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_Toc26387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_Toc4561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_Toc20863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_Toc8311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2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8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https://d.book118.com/528005113133006027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05113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2024-01-15T19:18:00Z</dcterms:created>
  <dcterms:modified xsi:type="dcterms:W3CDTF">2024-01-15T19:18:46Z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470BECF3B13E4E939719A1F888A6496B_11</vt:lpwstr>
  </property>
  <property fmtid="{D5CDD505-2E9C-101B-9397-08002B2CF9AE}" pid="3" name="KSOProductBuildVer">
    <vt:lpwstr>2052-12.1.0.16120</vt:lpwstr>
  </property>
</Properties>
</file>