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8" w:line="313" w:lineRule="exact"/>
        <w:ind w:left="13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pt;margin-left:70.48pt;mso-position-horizontal-relative:page;mso-position-vertical-relative:page;position:absolute;z-index:251659264" coordorigin="0,0" coordsize="9652,15" o:allowincell="f" path="m7,7l9644,7e" filled="f" strokecolor="black" strokeweight="0.75pt">
            <v:stroke endcap="round"/>
          </v:shape>
        </w:pict>
      </w:r>
      <w:r>
        <w:pict>
          <v:shape id="_x0000_s1026" style="width:482.65pt;height:0.75pt;margin-top:728.14pt;margin-left:70.48pt;mso-position-horizontal-relative:page;mso-position-vertical-relative:page;position:absolute;z-index:251658240" coordorigin="0,0" coordsize="9652,15" o:allowincell="f" path="m7,7l9644,7e" filled="f" strokecolor="black" strokeweight="0.75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0"/>
          <w:sz w:val="21"/>
          <w:szCs w:val="21"/>
        </w:rPr>
        <w:t>65.0</w:t>
      </w:r>
      <w:r>
        <w:rPr>
          <w:rFonts w:ascii="SimHei" w:eastAsia="SimHei" w:hAnsi="SimHei" w:cs="SimHei"/>
          <w:position w:val="10"/>
          <w:sz w:val="21"/>
          <w:szCs w:val="21"/>
        </w:rPr>
        <w:t>20.99</w:t>
      </w:r>
    </w:p>
    <w:p>
      <w:pPr>
        <w:spacing w:line="185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B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5</w:t>
      </w:r>
    </w:p>
    <w:p>
      <w:pPr>
        <w:spacing w:before="68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备案号：44845</w:t>
      </w:r>
      <w:r>
        <w:rPr>
          <w:rFonts w:ascii="SimHei" w:eastAsia="SimHei" w:hAnsi="SimHei" w:cs="SimHei"/>
          <w:sz w:val="21"/>
          <w:szCs w:val="21"/>
        </w:rPr>
        <w:t>-2015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2" w:lineRule="auto"/>
        <w:ind w:left="4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230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276" w:line="193" w:lineRule="auto"/>
        <w:ind w:left="232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97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96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2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1345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—</w:t>
      </w:r>
      <w:r>
        <w:rPr>
          <w:rFonts w:ascii="SimHei" w:eastAsia="SimHei" w:hAnsi="SimHei" w:cs="SimHei"/>
          <w:spacing w:val="6"/>
          <w:sz w:val="27"/>
          <w:szCs w:val="27"/>
        </w:rPr>
        <w:t>2015</w:t>
      </w:r>
    </w:p>
    <w:p>
      <w:pPr>
        <w:sectPr>
          <w:pgSz w:w="11905" w:h="16840"/>
          <w:pgMar w:top="509" w:right="768" w:bottom="0" w:left="1409" w:header="0" w:footer="0" w:gutter="0"/>
          <w:cols w:num="3" w:space="708" w:equalWidth="0">
            <w:col w:w="4549" w:space="100"/>
            <w:col w:w="1448" w:space="100"/>
            <w:col w:w="353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6" w:line="225" w:lineRule="auto"/>
        <w:ind w:left="67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8"/>
          <w:sz w:val="51"/>
          <w:szCs w:val="51"/>
        </w:rPr>
        <w:t>云杉矮槲寄生害人工修枝技术规</w:t>
      </w:r>
      <w:r>
        <w:rPr>
          <w:rFonts w:ascii="SimHei" w:eastAsia="SimHei" w:hAnsi="SimHei" w:cs="SimHei"/>
          <w:spacing w:val="7"/>
          <w:sz w:val="51"/>
          <w:szCs w:val="51"/>
        </w:rPr>
        <w:t>程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09" w:right="768" w:bottom="0" w:left="1409" w:header="0" w:footer="0" w:gutter="0"/>
          <w:pgNumType w:start="2"/>
          <w:cols w:num="1" w:space="708" w:equalWidth="0">
            <w:col w:w="9727" w:space="0"/>
          </w:cols>
        </w:sectPr>
      </w:pPr>
    </w:p>
    <w:p/>
    <w:p/>
    <w:p/>
    <w:p/>
    <w:p/>
    <w:p/>
    <w:p/>
    <w:p/>
    <w:p/>
    <w:p/>
    <w:p/>
    <w:p>
      <w:pPr>
        <w:spacing w:line="99" w:lineRule="exact"/>
      </w:pPr>
    </w:p>
    <w:p>
      <w:pPr>
        <w:sectPr>
          <w:type w:val="nextPage"/>
          <w:pgSz w:w="11905" w:h="16840"/>
          <w:pgMar w:top="509" w:right="768" w:bottom="0" w:left="1409" w:header="0" w:footer="0" w:gutter="0"/>
          <w:pgNumType w:start="3"/>
          <w:cols w:num="1" w:space="708" w:equalWidth="0">
            <w:col w:w="9727" w:space="0"/>
          </w:cols>
          <w:titlePg w:val="0"/>
        </w:sectPr>
      </w:pPr>
    </w:p>
    <w:p>
      <w:pPr>
        <w:spacing w:before="56" w:line="194" w:lineRule="auto"/>
        <w:ind w:left="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02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03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15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09" w:right="768" w:bottom="0" w:left="1409" w:header="0" w:footer="0" w:gutter="0"/>
          <w:pgNumType w:start="4"/>
          <w:cols w:num="2" w:space="708" w:equalWidth="0">
            <w:col w:w="7275" w:space="100"/>
            <w:col w:w="2352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8" w:line="201" w:lineRule="auto"/>
        <w:ind w:left="1917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96"/>
          <w:sz w:val="27"/>
          <w:szCs w:val="27"/>
        </w:rPr>
        <w:t>青</w:t>
      </w:r>
      <w:r>
        <w:rPr>
          <w:rFonts w:ascii="SimHei" w:eastAsia="SimHei" w:hAnsi="SimHei" w:cs="SimHei"/>
          <w:spacing w:val="89"/>
          <w:sz w:val="27"/>
          <w:szCs w:val="27"/>
        </w:rPr>
        <w:t>海省质量技术监督局</w:t>
      </w:r>
      <w:r>
        <w:rPr>
          <w:rFonts w:ascii="SimHei" w:eastAsia="SimHei" w:hAnsi="SimHei" w:cs="SimHei"/>
          <w:spacing w:val="89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89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09" w:right="768" w:bottom="0" w:left="1409" w:header="0" w:footer="0" w:gutter="0"/>
          <w:pgNumType w:start="5"/>
          <w:cols w:num="1" w:space="708" w:equalWidth="0">
            <w:col w:w="9727" w:space="0"/>
          </w:cols>
        </w:sectPr>
      </w:pPr>
    </w:p>
    <w:p>
      <w:pPr>
        <w:spacing w:before="42" w:line="236" w:lineRule="auto"/>
        <w:ind w:right="7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1345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before="104" w:line="223" w:lineRule="auto"/>
        <w:ind w:left="403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1.1-2009给出的规则起草。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</w:t>
      </w:r>
      <w:r>
        <w:rPr>
          <w:rFonts w:ascii="SimSun" w:eastAsia="SimSun" w:hAnsi="SimSun" w:cs="SimSun"/>
          <w:spacing w:val="-3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sz w:val="21"/>
          <w:szCs w:val="21"/>
        </w:rPr>
        <w:t>由青海省林业厅提出并归口。</w:t>
      </w:r>
    </w:p>
    <w:p>
      <w:pPr>
        <w:spacing w:before="6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</w:t>
      </w:r>
      <w:r>
        <w:rPr>
          <w:rFonts w:ascii="SimSun" w:eastAsia="SimSun" w:hAnsi="SimSun" w:cs="SimSun"/>
          <w:spacing w:val="-1"/>
          <w:sz w:val="21"/>
          <w:szCs w:val="21"/>
        </w:rPr>
        <w:t>标准起草单位：北京林业大学、青海省森林病虫害防治检疫总站、门源仙米林场。</w:t>
      </w:r>
    </w:p>
    <w:p>
      <w:pPr>
        <w:spacing w:before="63" w:line="287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本标准主</w:t>
      </w:r>
      <w:r>
        <w:rPr>
          <w:rFonts w:ascii="SimSun" w:eastAsia="SimSun" w:hAnsi="SimSun" w:cs="SimSun"/>
          <w:spacing w:val="-11"/>
          <w:sz w:val="21"/>
          <w:szCs w:val="21"/>
        </w:rPr>
        <w:t>要</w:t>
      </w:r>
      <w:r>
        <w:rPr>
          <w:rFonts w:ascii="SimSun" w:eastAsia="SimSun" w:hAnsi="SimSun" w:cs="SimSun"/>
          <w:spacing w:val="-7"/>
          <w:sz w:val="21"/>
          <w:szCs w:val="21"/>
        </w:rPr>
        <w:t>起草人：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田呈明、陈磊、高发明、才让旦周、杨启青、李涛、李旭霞、马万军、孙万桂、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王</w:t>
      </w:r>
      <w:r>
        <w:rPr>
          <w:rFonts w:ascii="SimSun" w:eastAsia="SimSun" w:hAnsi="SimSun" w:cs="SimSun"/>
          <w:spacing w:val="-7"/>
          <w:sz w:val="21"/>
          <w:szCs w:val="21"/>
        </w:rPr>
        <w:t>晓婷。</w:t>
      </w:r>
    </w:p>
    <w:p>
      <w:pPr>
        <w:sectPr>
          <w:footerReference w:type="default" r:id="rId4"/>
          <w:pgSz w:w="11905" w:h="16840"/>
          <w:pgMar w:top="1406" w:right="1058" w:bottom="1314" w:left="1428" w:header="0" w:footer="1134" w:gutter="0"/>
          <w:pgNumType w:start="6"/>
          <w:cols w:space="708"/>
        </w:sectPr>
      </w:pPr>
    </w:p>
    <w:p>
      <w:pPr>
        <w:spacing w:before="42" w:line="236" w:lineRule="auto"/>
        <w:ind w:right="75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1345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04" w:line="222" w:lineRule="auto"/>
        <w:ind w:left="2295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2"/>
          <w:sz w:val="32"/>
          <w:szCs w:val="32"/>
        </w:rPr>
        <w:t>云杉矮</w:t>
      </w:r>
      <w:r>
        <w:rPr>
          <w:rFonts w:ascii="SimHei" w:eastAsia="SimHei" w:hAnsi="SimHei" w:cs="SimHei"/>
          <w:spacing w:val="-1"/>
          <w:sz w:val="32"/>
          <w:szCs w:val="32"/>
        </w:rPr>
        <w:t>槲寄生害人工修枝技术规程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9" w:line="223" w:lineRule="auto"/>
        <w:ind w:left="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left="8" w:right="74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本标准规定了云杉</w:t>
      </w:r>
      <w:r>
        <w:rPr>
          <w:rFonts w:ascii="SimSun" w:eastAsia="SimSun" w:hAnsi="SimSun" w:cs="SimSun"/>
          <w:spacing w:val="-2"/>
          <w:sz w:val="21"/>
          <w:szCs w:val="21"/>
        </w:rPr>
        <w:t>矮槲寄生害调查，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发生(危害)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程度和分级标准、修枝防治技术、修枝效果等内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容</w:t>
      </w:r>
      <w:r>
        <w:rPr>
          <w:rFonts w:ascii="SimSun" w:eastAsia="SimSun" w:hAnsi="SimSun" w:cs="SimSun"/>
          <w:spacing w:val="-10"/>
          <w:sz w:val="21"/>
          <w:szCs w:val="21"/>
        </w:rPr>
        <w:t>。</w:t>
      </w:r>
    </w:p>
    <w:p>
      <w:pPr>
        <w:spacing w:line="219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8"/>
          <w:sz w:val="21"/>
          <w:szCs w:val="21"/>
        </w:rPr>
        <w:t>本标准适</w:t>
      </w:r>
      <w:r>
        <w:rPr>
          <w:rFonts w:ascii="SimSun" w:eastAsia="SimSun" w:hAnsi="SimSun" w:cs="SimSun"/>
          <w:spacing w:val="-10"/>
          <w:sz w:val="21"/>
          <w:szCs w:val="21"/>
        </w:rPr>
        <w:t>用</w:t>
      </w:r>
      <w:r>
        <w:rPr>
          <w:rFonts w:ascii="SimSun" w:eastAsia="SimSun" w:hAnsi="SimSun" w:cs="SimSun"/>
          <w:spacing w:val="-9"/>
          <w:sz w:val="21"/>
          <w:szCs w:val="21"/>
        </w:rPr>
        <w:t>于青海省青海云杉、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紫果云杉、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川西云杉、青杄以及油松等云杉矮槲寄生害的修枝防治。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74" w:lineRule="auto"/>
        <w:ind w:left="4" w:right="74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220" w:lineRule="auto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LY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1681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林业有害生物发生及成灾标准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499" w:lineRule="exact"/>
        <w:ind w:left="43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下列术语及定义适用于本标准。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2" w:lineRule="auto"/>
        <w:ind w:left="42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调查样地</w:t>
      </w:r>
    </w:p>
    <w:p>
      <w:pPr>
        <w:spacing w:before="216" w:line="283" w:lineRule="auto"/>
        <w:ind w:left="3" w:right="74" w:firstLine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为调查云杉矮槲寄生害发生情况和防控效果，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根据人为判断选出期望代表预定总体的典型地块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>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置与调查</w:t>
      </w:r>
      <w:r>
        <w:rPr>
          <w:rFonts w:ascii="SimSun" w:eastAsia="SimSun" w:hAnsi="SimSun" w:cs="SimSun"/>
          <w:spacing w:val="-11"/>
          <w:sz w:val="21"/>
          <w:szCs w:val="21"/>
        </w:rPr>
        <w:t>根</w:t>
      </w:r>
      <w:r>
        <w:rPr>
          <w:rFonts w:ascii="SimSun" w:eastAsia="SimSun" w:hAnsi="SimSun" w:cs="SimSun"/>
          <w:spacing w:val="-8"/>
          <w:sz w:val="21"/>
          <w:szCs w:val="21"/>
        </w:rPr>
        <w:t>据使用时期的长短，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标准地分为临时性和永久性两种，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前者只实测调查一次，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后者则用于长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期、</w:t>
      </w:r>
      <w:r>
        <w:rPr>
          <w:rFonts w:ascii="SimSun" w:eastAsia="SimSun" w:hAnsi="SimSun" w:cs="SimSun"/>
          <w:spacing w:val="-3"/>
          <w:sz w:val="21"/>
          <w:szCs w:val="21"/>
        </w:rPr>
        <w:t>定期观测调查。</w:t>
      </w:r>
    </w:p>
    <w:p>
      <w:pPr>
        <w:spacing w:before="157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3" w:line="221" w:lineRule="auto"/>
        <w:ind w:left="4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症状</w:t>
      </w:r>
    </w:p>
    <w:p>
      <w:pPr>
        <w:spacing w:before="217" w:line="499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病植物在形态上表现的不正常的特</w:t>
      </w: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征称为症状。</w:t>
      </w:r>
    </w:p>
    <w:p>
      <w:pPr>
        <w:spacing w:line="187" w:lineRule="auto"/>
        <w:ind w:left="5"/>
        <w:rPr>
          <w:rFonts w:ascii="SimHei" w:eastAsia="SimHei" w:hAnsi="SimHei" w:cs="SimHei"/>
          <w:sz w:val="21"/>
          <w:szCs w:val="21"/>
        </w:rPr>
        <w:sectPr>
          <w:footerReference w:type="default" r:id="rId5"/>
          <w:pgSz w:w="11905" w:h="16840"/>
          <w:pgMar w:top="1406" w:right="1057" w:bottom="1316" w:left="1420" w:header="0" w:footer="1134" w:gutter="0"/>
          <w:pgNumType w:start="7"/>
          <w:cols w:space="708"/>
        </w:sect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4" w:line="221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危</w:t>
      </w:r>
      <w:r>
        <w:rPr>
          <w:rFonts w:ascii="SimHei" w:eastAsia="SimHei" w:hAnsi="SimHei" w:cs="SimHei"/>
          <w:spacing w:val="-1"/>
          <w:sz w:val="21"/>
          <w:szCs w:val="21"/>
        </w:rPr>
        <w:t>害等级</w:t>
      </w:r>
    </w:p>
    <w:p>
      <w:pPr>
        <w:spacing w:before="217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依据云杉矮槲寄生害危害分级标准，所划分的云杉矮槲寄生害对其寄主植物造成的危害程</w:t>
      </w:r>
      <w:r>
        <w:rPr>
          <w:rFonts w:ascii="SimSun" w:eastAsia="SimSun" w:hAnsi="SimSun" w:cs="SimSun"/>
          <w:sz w:val="21"/>
          <w:szCs w:val="21"/>
        </w:rPr>
        <w:t>度。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病害调查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症状类型及识别</w:t>
      </w:r>
    </w:p>
    <w:p>
      <w:pPr>
        <w:spacing w:before="216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4.1.1</w:t>
      </w:r>
      <w:r>
        <w:rPr>
          <w:rFonts w:ascii="SimHei" w:eastAsia="SimHei" w:hAnsi="SimHei" w:cs="SimHei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寄主云杉枝条形成典型的扫帚</w:t>
      </w:r>
      <w:r>
        <w:rPr>
          <w:rFonts w:ascii="SimSun" w:eastAsia="SimSun" w:hAnsi="SimSun" w:cs="SimSun"/>
          <w:spacing w:val="1"/>
          <w:sz w:val="21"/>
          <w:szCs w:val="21"/>
        </w:rPr>
        <w:t>状丛枝(附录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。</w:t>
      </w:r>
    </w:p>
    <w:p>
      <w:pPr>
        <w:spacing w:before="62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8"/>
          <w:sz w:val="21"/>
          <w:szCs w:val="21"/>
        </w:rPr>
        <w:t>4</w:t>
      </w:r>
      <w:r>
        <w:rPr>
          <w:rFonts w:ascii="SimHei" w:eastAsia="SimHei" w:hAnsi="SimHei" w:cs="SimHei"/>
          <w:spacing w:val="5"/>
          <w:sz w:val="21"/>
          <w:szCs w:val="21"/>
        </w:rPr>
        <w:t>.</w:t>
      </w:r>
      <w:r>
        <w:rPr>
          <w:rFonts w:ascii="SimHei" w:eastAsia="SimHei" w:hAnsi="SimHei" w:cs="SimHei"/>
          <w:spacing w:val="4"/>
          <w:sz w:val="21"/>
          <w:szCs w:val="21"/>
        </w:rPr>
        <w:t>1.2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寄主枝条上出现云杉矮槲寄生害寄生芽(附录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4"/>
          <w:sz w:val="21"/>
          <w:szCs w:val="21"/>
        </w:rPr>
        <w:t>)。</w:t>
      </w:r>
    </w:p>
    <w:p>
      <w:pPr>
        <w:sectPr>
          <w:footerReference w:type="default" r:id="rId6"/>
          <w:type w:val="nextPage"/>
          <w:pgSz w:w="11905" w:h="16840"/>
          <w:pgMar w:top="1406" w:right="1057" w:bottom="1316" w:left="1420" w:header="0" w:footer="1134" w:gutter="0"/>
          <w:pgNumType w:start="8"/>
          <w:cols w:space="708"/>
          <w:titlePg w:val="0"/>
        </w:sectPr>
      </w:pPr>
    </w:p>
    <w:p>
      <w:pPr>
        <w:spacing w:before="42" w:line="236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1345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11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调查内容及方法</w:t>
      </w:r>
    </w:p>
    <w:p>
      <w:pPr>
        <w:spacing w:before="217" w:line="274" w:lineRule="auto"/>
        <w:ind w:left="121" w:right="53" w:hanging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4.2.1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云杉矮槲寄生害属于寄生性种子植物引起的病害，潜伏期长，发展缓慢，必须进行定期调查，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监</w:t>
      </w:r>
      <w:r>
        <w:rPr>
          <w:rFonts w:ascii="SimSun" w:eastAsia="SimSun" w:hAnsi="SimSun" w:cs="SimSun"/>
          <w:spacing w:val="-3"/>
          <w:sz w:val="21"/>
          <w:szCs w:val="21"/>
        </w:rPr>
        <w:t>测</w:t>
      </w:r>
      <w:r>
        <w:rPr>
          <w:rFonts w:ascii="SimSun" w:eastAsia="SimSun" w:hAnsi="SimSun" w:cs="SimSun"/>
          <w:spacing w:val="-2"/>
          <w:sz w:val="21"/>
          <w:szCs w:val="21"/>
        </w:rPr>
        <w:t>病情，以保证及时采取防治措施。</w:t>
      </w:r>
    </w:p>
    <w:p>
      <w:pPr>
        <w:spacing w:line="274" w:lineRule="auto"/>
        <w:ind w:left="121" w:right="59" w:hanging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2"/>
          <w:sz w:val="21"/>
          <w:szCs w:val="21"/>
        </w:rPr>
        <w:t>4.2</w:t>
      </w:r>
      <w:r>
        <w:rPr>
          <w:rFonts w:ascii="SimHei" w:eastAsia="SimHei" w:hAnsi="SimHei" w:cs="SimHei"/>
          <w:spacing w:val="1"/>
          <w:sz w:val="21"/>
          <w:szCs w:val="21"/>
        </w:rPr>
        <w:t>.2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根据云杉矮槲寄生害的发生和危害特点，设计云杉矮槲寄生害发生和危害调查表(附录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</w:t>
      </w:r>
      <w:r>
        <w:rPr>
          <w:rFonts w:ascii="SimSun" w:eastAsia="SimSun" w:hAnsi="SimSun" w:cs="SimSun"/>
          <w:spacing w:val="1"/>
          <w:sz w:val="21"/>
          <w:szCs w:val="21"/>
        </w:rPr>
        <w:t>、附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录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F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和附录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G)。</w:t>
      </w:r>
    </w:p>
    <w:p>
      <w:pPr>
        <w:spacing w:line="274" w:lineRule="auto"/>
        <w:ind w:left="119" w:right="61" w:hanging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4.2.</w:t>
      </w: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固定调查样地，每年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月~9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月份进行一次云杉矮槲寄生害的调查，每个样地单独用一张调查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表，见附录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E</w:t>
      </w:r>
      <w:r>
        <w:rPr>
          <w:rFonts w:ascii="SimSun" w:eastAsia="SimSun" w:hAnsi="SimSun" w:cs="SimSun"/>
          <w:spacing w:val="-4"/>
          <w:sz w:val="21"/>
          <w:szCs w:val="21"/>
        </w:rPr>
        <w:t>，按表</w:t>
      </w:r>
      <w:r>
        <w:rPr>
          <w:rFonts w:ascii="SimSun" w:eastAsia="SimSun" w:hAnsi="SimSun" w:cs="SimSun"/>
          <w:spacing w:val="-3"/>
          <w:sz w:val="21"/>
          <w:szCs w:val="21"/>
        </w:rPr>
        <w:t>逐</w:t>
      </w:r>
      <w:r>
        <w:rPr>
          <w:rFonts w:ascii="SimSun" w:eastAsia="SimSun" w:hAnsi="SimSun" w:cs="SimSun"/>
          <w:spacing w:val="-2"/>
          <w:sz w:val="21"/>
          <w:szCs w:val="21"/>
        </w:rPr>
        <w:t>项记载。调查数据分年存档，据此总结提高防治技术。</w:t>
      </w:r>
    </w:p>
    <w:p>
      <w:pPr>
        <w:spacing w:before="1" w:line="274" w:lineRule="auto"/>
        <w:ind w:left="120" w:right="8" w:hanging="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4.2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调查样地的设置，云杉矮槲寄生害危害的林分，以林班为单位，至少选择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个小班随机设置样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地进行云杉矮槲寄生害发生(危害)程度调查，样地大小设置为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30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4"/>
          <w:sz w:val="21"/>
          <w:szCs w:val="21"/>
        </w:rPr>
        <w:t>×30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m。</w:t>
      </w:r>
    </w:p>
    <w:p>
      <w:pPr>
        <w:spacing w:before="1" w:line="274" w:lineRule="auto"/>
        <w:ind w:left="123" w:right="8" w:hanging="8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4.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2"/>
          <w:sz w:val="21"/>
          <w:szCs w:val="21"/>
        </w:rPr>
        <w:t>.5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调查小班内云杉矮槲寄生害发生的株树，根据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7.3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公式计算感病株率，并根据云杉矮槲寄生害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0"/>
          <w:sz w:val="21"/>
          <w:szCs w:val="21"/>
        </w:rPr>
        <w:t>危害分</w:t>
      </w:r>
      <w:r>
        <w:rPr>
          <w:rFonts w:ascii="SimSun" w:eastAsia="SimSun" w:hAnsi="SimSun" w:cs="SimSun"/>
          <w:spacing w:val="9"/>
          <w:sz w:val="21"/>
          <w:szCs w:val="21"/>
        </w:rPr>
        <w:t>级</w:t>
      </w:r>
      <w:r>
        <w:rPr>
          <w:rFonts w:ascii="SimSun" w:eastAsia="SimSun" w:hAnsi="SimSun" w:cs="SimSun"/>
          <w:spacing w:val="5"/>
          <w:sz w:val="21"/>
          <w:szCs w:val="21"/>
        </w:rPr>
        <w:t>标准(附录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</w:t>
      </w:r>
      <w:r>
        <w:rPr>
          <w:rFonts w:ascii="SimSun" w:eastAsia="SimSun" w:hAnsi="SimSun" w:cs="SimSun"/>
          <w:spacing w:val="5"/>
          <w:sz w:val="21"/>
          <w:szCs w:val="21"/>
        </w:rPr>
        <w:t>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记录每一株病株的危害等级(附录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5"/>
          <w:sz w:val="21"/>
          <w:szCs w:val="21"/>
        </w:rPr>
        <w:t>)。</w:t>
      </w:r>
    </w:p>
    <w:p>
      <w:pPr>
        <w:spacing w:line="219" w:lineRule="auto"/>
        <w:ind w:left="11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4.2.</w:t>
      </w:r>
      <w:r>
        <w:rPr>
          <w:rFonts w:ascii="SimHei" w:eastAsia="SimHei" w:hAnsi="SimHei" w:cs="SimHei"/>
          <w:spacing w:val="-7"/>
          <w:sz w:val="21"/>
          <w:szCs w:val="21"/>
        </w:rPr>
        <w:t>6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病情指数计算按照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7.3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公式计算云杉矮槲寄生害的病情指数，填写附录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G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中表格。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2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修枝技术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2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修枝原则</w:t>
      </w:r>
    </w:p>
    <w:p>
      <w:pPr>
        <w:spacing w:before="216" w:line="287" w:lineRule="auto"/>
        <w:ind w:left="12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修枝遵循易操作原则，针对中下部树冠进行修枝；修枝最大强度不超过整个树冠的2/3，修枝后不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影响云杉的正常生长发育</w:t>
      </w:r>
      <w:r>
        <w:rPr>
          <w:rFonts w:ascii="SimSun" w:eastAsia="SimSun" w:hAnsi="SimSun" w:cs="SimSun"/>
          <w:spacing w:val="-1"/>
          <w:sz w:val="21"/>
          <w:szCs w:val="21"/>
        </w:rPr>
        <w:t>，且不会引诱次期性虫害的危害。</w:t>
      </w:r>
    </w:p>
    <w:p>
      <w:pPr>
        <w:spacing w:before="126" w:line="222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单株云杉修枝规定</w:t>
      </w:r>
    </w:p>
    <w:p>
      <w:pPr>
        <w:spacing w:before="217" w:line="220" w:lineRule="auto"/>
        <w:ind w:left="5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针对每一株受害寄主，参</w:t>
      </w:r>
      <w:r>
        <w:rPr>
          <w:rFonts w:ascii="SimSun" w:eastAsia="SimSun" w:hAnsi="SimSun" w:cs="SimSun"/>
          <w:spacing w:val="-1"/>
          <w:sz w:val="21"/>
          <w:szCs w:val="21"/>
        </w:rPr>
        <w:t>照表1实施不同的修枝强度。</w:t>
      </w:r>
    </w:p>
    <w:p>
      <w:pPr>
        <w:spacing w:before="217" w:line="222" w:lineRule="auto"/>
        <w:ind w:left="29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云杉矮槲寄生害</w:t>
      </w:r>
      <w:r>
        <w:rPr>
          <w:rFonts w:ascii="SimHei" w:eastAsia="SimHei" w:hAnsi="SimHei" w:cs="SimHei"/>
          <w:sz w:val="21"/>
          <w:szCs w:val="21"/>
        </w:rPr>
        <w:t>单株云杉修枝规定</w:t>
      </w:r>
    </w:p>
    <w:tbl>
      <w:tblPr>
        <w:tblStyle w:val="TableNormal0"/>
        <w:tblW w:w="93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78"/>
        <w:gridCol w:w="1469"/>
        <w:gridCol w:w="2938"/>
        <w:gridCol w:w="3513"/>
      </w:tblGrid>
      <w:tr>
        <w:tblPrEx>
          <w:tblW w:w="93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78" w:type="dxa"/>
            <w:vAlign w:val="top"/>
          </w:tcPr>
          <w:p>
            <w:pPr>
              <w:spacing w:before="71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危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害等级(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)</w:t>
            </w:r>
          </w:p>
        </w:tc>
        <w:tc>
          <w:tcPr>
            <w:tcW w:w="1469" w:type="dxa"/>
            <w:vAlign w:val="top"/>
          </w:tcPr>
          <w:p>
            <w:pPr>
              <w:spacing w:before="71" w:line="220" w:lineRule="auto"/>
              <w:ind w:left="3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症状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描述</w:t>
            </w:r>
          </w:p>
        </w:tc>
        <w:tc>
          <w:tcPr>
            <w:tcW w:w="2938" w:type="dxa"/>
            <w:vAlign w:val="top"/>
          </w:tcPr>
          <w:p>
            <w:pPr>
              <w:spacing w:before="71" w:line="220" w:lineRule="auto"/>
              <w:ind w:left="1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修枝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强度</w:t>
            </w:r>
          </w:p>
        </w:tc>
        <w:tc>
          <w:tcPr>
            <w:tcW w:w="3513" w:type="dxa"/>
            <w:vAlign w:val="top"/>
          </w:tcPr>
          <w:p>
            <w:pPr>
              <w:spacing w:before="70" w:line="223" w:lineRule="auto"/>
              <w:ind w:left="1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的</w:t>
            </w:r>
          </w:p>
        </w:tc>
      </w:tr>
      <w:tr>
        <w:tblPrEx>
          <w:tblW w:w="9398" w:type="dxa"/>
          <w:tblInd w:w="2" w:type="dxa"/>
          <w:tblLayout w:type="fixed"/>
        </w:tblPrEx>
        <w:trPr>
          <w:trHeight w:val="629"/>
        </w:trPr>
        <w:tc>
          <w:tcPr>
            <w:tcW w:w="1478" w:type="dxa"/>
            <w:vAlign w:val="top"/>
          </w:tcPr>
          <w:p>
            <w:pPr>
              <w:spacing w:before="65" w:line="272" w:lineRule="auto"/>
              <w:ind w:left="118" w:right="108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没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有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=0)</w:t>
            </w:r>
          </w:p>
        </w:tc>
        <w:tc>
          <w:tcPr>
            <w:tcW w:w="1469" w:type="dxa"/>
            <w:vAlign w:val="top"/>
          </w:tcPr>
          <w:p>
            <w:pPr>
              <w:spacing w:before="66" w:line="270" w:lineRule="auto"/>
              <w:ind w:left="112" w:righ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9"/>
                <w:sz w:val="18"/>
                <w:szCs w:val="18"/>
              </w:rPr>
              <w:t>没</w:t>
            </w:r>
            <w:r>
              <w:rPr>
                <w:rFonts w:ascii="SimSun" w:eastAsia="SimSun" w:hAnsi="SimSun" w:cs="SimSun"/>
                <w:spacing w:val="27"/>
                <w:sz w:val="18"/>
                <w:szCs w:val="18"/>
              </w:rPr>
              <w:t>有可见的扫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帚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状丛枝。</w:t>
            </w:r>
          </w:p>
        </w:tc>
        <w:tc>
          <w:tcPr>
            <w:tcW w:w="2938" w:type="dxa"/>
            <w:vAlign w:val="top"/>
          </w:tcPr>
          <w:p>
            <w:pPr>
              <w:spacing w:before="222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清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除枯枝。</w:t>
            </w:r>
          </w:p>
        </w:tc>
        <w:tc>
          <w:tcPr>
            <w:tcW w:w="3513" w:type="dxa"/>
            <w:vAlign w:val="top"/>
          </w:tcPr>
          <w:p>
            <w:pPr>
              <w:spacing w:before="66" w:line="270" w:lineRule="auto"/>
              <w:ind w:left="114" w:right="106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清除树体本身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的枯枝、断枝；清除风倒木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等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。</w:t>
            </w:r>
          </w:p>
        </w:tc>
      </w:tr>
      <w:tr>
        <w:tblPrEx>
          <w:tblW w:w="9398" w:type="dxa"/>
          <w:tblInd w:w="2" w:type="dxa"/>
          <w:tblLayout w:type="fixed"/>
        </w:tblPrEx>
        <w:trPr>
          <w:trHeight w:val="1251"/>
        </w:trPr>
        <w:tc>
          <w:tcPr>
            <w:tcW w:w="147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8" w:line="332" w:lineRule="auto"/>
              <w:ind w:left="119" w:right="108" w:hanging="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轻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=1~2)</w:t>
            </w:r>
          </w:p>
        </w:tc>
        <w:tc>
          <w:tcPr>
            <w:tcW w:w="1469" w:type="dxa"/>
            <w:vAlign w:val="top"/>
          </w:tcPr>
          <w:p>
            <w:pPr>
              <w:spacing w:before="224" w:line="327" w:lineRule="auto"/>
              <w:ind w:left="113" w:right="106" w:hanging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树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冠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1/3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处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或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/3以下受寄生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侵染。</w:t>
            </w:r>
          </w:p>
        </w:tc>
        <w:tc>
          <w:tcPr>
            <w:tcW w:w="2938" w:type="dxa"/>
            <w:vAlign w:val="top"/>
          </w:tcPr>
          <w:p>
            <w:pPr>
              <w:spacing w:before="68" w:line="295" w:lineRule="auto"/>
              <w:ind w:left="110" w:right="104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将树冠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中、下层扫帚状丛枝枝条以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的受侵染枝条和未侵染枝条全部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清除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修枝强度控制在整个树冠的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/3以下。</w:t>
            </w:r>
          </w:p>
        </w:tc>
        <w:tc>
          <w:tcPr>
            <w:tcW w:w="3513" w:type="dxa"/>
            <w:vAlign w:val="top"/>
          </w:tcPr>
          <w:p>
            <w:pPr>
              <w:spacing w:before="223" w:line="327" w:lineRule="auto"/>
              <w:ind w:left="113" w:right="56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将轻度侵染植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株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转变为健康植株或者减小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18"/>
                <w:szCs w:val="18"/>
              </w:rPr>
              <w:t>危</w:t>
            </w: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等级，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并且危害等级不会进一步发展，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使寄主保持健康生长。</w:t>
            </w:r>
          </w:p>
        </w:tc>
      </w:tr>
      <w:tr>
        <w:tblPrEx>
          <w:tblW w:w="9398" w:type="dxa"/>
          <w:tblInd w:w="2" w:type="dxa"/>
          <w:tblLayout w:type="fixed"/>
        </w:tblPrEx>
        <w:trPr>
          <w:trHeight w:val="1251"/>
        </w:trPr>
        <w:tc>
          <w:tcPr>
            <w:tcW w:w="147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9" w:line="332" w:lineRule="auto"/>
              <w:ind w:left="119" w:right="108" w:firstLine="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侵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=3~4)</w:t>
            </w:r>
          </w:p>
        </w:tc>
        <w:tc>
          <w:tcPr>
            <w:tcW w:w="1469" w:type="dxa"/>
            <w:vAlign w:val="top"/>
          </w:tcPr>
          <w:p>
            <w:pPr>
              <w:spacing w:before="225" w:line="327" w:lineRule="auto"/>
              <w:ind w:left="112" w:right="106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树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冠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1/3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2/3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或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2/3处受寄生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侵染。</w:t>
            </w:r>
          </w:p>
        </w:tc>
        <w:tc>
          <w:tcPr>
            <w:tcW w:w="2938" w:type="dxa"/>
            <w:vAlign w:val="top"/>
          </w:tcPr>
          <w:p>
            <w:pPr>
              <w:spacing w:before="70" w:line="295" w:lineRule="auto"/>
              <w:ind w:left="110" w:right="104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将树冠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中、下层扫帚状丛枝枝条以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的受侵染枝条和未侵染枝条全部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清除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修枝强度控制在整个树冠的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/3以下。</w:t>
            </w:r>
          </w:p>
        </w:tc>
        <w:tc>
          <w:tcPr>
            <w:tcW w:w="3513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114" w:right="106" w:firstLine="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降低中度侵染的危害等级，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控制中度侵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株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迅速向重度侵染植株发展。</w:t>
            </w:r>
          </w:p>
        </w:tc>
      </w:tr>
    </w:tbl>
    <w:p>
      <w:pPr>
        <w:sectPr>
          <w:footerReference w:type="default" r:id="rId7"/>
          <w:pgSz w:w="11905" w:h="16840"/>
          <w:pgMar w:top="1406" w:right="1132" w:bottom="1315" w:left="1305" w:header="0" w:footer="1134" w:gutter="0"/>
          <w:pgNumType w:start="9"/>
          <w:cols w:space="708"/>
        </w:sectPr>
      </w:pPr>
    </w:p>
    <w:tbl>
      <w:tblPr>
        <w:tblStyle w:val="TableNormal1"/>
        <w:tblW w:w="939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78"/>
        <w:gridCol w:w="1469"/>
        <w:gridCol w:w="2938"/>
        <w:gridCol w:w="3513"/>
      </w:tblGrid>
      <w:tr>
        <w:tblPrEx>
          <w:tblW w:w="939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6"/>
        </w:trPr>
        <w:tc>
          <w:tcPr>
            <w:tcW w:w="1478" w:type="dxa"/>
            <w:vAlign w:val="top"/>
          </w:tcPr>
          <w:p>
            <w:pPr>
              <w:spacing w:before="226" w:line="332" w:lineRule="auto"/>
              <w:ind w:left="119" w:right="108" w:hanging="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重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染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=5~6)</w:t>
            </w:r>
          </w:p>
        </w:tc>
        <w:tc>
          <w:tcPr>
            <w:tcW w:w="1469" w:type="dxa"/>
            <w:vAlign w:val="top"/>
          </w:tcPr>
          <w:p>
            <w:pPr>
              <w:spacing w:before="226" w:line="331" w:lineRule="auto"/>
              <w:ind w:left="113" w:right="106" w:hanging="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/3以上受寄生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侵染。</w:t>
            </w:r>
          </w:p>
        </w:tc>
        <w:tc>
          <w:tcPr>
            <w:tcW w:w="2938" w:type="dxa"/>
            <w:vAlign w:val="top"/>
          </w:tcPr>
          <w:p>
            <w:pPr>
              <w:spacing w:before="225" w:line="331" w:lineRule="auto"/>
              <w:ind w:left="110" w:right="1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清除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树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冠中、下部枝条，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修枝强度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制在整个树冠的2/3以下。</w:t>
            </w:r>
          </w:p>
        </w:tc>
        <w:tc>
          <w:tcPr>
            <w:tcW w:w="3513" w:type="dxa"/>
            <w:vAlign w:val="top"/>
          </w:tcPr>
          <w:p>
            <w:pPr>
              <w:spacing w:before="68" w:line="287" w:lineRule="auto"/>
              <w:ind w:left="112" w:righ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减少云杉矮槲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寄生害的种子源；或清除重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度侵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染植株上已经死亡的丛枝枝条，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以减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轻树体本身的负担，维持植株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的寿命。</w:t>
            </w:r>
          </w:p>
        </w:tc>
      </w:tr>
    </w:tbl>
    <w:p>
      <w:pPr>
        <w:spacing w:before="205" w:line="221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不同发病程度云杉林林班修枝规定</w:t>
      </w:r>
    </w:p>
    <w:p>
      <w:pPr>
        <w:spacing w:before="217" w:line="287" w:lineRule="auto"/>
        <w:ind w:left="124" w:firstLine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根据4.</w:t>
      </w:r>
      <w:r>
        <w:rPr>
          <w:rFonts w:ascii="SimSun" w:eastAsia="SimSun" w:hAnsi="SimSun" w:cs="SimSun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4"/>
          <w:sz w:val="21"/>
          <w:szCs w:val="21"/>
        </w:rPr>
        <w:t>.5和4.2.6中获得的感病株率和病情指数，将林地划分为不同的发病程度(表2)，并根据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不</w:t>
      </w:r>
      <w:r>
        <w:rPr>
          <w:rFonts w:ascii="SimSun" w:eastAsia="SimSun" w:hAnsi="SimSun" w:cs="SimSun"/>
          <w:spacing w:val="-3"/>
          <w:sz w:val="21"/>
          <w:szCs w:val="21"/>
        </w:rPr>
        <w:t>同</w:t>
      </w:r>
      <w:r>
        <w:rPr>
          <w:rFonts w:ascii="SimSun" w:eastAsia="SimSun" w:hAnsi="SimSun" w:cs="SimSun"/>
          <w:spacing w:val="-2"/>
          <w:sz w:val="21"/>
          <w:szCs w:val="21"/>
        </w:rPr>
        <w:t>的发病程度，采取相应的修枝措施。</w:t>
      </w:r>
    </w:p>
    <w:p>
      <w:pPr>
        <w:sectPr>
          <w:footerReference w:type="default" r:id="rId8"/>
          <w:type w:val="nextPage"/>
          <w:pgSz w:w="11905" w:h="16840"/>
          <w:pgMar w:top="1406" w:right="1132" w:bottom="1315" w:left="1305" w:header="0" w:footer="1134" w:gutter="0"/>
          <w:pgNumType w:start="10"/>
          <w:cols w:space="708"/>
          <w:titlePg w:val="0"/>
        </w:sectPr>
      </w:pPr>
    </w:p>
    <w:p>
      <w:pPr>
        <w:spacing w:before="42" w:line="236" w:lineRule="auto"/>
        <w:ind w:right="113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1345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2" w:line="221" w:lineRule="auto"/>
        <w:ind w:left="29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不同发病程度云</w:t>
      </w:r>
      <w:r>
        <w:rPr>
          <w:rFonts w:ascii="SimHei" w:eastAsia="SimHei" w:hAnsi="SimHei" w:cs="SimHei"/>
          <w:sz w:val="21"/>
          <w:szCs w:val="21"/>
        </w:rPr>
        <w:t>杉林林班修枝规定</w:t>
      </w:r>
    </w:p>
    <w:p>
      <w:pPr>
        <w:spacing w:line="166" w:lineRule="exact"/>
      </w:pPr>
    </w:p>
    <w:tbl>
      <w:tblPr>
        <w:tblStyle w:val="TableNormal2"/>
        <w:tblW w:w="95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93"/>
        <w:gridCol w:w="5161"/>
        <w:gridCol w:w="2220"/>
      </w:tblGrid>
      <w:tr>
        <w:tblPrEx>
          <w:tblW w:w="95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2193" w:type="dxa"/>
            <w:vAlign w:val="top"/>
          </w:tcPr>
          <w:p>
            <w:pPr>
              <w:spacing w:before="70" w:line="221" w:lineRule="auto"/>
              <w:ind w:left="7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危害程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度</w:t>
            </w:r>
          </w:p>
        </w:tc>
        <w:tc>
          <w:tcPr>
            <w:tcW w:w="5161" w:type="dxa"/>
            <w:vAlign w:val="top"/>
          </w:tcPr>
          <w:p>
            <w:pPr>
              <w:spacing w:before="71" w:line="220" w:lineRule="auto"/>
              <w:ind w:left="22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作方法</w:t>
            </w:r>
          </w:p>
        </w:tc>
        <w:tc>
          <w:tcPr>
            <w:tcW w:w="2220" w:type="dxa"/>
            <w:vAlign w:val="top"/>
          </w:tcPr>
          <w:p>
            <w:pPr>
              <w:spacing w:before="70" w:line="223" w:lineRule="auto"/>
              <w:ind w:left="9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的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317"/>
        </w:trPr>
        <w:tc>
          <w:tcPr>
            <w:tcW w:w="2193" w:type="dxa"/>
            <w:vAlign w:val="top"/>
          </w:tcPr>
          <w:p>
            <w:pPr>
              <w:spacing w:before="66" w:line="220" w:lineRule="auto"/>
              <w:ind w:left="6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未发病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林地</w:t>
            </w:r>
          </w:p>
        </w:tc>
        <w:tc>
          <w:tcPr>
            <w:tcW w:w="5161" w:type="dxa"/>
            <w:vAlign w:val="top"/>
          </w:tcPr>
          <w:p>
            <w:pPr>
              <w:spacing w:before="66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做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好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卫生伐，保持林地的清洁。</w:t>
            </w:r>
          </w:p>
        </w:tc>
        <w:tc>
          <w:tcPr>
            <w:tcW w:w="22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2" w:type="dxa"/>
          <w:tblLayout w:type="fixed"/>
        </w:tblPrEx>
        <w:trPr>
          <w:trHeight w:val="940"/>
        </w:trPr>
        <w:tc>
          <w:tcPr>
            <w:tcW w:w="2193" w:type="dxa"/>
            <w:vAlign w:val="top"/>
          </w:tcPr>
          <w:p>
            <w:pPr>
              <w:spacing w:before="222" w:line="331" w:lineRule="auto"/>
              <w:ind w:left="127" w:right="114" w:hanging="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轻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度发病林地(受害株率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＜3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%；感病指数＜15)</w:t>
            </w:r>
          </w:p>
        </w:tc>
        <w:tc>
          <w:tcPr>
            <w:tcW w:w="5161" w:type="dxa"/>
            <w:vAlign w:val="top"/>
          </w:tcPr>
          <w:p>
            <w:pPr>
              <w:spacing w:before="66" w:line="287" w:lineRule="auto"/>
              <w:ind w:left="108" w:right="103" w:firstLine="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参照5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.2。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=1~2为主要修枝对象，修枝后无可见的丛枝；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=3~4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降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低危害等级，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防止进一步向周围扩散，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视具体情况可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以清</w:t>
            </w:r>
            <w:r>
              <w:rPr>
                <w:rFonts w:ascii="SimSun" w:eastAsia="SimSun" w:hAnsi="SimSun" w:cs="SimSun"/>
                <w:spacing w:val="5"/>
                <w:sz w:val="18"/>
                <w:szCs w:val="18"/>
              </w:rPr>
              <w:t>除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；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=5~6直接移除。</w:t>
            </w:r>
          </w:p>
        </w:tc>
        <w:tc>
          <w:tcPr>
            <w:tcW w:w="2220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转变为健康林地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940"/>
        </w:trPr>
        <w:tc>
          <w:tcPr>
            <w:tcW w:w="2193" w:type="dxa"/>
            <w:vAlign w:val="top"/>
          </w:tcPr>
          <w:p>
            <w:pPr>
              <w:spacing w:before="67" w:line="287" w:lineRule="auto"/>
              <w:ind w:left="116" w:right="105" w:firstLine="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8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度发病林地(30%≤受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害株率＜60%；15≤病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情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数＜30)</w:t>
            </w:r>
          </w:p>
        </w:tc>
        <w:tc>
          <w:tcPr>
            <w:tcW w:w="5161" w:type="dxa"/>
            <w:vAlign w:val="top"/>
          </w:tcPr>
          <w:p>
            <w:pPr>
              <w:spacing w:before="67" w:line="287" w:lineRule="auto"/>
              <w:ind w:left="113" w:right="52" w:firstLine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参照5.2。以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=1~2为主要修枝对象；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DMR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=3~4降低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危</w:t>
            </w:r>
            <w:r>
              <w:rPr>
                <w:rFonts w:ascii="SimSun" w:eastAsia="SimSun" w:hAnsi="SimSun" w:cs="SimSun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等级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防止进一步向周围扩散；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DMR=5~6清除死亡的丛枝枝条，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同时清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除林地的病虫害树木。</w:t>
            </w:r>
          </w:p>
        </w:tc>
        <w:tc>
          <w:tcPr>
            <w:tcW w:w="2220" w:type="dxa"/>
            <w:vAlign w:val="top"/>
          </w:tcPr>
          <w:p>
            <w:pPr>
              <w:spacing w:before="67" w:line="287" w:lineRule="auto"/>
              <w:ind w:left="113" w:righ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采取降低DM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R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控制云杉矮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槲寄生害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的种子数量，保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持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树势良好。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941"/>
        </w:trPr>
        <w:tc>
          <w:tcPr>
            <w:tcW w:w="2193" w:type="dxa"/>
            <w:vAlign w:val="top"/>
          </w:tcPr>
          <w:p>
            <w:pPr>
              <w:spacing w:before="67" w:line="288" w:lineRule="auto"/>
              <w:ind w:left="117" w:right="106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sz w:val="18"/>
                <w:szCs w:val="18"/>
              </w:rPr>
              <w:t>重度发病林地(60%≤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受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害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株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＜80；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30≤感病指数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＜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45)</w:t>
            </w:r>
          </w:p>
        </w:tc>
        <w:tc>
          <w:tcPr>
            <w:tcW w:w="5161" w:type="dxa"/>
            <w:vMerge w:val="restart"/>
            <w:tcBorders>
              <w:bottom w:val="nil"/>
            </w:tcBorders>
            <w:vAlign w:val="top"/>
          </w:tcPr>
          <w:p>
            <w:pPr>
              <w:spacing w:before="67" w:line="220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(1)不采取修理活枝的措施，保证林地的卫生清洁</w:t>
            </w:r>
            <w:r>
              <w:rPr>
                <w:rFonts w:ascii="SimSun" w:eastAsia="SimSun" w:hAnsi="SimSun" w:cs="SimSun"/>
                <w:spacing w:val="4"/>
                <w:sz w:val="18"/>
                <w:szCs w:val="18"/>
              </w:rPr>
              <w:t>。</w:t>
            </w:r>
          </w:p>
          <w:p>
            <w:pPr>
              <w:spacing w:before="97" w:line="287" w:lineRule="auto"/>
              <w:ind w:left="111" w:right="102" w:firstLine="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2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)建立15~20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的隔离带或借助天然屏障(道路、河流、沟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壑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、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非寄主树种等)，防控云杉矮槲寄生害种子向周边的健康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林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地扩散。</w:t>
            </w:r>
          </w:p>
          <w:p>
            <w:pPr>
              <w:spacing w:before="97" w:line="295" w:lineRule="auto"/>
              <w:ind w:left="112" w:right="53" w:firstLine="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清除已经死亡的丛枝枝条，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以减轻树体本身的负担，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同时，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也会减小森林火灾的发生。加强重度侵染林地病虫害的动态监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18"/>
                <w:szCs w:val="18"/>
              </w:rPr>
              <w:t>测，做好防控工作移除受云杉矮槲寄生害与病虫害协同危害的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植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株。</w:t>
            </w:r>
          </w:p>
        </w:tc>
        <w:tc>
          <w:tcPr>
            <w:tcW w:w="2220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59" w:line="331" w:lineRule="auto"/>
              <w:ind w:left="118" w:right="42" w:hanging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延长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寄主的寿命，减少小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7"/>
                <w:sz w:val="18"/>
                <w:szCs w:val="18"/>
              </w:rPr>
              <w:t>蠹</w:t>
            </w:r>
            <w:r>
              <w:rPr>
                <w:rFonts w:ascii="SimSun" w:eastAsia="SimSun" w:hAnsi="SimSun" w:cs="SimSun"/>
                <w:spacing w:val="-15"/>
                <w:sz w:val="18"/>
                <w:szCs w:val="18"/>
              </w:rPr>
              <w:t>虫危害，</w:t>
            </w:r>
            <w:r>
              <w:rPr>
                <w:rFonts w:ascii="SimSun" w:eastAsia="SimSun" w:hAnsi="SimSun" w:cs="SimSun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18"/>
                <w:szCs w:val="18"/>
              </w:rPr>
              <w:t>提高森林景观。</w:t>
            </w:r>
          </w:p>
        </w:tc>
      </w:tr>
      <w:tr>
        <w:tblPrEx>
          <w:tblW w:w="9574" w:type="dxa"/>
          <w:tblInd w:w="2" w:type="dxa"/>
          <w:tblLayout w:type="fixed"/>
        </w:tblPrEx>
        <w:trPr>
          <w:trHeight w:val="1553"/>
        </w:trPr>
        <w:tc>
          <w:tcPr>
            <w:tcW w:w="2193" w:type="dxa"/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spacing w:before="58" w:line="331" w:lineRule="auto"/>
              <w:ind w:left="131" w:right="113" w:hanging="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7"/>
                <w:sz w:val="18"/>
                <w:szCs w:val="18"/>
              </w:rPr>
              <w:t>极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重度发病林地(受害株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≥80%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；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感病指数≥45)</w:t>
            </w:r>
          </w:p>
        </w:tc>
        <w:tc>
          <w:tcPr>
            <w:tcW w:w="516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2" w:type="dxa"/>
          <w:tblLayout w:type="fixed"/>
        </w:tblPrEx>
        <w:trPr>
          <w:trHeight w:val="321"/>
        </w:trPr>
        <w:tc>
          <w:tcPr>
            <w:tcW w:w="9574" w:type="dxa"/>
            <w:gridSpan w:val="3"/>
            <w:vAlign w:val="top"/>
          </w:tcPr>
          <w:p>
            <w:pPr>
              <w:spacing w:before="71" w:line="220" w:lineRule="auto"/>
              <w:ind w:left="1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注：除非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特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别说明，均为成林发生(危害)程度标准，幼林的发生(危害)程度标准在此基础上相应降低1/3。</w:t>
            </w:r>
          </w:p>
        </w:tc>
      </w:tr>
    </w:tbl>
    <w:p>
      <w:pPr>
        <w:spacing w:before="205" w:line="222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修枝时间</w:t>
      </w:r>
    </w:p>
    <w:p>
      <w:pPr>
        <w:spacing w:before="274" w:line="220" w:lineRule="auto"/>
        <w:ind w:left="5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1"/>
          <w:sz w:val="21"/>
          <w:szCs w:val="21"/>
        </w:rPr>
        <w:t>当</w:t>
      </w:r>
      <w:r>
        <w:rPr>
          <w:rFonts w:ascii="SimSun" w:eastAsia="SimSun" w:hAnsi="SimSun" w:cs="SimSun"/>
          <w:spacing w:val="-15"/>
          <w:sz w:val="21"/>
          <w:szCs w:val="21"/>
        </w:rPr>
        <w:t>年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11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月至次年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2</w:t>
      </w:r>
      <w:r>
        <w:rPr>
          <w:rFonts w:ascii="SimSun" w:eastAsia="SimSun" w:hAnsi="SimSun" w:cs="SimSu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sz w:val="21"/>
          <w:szCs w:val="21"/>
        </w:rPr>
        <w:t>月。</w:t>
      </w:r>
    </w:p>
    <w:p>
      <w:pPr>
        <w:spacing w:before="207" w:line="222" w:lineRule="auto"/>
        <w:ind w:left="11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修枝操作要求</w:t>
      </w:r>
    </w:p>
    <w:p>
      <w:pPr>
        <w:spacing w:before="217" w:line="220" w:lineRule="auto"/>
        <w:ind w:left="1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5.5.1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修枝要求工具锋利，修枝时切口应该平滑，以利于伤口</w:t>
      </w:r>
      <w:r>
        <w:rPr>
          <w:rFonts w:ascii="SimSun" w:eastAsia="SimSun" w:hAnsi="SimSun" w:cs="SimSun"/>
          <w:sz w:val="21"/>
          <w:szCs w:val="21"/>
        </w:rPr>
        <w:t>愈合。</w:t>
      </w:r>
    </w:p>
    <w:p>
      <w:pPr>
        <w:spacing w:before="60" w:line="220" w:lineRule="auto"/>
        <w:ind w:left="1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5.5.2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修枝时要沿树干将发病枝条整枝清除。</w:t>
      </w:r>
    </w:p>
    <w:p>
      <w:pPr>
        <w:spacing w:before="63" w:line="274" w:lineRule="auto"/>
        <w:ind w:left="137" w:right="121" w:hanging="2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5.5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如果所修枝条较细，且没有明显的枝瘤或枝领时，应该紧靠枝干，自枝条基部垂直切据，参照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0"/>
          <w:sz w:val="21"/>
          <w:szCs w:val="21"/>
        </w:rPr>
        <w:t>附</w:t>
      </w:r>
      <w:r>
        <w:rPr>
          <w:rFonts w:ascii="SimSun" w:eastAsia="SimSun" w:hAnsi="SimSun" w:cs="SimSun"/>
          <w:spacing w:val="-16"/>
          <w:sz w:val="21"/>
          <w:szCs w:val="21"/>
        </w:rPr>
        <w:t>录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D。</w:t>
      </w:r>
    </w:p>
    <w:p>
      <w:pPr>
        <w:spacing w:before="1" w:line="274" w:lineRule="auto"/>
        <w:ind w:left="120" w:right="113" w:hanging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5.5.4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如果所修除的枝条直径大于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3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sz w:val="21"/>
          <w:szCs w:val="21"/>
        </w:rPr>
        <w:t>m</w:t>
      </w:r>
      <w:r>
        <w:rPr>
          <w:rFonts w:ascii="SimSun" w:eastAsia="SimSun" w:hAnsi="SimSun" w:cs="SimSun"/>
          <w:spacing w:val="-4"/>
          <w:sz w:val="21"/>
          <w:szCs w:val="21"/>
        </w:rPr>
        <w:t>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应该先从枝条下方先据一口，再从上方起据，最后再由枝条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基部修除，以免撕裂树皮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1" w:line="219" w:lineRule="auto"/>
        <w:ind w:left="1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5.5.5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伤</w:t>
      </w:r>
      <w:r>
        <w:rPr>
          <w:rFonts w:ascii="SimSun" w:eastAsia="SimSun" w:hAnsi="SimSun" w:cs="SimSun"/>
          <w:spacing w:val="-1"/>
          <w:sz w:val="21"/>
          <w:szCs w:val="21"/>
        </w:rPr>
        <w:t>口必须用油漆或者防腐剂封口。</w:t>
      </w:r>
    </w:p>
    <w:p>
      <w:pPr>
        <w:spacing w:before="61" w:line="220" w:lineRule="auto"/>
        <w:ind w:left="11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5.</w:t>
      </w:r>
      <w:r>
        <w:rPr>
          <w:rFonts w:ascii="SimHei" w:eastAsia="SimHei" w:hAnsi="SimHei" w:cs="SimHei"/>
          <w:spacing w:val="-1"/>
          <w:sz w:val="21"/>
          <w:szCs w:val="21"/>
        </w:rPr>
        <w:t>5.6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将修剪下来的丛枝枝条清理干净，集中销毁处理。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1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修枝效</w:t>
      </w:r>
      <w:r>
        <w:rPr>
          <w:rFonts w:ascii="SimHei" w:eastAsia="SimHei" w:hAnsi="SimHei" w:cs="SimHei"/>
          <w:sz w:val="21"/>
          <w:szCs w:val="21"/>
        </w:rPr>
        <w:t>果调查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ind w:left="120"/>
        <w:rPr>
          <w:rFonts w:ascii="SimHei" w:eastAsia="SimHei" w:hAnsi="SimHei" w:cs="SimHei"/>
          <w:sz w:val="21"/>
          <w:szCs w:val="21"/>
        </w:rPr>
        <w:sectPr>
          <w:footerReference w:type="default" r:id="rId9"/>
          <w:pgSz w:w="11905" w:h="16840"/>
          <w:pgMar w:top="1406" w:right="1019" w:bottom="1315" w:left="1305" w:header="0" w:footer="1135" w:gutter="0"/>
          <w:pgNumType w:start="11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6.1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调查方法</w:t>
      </w:r>
    </w:p>
    <w:p>
      <w:pPr>
        <w:spacing w:before="217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修前修后调查</w:t>
      </w:r>
    </w:p>
    <w:p>
      <w:pPr>
        <w:spacing w:before="215" w:line="220" w:lineRule="auto"/>
        <w:ind w:left="5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在修枝区修枝之前选择在具有代表性的</w:t>
      </w:r>
      <w:r>
        <w:rPr>
          <w:rFonts w:ascii="SimSun" w:eastAsia="SimSun" w:hAnsi="SimSun" w:cs="SimSun"/>
          <w:sz w:val="21"/>
          <w:szCs w:val="21"/>
        </w:rPr>
        <w:t>小班内设置样地，样地设置同本规程4.2.4。</w:t>
      </w:r>
    </w:p>
    <w:p>
      <w:pPr>
        <w:spacing w:before="219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对照区调查</w:t>
      </w:r>
    </w:p>
    <w:p>
      <w:pPr>
        <w:spacing w:before="215" w:line="287" w:lineRule="auto"/>
        <w:ind w:left="120" w:right="6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选择与修枝区寄生害发</w:t>
      </w:r>
      <w:r>
        <w:rPr>
          <w:rFonts w:ascii="SimSun" w:eastAsia="SimSun" w:hAnsi="SimSun" w:cs="SimSun"/>
          <w:spacing w:val="-1"/>
          <w:sz w:val="21"/>
          <w:szCs w:val="21"/>
        </w:rPr>
        <w:t>生情况相近的林分设置对照区，在对照区选择具有代表性的小班设置样地，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样地设置</w:t>
      </w:r>
      <w:r>
        <w:rPr>
          <w:rFonts w:ascii="SimSun" w:eastAsia="SimSun" w:hAnsi="SimSun" w:cs="SimSun"/>
          <w:spacing w:val="-1"/>
          <w:sz w:val="21"/>
          <w:szCs w:val="21"/>
        </w:rPr>
        <w:t>同本规程4.2.4。</w:t>
      </w:r>
    </w:p>
    <w:p>
      <w:pPr>
        <w:sectPr>
          <w:footerReference w:type="default" r:id="rId10"/>
          <w:type w:val="nextPage"/>
          <w:pgSz w:w="11905" w:h="16840"/>
          <w:pgMar w:top="1406" w:right="1019" w:bottom="1315" w:left="1305" w:header="0" w:footer="1135" w:gutter="0"/>
          <w:pgNumType w:start="12"/>
          <w:cols w:space="708"/>
          <w:titlePg w:val="0"/>
        </w:sectPr>
      </w:pPr>
    </w:p>
    <w:p>
      <w:pPr>
        <w:spacing w:before="42" w:line="236" w:lineRule="auto"/>
        <w:ind w:right="1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1345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—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>015</w:t>
      </w:r>
    </w:p>
    <w:p>
      <w:pPr>
        <w:spacing w:before="243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调查内容</w:t>
      </w:r>
    </w:p>
    <w:p>
      <w:pPr>
        <w:spacing w:before="214" w:line="283" w:lineRule="auto"/>
        <w:ind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主要有立地因子、林分</w:t>
      </w:r>
      <w:r>
        <w:rPr>
          <w:rFonts w:ascii="SimSun" w:eastAsia="SimSun" w:hAnsi="SimSun" w:cs="SimSun"/>
          <w:spacing w:val="-2"/>
          <w:sz w:val="21"/>
          <w:szCs w:val="21"/>
        </w:rPr>
        <w:t>因子、受害株率、云杉矮槲寄生害危害等级等。云杉矮槲寄生害危害分级标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准见附录</w:t>
      </w:r>
      <w:r>
        <w:rPr>
          <w:rFonts w:ascii="SimSun" w:eastAsia="SimSun" w:hAnsi="SimSun" w:cs="SimSun"/>
          <w:spacing w:val="-2"/>
          <w:sz w:val="21"/>
          <w:szCs w:val="21"/>
        </w:rPr>
        <w:t>C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  <w:r>
        <w:rPr>
          <w:rFonts w:ascii="SimSun" w:eastAsia="SimSun" w:hAnsi="SimSun" w:cs="SimSun"/>
          <w:spacing w:val="-3"/>
          <w:sz w:val="21"/>
          <w:szCs w:val="21"/>
        </w:rPr>
        <w:t>修</w:t>
      </w:r>
      <w:r>
        <w:rPr>
          <w:rFonts w:ascii="SimSun" w:eastAsia="SimSun" w:hAnsi="SimSun" w:cs="SimSun"/>
          <w:spacing w:val="-2"/>
          <w:sz w:val="21"/>
          <w:szCs w:val="21"/>
        </w:rPr>
        <w:t>枝效果调查表参见附录E、F、G。修枝效果可用死亡率、感病株率、病情指数等指标综合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衡量。并根据7.4公式计算修枝效果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26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防效监测</w:t>
      </w:r>
    </w:p>
    <w:p>
      <w:pPr>
        <w:spacing w:before="217" w:line="287" w:lineRule="auto"/>
        <w:ind w:left="18" w:firstLine="40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修</w:t>
      </w:r>
      <w:r>
        <w:rPr>
          <w:rFonts w:ascii="SimSun" w:eastAsia="SimSun" w:hAnsi="SimSun" w:cs="SimSun"/>
          <w:sz w:val="21"/>
          <w:szCs w:val="21"/>
        </w:rPr>
        <w:t>枝前调查1次，修枝后每年5~9月定期调查1次，监测修枝林地寄生害是否有初次侵染或二次侵染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的情况，以及</w:t>
      </w:r>
      <w:r>
        <w:rPr>
          <w:rFonts w:ascii="SimSun" w:eastAsia="SimSun" w:hAnsi="SimSun" w:cs="SimSun"/>
          <w:spacing w:val="-3"/>
          <w:sz w:val="21"/>
          <w:szCs w:val="21"/>
        </w:rPr>
        <w:t>是</w:t>
      </w:r>
      <w:r>
        <w:rPr>
          <w:rFonts w:ascii="SimSun" w:eastAsia="SimSun" w:hAnsi="SimSun" w:cs="SimSun"/>
          <w:spacing w:val="-2"/>
          <w:sz w:val="21"/>
          <w:szCs w:val="21"/>
        </w:rPr>
        <w:t>否引起次期性病虫害的发生。</w:t>
      </w:r>
    </w:p>
    <w:p>
      <w:pPr>
        <w:spacing w:before="283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计算公式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死亡率</w:t>
      </w:r>
    </w:p>
    <w:p>
      <w:pPr>
        <w:spacing w:before="291"/>
        <w:ind w:right="5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>=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 xml:space="preserve"> </w:t>
      </w:r>
      <w:r>
        <w:rPr>
          <w:position w:val="-24"/>
          <w:sz w:val="24"/>
          <w:szCs w:val="24"/>
        </w:rPr>
        <w:drawing>
          <wp:inline distT="0" distB="0" distL="0" distR="0">
            <wp:extent cx="310375" cy="41602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0375" cy="4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 xml:space="preserve"> 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1"/>
          <w:sz w:val="21"/>
          <w:szCs w:val="21"/>
        </w:rPr>
        <w:t>...................................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(1)</w:t>
      </w:r>
    </w:p>
    <w:p>
      <w:pPr>
        <w:spacing w:before="204" w:line="221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sz w:val="21"/>
          <w:szCs w:val="21"/>
        </w:rPr>
        <w:t>死</w:t>
      </w:r>
      <w:r>
        <w:rPr>
          <w:rFonts w:ascii="SimSun" w:eastAsia="SimSun" w:hAnsi="SimSun" w:cs="SimSun"/>
          <w:spacing w:val="-2"/>
          <w:sz w:val="21"/>
          <w:szCs w:val="21"/>
        </w:rPr>
        <w:t>亡率%；</w:t>
      </w:r>
    </w:p>
    <w:p>
      <w:pPr>
        <w:spacing w:before="61" w:line="312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X</w:t>
      </w:r>
      <w:r>
        <w:rPr>
          <w:rFonts w:ascii="SimSun" w:eastAsia="SimSun" w:hAnsi="SimSun" w:cs="SimSun"/>
          <w:spacing w:val="10"/>
          <w:position w:val="7"/>
          <w:sz w:val="21"/>
          <w:szCs w:val="21"/>
        </w:rPr>
        <w:t>(</w:t>
      </w:r>
      <w:r>
        <w:rPr>
          <w:rFonts w:ascii="SimSun" w:eastAsia="SimSun" w:hAnsi="SimSun" w:cs="SimSun"/>
          <w:spacing w:val="6"/>
          <w:position w:val="7"/>
          <w:sz w:val="21"/>
          <w:szCs w:val="21"/>
        </w:rPr>
        <w:t>1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)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5"/>
          <w:position w:val="7"/>
          <w:sz w:val="21"/>
          <w:szCs w:val="21"/>
        </w:rPr>
        <w:t>死亡株数；</w:t>
      </w:r>
    </w:p>
    <w:p>
      <w:pPr>
        <w:spacing w:before="1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X</w:t>
      </w: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SimSun" w:eastAsia="SimSun" w:hAnsi="SimSun" w:cs="SimSun"/>
          <w:spacing w:val="5"/>
          <w:sz w:val="21"/>
          <w:szCs w:val="21"/>
        </w:rPr>
        <w:t>2)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——</w:t>
      </w:r>
      <w:r>
        <w:rPr>
          <w:rFonts w:ascii="SimSun" w:eastAsia="SimSun" w:hAnsi="SimSun" w:cs="SimSun"/>
          <w:spacing w:val="5"/>
          <w:sz w:val="21"/>
          <w:szCs w:val="21"/>
        </w:rPr>
        <w:t>实际调查总株数。</w:t>
      </w:r>
    </w:p>
    <w:p>
      <w:pPr>
        <w:spacing w:before="218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感病</w:t>
      </w:r>
      <w:r>
        <w:rPr>
          <w:rFonts w:ascii="SimHei" w:eastAsia="SimHei" w:hAnsi="SimHei" w:cs="SimHei"/>
          <w:sz w:val="21"/>
          <w:szCs w:val="21"/>
        </w:rPr>
        <w:t>株率</w:t>
      </w:r>
    </w:p>
    <w:p>
      <w:pPr>
        <w:spacing w:before="290"/>
        <w:ind w:right="5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>=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 xml:space="preserve"> </w:t>
      </w:r>
      <w:r>
        <w:rPr>
          <w:position w:val="-25"/>
          <w:sz w:val="24"/>
          <w:szCs w:val="24"/>
        </w:rPr>
        <w:drawing>
          <wp:inline distT="0" distB="0" distL="0" distR="0">
            <wp:extent cx="310375" cy="41830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0375" cy="41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 xml:space="preserve"> </w:t>
      </w:r>
      <w:r>
        <w:rPr>
          <w:rFonts w:ascii="Segoe UI Symbol" w:eastAsia="Segoe UI Symbol" w:hAnsi="Segoe UI Symbol" w:cs="Segoe UI Symbol"/>
          <w:spacing w:val="-1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</w:t>
      </w:r>
      <w:r>
        <w:rPr>
          <w:rFonts w:ascii="SimSun" w:eastAsia="SimSun" w:hAnsi="SimSun" w:cs="SimSun"/>
          <w:spacing w:val="-1"/>
          <w:sz w:val="21"/>
          <w:szCs w:val="21"/>
        </w:rPr>
        <w:t>...................................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(2)</w:t>
      </w:r>
    </w:p>
    <w:p>
      <w:pPr>
        <w:spacing w:before="202" w:line="221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spacing w:val="-6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-4"/>
          <w:position w:val="7"/>
          <w:sz w:val="21"/>
          <w:szCs w:val="21"/>
        </w:rPr>
        <w:t>感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病株率%；</w:t>
      </w:r>
    </w:p>
    <w:p>
      <w:pPr>
        <w:spacing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X</w:t>
      </w:r>
      <w:r>
        <w:rPr>
          <w:rFonts w:ascii="SimSun" w:eastAsia="SimSun" w:hAnsi="SimSun" w:cs="SimSun"/>
          <w:spacing w:val="-6"/>
          <w:sz w:val="21"/>
          <w:szCs w:val="21"/>
        </w:rPr>
        <w:t>(1)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sz w:val="21"/>
          <w:szCs w:val="21"/>
        </w:rPr>
        <w:t>发病株数；</w:t>
      </w:r>
    </w:p>
    <w:p>
      <w:pPr>
        <w:spacing w:before="62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X</w:t>
      </w:r>
      <w:r>
        <w:rPr>
          <w:rFonts w:ascii="SimSun" w:eastAsia="SimSun" w:hAnsi="SimSun" w:cs="SimSun"/>
          <w:spacing w:val="-4"/>
          <w:sz w:val="21"/>
          <w:szCs w:val="21"/>
        </w:rPr>
        <w:t>(2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——</w:t>
      </w:r>
      <w:r>
        <w:rPr>
          <w:rFonts w:ascii="SimSun" w:eastAsia="SimSun" w:hAnsi="SimSun" w:cs="SimSun"/>
          <w:spacing w:val="-2"/>
          <w:sz w:val="21"/>
          <w:szCs w:val="21"/>
        </w:rPr>
        <w:t>实际调查株数。</w:t>
      </w:r>
    </w:p>
    <w:p>
      <w:pPr>
        <w:spacing w:before="217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病情指</w:t>
      </w:r>
      <w:r>
        <w:rPr>
          <w:rFonts w:ascii="SimHei" w:eastAsia="SimHei" w:hAnsi="SimHei" w:cs="SimHei"/>
          <w:sz w:val="21"/>
          <w:szCs w:val="21"/>
        </w:rPr>
        <w:t>数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80" w:line="359" w:lineRule="exact"/>
        <w:ind w:right="57"/>
        <w:jc w:val="right"/>
        <w:rPr>
          <w:rFonts w:ascii="SimSun" w:eastAsia="SimSun" w:hAnsi="SimSun" w:cs="SimSun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94.95pt;height:38.65pt;margin-top:-9.57pt;margin-left:153.36pt;position:absolute;z-index:251660288" filled="f" stroked="f">
            <o:lock v:ext="edit" aspectratio="f"/>
            <v:textbox inset="0,0,0,0">
              <w:txbxContent>
                <w:p>
                  <w:pPr>
                    <w:tabs>
                      <w:tab w:val="left" w:pos="115"/>
                    </w:tabs>
                    <w:spacing w:before="20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  <w:szCs w:val="24"/>
                      <w:u w:val="single" w:color="auto"/>
                    </w:rPr>
                    <w:tab/>
                  </w:r>
                  <w:r>
                    <w:rPr>
                      <w:rFonts w:ascii="Segoe UI Symbol" w:eastAsia="Segoe UI Symbol" w:hAnsi="Segoe UI Symbol" w:cs="Segoe UI Symbol"/>
                      <w:position w:val="-6"/>
                      <w:sz w:val="24"/>
                      <w:szCs w:val="24"/>
                    </w:rPr>
                    <w:drawing>
                      <wp:inline distT="0" distB="0" distL="0" distR="0">
                        <wp:extent cx="512514" cy="227685"/>
                        <wp:effectExtent l="0" t="0" r="0" b="0"/>
                        <wp:docPr id="3" name="IM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 3"/>
                                <pic:cNvPicPr/>
                              </pic:nvPicPr>
                              <pic:blipFill>
                                <a:blip xmlns:r="http://schemas.openxmlformats.org/officeDocument/2006/relationships"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2514" cy="2276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egoe UI Symbol" w:eastAsia="Segoe UI Symbol" w:hAnsi="Segoe UI Symbol" w:cs="Segoe UI Symbol"/>
                      <w:spacing w:val="-9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Segoe UI Symbol" w:eastAsia="Segoe UI Symbol" w:hAnsi="Segoe UI Symbol" w:cs="Segoe UI Symbol"/>
                      <w:spacing w:val="-9"/>
                      <w:sz w:val="24"/>
                      <w:szCs w:val="24"/>
                      <w:u w:val="single" w:color="auto"/>
                    </w:rPr>
                    <w:t>×</w:t>
                  </w:r>
                  <w:r>
                    <w:rPr>
                      <w:rFonts w:ascii="Segoe UI Symbol" w:eastAsia="Segoe UI Symbol" w:hAnsi="Segoe UI Symbol" w:cs="Segoe UI Symbol"/>
                      <w:spacing w:val="-9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  <w:sz w:val="24"/>
                      <w:szCs w:val="24"/>
                      <w:u w:val="single" w:color="auto"/>
                    </w:rPr>
                    <w:t>N(X1)}</w:t>
                  </w:r>
                </w:p>
                <w:p>
                  <w:pPr>
                    <w:spacing w:before="154" w:line="165" w:lineRule="auto"/>
                    <w:ind w:left="668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egoe UI Symbol" w:eastAsia="Segoe UI Symbol" w:hAnsi="Segoe UI Symbol" w:cs="Segoe UI Symbol"/>
                      <w:spacing w:val="-2"/>
                      <w:sz w:val="24"/>
                      <w:szCs w:val="24"/>
                    </w:rPr>
                    <w:t>×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1"/>
          <w:position w:val="3"/>
          <w:sz w:val="24"/>
          <w:szCs w:val="24"/>
        </w:rPr>
        <w:t xml:space="preserve"> </w:t>
      </w:r>
      <w:r>
        <w:rPr>
          <w:rFonts w:ascii="Segoe UI Symbol" w:eastAsia="Segoe UI Symbol" w:hAnsi="Segoe UI Symbol" w:cs="Segoe UI Symbol"/>
          <w:spacing w:val="-1"/>
          <w:position w:val="3"/>
          <w:sz w:val="24"/>
          <w:szCs w:val="24"/>
        </w:rPr>
        <w:t>=</w:t>
      </w:r>
      <w:r>
        <w:rPr>
          <w:rFonts w:ascii="Segoe UI Symbol" w:eastAsia="Segoe UI Symbol" w:hAnsi="Segoe UI Symbol" w:cs="Segoe UI Symbol"/>
          <w:spacing w:val="-1"/>
          <w:position w:val="3"/>
          <w:sz w:val="24"/>
          <w:szCs w:val="24"/>
        </w:rPr>
        <w:t xml:space="preserve">                  </w:t>
      </w:r>
      <w:r>
        <w:rPr>
          <w:rFonts w:ascii="Segoe UI Symbol" w:eastAsia="Segoe UI Symbol" w:hAnsi="Segoe UI Symbol" w:cs="Segoe UI Symbol"/>
          <w:position w:val="3"/>
          <w:sz w:val="24"/>
          <w:szCs w:val="24"/>
        </w:rPr>
        <w:t xml:space="preserve">           </w:t>
      </w:r>
      <w:r>
        <w:rPr>
          <w:rFonts w:ascii="Segoe UI Symbol" w:eastAsia="Segoe UI Symbol" w:hAnsi="Segoe UI Symbol" w:cs="Segoe UI Symbol"/>
          <w:position w:val="3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position w:val="3"/>
          <w:sz w:val="24"/>
          <w:szCs w:val="24"/>
        </w:rPr>
        <w:t xml:space="preserve">   </w:t>
      </w:r>
      <w:r>
        <w:rPr>
          <w:rFonts w:ascii="SimSun" w:eastAsia="SimSun" w:hAnsi="SimSun" w:cs="SimSun"/>
          <w:position w:val="3"/>
          <w:sz w:val="21"/>
          <w:szCs w:val="21"/>
        </w:rPr>
        <w:t>.............................</w:t>
      </w:r>
      <w:r>
        <w:rPr>
          <w:rFonts w:ascii="SimSun" w:eastAsia="SimSun" w:hAnsi="SimSun" w:cs="SimSun"/>
          <w:position w:val="3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3"/>
          <w:sz w:val="21"/>
          <w:szCs w:val="21"/>
        </w:rPr>
        <w:t>(3)</w:t>
      </w:r>
    </w:p>
    <w:p>
      <w:pPr>
        <w:spacing w:before="281" w:line="221" w:lineRule="auto"/>
        <w:ind w:left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5"/>
          <w:sz w:val="21"/>
          <w:szCs w:val="21"/>
        </w:rPr>
        <w:t>式</w:t>
      </w:r>
      <w:r>
        <w:rPr>
          <w:rFonts w:ascii="SimSun" w:eastAsia="SimSun" w:hAnsi="SimSun" w:cs="SimSun"/>
          <w:spacing w:val="-13"/>
          <w:sz w:val="21"/>
          <w:szCs w:val="21"/>
        </w:rPr>
        <w:t>中：</w:t>
      </w:r>
    </w:p>
    <w:p>
      <w:pPr>
        <w:spacing w:before="61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spacing w:val="-1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病情指</w:t>
      </w:r>
      <w:r>
        <w:rPr>
          <w:rFonts w:ascii="SimSun" w:eastAsia="SimSun" w:hAnsi="SimSun" w:cs="SimSun"/>
          <w:position w:val="7"/>
          <w:sz w:val="21"/>
          <w:szCs w:val="21"/>
        </w:rPr>
        <w:t>数</w:t>
      </w:r>
    </w:p>
    <w:p>
      <w:pPr>
        <w:spacing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X</w:t>
      </w:r>
      <w:r>
        <w:rPr>
          <w:rFonts w:ascii="SimSun" w:eastAsia="SimSun" w:hAnsi="SimSun" w:cs="SimSun"/>
          <w:spacing w:val="-6"/>
          <w:sz w:val="21"/>
          <w:szCs w:val="21"/>
        </w:rPr>
        <w:t>(</w:t>
      </w:r>
      <w:r>
        <w:rPr>
          <w:rFonts w:ascii="SimSun" w:eastAsia="SimSun" w:hAnsi="SimSun" w:cs="SimSun"/>
          <w:spacing w:val="-5"/>
          <w:sz w:val="21"/>
          <w:szCs w:val="21"/>
        </w:rPr>
        <w:t>1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sz w:val="21"/>
          <w:szCs w:val="21"/>
        </w:rPr>
        <w:t>各病级代表数值；</w:t>
      </w:r>
    </w:p>
    <w:p>
      <w:pPr>
        <w:spacing w:before="61" w:line="312" w:lineRule="exact"/>
        <w:ind w:left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N(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X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1)</w:t>
      </w:r>
      <w:r>
        <w:rPr>
          <w:rFonts w:ascii="Times New Roman" w:eastAsia="Times New Roman" w:hAnsi="Times New Roman" w:cs="Times New Roman"/>
          <w:spacing w:val="-3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某一级别的株树；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https://d.book118.com/528026007077006025</w:t>
        </w:r>
      </w:hyperlink>
    </w:p>
    <w:p>
      <w:pPr>
        <w:spacing w:before="61" w:line="312" w:lineRule="exact"/>
        <w:ind w:left="414"/>
        <w:rPr>
          <w:rFonts w:ascii="SimSun" w:eastAsia="SimSun" w:hAnsi="SimSun" w:cs="SimSun"/>
          <w:sz w:val="21"/>
          <w:szCs w:val="21"/>
        </w:rPr>
      </w:pPr>
    </w:p>
    <w:sectPr>
      <w:footerReference w:type="default" r:id="rId15"/>
      <w:pgSz w:w="11905" w:h="16840"/>
      <w:pgMar w:top="1406" w:right="1131" w:bottom="1315" w:left="1425" w:header="0" w:footer="1134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8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19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image" Target="media/image1.png" /><Relationship Id="rId12" Type="http://schemas.openxmlformats.org/officeDocument/2006/relationships/image" Target="media/image2.png" /><Relationship Id="rId13" Type="http://schemas.openxmlformats.org/officeDocument/2006/relationships/image" Target="media/image3.png" /><Relationship Id="rId14" Type="http://schemas.openxmlformats.org/officeDocument/2006/relationships/hyperlink" Target="https://d.book118.com/528026007077006025" TargetMode="External" /><Relationship Id="rId15" Type="http://schemas.openxmlformats.org/officeDocument/2006/relationships/footer" Target="footer8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&lt;4D6963726F736F667420576F7264202D2044423133343520D4C6C9BCB0ABE9CEBCC4C9FABAA6C8CBB9A4D0DED6A6BCBCCAF5B9E6B3CC2E746373&gt;</dc:title>
  <dc:creator>lllll</dc:creator>
  <cp:revision>0</cp:revision>
  <dcterms:created xsi:type="dcterms:W3CDTF">2022-02-16T22:49:23Z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2023-05-14T21:00:45Z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6460db740c8b29001555d2e5</vt:lpwstr>
  </property>
</Properties>
</file>