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7093">
      <w:pPr>
        <w:spacing w:after="156" w:afterLines="50"/>
        <w:jc w:val="center"/>
        <w:rPr>
          <w:rFonts w:hint="eastAsia"/>
          <w:sz w:val="44"/>
          <w:szCs w:val="44"/>
        </w:rPr>
      </w:pPr>
      <w:bookmarkStart w:id="0" w:name="_Toc88901201"/>
      <w:bookmarkStart w:id="1" w:name="_Toc88906475"/>
      <w:bookmarkStart w:id="2" w:name="_Toc88906544"/>
    </w:p>
    <w:p w:rsidR="00337093">
      <w:pPr>
        <w:spacing w:after="156" w:afterLines="50"/>
        <w:jc w:val="center"/>
        <w:rPr>
          <w:rFonts w:hint="eastAsia"/>
          <w:sz w:val="44"/>
          <w:szCs w:val="44"/>
        </w:rPr>
      </w:pPr>
    </w:p>
    <w:p w:rsidR="00337093">
      <w:pPr>
        <w:spacing w:line="1100" w:lineRule="exact"/>
        <w:jc w:val="center"/>
        <w:rPr>
          <w:b/>
          <w:sz w:val="58"/>
          <w:szCs w:val="72"/>
        </w:rPr>
      </w:pPr>
      <w:r>
        <w:rPr>
          <w:rFonts w:hAnsi="宋体" w:hint="eastAsia"/>
          <w:b/>
          <w:sz w:val="58"/>
          <w:szCs w:val="72"/>
        </w:rPr>
        <w:t>XX</w:t>
      </w:r>
      <w:r>
        <w:rPr>
          <w:rFonts w:hAnsi="宋体"/>
          <w:b/>
          <w:sz w:val="58"/>
          <w:szCs w:val="72"/>
        </w:rPr>
        <w:t>市新能源汽车充电基础设施建设项目</w:t>
      </w:r>
    </w:p>
    <w:p w:rsidR="00337093">
      <w:pPr>
        <w:autoSpaceDE w:val="0"/>
        <w:autoSpaceDN w:val="0"/>
        <w:jc w:val="center"/>
        <w:rPr>
          <w:kern w:val="0"/>
          <w:sz w:val="88"/>
          <w:szCs w:val="28"/>
          <w:lang w:val="zh-CN"/>
        </w:rPr>
      </w:pPr>
    </w:p>
    <w:p w:rsidR="00337093">
      <w:pPr>
        <w:autoSpaceDE w:val="0"/>
        <w:autoSpaceDN w:val="0"/>
        <w:jc w:val="center"/>
        <w:rPr>
          <w:kern w:val="0"/>
          <w:sz w:val="36"/>
          <w:szCs w:val="28"/>
          <w:lang w:val="zh-CN"/>
        </w:rPr>
      </w:pPr>
      <w:r>
        <w:rPr>
          <w:rFonts w:hAnsi="宋体"/>
          <w:kern w:val="0"/>
          <w:sz w:val="88"/>
          <w:szCs w:val="28"/>
          <w:lang w:val="zh-CN"/>
        </w:rPr>
        <w:t>可行性研究报告</w:t>
      </w:r>
    </w:p>
    <w:p w:rsidR="00337093">
      <w:pPr>
        <w:autoSpaceDE w:val="0"/>
        <w:autoSpaceDN w:val="0"/>
        <w:jc w:val="center"/>
        <w:rPr>
          <w:kern w:val="0"/>
          <w:sz w:val="28"/>
          <w:szCs w:val="28"/>
        </w:rPr>
      </w:pPr>
    </w:p>
    <w:p w:rsidR="00337093">
      <w:pPr>
        <w:autoSpaceDE w:val="0"/>
        <w:autoSpaceDN w:val="0"/>
        <w:jc w:val="center"/>
        <w:rPr>
          <w:kern w:val="0"/>
          <w:sz w:val="28"/>
          <w:szCs w:val="28"/>
          <w:lang w:val="zh-CN"/>
        </w:rPr>
      </w:pPr>
    </w:p>
    <w:p w:rsidR="00337093">
      <w:pPr>
        <w:autoSpaceDE w:val="0"/>
        <w:autoSpaceDN w:val="0"/>
        <w:jc w:val="center"/>
        <w:rPr>
          <w:kern w:val="0"/>
          <w:sz w:val="28"/>
          <w:szCs w:val="28"/>
          <w:lang w:val="zh-CN"/>
        </w:rPr>
      </w:pPr>
    </w:p>
    <w:p w:rsidR="00337093">
      <w:pPr>
        <w:autoSpaceDE w:val="0"/>
        <w:autoSpaceDN w:val="0"/>
        <w:jc w:val="center"/>
        <w:rPr>
          <w:rFonts w:hint="eastAsia"/>
          <w:kern w:val="0"/>
          <w:sz w:val="28"/>
          <w:szCs w:val="28"/>
          <w:lang w:val="zh-CN"/>
        </w:rPr>
      </w:pPr>
    </w:p>
    <w:p w:rsidR="00337093">
      <w:pPr>
        <w:autoSpaceDE w:val="0"/>
        <w:autoSpaceDN w:val="0"/>
        <w:jc w:val="center"/>
        <w:rPr>
          <w:rFonts w:hint="eastAsia"/>
          <w:kern w:val="0"/>
          <w:sz w:val="28"/>
          <w:szCs w:val="28"/>
          <w:lang w:val="zh-CN"/>
        </w:rPr>
      </w:pPr>
    </w:p>
    <w:p w:rsidR="00337093">
      <w:pPr>
        <w:autoSpaceDE w:val="0"/>
        <w:autoSpaceDN w:val="0"/>
        <w:jc w:val="center"/>
        <w:rPr>
          <w:kern w:val="0"/>
          <w:sz w:val="28"/>
          <w:szCs w:val="28"/>
          <w:lang w:val="zh-CN"/>
        </w:rPr>
      </w:pPr>
    </w:p>
    <w:p w:rsidR="00337093">
      <w:pPr>
        <w:autoSpaceDE w:val="0"/>
        <w:autoSpaceDN w:val="0"/>
        <w:jc w:val="center"/>
        <w:rPr>
          <w:kern w:val="0"/>
          <w:sz w:val="28"/>
          <w:szCs w:val="28"/>
          <w:lang w:val="zh-CN"/>
        </w:rPr>
      </w:pPr>
    </w:p>
    <w:p w:rsidR="00337093" w:rsidP="00337093">
      <w:pPr>
        <w:ind w:firstLine="1080" w:firstLineChars="300"/>
        <w:rPr>
          <w:rFonts w:hAnsi="宋体" w:hint="eastAsia"/>
          <w:b/>
          <w:spacing w:val="-20"/>
          <w:sz w:val="36"/>
          <w:szCs w:val="36"/>
        </w:rPr>
      </w:pPr>
      <w:r>
        <w:rPr>
          <w:rFonts w:hAnsi="宋体"/>
          <w:b/>
          <w:spacing w:val="-20"/>
          <w:sz w:val="36"/>
          <w:szCs w:val="36"/>
        </w:rPr>
        <w:t>项目承办单位：</w:t>
      </w:r>
      <w:r>
        <w:rPr>
          <w:rFonts w:hAnsi="宋体" w:hint="eastAsia"/>
          <w:b/>
          <w:spacing w:val="-20"/>
          <w:sz w:val="36"/>
          <w:szCs w:val="36"/>
        </w:rPr>
        <w:t>XXXX有限公司</w:t>
      </w:r>
    </w:p>
    <w:p w:rsidR="00337093" w:rsidP="00337093">
      <w:pPr>
        <w:ind w:firstLine="1080" w:firstLineChars="300"/>
        <w:rPr>
          <w:rFonts w:hint="eastAsia"/>
          <w:b/>
          <w:spacing w:val="-20"/>
          <w:sz w:val="36"/>
          <w:szCs w:val="36"/>
        </w:rPr>
      </w:pPr>
      <w:r>
        <w:rPr>
          <w:rFonts w:hAnsi="宋体"/>
          <w:b/>
          <w:spacing w:val="-20"/>
          <w:sz w:val="36"/>
          <w:szCs w:val="36"/>
        </w:rPr>
        <w:t>项目编制单位：北京智博睿投资咨询有限公司</w:t>
      </w:r>
    </w:p>
    <w:p w:rsidR="00337093" w:rsidP="00337093">
      <w:pPr>
        <w:ind w:firstLine="1080" w:firstLineChars="300"/>
        <w:rPr>
          <w:rFonts w:hint="eastAsia"/>
          <w:b/>
          <w:spacing w:val="-20"/>
          <w:sz w:val="36"/>
          <w:szCs w:val="36"/>
        </w:rPr>
      </w:pPr>
    </w:p>
    <w:p w:rsidR="00337093">
      <w:pPr>
        <w:spacing w:after="156" w:afterLines="50"/>
        <w:jc w:val="center"/>
        <w:rPr>
          <w:b/>
          <w:sz w:val="44"/>
          <w:szCs w:val="44"/>
        </w:rPr>
      </w:pPr>
    </w:p>
    <w:p w:rsidR="00337093">
      <w:pPr>
        <w:spacing w:after="156" w:afterLines="50"/>
        <w:jc w:val="center"/>
        <w:rPr>
          <w:b/>
          <w:sz w:val="44"/>
          <w:szCs w:val="44"/>
        </w:rPr>
        <w:sectPr>
          <w:headerReference w:type="default" r:id="rId4"/>
          <w:headerReference w:type="first" r:id="rId5"/>
          <w:pgSz w:w="11906" w:h="16838"/>
          <w:pgMar w:top="1588" w:right="1588" w:bottom="1588" w:left="1701" w:header="851" w:footer="992" w:gutter="0"/>
          <w:cols w:space="720"/>
          <w:titlePg/>
          <w:docGrid w:type="linesAndChars" w:linePitch="312"/>
        </w:sectPr>
      </w:pPr>
    </w:p>
    <w:p w:rsidR="00337093">
      <w:pPr>
        <w:spacing w:after="156" w:afterLines="50"/>
        <w:jc w:val="center"/>
        <w:rPr>
          <w:b/>
          <w:sz w:val="44"/>
          <w:szCs w:val="44"/>
        </w:rPr>
      </w:pPr>
      <w:r>
        <w:rPr>
          <w:rFonts w:hAnsi="宋体"/>
          <w:b/>
          <w:sz w:val="44"/>
          <w:szCs w:val="44"/>
        </w:rPr>
        <w:t>目</w:t>
      </w:r>
      <w:r>
        <w:rPr>
          <w:b/>
          <w:sz w:val="44"/>
          <w:szCs w:val="44"/>
        </w:rPr>
        <w:t xml:space="preserve">   </w:t>
      </w:r>
      <w:r>
        <w:rPr>
          <w:rFonts w:hAnsi="宋体"/>
          <w:b/>
          <w:sz w:val="44"/>
          <w:szCs w:val="44"/>
        </w:rPr>
        <w:t>录</w:t>
      </w:r>
    </w:p>
    <w:p w:rsidR="00337093">
      <w:pPr>
        <w:pStyle w:val="TOC1"/>
        <w:tabs>
          <w:tab w:val="right" w:leader="dot" w:pos="8607"/>
        </w:tabs>
        <w:rPr>
          <w:rFonts w:eastAsia="宋体"/>
          <w:sz w:val="21"/>
          <w:szCs w:val="24"/>
        </w:rPr>
      </w:pPr>
      <w:bookmarkEnd w:id="0"/>
      <w:bookmarkEnd w:id="1"/>
      <w:bookmarkEnd w:id="2"/>
      <w:r>
        <w:rPr>
          <w:rFonts w:hAnsi="宋体"/>
          <w:b/>
          <w:bCs w:val="0"/>
          <w:caps w:val="0"/>
          <w:szCs w:val="28"/>
        </w:rPr>
        <w:fldChar w:fldCharType="begin"/>
      </w:r>
      <w:r>
        <w:rPr>
          <w:rFonts w:hAnsi="宋体"/>
          <w:b/>
          <w:bCs w:val="0"/>
          <w:caps w:val="0"/>
          <w:szCs w:val="28"/>
        </w:rPr>
        <w:instrText xml:space="preserve"> TOC \o "1-2" \h \z \u </w:instrText>
      </w:r>
      <w:r>
        <w:rPr>
          <w:rFonts w:hAnsi="宋体"/>
          <w:b/>
          <w:bCs w:val="0"/>
          <w:caps w:val="0"/>
          <w:szCs w:val="28"/>
        </w:rPr>
        <w:fldChar w:fldCharType="separate"/>
      </w:r>
      <w:hyperlink w:anchor="_Toc449530768" w:history="1">
        <w:r>
          <w:rPr>
            <w:rStyle w:val="Hyperlink"/>
            <w:rFonts w:hAnsi="宋体" w:hint="eastAsia"/>
            <w:b/>
          </w:rPr>
          <w:t>第一章</w:t>
        </w:r>
        <w:r>
          <w:rPr>
            <w:rStyle w:val="Hyperlink"/>
            <w:b/>
          </w:rPr>
          <w:t xml:space="preserve">  </w:t>
        </w:r>
        <w:r>
          <w:rPr>
            <w:rStyle w:val="Hyperlink"/>
            <w:rFonts w:hAnsi="宋体" w:hint="eastAsia"/>
            <w:b/>
          </w:rPr>
          <w:t>项目总论</w:t>
        </w:r>
        <w:r>
          <w:tab/>
        </w:r>
        <w:r>
          <w:fldChar w:fldCharType="begin"/>
        </w:r>
        <w:r>
          <w:instrText xml:space="preserve"> PAGEREF _Toc449530768 \h </w:instrText>
        </w:r>
        <w:r>
          <w:fldChar w:fldCharType="separate"/>
        </w:r>
        <w:r>
          <w:t>- 1 -</w:t>
        </w:r>
        <w:r>
          <w:fldChar w:fldCharType="end"/>
        </w:r>
      </w:hyperlink>
    </w:p>
    <w:p w:rsidR="00337093">
      <w:pPr>
        <w:pStyle w:val="TOC2"/>
        <w:rPr>
          <w:sz w:val="21"/>
          <w:szCs w:val="24"/>
          <w:lang w:val="en-US" w:eastAsia="zh-CN"/>
        </w:rPr>
      </w:pPr>
      <w:hyperlink w:anchor="_Toc449530769" w:history="1">
        <w:r>
          <w:rPr>
            <w:rStyle w:val="Hyperlink"/>
          </w:rPr>
          <w:t>1.1</w:t>
        </w:r>
        <w:r>
          <w:rPr>
            <w:rStyle w:val="Hyperlink"/>
            <w:rFonts w:hAnsi="宋体" w:hint="eastAsia"/>
          </w:rPr>
          <w:t>项目背景</w:t>
        </w:r>
        <w:r>
          <w:tab/>
        </w:r>
        <w:r>
          <w:fldChar w:fldCharType="begin"/>
        </w:r>
        <w:r>
          <w:instrText xml:space="preserve"> PAGEREF _Toc449530769 \h </w:instrText>
        </w:r>
        <w:r>
          <w:fldChar w:fldCharType="separate"/>
        </w:r>
        <w:r>
          <w:t xml:space="preserve">- </w:t>
        </w:r>
        <w:r>
          <w:t>1 -</w:t>
        </w:r>
        <w:r>
          <w:fldChar w:fldCharType="end"/>
        </w:r>
      </w:hyperlink>
    </w:p>
    <w:p w:rsidR="00337093">
      <w:pPr>
        <w:pStyle w:val="TOC2"/>
        <w:rPr>
          <w:sz w:val="21"/>
          <w:szCs w:val="24"/>
          <w:lang w:val="en-US" w:eastAsia="zh-CN"/>
        </w:rPr>
      </w:pPr>
      <w:hyperlink w:anchor="_Toc449530770" w:history="1">
        <w:r>
          <w:rPr>
            <w:rStyle w:val="Hyperlink"/>
          </w:rPr>
          <w:t>1.2</w:t>
        </w:r>
        <w:r>
          <w:rPr>
            <w:rStyle w:val="Hyperlink"/>
            <w:rFonts w:hAnsi="宋体" w:hint="eastAsia"/>
          </w:rPr>
          <w:t>可行性研究结论</w:t>
        </w:r>
        <w:r>
          <w:tab/>
        </w:r>
        <w:r>
          <w:fldChar w:fldCharType="begin"/>
        </w:r>
        <w:r>
          <w:instrText xml:space="preserve"> PAGEREF _Toc449530770 \h </w:instrText>
        </w:r>
        <w:r>
          <w:fldChar w:fldCharType="separate"/>
        </w:r>
        <w:r>
          <w:t>- 2 -</w:t>
        </w:r>
        <w:r>
          <w:fldChar w:fldCharType="end"/>
        </w:r>
      </w:hyperlink>
    </w:p>
    <w:p w:rsidR="00337093">
      <w:pPr>
        <w:pStyle w:val="TOC2"/>
        <w:rPr>
          <w:sz w:val="21"/>
          <w:szCs w:val="24"/>
          <w:lang w:val="en-US" w:eastAsia="zh-CN"/>
        </w:rPr>
      </w:pPr>
      <w:hyperlink w:anchor="_Toc449530771" w:history="1">
        <w:r>
          <w:rPr>
            <w:rStyle w:val="Hyperlink"/>
          </w:rPr>
          <w:t>1.3</w:t>
        </w:r>
        <w:r>
          <w:rPr>
            <w:rStyle w:val="Hyperlink"/>
            <w:rFonts w:hAnsi="宋体" w:hint="eastAsia"/>
          </w:rPr>
          <w:t>主要技术经济指标表</w:t>
        </w:r>
        <w:r>
          <w:tab/>
        </w:r>
        <w:r>
          <w:fldChar w:fldCharType="begin"/>
        </w:r>
        <w:r>
          <w:instrText xml:space="preserve"> PAGEREF _Toc449530771 \h </w:instrText>
        </w:r>
        <w:r>
          <w:fldChar w:fldCharType="separate"/>
        </w:r>
        <w:r>
          <w:t>- 6 -</w:t>
        </w:r>
        <w:r>
          <w:fldChar w:fldCharType="end"/>
        </w:r>
      </w:hyperlink>
    </w:p>
    <w:p w:rsidR="00337093">
      <w:pPr>
        <w:pStyle w:val="TOC1"/>
        <w:tabs>
          <w:tab w:val="right" w:leader="dot" w:pos="8607"/>
        </w:tabs>
        <w:rPr>
          <w:rFonts w:eastAsia="宋体"/>
          <w:sz w:val="21"/>
          <w:szCs w:val="24"/>
        </w:rPr>
      </w:pPr>
      <w:hyperlink w:anchor="_Toc449530772" w:history="1">
        <w:r>
          <w:rPr>
            <w:rStyle w:val="Hyperlink"/>
            <w:rFonts w:hAnsi="宋体" w:hint="eastAsia"/>
            <w:b/>
          </w:rPr>
          <w:t>第二章</w:t>
        </w:r>
        <w:r>
          <w:rPr>
            <w:rStyle w:val="Hyperlink"/>
            <w:b/>
          </w:rPr>
          <w:t xml:space="preserve">  </w:t>
        </w:r>
        <w:r>
          <w:rPr>
            <w:rStyle w:val="Hyperlink"/>
            <w:rFonts w:hAnsi="宋体" w:hint="eastAsia"/>
            <w:b/>
          </w:rPr>
          <w:t>项目背景与投资的必要性</w:t>
        </w:r>
        <w:r>
          <w:tab/>
        </w:r>
        <w:r>
          <w:fldChar w:fldCharType="begin"/>
        </w:r>
        <w:r>
          <w:instrText xml:space="preserve"> PAGEREF _Toc449530772 \h </w:instrText>
        </w:r>
        <w:r>
          <w:fldChar w:fldCharType="separate"/>
        </w:r>
        <w:r>
          <w:t>- 7 -</w:t>
        </w:r>
        <w:r>
          <w:fldChar w:fldCharType="end"/>
        </w:r>
      </w:hyperlink>
    </w:p>
    <w:p w:rsidR="00337093">
      <w:pPr>
        <w:pStyle w:val="TOC2"/>
        <w:rPr>
          <w:sz w:val="21"/>
          <w:szCs w:val="24"/>
          <w:lang w:val="en-US" w:eastAsia="zh-CN"/>
        </w:rPr>
      </w:pPr>
      <w:hyperlink w:anchor="_Toc449530773" w:history="1">
        <w:r>
          <w:rPr>
            <w:rStyle w:val="Hyperlink"/>
          </w:rPr>
          <w:t>2.1</w:t>
        </w:r>
        <w:r>
          <w:rPr>
            <w:rStyle w:val="Hyperlink"/>
            <w:rFonts w:hAnsi="宋体" w:hint="eastAsia"/>
          </w:rPr>
          <w:t>项目提出的背景</w:t>
        </w:r>
        <w:r>
          <w:tab/>
        </w:r>
        <w:r>
          <w:fldChar w:fldCharType="begin"/>
        </w:r>
        <w:r>
          <w:instrText xml:space="preserve"> PAGEREF _Toc449530773 \h </w:instrText>
        </w:r>
        <w:r>
          <w:fldChar w:fldCharType="separate"/>
        </w:r>
        <w:r>
          <w:t>- 7 -</w:t>
        </w:r>
        <w:r>
          <w:fldChar w:fldCharType="end"/>
        </w:r>
      </w:hyperlink>
    </w:p>
    <w:p w:rsidR="00337093">
      <w:pPr>
        <w:pStyle w:val="TOC2"/>
        <w:rPr>
          <w:sz w:val="21"/>
          <w:szCs w:val="24"/>
          <w:lang w:val="en-US" w:eastAsia="zh-CN"/>
        </w:rPr>
      </w:pPr>
      <w:hyperlink w:anchor="_Toc449530774" w:history="1">
        <w:r>
          <w:rPr>
            <w:rStyle w:val="Hyperlink"/>
          </w:rPr>
          <w:t>2.2</w:t>
        </w:r>
        <w:r>
          <w:rPr>
            <w:rStyle w:val="Hyperlink"/>
            <w:rFonts w:hAnsi="宋体" w:hint="eastAsia"/>
          </w:rPr>
          <w:t>投资的必要性</w:t>
        </w:r>
        <w:r>
          <w:tab/>
        </w:r>
        <w:r>
          <w:fldChar w:fldCharType="begin"/>
        </w:r>
        <w:r>
          <w:instrText xml:space="preserve"> PAGEREF _Toc449530774 \h </w:instrText>
        </w:r>
        <w:r>
          <w:fldChar w:fldCharType="separate"/>
        </w:r>
        <w:r>
          <w:t>- 11 -</w:t>
        </w:r>
        <w:r>
          <w:fldChar w:fldCharType="end"/>
        </w:r>
      </w:hyperlink>
    </w:p>
    <w:p w:rsidR="00337093">
      <w:pPr>
        <w:pStyle w:val="TOC1"/>
        <w:tabs>
          <w:tab w:val="right" w:leader="dot" w:pos="8607"/>
        </w:tabs>
        <w:rPr>
          <w:rFonts w:eastAsia="宋体"/>
          <w:sz w:val="21"/>
          <w:szCs w:val="24"/>
        </w:rPr>
      </w:pPr>
      <w:hyperlink w:anchor="_Toc449530775" w:history="1">
        <w:r>
          <w:rPr>
            <w:rStyle w:val="Hyperlink"/>
            <w:rFonts w:hAnsi="宋体" w:hint="eastAsia"/>
            <w:b/>
          </w:rPr>
          <w:t>第三章</w:t>
        </w:r>
        <w:r>
          <w:rPr>
            <w:rStyle w:val="Hyperlink"/>
            <w:b/>
          </w:rPr>
          <w:t xml:space="preserve">  </w:t>
        </w:r>
        <w:r>
          <w:rPr>
            <w:rStyle w:val="Hyperlink"/>
            <w:rFonts w:hAnsi="宋体" w:hint="eastAsia"/>
            <w:b/>
          </w:rPr>
          <w:t>市场分析</w:t>
        </w:r>
        <w:r>
          <w:tab/>
        </w:r>
        <w:r>
          <w:fldChar w:fldCharType="begin"/>
        </w:r>
        <w:r>
          <w:instrText xml:space="preserve"> PAGEREF _Toc449530775 \h </w:instrText>
        </w:r>
        <w:r>
          <w:fldChar w:fldCharType="separate"/>
        </w:r>
        <w:r>
          <w:t>- 14 -</w:t>
        </w:r>
        <w:r>
          <w:fldChar w:fldCharType="end"/>
        </w:r>
      </w:hyperlink>
    </w:p>
    <w:p w:rsidR="00337093">
      <w:pPr>
        <w:pStyle w:val="TOC2"/>
        <w:rPr>
          <w:sz w:val="21"/>
          <w:szCs w:val="24"/>
          <w:lang w:val="en-US" w:eastAsia="zh-CN"/>
        </w:rPr>
      </w:pPr>
      <w:hyperlink w:anchor="_Toc449530776" w:history="1">
        <w:r>
          <w:rPr>
            <w:rStyle w:val="Hyperlink"/>
          </w:rPr>
          <w:t>3.1</w:t>
        </w:r>
        <w:r>
          <w:rPr>
            <w:rStyle w:val="Hyperlink"/>
            <w:rFonts w:hint="eastAsia"/>
            <w:lang w:eastAsia="zh-CN"/>
          </w:rPr>
          <w:t>XX</w:t>
        </w:r>
        <w:r>
          <w:rPr>
            <w:rStyle w:val="Hyperlink"/>
            <w:rFonts w:hint="eastAsia"/>
          </w:rPr>
          <w:t>省新能源汽车发展态势</w:t>
        </w:r>
        <w:r>
          <w:tab/>
        </w:r>
        <w:r>
          <w:fldChar w:fldCharType="begin"/>
        </w:r>
        <w:r>
          <w:instrText xml:space="preserve"> PAGEREF _Toc449530776 \h </w:instrText>
        </w:r>
        <w:r>
          <w:fldChar w:fldCharType="separate"/>
        </w:r>
        <w:r>
          <w:t>- 14 -</w:t>
        </w:r>
        <w:r>
          <w:fldChar w:fldCharType="end"/>
        </w:r>
      </w:hyperlink>
    </w:p>
    <w:p w:rsidR="00337093">
      <w:pPr>
        <w:pStyle w:val="TOC2"/>
        <w:rPr>
          <w:sz w:val="21"/>
          <w:szCs w:val="24"/>
          <w:lang w:val="en-US" w:eastAsia="zh-CN"/>
        </w:rPr>
      </w:pPr>
      <w:hyperlink w:anchor="_Toc449530777" w:history="1">
        <w:r>
          <w:rPr>
            <w:rStyle w:val="Hyperlink"/>
            <w:rFonts w:hAnsi="宋体"/>
          </w:rPr>
          <w:t>3.4</w:t>
        </w:r>
        <w:r>
          <w:rPr>
            <w:rStyle w:val="Hyperlink"/>
            <w:rFonts w:hAnsi="宋体" w:hint="eastAsia"/>
            <w:lang w:eastAsia="zh-CN"/>
          </w:rPr>
          <w:t>XX</w:t>
        </w:r>
        <w:r>
          <w:rPr>
            <w:rStyle w:val="Hyperlink"/>
            <w:rFonts w:hAnsi="宋体" w:hint="eastAsia"/>
          </w:rPr>
          <w:t>市新能源基础设施的需求分析</w:t>
        </w:r>
        <w:r>
          <w:tab/>
        </w:r>
        <w:r>
          <w:fldChar w:fldCharType="begin"/>
        </w:r>
        <w:r>
          <w:instrText xml:space="preserve"> PAGEREF _Toc449530777 \h </w:instrText>
        </w:r>
        <w:r>
          <w:fldChar w:fldCharType="separate"/>
        </w:r>
        <w:r>
          <w:t>- 18 -</w:t>
        </w:r>
        <w:r>
          <w:fldChar w:fldCharType="end"/>
        </w:r>
      </w:hyperlink>
    </w:p>
    <w:p w:rsidR="00337093">
      <w:pPr>
        <w:pStyle w:val="TOC1"/>
        <w:tabs>
          <w:tab w:val="right" w:leader="dot" w:pos="8607"/>
        </w:tabs>
        <w:rPr>
          <w:rFonts w:eastAsia="宋体"/>
          <w:sz w:val="21"/>
          <w:szCs w:val="24"/>
        </w:rPr>
      </w:pPr>
      <w:hyperlink w:anchor="_Toc449530778" w:history="1">
        <w:r>
          <w:rPr>
            <w:rStyle w:val="Hyperlink"/>
            <w:rFonts w:hAnsi="宋体" w:hint="eastAsia"/>
            <w:b/>
          </w:rPr>
          <w:t>第四章</w:t>
        </w:r>
        <w:r>
          <w:rPr>
            <w:rStyle w:val="Hyperlink"/>
            <w:b/>
          </w:rPr>
          <w:t xml:space="preserve">  </w:t>
        </w:r>
        <w:r>
          <w:rPr>
            <w:rStyle w:val="Hyperlink"/>
            <w:rFonts w:hAnsi="宋体" w:hint="eastAsia"/>
            <w:b/>
          </w:rPr>
          <w:t>建设条件与厂址选择</w:t>
        </w:r>
        <w:r>
          <w:tab/>
        </w:r>
        <w:r>
          <w:fldChar w:fldCharType="begin"/>
        </w:r>
        <w:r>
          <w:instrText xml:space="preserve"> PAGEREF _Toc449530778 \h </w:instrText>
        </w:r>
        <w:r>
          <w:fldChar w:fldCharType="separate"/>
        </w:r>
        <w:r>
          <w:t>- 20 -</w:t>
        </w:r>
        <w:r>
          <w:fldChar w:fldCharType="end"/>
        </w:r>
      </w:hyperlink>
    </w:p>
    <w:p w:rsidR="00337093">
      <w:pPr>
        <w:pStyle w:val="TOC2"/>
        <w:rPr>
          <w:sz w:val="21"/>
          <w:szCs w:val="24"/>
          <w:lang w:val="en-US" w:eastAsia="zh-CN"/>
        </w:rPr>
      </w:pPr>
      <w:hyperlink w:anchor="_Toc449530779" w:history="1">
        <w:r>
          <w:rPr>
            <w:rStyle w:val="Hyperlink"/>
          </w:rPr>
          <w:t>4.1</w:t>
        </w:r>
        <w:r>
          <w:rPr>
            <w:rStyle w:val="Hyperlink"/>
            <w:rFonts w:hAnsi="宋体" w:hint="eastAsia"/>
          </w:rPr>
          <w:t>建设场址地理位置</w:t>
        </w:r>
        <w:r>
          <w:tab/>
        </w:r>
        <w:r>
          <w:fldChar w:fldCharType="begin"/>
        </w:r>
        <w:r>
          <w:instrText xml:space="preserve"> PAGEREF _Toc449530779 \h </w:instrText>
        </w:r>
        <w:r>
          <w:fldChar w:fldCharType="separate"/>
        </w:r>
        <w:r>
          <w:t>- 20 -</w:t>
        </w:r>
        <w:r>
          <w:fldChar w:fldCharType="end"/>
        </w:r>
      </w:hyperlink>
    </w:p>
    <w:p w:rsidR="00337093">
      <w:pPr>
        <w:pStyle w:val="TOC2"/>
        <w:rPr>
          <w:sz w:val="21"/>
          <w:szCs w:val="24"/>
          <w:lang w:val="en-US" w:eastAsia="zh-CN"/>
        </w:rPr>
      </w:pPr>
      <w:hyperlink w:anchor="_Toc449530780" w:history="1">
        <w:r>
          <w:rPr>
            <w:rStyle w:val="Hyperlink"/>
            <w:rFonts w:hAnsi="宋体"/>
          </w:rPr>
          <w:t>4.2</w:t>
        </w:r>
        <w:r>
          <w:rPr>
            <w:rStyle w:val="Hyperlink"/>
            <w:rFonts w:hAnsi="宋体" w:hint="eastAsia"/>
            <w:lang w:eastAsia="zh-CN"/>
          </w:rPr>
          <w:t>XX</w:t>
        </w:r>
        <w:r>
          <w:rPr>
            <w:rStyle w:val="Hyperlink"/>
            <w:rFonts w:hAnsi="宋体" w:hint="eastAsia"/>
          </w:rPr>
          <w:t>新能源汽车规划</w:t>
        </w:r>
        <w:r>
          <w:tab/>
        </w:r>
        <w:r>
          <w:fldChar w:fldCharType="begin"/>
        </w:r>
        <w:r>
          <w:instrText xml:space="preserve"> PAGEREF _Toc449530780 \h </w:instrText>
        </w:r>
        <w:r>
          <w:fldChar w:fldCharType="separate"/>
        </w:r>
        <w:r>
          <w:t>- 20 -</w:t>
        </w:r>
        <w:r>
          <w:fldChar w:fldCharType="end"/>
        </w:r>
      </w:hyperlink>
    </w:p>
    <w:p w:rsidR="00337093">
      <w:pPr>
        <w:pStyle w:val="TOC1"/>
        <w:tabs>
          <w:tab w:val="right" w:leader="dot" w:pos="8607"/>
        </w:tabs>
        <w:rPr>
          <w:rFonts w:eastAsia="宋体"/>
          <w:sz w:val="21"/>
          <w:szCs w:val="24"/>
        </w:rPr>
      </w:pPr>
      <w:hyperlink w:anchor="_Toc449530781" w:history="1">
        <w:r>
          <w:rPr>
            <w:rStyle w:val="Hyperlink"/>
            <w:rFonts w:hAnsi="宋体" w:hint="eastAsia"/>
            <w:b/>
          </w:rPr>
          <w:t>第五章</w:t>
        </w:r>
        <w:r>
          <w:rPr>
            <w:rStyle w:val="Hyperlink"/>
            <w:b/>
          </w:rPr>
          <w:t xml:space="preserve">  </w:t>
        </w:r>
        <w:r>
          <w:rPr>
            <w:rStyle w:val="Hyperlink"/>
            <w:rFonts w:hAnsi="宋体" w:hint="eastAsia"/>
            <w:b/>
          </w:rPr>
          <w:t>项目建设内容</w:t>
        </w:r>
        <w:r>
          <w:tab/>
        </w:r>
        <w:r>
          <w:fldChar w:fldCharType="begin"/>
        </w:r>
        <w:r>
          <w:instrText xml:space="preserve"> PAGEREF _Toc449530781 \h </w:instrText>
        </w:r>
        <w:r>
          <w:fldChar w:fldCharType="separate"/>
        </w:r>
        <w:r>
          <w:t>- 22 -</w:t>
        </w:r>
        <w:r>
          <w:fldChar w:fldCharType="end"/>
        </w:r>
      </w:hyperlink>
    </w:p>
    <w:p w:rsidR="00337093">
      <w:pPr>
        <w:pStyle w:val="TOC2"/>
        <w:rPr>
          <w:sz w:val="21"/>
          <w:szCs w:val="24"/>
          <w:lang w:val="en-US" w:eastAsia="zh-CN"/>
        </w:rPr>
      </w:pPr>
      <w:hyperlink w:anchor="_Toc449530782" w:history="1">
        <w:r>
          <w:rPr>
            <w:rStyle w:val="Hyperlink"/>
          </w:rPr>
          <w:t>5.1</w:t>
        </w:r>
        <w:r>
          <w:rPr>
            <w:rStyle w:val="Hyperlink"/>
            <w:rFonts w:hAnsi="宋体" w:hint="eastAsia"/>
          </w:rPr>
          <w:t>项目宗旨及目标</w:t>
        </w:r>
        <w:r>
          <w:tab/>
        </w:r>
        <w:r>
          <w:fldChar w:fldCharType="begin"/>
        </w:r>
        <w:r>
          <w:instrText xml:space="preserve"> PAGEREF _Toc449530782 \h </w:instrText>
        </w:r>
        <w:r>
          <w:fldChar w:fldCharType="separate"/>
        </w:r>
        <w:r>
          <w:t>- 22 -</w:t>
        </w:r>
        <w:r>
          <w:fldChar w:fldCharType="end"/>
        </w:r>
      </w:hyperlink>
    </w:p>
    <w:p w:rsidR="00337093">
      <w:pPr>
        <w:pStyle w:val="TOC2"/>
        <w:rPr>
          <w:sz w:val="21"/>
          <w:szCs w:val="24"/>
          <w:lang w:val="en-US" w:eastAsia="zh-CN"/>
        </w:rPr>
      </w:pPr>
      <w:hyperlink w:anchor="_Toc449530783" w:history="1">
        <w:r>
          <w:rPr>
            <w:rStyle w:val="Hyperlink"/>
          </w:rPr>
          <w:t>5.2</w:t>
        </w:r>
        <w:r>
          <w:rPr>
            <w:rStyle w:val="Hyperlink"/>
            <w:rFonts w:hAnsi="宋体" w:hint="eastAsia"/>
          </w:rPr>
          <w:t>项目运营模式</w:t>
        </w:r>
        <w:r>
          <w:tab/>
        </w:r>
        <w:r>
          <w:fldChar w:fldCharType="begin"/>
        </w:r>
        <w:r>
          <w:instrText xml:space="preserve"> PAGEREF _Toc449530783 \h </w:instrText>
        </w:r>
        <w:r>
          <w:fldChar w:fldCharType="separate"/>
        </w:r>
        <w:r>
          <w:t>- 22 -</w:t>
        </w:r>
        <w:r>
          <w:fldChar w:fldCharType="end"/>
        </w:r>
      </w:hyperlink>
    </w:p>
    <w:p w:rsidR="00337093">
      <w:pPr>
        <w:pStyle w:val="TOC2"/>
        <w:rPr>
          <w:sz w:val="21"/>
          <w:szCs w:val="24"/>
          <w:lang w:val="en-US" w:eastAsia="zh-CN"/>
        </w:rPr>
      </w:pPr>
      <w:hyperlink w:anchor="_Toc449530784" w:history="1">
        <w:r>
          <w:rPr>
            <w:rStyle w:val="Hyperlink"/>
            <w:rFonts w:hAnsi="宋体"/>
          </w:rPr>
          <w:t>5.3</w:t>
        </w:r>
        <w:r>
          <w:rPr>
            <w:rStyle w:val="Hyperlink"/>
            <w:rFonts w:hint="eastAsia"/>
          </w:rPr>
          <w:t>充电站（桩）</w:t>
        </w:r>
        <w:r>
          <w:rPr>
            <w:rStyle w:val="Hyperlink"/>
            <w:rFonts w:hAnsi="宋体" w:hint="eastAsia"/>
          </w:rPr>
          <w:t>建设方案</w:t>
        </w:r>
        <w:r>
          <w:tab/>
        </w:r>
        <w:r>
          <w:fldChar w:fldCharType="begin"/>
        </w:r>
        <w:r>
          <w:instrText xml:space="preserve"> PAGEREF _Toc449530784 \h </w:instrText>
        </w:r>
        <w:r>
          <w:fldChar w:fldCharType="separate"/>
        </w:r>
        <w:r>
          <w:t>- 24 -</w:t>
        </w:r>
        <w:r>
          <w:fldChar w:fldCharType="end"/>
        </w:r>
      </w:hyperlink>
    </w:p>
    <w:p w:rsidR="00337093">
      <w:pPr>
        <w:pStyle w:val="TOC2"/>
        <w:rPr>
          <w:sz w:val="21"/>
          <w:szCs w:val="24"/>
          <w:lang w:val="en-US" w:eastAsia="zh-CN"/>
        </w:rPr>
      </w:pPr>
      <w:hyperlink w:anchor="_Toc449530785" w:history="1">
        <w:r>
          <w:rPr>
            <w:rStyle w:val="Hyperlink"/>
          </w:rPr>
          <w:t>5.4</w:t>
        </w:r>
        <w:r>
          <w:rPr>
            <w:rStyle w:val="Hyperlink"/>
            <w:rFonts w:hint="eastAsia"/>
          </w:rPr>
          <w:t>运营管理信息化服务平台建设方案</w:t>
        </w:r>
        <w:r>
          <w:tab/>
        </w:r>
        <w:r>
          <w:fldChar w:fldCharType="begin"/>
        </w:r>
        <w:r>
          <w:instrText xml:space="preserve"> PAGEREF _Toc449530785 \h </w:instrText>
        </w:r>
        <w:r>
          <w:fldChar w:fldCharType="separate"/>
        </w:r>
        <w:r>
          <w:t>- 39 -</w:t>
        </w:r>
        <w:r>
          <w:fldChar w:fldCharType="end"/>
        </w:r>
      </w:hyperlink>
    </w:p>
    <w:p w:rsidR="00337093">
      <w:pPr>
        <w:pStyle w:val="TOC2"/>
        <w:rPr>
          <w:sz w:val="21"/>
          <w:szCs w:val="24"/>
          <w:lang w:val="en-US" w:eastAsia="zh-CN"/>
        </w:rPr>
      </w:pPr>
      <w:hyperlink w:anchor="_Toc449530786" w:history="1">
        <w:r>
          <w:rPr>
            <w:rStyle w:val="Hyperlink"/>
          </w:rPr>
          <w:t>5.5</w:t>
        </w:r>
        <w:r>
          <w:rPr>
            <w:rStyle w:val="Hyperlink"/>
            <w:rFonts w:hint="eastAsia"/>
          </w:rPr>
          <w:t>充电桩生产基地建设方案</w:t>
        </w:r>
        <w:r>
          <w:tab/>
        </w:r>
        <w:r>
          <w:fldChar w:fldCharType="begin"/>
        </w:r>
        <w:r>
          <w:instrText xml:space="preserve"> PAGEREF _Toc449530786 \h </w:instrText>
        </w:r>
        <w:r>
          <w:fldChar w:fldCharType="separate"/>
        </w:r>
        <w:r>
          <w:t>- 43 -</w:t>
        </w:r>
        <w:r>
          <w:fldChar w:fldCharType="end"/>
        </w:r>
      </w:hyperlink>
    </w:p>
    <w:p w:rsidR="00337093">
      <w:pPr>
        <w:pStyle w:val="TOC1"/>
        <w:tabs>
          <w:tab w:val="right" w:leader="dot" w:pos="8607"/>
        </w:tabs>
        <w:rPr>
          <w:rFonts w:eastAsia="宋体"/>
          <w:sz w:val="21"/>
          <w:szCs w:val="24"/>
        </w:rPr>
        <w:sectPr>
          <w:headerReference w:type="default" r:id="rId6"/>
          <w:headerReference w:type="first" r:id="rId7"/>
          <w:pgSz w:w="11906" w:h="16838"/>
          <w:pgMar w:top="1588" w:right="1588" w:bottom="1588" w:left="1701" w:header="851" w:footer="992" w:gutter="0"/>
          <w:pgNumType w:start="2"/>
          <w:cols w:space="720"/>
          <w:titlePg/>
          <w:docGrid w:type="linesAndChars" w:linePitch="312"/>
        </w:sectPr>
      </w:pPr>
      <w:hyperlink w:anchor="_Toc449530787" w:history="1">
        <w:r>
          <w:rPr>
            <w:rStyle w:val="Hyperlink"/>
            <w:rFonts w:hAnsi="宋体" w:hint="eastAsia"/>
            <w:b/>
          </w:rPr>
          <w:t>第六章</w:t>
        </w:r>
        <w:r>
          <w:rPr>
            <w:rStyle w:val="Hyperlink"/>
            <w:b/>
          </w:rPr>
          <w:t xml:space="preserve">  </w:t>
        </w:r>
        <w:r>
          <w:rPr>
            <w:rStyle w:val="Hyperlink"/>
            <w:rFonts w:hAnsi="宋体" w:hint="eastAsia"/>
            <w:b/>
          </w:rPr>
          <w:t>项目组织机构</w:t>
        </w:r>
        <w:r>
          <w:tab/>
        </w:r>
        <w:r>
          <w:fldChar w:fldCharType="begin"/>
        </w:r>
        <w:r>
          <w:instrText xml:space="preserve"> PAGEREF _Toc449530787 \h </w:instrText>
        </w:r>
        <w:r>
          <w:fldChar w:fldCharType="separate"/>
        </w:r>
        <w:r>
          <w:t>- 55 -</w:t>
        </w:r>
        <w:r>
          <w:fldChar w:fldCharType="end"/>
        </w:r>
      </w:hyperlink>
    </w:p>
    <w:p w:rsidR="00337093">
      <w:pPr>
        <w:pStyle w:val="TOC2"/>
        <w:rPr>
          <w:sz w:val="21"/>
          <w:szCs w:val="24"/>
          <w:lang w:val="en-US" w:eastAsia="zh-CN"/>
        </w:rPr>
      </w:pPr>
      <w:hyperlink w:anchor="_Toc449530788" w:history="1">
        <w:r>
          <w:rPr>
            <w:rStyle w:val="Hyperlink"/>
          </w:rPr>
          <w:t>6.1</w:t>
        </w:r>
        <w:r>
          <w:rPr>
            <w:rStyle w:val="Hyperlink"/>
            <w:rFonts w:hAnsi="宋体" w:hint="eastAsia"/>
          </w:rPr>
          <w:t>组织机构</w:t>
        </w:r>
        <w:r>
          <w:tab/>
        </w:r>
        <w:r>
          <w:fldChar w:fldCharType="begin"/>
        </w:r>
        <w:r>
          <w:instrText xml:space="preserve"> PAGEREF _T</w:instrText>
        </w:r>
        <w:r>
          <w:instrText xml:space="preserve">oc449530788 \h </w:instrText>
        </w:r>
        <w:r>
          <w:fldChar w:fldCharType="separate"/>
        </w:r>
        <w:r>
          <w:t>- 55 -</w:t>
        </w:r>
        <w:r>
          <w:fldChar w:fldCharType="end"/>
        </w:r>
      </w:hyperlink>
    </w:p>
    <w:p w:rsidR="00337093">
      <w:pPr>
        <w:pStyle w:val="TOC2"/>
        <w:rPr>
          <w:sz w:val="21"/>
          <w:szCs w:val="24"/>
          <w:lang w:val="en-US" w:eastAsia="zh-CN"/>
        </w:rPr>
      </w:pPr>
      <w:hyperlink w:anchor="_Toc449530789" w:history="1">
        <w:r>
          <w:rPr>
            <w:rStyle w:val="Hyperlink"/>
          </w:rPr>
          <w:t>6.2</w:t>
        </w:r>
        <w:r>
          <w:rPr>
            <w:rStyle w:val="Hyperlink"/>
            <w:rFonts w:hAnsi="宋体" w:hint="eastAsia"/>
          </w:rPr>
          <w:t>人力资源配置</w:t>
        </w:r>
        <w:r>
          <w:tab/>
        </w:r>
        <w:r>
          <w:fldChar w:fldCharType="begin"/>
        </w:r>
        <w:r>
          <w:instrText xml:space="preserve"> PAGEREF _Toc449530789 \h </w:instrText>
        </w:r>
        <w:r>
          <w:fldChar w:fldCharType="separate"/>
        </w:r>
        <w:r>
          <w:t>- 56 -</w:t>
        </w:r>
        <w:r>
          <w:fldChar w:fldCharType="end"/>
        </w:r>
      </w:hyperlink>
    </w:p>
    <w:p w:rsidR="00337093">
      <w:pPr>
        <w:pStyle w:val="TOC1"/>
        <w:tabs>
          <w:tab w:val="right" w:leader="dot" w:pos="8607"/>
        </w:tabs>
        <w:rPr>
          <w:rFonts w:eastAsia="宋体"/>
          <w:sz w:val="21"/>
          <w:szCs w:val="24"/>
        </w:rPr>
      </w:pPr>
      <w:hyperlink w:anchor="_Toc449530790" w:history="1">
        <w:r>
          <w:rPr>
            <w:rStyle w:val="Hyperlink"/>
            <w:rFonts w:hAnsi="宋体" w:hint="eastAsia"/>
            <w:b/>
          </w:rPr>
          <w:t>第七章</w:t>
        </w:r>
        <w:r>
          <w:rPr>
            <w:rStyle w:val="Hyperlink"/>
            <w:b/>
          </w:rPr>
          <w:t xml:space="preserve">  </w:t>
        </w:r>
        <w:r>
          <w:rPr>
            <w:rStyle w:val="Hyperlink"/>
            <w:rFonts w:hAnsi="宋体" w:hint="eastAsia"/>
            <w:b/>
          </w:rPr>
          <w:t>项目管理及实施进度</w:t>
        </w:r>
        <w:r>
          <w:tab/>
        </w:r>
        <w:r>
          <w:fldChar w:fldCharType="begin"/>
        </w:r>
        <w:r>
          <w:instrText xml:space="preserve"> PAGEREF _Toc449530790 \h </w:instrText>
        </w:r>
        <w:r>
          <w:fldChar w:fldCharType="separate"/>
        </w:r>
        <w:r>
          <w:t>- 57 -</w:t>
        </w:r>
        <w:r>
          <w:fldChar w:fldCharType="end"/>
        </w:r>
      </w:hyperlink>
    </w:p>
    <w:p w:rsidR="00337093">
      <w:pPr>
        <w:pStyle w:val="TOC2"/>
        <w:rPr>
          <w:sz w:val="21"/>
          <w:szCs w:val="24"/>
          <w:lang w:val="en-US" w:eastAsia="zh-CN"/>
        </w:rPr>
      </w:pPr>
      <w:hyperlink w:anchor="_Toc449530791" w:history="1">
        <w:r>
          <w:rPr>
            <w:rStyle w:val="Hyperlink"/>
          </w:rPr>
          <w:t xml:space="preserve">7.1 </w:t>
        </w:r>
        <w:r>
          <w:rPr>
            <w:rStyle w:val="Hyperlink"/>
            <w:rFonts w:hAnsi="宋体" w:hint="eastAsia"/>
          </w:rPr>
          <w:t>项目建设管理</w:t>
        </w:r>
        <w:r>
          <w:tab/>
        </w:r>
        <w:r>
          <w:fldChar w:fldCharType="begin"/>
        </w:r>
        <w:r>
          <w:instrText xml:space="preserve"> PAGEREF _Toc449530791 \</w:instrText>
        </w:r>
        <w:r>
          <w:instrText xml:space="preserve">h </w:instrText>
        </w:r>
        <w:r>
          <w:fldChar w:fldCharType="separate"/>
        </w:r>
        <w:r>
          <w:t>- 57 -</w:t>
        </w:r>
        <w:r>
          <w:fldChar w:fldCharType="end"/>
        </w:r>
      </w:hyperlink>
    </w:p>
    <w:p w:rsidR="00337093">
      <w:pPr>
        <w:pStyle w:val="TOC2"/>
        <w:rPr>
          <w:sz w:val="21"/>
          <w:szCs w:val="24"/>
          <w:lang w:val="en-US" w:eastAsia="zh-CN"/>
        </w:rPr>
      </w:pPr>
      <w:hyperlink w:anchor="_Toc449530792" w:history="1">
        <w:r>
          <w:rPr>
            <w:rStyle w:val="Hyperlink"/>
          </w:rPr>
          <w:t>7.2</w:t>
        </w:r>
        <w:r>
          <w:rPr>
            <w:rStyle w:val="Hyperlink"/>
            <w:rFonts w:hAnsi="宋体" w:hint="eastAsia"/>
          </w:rPr>
          <w:t>项目监理</w:t>
        </w:r>
        <w:r>
          <w:tab/>
        </w:r>
        <w:r>
          <w:fldChar w:fldCharType="begin"/>
        </w:r>
        <w:r>
          <w:instrText xml:space="preserve"> PAGEREF _Toc449530792 \h </w:instrText>
        </w:r>
        <w:r>
          <w:fldChar w:fldCharType="separate"/>
        </w:r>
        <w:r>
          <w:t>- 57 -</w:t>
        </w:r>
        <w:r>
          <w:fldChar w:fldCharType="end"/>
        </w:r>
      </w:hyperlink>
    </w:p>
    <w:p w:rsidR="00337093">
      <w:pPr>
        <w:pStyle w:val="TOC2"/>
        <w:rPr>
          <w:sz w:val="21"/>
          <w:szCs w:val="24"/>
          <w:lang w:val="en-US" w:eastAsia="zh-CN"/>
        </w:rPr>
      </w:pPr>
      <w:hyperlink w:anchor="_Toc449530793" w:history="1">
        <w:r>
          <w:rPr>
            <w:rStyle w:val="Hyperlink"/>
          </w:rPr>
          <w:t xml:space="preserve">7.3 </w:t>
        </w:r>
        <w:r>
          <w:rPr>
            <w:rStyle w:val="Hyperlink"/>
            <w:rFonts w:hAnsi="宋体" w:hint="eastAsia"/>
          </w:rPr>
          <w:t>项目建设安排</w:t>
        </w:r>
        <w:r>
          <w:tab/>
        </w:r>
        <w:r>
          <w:fldChar w:fldCharType="begin"/>
        </w:r>
        <w:r>
          <w:instrText xml:space="preserve"> PAGEREF _Toc449530793 \h </w:instrText>
        </w:r>
        <w:r>
          <w:fldChar w:fldCharType="separate"/>
        </w:r>
        <w:r>
          <w:t>- 58 -</w:t>
        </w:r>
        <w:r>
          <w:fldChar w:fldCharType="end"/>
        </w:r>
      </w:hyperlink>
    </w:p>
    <w:p w:rsidR="00337093">
      <w:pPr>
        <w:pStyle w:val="TOC1"/>
        <w:tabs>
          <w:tab w:val="right" w:leader="dot" w:pos="8607"/>
        </w:tabs>
        <w:rPr>
          <w:rFonts w:eastAsia="宋体"/>
          <w:sz w:val="21"/>
          <w:szCs w:val="24"/>
        </w:rPr>
      </w:pPr>
      <w:hyperlink w:anchor="_Toc449530794" w:history="1">
        <w:r>
          <w:rPr>
            <w:rStyle w:val="Hyperlink"/>
            <w:rFonts w:hAnsi="宋体" w:hint="eastAsia"/>
            <w:b/>
          </w:rPr>
          <w:t>第八章</w:t>
        </w:r>
        <w:r>
          <w:rPr>
            <w:rStyle w:val="Hyperlink"/>
            <w:b/>
          </w:rPr>
          <w:t xml:space="preserve">  </w:t>
        </w:r>
        <w:r>
          <w:rPr>
            <w:rStyle w:val="Hyperlink"/>
            <w:rFonts w:hAnsi="宋体" w:hint="eastAsia"/>
            <w:b/>
          </w:rPr>
          <w:t>投资估算与资金筹措</w:t>
        </w:r>
        <w:r>
          <w:tab/>
        </w:r>
        <w:r>
          <w:fldChar w:fldCharType="begin"/>
        </w:r>
        <w:r>
          <w:instrText xml:space="preserve"> PAGEREF _Toc449530794 \h </w:instrText>
        </w:r>
        <w:r>
          <w:fldChar w:fldCharType="separate"/>
        </w:r>
        <w:r>
          <w:t>- 60 -</w:t>
        </w:r>
        <w:r>
          <w:fldChar w:fldCharType="end"/>
        </w:r>
      </w:hyperlink>
    </w:p>
    <w:p w:rsidR="00337093">
      <w:pPr>
        <w:pStyle w:val="TOC2"/>
        <w:rPr>
          <w:sz w:val="21"/>
          <w:szCs w:val="24"/>
          <w:lang w:val="en-US" w:eastAsia="zh-CN"/>
        </w:rPr>
      </w:pPr>
      <w:hyperlink w:anchor="_Toc449530795" w:history="1">
        <w:r>
          <w:rPr>
            <w:rStyle w:val="Hyperlink"/>
          </w:rPr>
          <w:t>8.1</w:t>
        </w:r>
        <w:r>
          <w:rPr>
            <w:rStyle w:val="Hyperlink"/>
            <w:rFonts w:hAnsi="宋体" w:hint="eastAsia"/>
          </w:rPr>
          <w:t>投资估算</w:t>
        </w:r>
        <w:r>
          <w:tab/>
        </w:r>
        <w:r>
          <w:fldChar w:fldCharType="begin"/>
        </w:r>
        <w:r>
          <w:instrText xml:space="preserve"> PAGEREF _Toc449530795 \h </w:instrText>
        </w:r>
        <w:r>
          <w:fldChar w:fldCharType="separate"/>
        </w:r>
        <w:r>
          <w:t>- 60 -</w:t>
        </w:r>
        <w:r>
          <w:fldChar w:fldCharType="end"/>
        </w:r>
      </w:hyperlink>
    </w:p>
    <w:p w:rsidR="00337093">
      <w:pPr>
        <w:pStyle w:val="TOC2"/>
        <w:rPr>
          <w:sz w:val="21"/>
          <w:szCs w:val="24"/>
          <w:lang w:val="en-US" w:eastAsia="zh-CN"/>
        </w:rPr>
      </w:pPr>
      <w:hyperlink w:anchor="_Toc449530796" w:history="1">
        <w:r>
          <w:rPr>
            <w:rStyle w:val="Hyperlink"/>
          </w:rPr>
          <w:t>8.2</w:t>
        </w:r>
        <w:r>
          <w:rPr>
            <w:rStyle w:val="Hyperlink"/>
            <w:rFonts w:hAnsi="宋体" w:hint="eastAsia"/>
          </w:rPr>
          <w:t>资金筹措</w:t>
        </w:r>
        <w:r>
          <w:tab/>
        </w:r>
        <w:r>
          <w:fldChar w:fldCharType="begin"/>
        </w:r>
        <w:r>
          <w:instrText xml:space="preserve"> PAGEREF _Toc449530796 \h </w:instrText>
        </w:r>
        <w:r>
          <w:fldChar w:fldCharType="separate"/>
        </w:r>
        <w:r>
          <w:t>- 64 -</w:t>
        </w:r>
        <w:r>
          <w:fldChar w:fldCharType="end"/>
        </w:r>
      </w:hyperlink>
    </w:p>
    <w:p w:rsidR="00337093">
      <w:pPr>
        <w:pStyle w:val="TOC2"/>
        <w:rPr>
          <w:sz w:val="21"/>
          <w:szCs w:val="24"/>
          <w:lang w:val="en-US" w:eastAsia="zh-CN"/>
        </w:rPr>
      </w:pPr>
      <w:hyperlink w:anchor="_Toc449530797" w:history="1">
        <w:r>
          <w:rPr>
            <w:rStyle w:val="Hyperlink"/>
          </w:rPr>
          <w:t>8.3</w:t>
        </w:r>
        <w:r>
          <w:rPr>
            <w:rStyle w:val="Hyperlink"/>
            <w:rFonts w:hAnsi="宋体" w:hint="eastAsia"/>
          </w:rPr>
          <w:t>投资使用计划</w:t>
        </w:r>
        <w:r>
          <w:tab/>
        </w:r>
        <w:r>
          <w:fldChar w:fldCharType="begin"/>
        </w:r>
        <w:r>
          <w:instrText xml:space="preserve"> PAGEREF _Toc449530797 \h </w:instrText>
        </w:r>
        <w:r>
          <w:fldChar w:fldCharType="separate"/>
        </w:r>
        <w:r>
          <w:t>- 64 -</w:t>
        </w:r>
        <w:r>
          <w:fldChar w:fldCharType="end"/>
        </w:r>
      </w:hyperlink>
    </w:p>
    <w:p w:rsidR="00337093">
      <w:pPr>
        <w:pStyle w:val="TOC2"/>
        <w:rPr>
          <w:sz w:val="21"/>
          <w:szCs w:val="24"/>
          <w:lang w:val="en-US" w:eastAsia="zh-CN"/>
        </w:rPr>
      </w:pPr>
      <w:hyperlink w:anchor="_Toc449530798" w:history="1">
        <w:r>
          <w:rPr>
            <w:rStyle w:val="Hyperlink"/>
          </w:rPr>
          <w:t>8.4</w:t>
        </w:r>
        <w:r>
          <w:rPr>
            <w:rStyle w:val="Hyperlink"/>
            <w:rFonts w:hAnsi="宋体" w:hint="eastAsia"/>
          </w:rPr>
          <w:t>投资估算表</w:t>
        </w:r>
        <w:r>
          <w:tab/>
        </w:r>
        <w:r>
          <w:fldChar w:fldCharType="begin"/>
        </w:r>
        <w:r>
          <w:instrText xml:space="preserve"> PAGEREF _Toc449530798 \h </w:instrText>
        </w:r>
        <w:r>
          <w:fldChar w:fldCharType="separate"/>
        </w:r>
        <w:r>
          <w:t>- 65 -</w:t>
        </w:r>
        <w:r>
          <w:fldChar w:fldCharType="end"/>
        </w:r>
      </w:hyperlink>
    </w:p>
    <w:p w:rsidR="00337093">
      <w:pPr>
        <w:pStyle w:val="TOC1"/>
        <w:tabs>
          <w:tab w:val="right" w:leader="dot" w:pos="8607"/>
        </w:tabs>
        <w:rPr>
          <w:rFonts w:eastAsia="宋体"/>
          <w:sz w:val="21"/>
          <w:szCs w:val="24"/>
        </w:rPr>
      </w:pPr>
      <w:hyperlink w:anchor="_Toc449530799" w:history="1">
        <w:r>
          <w:rPr>
            <w:rStyle w:val="Hyperlink"/>
            <w:rFonts w:hAnsi="宋体" w:hint="eastAsia"/>
            <w:b/>
          </w:rPr>
          <w:t>第十章</w:t>
        </w:r>
        <w:r>
          <w:rPr>
            <w:rStyle w:val="Hyperlink"/>
            <w:b/>
          </w:rPr>
          <w:t xml:space="preserve">  </w:t>
        </w:r>
        <w:r>
          <w:rPr>
            <w:rStyle w:val="Hyperlink"/>
            <w:rFonts w:hAnsi="宋体" w:hint="eastAsia"/>
            <w:b/>
          </w:rPr>
          <w:t>财务评价</w:t>
        </w:r>
        <w:r>
          <w:tab/>
        </w:r>
        <w:r>
          <w:fldChar w:fldCharType="begin"/>
        </w:r>
        <w:r>
          <w:instrText xml:space="preserve"> PAGEREF _Toc449530799 \h </w:instrText>
        </w:r>
        <w:r>
          <w:fldChar w:fldCharType="separate"/>
        </w:r>
        <w:r>
          <w:t>- 66 -</w:t>
        </w:r>
        <w:r>
          <w:fldChar w:fldCharType="end"/>
        </w:r>
      </w:hyperlink>
    </w:p>
    <w:p w:rsidR="00337093">
      <w:pPr>
        <w:pStyle w:val="TOC2"/>
        <w:rPr>
          <w:sz w:val="21"/>
          <w:szCs w:val="24"/>
          <w:lang w:val="en-US" w:eastAsia="zh-CN"/>
        </w:rPr>
      </w:pPr>
      <w:hyperlink w:anchor="_Toc449530800" w:history="1">
        <w:r>
          <w:rPr>
            <w:rStyle w:val="Hyperlink"/>
          </w:rPr>
          <w:t>9.1</w:t>
        </w:r>
        <w:r>
          <w:rPr>
            <w:rStyle w:val="Hyperlink"/>
            <w:rFonts w:hAnsi="宋体" w:hint="eastAsia"/>
          </w:rPr>
          <w:t>财务评价依据及范围</w:t>
        </w:r>
        <w:r>
          <w:tab/>
        </w:r>
        <w:r>
          <w:fldChar w:fldCharType="begin"/>
        </w:r>
        <w:r>
          <w:instrText xml:space="preserve"> PAGEREF _Toc449530800 \h </w:instrText>
        </w:r>
        <w:r>
          <w:fldChar w:fldCharType="separate"/>
        </w:r>
        <w:r>
          <w:t>- 66 -</w:t>
        </w:r>
        <w:r>
          <w:fldChar w:fldCharType="end"/>
        </w:r>
      </w:hyperlink>
    </w:p>
    <w:p w:rsidR="00337093">
      <w:pPr>
        <w:pStyle w:val="TOC2"/>
        <w:rPr>
          <w:sz w:val="21"/>
          <w:szCs w:val="24"/>
          <w:lang w:val="en-US" w:eastAsia="zh-CN"/>
        </w:rPr>
      </w:pPr>
      <w:hyperlink w:anchor="_Toc449530801" w:history="1">
        <w:r>
          <w:rPr>
            <w:rStyle w:val="Hyperlink"/>
          </w:rPr>
          <w:t>9.2</w:t>
        </w:r>
        <w:r>
          <w:rPr>
            <w:rStyle w:val="Hyperlink"/>
            <w:rFonts w:hAnsi="宋体" w:hint="eastAsia"/>
          </w:rPr>
          <w:t>基础数据及参数选取</w:t>
        </w:r>
        <w:r>
          <w:tab/>
        </w:r>
        <w:r>
          <w:fldChar w:fldCharType="begin"/>
        </w:r>
        <w:r>
          <w:instrText xml:space="preserve"> PAGEREF _Toc449530801 \h </w:instrText>
        </w:r>
        <w:r>
          <w:fldChar w:fldCharType="separate"/>
        </w:r>
        <w:r>
          <w:t>- 66 -</w:t>
        </w:r>
        <w:r>
          <w:fldChar w:fldCharType="end"/>
        </w:r>
      </w:hyperlink>
    </w:p>
    <w:p w:rsidR="00337093">
      <w:pPr>
        <w:pStyle w:val="TOC2"/>
        <w:rPr>
          <w:sz w:val="21"/>
          <w:szCs w:val="24"/>
          <w:lang w:val="en-US" w:eastAsia="zh-CN"/>
        </w:rPr>
      </w:pPr>
      <w:hyperlink w:anchor="_Toc449530802" w:history="1">
        <w:r>
          <w:rPr>
            <w:rStyle w:val="Hyperlink"/>
          </w:rPr>
          <w:t>9.3</w:t>
        </w:r>
        <w:r>
          <w:rPr>
            <w:rStyle w:val="Hyperlink"/>
            <w:rFonts w:hAnsi="宋体" w:hint="eastAsia"/>
          </w:rPr>
          <w:t>财务效益与费用估算</w:t>
        </w:r>
        <w:r>
          <w:tab/>
        </w:r>
        <w:r>
          <w:fldChar w:fldCharType="begin"/>
        </w:r>
        <w:r>
          <w:instrText xml:space="preserve"> PAGEREF _Toc449530802 \h </w:instrText>
        </w:r>
        <w:r>
          <w:fldChar w:fldCharType="separate"/>
        </w:r>
        <w:r>
          <w:t>- 67 -</w:t>
        </w:r>
        <w:r>
          <w:fldChar w:fldCharType="end"/>
        </w:r>
      </w:hyperlink>
    </w:p>
    <w:p w:rsidR="00337093">
      <w:pPr>
        <w:pStyle w:val="TOC2"/>
        <w:rPr>
          <w:sz w:val="21"/>
          <w:szCs w:val="24"/>
          <w:lang w:val="en-US" w:eastAsia="zh-CN"/>
        </w:rPr>
      </w:pPr>
      <w:hyperlink w:anchor="_Toc449530803" w:history="1">
        <w:r>
          <w:rPr>
            <w:rStyle w:val="Hyperlink"/>
          </w:rPr>
          <w:t>9.4</w:t>
        </w:r>
        <w:r>
          <w:rPr>
            <w:rStyle w:val="Hyperlink"/>
            <w:rFonts w:hAnsi="宋体" w:hint="eastAsia"/>
          </w:rPr>
          <w:t>财务分析</w:t>
        </w:r>
        <w:r>
          <w:tab/>
        </w:r>
        <w:r>
          <w:fldChar w:fldCharType="begin"/>
        </w:r>
        <w:r>
          <w:instrText xml:space="preserve"> PAGEREF _Toc449530803 \h </w:instrText>
        </w:r>
        <w:r>
          <w:fldChar w:fldCharType="separate"/>
        </w:r>
        <w:r>
          <w:t>- 69 -</w:t>
        </w:r>
        <w:r>
          <w:fldChar w:fldCharType="end"/>
        </w:r>
      </w:hyperlink>
    </w:p>
    <w:p w:rsidR="00337093">
      <w:pPr>
        <w:pStyle w:val="TOC2"/>
        <w:rPr>
          <w:sz w:val="21"/>
          <w:szCs w:val="24"/>
          <w:lang w:val="en-US" w:eastAsia="zh-CN"/>
        </w:rPr>
      </w:pPr>
      <w:hyperlink w:anchor="_Toc449530804" w:history="1">
        <w:r>
          <w:rPr>
            <w:rStyle w:val="Hyperlink"/>
          </w:rPr>
          <w:t>9.5</w:t>
        </w:r>
        <w:r>
          <w:rPr>
            <w:rStyle w:val="Hyperlink"/>
            <w:rFonts w:hAnsi="宋体" w:hint="eastAsia"/>
          </w:rPr>
          <w:t>不确定性分析</w:t>
        </w:r>
        <w:r>
          <w:tab/>
        </w:r>
        <w:r>
          <w:fldChar w:fldCharType="begin"/>
        </w:r>
        <w:r>
          <w:instrText xml:space="preserve"> PAGEREF _Toc44</w:instrText>
        </w:r>
        <w:r>
          <w:instrText xml:space="preserve">9530804 \h </w:instrText>
        </w:r>
        <w:r>
          <w:fldChar w:fldCharType="separate"/>
        </w:r>
        <w:r>
          <w:t>- 71 -</w:t>
        </w:r>
        <w:r>
          <w:fldChar w:fldCharType="end"/>
        </w:r>
      </w:hyperlink>
    </w:p>
    <w:p w:rsidR="00337093">
      <w:pPr>
        <w:pStyle w:val="TOC2"/>
        <w:rPr>
          <w:sz w:val="21"/>
          <w:szCs w:val="24"/>
          <w:lang w:val="en-US" w:eastAsia="zh-CN"/>
        </w:rPr>
      </w:pPr>
      <w:hyperlink w:anchor="_Toc449530805" w:history="1">
        <w:r>
          <w:rPr>
            <w:rStyle w:val="Hyperlink"/>
          </w:rPr>
          <w:t>9.6</w:t>
        </w:r>
        <w:r>
          <w:rPr>
            <w:rStyle w:val="Hyperlink"/>
            <w:rFonts w:hAnsi="宋体" w:hint="eastAsia"/>
          </w:rPr>
          <w:t>财务评价结论</w:t>
        </w:r>
        <w:r>
          <w:tab/>
        </w:r>
        <w:r>
          <w:fldChar w:fldCharType="begin"/>
        </w:r>
        <w:r>
          <w:instrText xml:space="preserve"> PAGEREF _Toc449530805 \h </w:instrText>
        </w:r>
        <w:r>
          <w:fldChar w:fldCharType="separate"/>
        </w:r>
        <w:r>
          <w:t>- 72 -</w:t>
        </w:r>
        <w:r>
          <w:fldChar w:fldCharType="end"/>
        </w:r>
      </w:hyperlink>
    </w:p>
    <w:p w:rsidR="00337093">
      <w:pPr>
        <w:pStyle w:val="TOC2"/>
        <w:rPr>
          <w:sz w:val="21"/>
          <w:szCs w:val="24"/>
          <w:lang w:val="en-US" w:eastAsia="zh-CN"/>
        </w:rPr>
      </w:pPr>
      <w:hyperlink w:anchor="_Toc449530806" w:history="1">
        <w:r>
          <w:rPr>
            <w:rStyle w:val="Hyperlink"/>
          </w:rPr>
          <w:t>9.7</w:t>
        </w:r>
        <w:r>
          <w:rPr>
            <w:rStyle w:val="Hyperlink"/>
            <w:rFonts w:hint="eastAsia"/>
          </w:rPr>
          <w:t>社会</w:t>
        </w:r>
        <w:r>
          <w:rPr>
            <w:rStyle w:val="Hyperlink"/>
            <w:rFonts w:hAnsi="宋体" w:hint="eastAsia"/>
          </w:rPr>
          <w:t>效益分析</w:t>
        </w:r>
        <w:r>
          <w:tab/>
        </w:r>
        <w:r>
          <w:fldChar w:fldCharType="begin"/>
        </w:r>
        <w:r>
          <w:instrText xml:space="preserve"> PAGEREF _Toc449530806 \h </w:instrText>
        </w:r>
        <w:r>
          <w:fldChar w:fldCharType="separate"/>
        </w:r>
        <w:r>
          <w:t>- 73 -</w:t>
        </w:r>
        <w:r>
          <w:fldChar w:fldCharType="end"/>
        </w:r>
      </w:hyperlink>
    </w:p>
    <w:p w:rsidR="00337093">
      <w:pPr>
        <w:pStyle w:val="TOC1"/>
        <w:tabs>
          <w:tab w:val="right" w:leader="dot" w:pos="8607"/>
        </w:tabs>
        <w:rPr>
          <w:rFonts w:eastAsia="宋体"/>
          <w:sz w:val="21"/>
          <w:szCs w:val="24"/>
        </w:rPr>
      </w:pPr>
      <w:hyperlink w:anchor="_Toc449530807" w:history="1">
        <w:r>
          <w:rPr>
            <w:rStyle w:val="Hyperlink"/>
            <w:rFonts w:hAnsi="宋体" w:hint="eastAsia"/>
            <w:b/>
          </w:rPr>
          <w:t>第十章</w:t>
        </w:r>
        <w:r>
          <w:rPr>
            <w:rStyle w:val="Hyperlink"/>
            <w:b/>
          </w:rPr>
          <w:t xml:space="preserve">  </w:t>
        </w:r>
        <w:r>
          <w:rPr>
            <w:rStyle w:val="Hyperlink"/>
            <w:rFonts w:hAnsi="宋体" w:hint="eastAsia"/>
            <w:b/>
          </w:rPr>
          <w:t>项目风险分析</w:t>
        </w:r>
        <w:r>
          <w:tab/>
        </w:r>
        <w:r>
          <w:fldChar w:fldCharType="begin"/>
        </w:r>
        <w:r>
          <w:instrText xml:space="preserve"> PAGEREF _Toc449530807 \h </w:instrText>
        </w:r>
        <w:r>
          <w:fldChar w:fldCharType="separate"/>
        </w:r>
        <w:r>
          <w:t xml:space="preserve">- 75 </w:t>
        </w:r>
        <w:r>
          <w:t>-</w:t>
        </w:r>
        <w:r>
          <w:fldChar w:fldCharType="end"/>
        </w:r>
      </w:hyperlink>
    </w:p>
    <w:p w:rsidR="00337093">
      <w:pPr>
        <w:pStyle w:val="TOC2"/>
        <w:rPr>
          <w:sz w:val="21"/>
          <w:szCs w:val="24"/>
          <w:lang w:val="en-US" w:eastAsia="zh-CN"/>
        </w:rPr>
        <w:sectPr>
          <w:headerReference w:type="default" r:id="rId8"/>
          <w:headerReference w:type="first" r:id="rId9"/>
          <w:type w:val="nextPage"/>
          <w:pgSz w:w="11906" w:h="16838"/>
          <w:pgMar w:top="1588" w:right="1588" w:bottom="1588" w:left="1701" w:header="851" w:footer="992" w:gutter="0"/>
          <w:pgNumType w:start="3"/>
          <w:cols w:space="720"/>
          <w:titlePg w:val="0"/>
          <w:docGrid w:type="linesAndChars" w:linePitch="312"/>
        </w:sectPr>
      </w:pPr>
      <w:hyperlink w:anchor="_Toc449530808" w:history="1">
        <w:r>
          <w:rPr>
            <w:rStyle w:val="Hyperlink"/>
          </w:rPr>
          <w:t>10.1</w:t>
        </w:r>
        <w:r>
          <w:rPr>
            <w:rStyle w:val="Hyperlink"/>
            <w:rFonts w:hAnsi="宋体" w:hint="eastAsia"/>
          </w:rPr>
          <w:t>风险因素的识别</w:t>
        </w:r>
        <w:r>
          <w:tab/>
        </w:r>
        <w:r>
          <w:fldChar w:fldCharType="begin"/>
        </w:r>
        <w:r>
          <w:instrText xml:space="preserve"> PAGEREF _Toc449530808 \h </w:instrText>
        </w:r>
        <w:r>
          <w:fldChar w:fldCharType="separate"/>
        </w:r>
        <w:r>
          <w:t>- 75 -</w:t>
        </w:r>
        <w:r>
          <w:fldChar w:fldCharType="end"/>
        </w:r>
      </w:hyperlink>
    </w:p>
    <w:p w:rsidR="00337093">
      <w:pPr>
        <w:pStyle w:val="TOC2"/>
        <w:rPr>
          <w:sz w:val="21"/>
          <w:szCs w:val="24"/>
          <w:lang w:val="en-US" w:eastAsia="zh-CN"/>
        </w:rPr>
      </w:pPr>
      <w:hyperlink w:anchor="_Toc449530809" w:history="1">
        <w:r>
          <w:rPr>
            <w:rStyle w:val="Hyperlink"/>
          </w:rPr>
          <w:t>10.2</w:t>
        </w:r>
        <w:r>
          <w:rPr>
            <w:rStyle w:val="Hyperlink"/>
            <w:rFonts w:hAnsi="宋体" w:hint="eastAsia"/>
          </w:rPr>
          <w:t>风险评估</w:t>
        </w:r>
        <w:r>
          <w:tab/>
        </w:r>
        <w:r>
          <w:fldChar w:fldCharType="begin"/>
        </w:r>
        <w:r>
          <w:instrText xml:space="preserve"> PAGEREF _Toc449530809 \h </w:instrText>
        </w:r>
        <w:r>
          <w:fldChar w:fldCharType="separate"/>
        </w:r>
        <w:r>
          <w:t>- 75 -</w:t>
        </w:r>
        <w:r>
          <w:fldChar w:fldCharType="end"/>
        </w:r>
      </w:hyperlink>
    </w:p>
    <w:p w:rsidR="00337093">
      <w:pPr>
        <w:pStyle w:val="TOC2"/>
        <w:rPr>
          <w:sz w:val="21"/>
          <w:szCs w:val="24"/>
          <w:lang w:val="en-US" w:eastAsia="zh-CN"/>
        </w:rPr>
      </w:pPr>
      <w:hyperlink w:anchor="_Toc449530810" w:history="1">
        <w:r>
          <w:rPr>
            <w:rStyle w:val="Hyperlink"/>
          </w:rPr>
          <w:t>10.3</w:t>
        </w:r>
        <w:r>
          <w:rPr>
            <w:rStyle w:val="Hyperlink"/>
            <w:rFonts w:hAnsi="宋体" w:hint="eastAsia"/>
          </w:rPr>
          <w:t>风险对策研究</w:t>
        </w:r>
        <w:r>
          <w:tab/>
        </w:r>
        <w:r>
          <w:fldChar w:fldCharType="begin"/>
        </w:r>
        <w:r>
          <w:instrText xml:space="preserve"> PAGEREF _Toc449530810 \h </w:instrText>
        </w:r>
        <w:r>
          <w:fldChar w:fldCharType="separate"/>
        </w:r>
        <w:r>
          <w:t>- 77 -</w:t>
        </w:r>
        <w:r>
          <w:fldChar w:fldCharType="end"/>
        </w:r>
      </w:hyperlink>
    </w:p>
    <w:p w:rsidR="00337093">
      <w:pPr>
        <w:pStyle w:val="TOC1"/>
        <w:tabs>
          <w:tab w:val="right" w:leader="dot" w:pos="8607"/>
        </w:tabs>
        <w:rPr>
          <w:rFonts w:eastAsia="宋体"/>
          <w:sz w:val="21"/>
          <w:szCs w:val="24"/>
        </w:rPr>
      </w:pPr>
      <w:hyperlink w:anchor="_Toc449530811" w:history="1">
        <w:r>
          <w:rPr>
            <w:rStyle w:val="Hyperlink"/>
            <w:rFonts w:hAnsi="宋体" w:hint="eastAsia"/>
            <w:b/>
          </w:rPr>
          <w:t>第十一章</w:t>
        </w:r>
        <w:r>
          <w:rPr>
            <w:rStyle w:val="Hyperlink"/>
            <w:b/>
          </w:rPr>
          <w:t xml:space="preserve">  </w:t>
        </w:r>
        <w:r>
          <w:rPr>
            <w:rStyle w:val="Hyperlink"/>
            <w:rFonts w:hAnsi="宋体" w:hint="eastAsia"/>
            <w:b/>
          </w:rPr>
          <w:t>结论与建议</w:t>
        </w:r>
        <w:r>
          <w:tab/>
        </w:r>
        <w:r>
          <w:fldChar w:fldCharType="begin"/>
        </w:r>
        <w:r>
          <w:instrText xml:space="preserve"> PAGEREF _Toc449530811 \h </w:instrText>
        </w:r>
        <w:r>
          <w:fldChar w:fldCharType="separate"/>
        </w:r>
        <w:r>
          <w:t>- 79 -</w:t>
        </w:r>
        <w:r>
          <w:fldChar w:fldCharType="end"/>
        </w:r>
      </w:hyperlink>
    </w:p>
    <w:p w:rsidR="00337093">
      <w:pPr>
        <w:pStyle w:val="TOC2"/>
        <w:rPr>
          <w:sz w:val="21"/>
          <w:szCs w:val="24"/>
          <w:lang w:val="en-US" w:eastAsia="zh-CN"/>
        </w:rPr>
      </w:pPr>
      <w:hyperlink w:anchor="_Toc449530812" w:history="1">
        <w:r>
          <w:rPr>
            <w:rStyle w:val="Hyperlink"/>
          </w:rPr>
          <w:t xml:space="preserve">11.1 </w:t>
        </w:r>
        <w:r>
          <w:rPr>
            <w:rStyle w:val="Hyperlink"/>
            <w:rFonts w:hAnsi="宋体" w:hint="eastAsia"/>
          </w:rPr>
          <w:t>结论</w:t>
        </w:r>
        <w:r>
          <w:tab/>
        </w:r>
        <w:r>
          <w:fldChar w:fldCharType="begin"/>
        </w:r>
        <w:r>
          <w:instrText xml:space="preserve"> PAGEREF _Toc449530812 \h </w:instrText>
        </w:r>
        <w:r>
          <w:fldChar w:fldCharType="separate"/>
        </w:r>
        <w:r>
          <w:t>- 79 -</w:t>
        </w:r>
        <w:r>
          <w:fldChar w:fldCharType="end"/>
        </w:r>
      </w:hyperlink>
    </w:p>
    <w:p w:rsidR="00337093">
      <w:pPr>
        <w:pStyle w:val="TOC2"/>
        <w:rPr>
          <w:sz w:val="21"/>
          <w:szCs w:val="24"/>
          <w:lang w:val="en-US" w:eastAsia="zh-CN"/>
        </w:rPr>
      </w:pPr>
      <w:hyperlink w:anchor="_Toc449530813" w:history="1">
        <w:r>
          <w:rPr>
            <w:rStyle w:val="Hyperlink"/>
          </w:rPr>
          <w:t xml:space="preserve">11.2 </w:t>
        </w:r>
        <w:r>
          <w:rPr>
            <w:rStyle w:val="Hyperlink"/>
            <w:rFonts w:hAnsi="宋体" w:hint="eastAsia"/>
          </w:rPr>
          <w:t>建议</w:t>
        </w:r>
        <w:r>
          <w:tab/>
        </w:r>
        <w:r>
          <w:fldChar w:fldCharType="begin"/>
        </w:r>
        <w:r>
          <w:instrText xml:space="preserve"> PAGEREF _Toc449530813 \h </w:instrText>
        </w:r>
        <w:r>
          <w:fldChar w:fldCharType="separate"/>
        </w:r>
        <w:r>
          <w:t>- 79 -</w:t>
        </w:r>
        <w:r>
          <w:fldChar w:fldCharType="end"/>
        </w:r>
      </w:hyperlink>
    </w:p>
    <w:p w:rsidR="00337093">
      <w:pPr>
        <w:rPr>
          <w:b/>
          <w:bCs/>
          <w:caps/>
          <w:sz w:val="28"/>
          <w:szCs w:val="28"/>
        </w:rPr>
      </w:pPr>
      <w:r>
        <w:rPr>
          <w:rFonts w:hAnsi="宋体"/>
          <w:b/>
          <w:bCs/>
          <w:caps/>
          <w:sz w:val="28"/>
          <w:szCs w:val="28"/>
        </w:rPr>
        <w:fldChar w:fldCharType="end"/>
      </w:r>
      <w:r>
        <w:rPr>
          <w:rFonts w:hAnsi="宋体"/>
          <w:b/>
          <w:bCs/>
          <w:caps/>
          <w:sz w:val="28"/>
          <w:szCs w:val="28"/>
        </w:rPr>
        <w:t>附表：</w:t>
      </w:r>
    </w:p>
    <w:p w:rsidR="00337093" w:rsidP="00337093">
      <w:pPr>
        <w:ind w:firstLine="480" w:firstLineChars="200"/>
        <w:rPr>
          <w:b/>
          <w:sz w:val="24"/>
          <w:szCs w:val="24"/>
        </w:rPr>
        <w:sectPr>
          <w:headerReference w:type="default" r:id="rId10"/>
          <w:headerReference w:type="first" r:id="rId11"/>
          <w:type w:val="nextPage"/>
          <w:pgSz w:w="11906" w:h="16838"/>
          <w:pgMar w:top="1588" w:right="1588" w:bottom="1588" w:left="1701" w:header="851" w:footer="992" w:gutter="0"/>
          <w:pgNumType w:start="4"/>
          <w:cols w:space="720"/>
          <w:titlePg w:val="0"/>
          <w:docGrid w:type="linesAndChars" w:linePitch="312"/>
        </w:sectPr>
      </w:pPr>
    </w:p>
    <w:p w:rsidR="00337093">
      <w:pPr>
        <w:pStyle w:val="Heading1"/>
        <w:spacing w:before="840" w:after="600" w:line="360" w:lineRule="auto"/>
        <w:jc w:val="center"/>
        <w:rPr>
          <w:rFonts w:eastAsia="宋体"/>
          <w:b/>
          <w:sz w:val="38"/>
        </w:rPr>
      </w:pPr>
      <w:bookmarkStart w:id="3" w:name="_Toc139166447"/>
      <w:bookmarkStart w:id="4" w:name="_Toc139166501"/>
      <w:bookmarkStart w:id="5" w:name="_Toc349743466"/>
      <w:bookmarkStart w:id="6" w:name="_Toc350929446"/>
      <w:bookmarkStart w:id="7" w:name="_Toc350951334"/>
      <w:bookmarkStart w:id="8" w:name="_Toc350955788"/>
      <w:bookmarkStart w:id="9" w:name="_Toc351621591"/>
      <w:bookmarkStart w:id="10" w:name="_Toc351627275"/>
      <w:bookmarkStart w:id="11" w:name="_Toc352076351"/>
      <w:bookmarkStart w:id="12" w:name="_Toc352315168"/>
      <w:bookmarkStart w:id="13" w:name="_Toc353204202"/>
      <w:bookmarkStart w:id="14" w:name="_Toc353289468"/>
      <w:bookmarkStart w:id="15" w:name="_Toc387324650"/>
      <w:bookmarkStart w:id="16" w:name="_Toc387332145"/>
      <w:bookmarkStart w:id="17" w:name="_Toc398212106"/>
      <w:bookmarkStart w:id="18" w:name="_Toc398300231"/>
      <w:bookmarkStart w:id="19" w:name="_Toc398303281"/>
      <w:bookmarkStart w:id="20" w:name="_Toc402271126"/>
      <w:bookmarkStart w:id="21" w:name="_Toc402876333"/>
      <w:bookmarkStart w:id="22" w:name="_Toc402944616"/>
      <w:bookmarkStart w:id="23" w:name="_Toc403379781"/>
      <w:bookmarkStart w:id="24" w:name="_Toc403464055"/>
      <w:bookmarkStart w:id="25" w:name="_Toc403464269"/>
      <w:bookmarkStart w:id="26" w:name="_Toc404156109"/>
      <w:bookmarkStart w:id="27" w:name="_Toc449530768"/>
      <w:r>
        <w:rPr>
          <w:rFonts w:eastAsia="宋体" w:hAnsi="宋体"/>
          <w:b/>
          <w:sz w:val="38"/>
        </w:rPr>
        <w:t>第一章</w:t>
      </w:r>
      <w:r>
        <w:rPr>
          <w:rFonts w:eastAsia="宋体"/>
          <w:b/>
          <w:sz w:val="38"/>
        </w:rPr>
        <w:t xml:space="preserve">  </w:t>
      </w:r>
      <w:r>
        <w:rPr>
          <w:rFonts w:eastAsia="宋体" w:hAnsi="宋体"/>
          <w:b/>
          <w:sz w:val="38"/>
        </w:rPr>
        <w:t>项目总论</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rsidR="00337093">
      <w:pPr>
        <w:pStyle w:val="Heading2"/>
        <w:spacing w:before="120" w:after="120" w:line="240" w:lineRule="auto"/>
        <w:rPr>
          <w:rFonts w:ascii="Times New Roman" w:eastAsia="宋体" w:hAnsi="Times New Roman"/>
          <w:b/>
        </w:rPr>
      </w:pPr>
      <w:bookmarkStart w:id="28" w:name="_Toc86953941"/>
      <w:bookmarkStart w:id="29" w:name="_Toc88645083"/>
      <w:bookmarkStart w:id="30" w:name="_Toc88653531"/>
      <w:bookmarkStart w:id="31" w:name="_Toc88901202"/>
      <w:bookmarkStart w:id="32" w:name="_Toc88906476"/>
      <w:bookmarkStart w:id="33" w:name="_Toc88906545"/>
      <w:bookmarkStart w:id="34" w:name="_Toc139166502"/>
      <w:bookmarkStart w:id="35" w:name="_Toc349743467"/>
      <w:bookmarkStart w:id="36" w:name="_Toc350929447"/>
      <w:bookmarkStart w:id="37" w:name="_Toc350951335"/>
      <w:bookmarkStart w:id="38" w:name="_Toc350955789"/>
      <w:bookmarkStart w:id="39" w:name="_Toc351621592"/>
      <w:bookmarkStart w:id="40" w:name="_Toc351627276"/>
      <w:bookmarkStart w:id="41" w:name="_Toc352076352"/>
      <w:bookmarkStart w:id="42" w:name="_Toc352315169"/>
      <w:bookmarkStart w:id="43" w:name="_Toc353204203"/>
      <w:bookmarkStart w:id="44" w:name="_Toc353289469"/>
      <w:bookmarkStart w:id="45" w:name="_Toc387324651"/>
      <w:bookmarkStart w:id="46" w:name="_Toc387332146"/>
      <w:bookmarkStart w:id="47" w:name="_Toc398212107"/>
      <w:bookmarkStart w:id="48" w:name="_Toc398300232"/>
      <w:bookmarkStart w:id="49" w:name="_Toc398303282"/>
      <w:bookmarkStart w:id="50" w:name="_Toc402271127"/>
      <w:bookmarkStart w:id="51" w:name="_Toc402876334"/>
      <w:bookmarkStart w:id="52" w:name="_Toc402944617"/>
      <w:bookmarkStart w:id="53" w:name="_Toc403379782"/>
      <w:bookmarkStart w:id="54" w:name="_Toc403464056"/>
      <w:bookmarkStart w:id="55" w:name="_Toc403464270"/>
      <w:bookmarkStart w:id="56" w:name="_Toc404156110"/>
      <w:bookmarkStart w:id="57" w:name="_Toc449530769"/>
      <w:bookmarkStart w:id="58" w:name="_Toc38189048"/>
      <w:bookmarkStart w:id="59" w:name="_Toc38189049"/>
      <w:r>
        <w:rPr>
          <w:rFonts w:ascii="Times New Roman" w:eastAsia="宋体" w:hAnsi="Times New Roman"/>
          <w:b/>
        </w:rPr>
        <w:t>1.1</w:t>
      </w:r>
      <w:r>
        <w:rPr>
          <w:rFonts w:ascii="Times New Roman" w:eastAsia="宋体" w:hAnsi="宋体"/>
          <w:b/>
        </w:rPr>
        <w:t>项目</w:t>
      </w:r>
      <w:bookmarkEnd w:id="28"/>
      <w:bookmarkEnd w:id="29"/>
      <w:bookmarkEnd w:id="30"/>
      <w:bookmarkEnd w:id="31"/>
      <w:bookmarkEnd w:id="32"/>
      <w:bookmarkEnd w:id="33"/>
      <w:bookmarkEnd w:id="34"/>
      <w:r>
        <w:rPr>
          <w:rFonts w:ascii="Times New Roman" w:eastAsia="宋体" w:hAnsi="宋体"/>
          <w:b/>
        </w:rPr>
        <w:t>背景</w:t>
      </w:r>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p>
    <w:p w:rsidR="00337093">
      <w:pPr>
        <w:pStyle w:val="Heading3"/>
        <w:spacing w:before="60" w:after="60" w:line="240" w:lineRule="auto"/>
        <w:rPr>
          <w:rFonts w:eastAsia="宋体"/>
          <w:b/>
          <w:sz w:val="32"/>
        </w:rPr>
      </w:pPr>
      <w:bookmarkStart w:id="60" w:name="_Toc139166503"/>
      <w:bookmarkStart w:id="61" w:name="_Toc190759314"/>
      <w:bookmarkStart w:id="62" w:name="_Toc86953942"/>
      <w:bookmarkStart w:id="63" w:name="_Toc88645084"/>
      <w:bookmarkStart w:id="64" w:name="_Toc88653532"/>
      <w:bookmarkStart w:id="65" w:name="_Toc88901203"/>
      <w:bookmarkStart w:id="66" w:name="_Toc88906477"/>
      <w:bookmarkStart w:id="67" w:name="_Toc88906546"/>
      <w:smartTag w:uri="urn:schemas-microsoft-com:office:smarttags" w:element="chsdate">
        <w:smartTagPr>
          <w:attr w:name="Day" w:val="30"/>
          <w:attr w:name="IsLunarDate" w:val="False"/>
          <w:attr w:name="IsROCDate" w:val="False"/>
          <w:attr w:name="Month" w:val="12"/>
          <w:attr w:name="Year" w:val="1899"/>
        </w:smartTagPr>
        <w:r>
          <w:rPr>
            <w:rFonts w:eastAsia="宋体"/>
            <w:b/>
            <w:sz w:val="32"/>
          </w:rPr>
          <w:t>1.1.1</w:t>
        </w:r>
      </w:smartTag>
      <w:r>
        <w:rPr>
          <w:rFonts w:eastAsia="宋体" w:hAnsi="宋体"/>
          <w:b/>
          <w:sz w:val="32"/>
        </w:rPr>
        <w:t>项目名称</w:t>
      </w:r>
      <w:bookmarkEnd w:id="58"/>
      <w:bookmarkEnd w:id="67"/>
      <w:bookmarkEnd w:id="60"/>
      <w:bookmarkEnd w:id="61"/>
      <w:bookmarkEnd w:id="62"/>
      <w:bookmarkEnd w:id="63"/>
      <w:bookmarkEnd w:id="64"/>
      <w:bookmarkEnd w:id="65"/>
      <w:bookmarkEnd w:id="66"/>
    </w:p>
    <w:p w:rsidR="00337093" w:rsidP="00337093">
      <w:pPr>
        <w:ind w:firstLine="560" w:firstLineChars="200"/>
        <w:rPr>
          <w:sz w:val="28"/>
          <w:szCs w:val="28"/>
        </w:rPr>
      </w:pPr>
      <w:r>
        <w:rPr>
          <w:rFonts w:hAnsi="宋体" w:hint="eastAsia"/>
          <w:sz w:val="28"/>
          <w:szCs w:val="28"/>
        </w:rPr>
        <w:t>XX</w:t>
      </w:r>
      <w:r>
        <w:rPr>
          <w:rFonts w:hAnsi="宋体"/>
          <w:sz w:val="28"/>
          <w:szCs w:val="28"/>
        </w:rPr>
        <w:t>市新能源汽车充电基础设施建设项目</w:t>
      </w:r>
    </w:p>
    <w:p w:rsidR="00337093">
      <w:pPr>
        <w:pStyle w:val="Heading3"/>
        <w:spacing w:before="60" w:after="60" w:line="240" w:lineRule="auto"/>
        <w:rPr>
          <w:rFonts w:eastAsia="宋体"/>
          <w:b/>
          <w:sz w:val="32"/>
        </w:rPr>
      </w:pPr>
      <w:smartTag w:uri="urn:schemas-microsoft-com:office:smarttags" w:element="chsdate">
        <w:smartTagPr>
          <w:attr w:name="Day" w:val="30"/>
          <w:attr w:name="IsLunarDate" w:val="False"/>
          <w:attr w:name="IsROCDate" w:val="False"/>
          <w:attr w:name="Month" w:val="12"/>
          <w:attr w:name="Year" w:val="1899"/>
        </w:smartTagPr>
        <w:r>
          <w:rPr>
            <w:rFonts w:eastAsia="宋体"/>
            <w:b/>
            <w:sz w:val="32"/>
          </w:rPr>
          <w:t>1.1.2</w:t>
        </w:r>
      </w:smartTag>
      <w:r>
        <w:rPr>
          <w:rFonts w:eastAsia="宋体" w:hAnsi="宋体"/>
          <w:b/>
          <w:sz w:val="32"/>
        </w:rPr>
        <w:t>建设性质</w:t>
      </w:r>
    </w:p>
    <w:p w:rsidR="00337093" w:rsidP="00337093">
      <w:pPr>
        <w:ind w:firstLine="560" w:firstLineChars="200"/>
        <w:rPr>
          <w:sz w:val="28"/>
          <w:szCs w:val="28"/>
        </w:rPr>
      </w:pPr>
      <w:r>
        <w:rPr>
          <w:rFonts w:hAnsi="宋体"/>
          <w:sz w:val="28"/>
          <w:szCs w:val="28"/>
        </w:rPr>
        <w:t>新建</w:t>
      </w:r>
    </w:p>
    <w:p w:rsidR="00337093">
      <w:pPr>
        <w:pStyle w:val="Heading3"/>
        <w:spacing w:before="60" w:after="60" w:line="240" w:lineRule="auto"/>
        <w:rPr>
          <w:rFonts w:eastAsia="宋体"/>
          <w:b/>
          <w:sz w:val="32"/>
        </w:rPr>
      </w:pPr>
      <w:bookmarkStart w:id="68" w:name="_Toc86953944"/>
      <w:bookmarkStart w:id="69" w:name="_Toc88645086"/>
      <w:bookmarkStart w:id="70" w:name="_Toc88653534"/>
      <w:bookmarkStart w:id="71" w:name="_Toc88901205"/>
      <w:bookmarkStart w:id="72" w:name="_Toc88906479"/>
      <w:bookmarkStart w:id="73" w:name="_Toc88906548"/>
      <w:bookmarkStart w:id="74" w:name="_Toc139166505"/>
      <w:bookmarkStart w:id="75" w:name="_Toc190759316"/>
      <w:bookmarkEnd w:id="59"/>
      <w:smartTag w:uri="urn:schemas-microsoft-com:office:smarttags" w:element="chsdate">
        <w:smartTagPr>
          <w:attr w:name="Day" w:val="30"/>
          <w:attr w:name="IsLunarDate" w:val="False"/>
          <w:attr w:name="IsROCDate" w:val="False"/>
          <w:attr w:name="Month" w:val="12"/>
          <w:attr w:name="Year" w:val="1899"/>
        </w:smartTagPr>
        <w:r>
          <w:rPr>
            <w:rFonts w:eastAsia="宋体"/>
            <w:b/>
            <w:sz w:val="32"/>
          </w:rPr>
          <w:t>1.1.3</w:t>
        </w:r>
      </w:smartTag>
      <w:r>
        <w:rPr>
          <w:rFonts w:eastAsia="宋体" w:hAnsi="宋体"/>
          <w:b/>
          <w:sz w:val="32"/>
        </w:rPr>
        <w:t>项目承办单位</w:t>
      </w:r>
      <w:bookmarkEnd w:id="68"/>
      <w:bookmarkEnd w:id="69"/>
      <w:bookmarkEnd w:id="70"/>
      <w:bookmarkEnd w:id="71"/>
      <w:bookmarkEnd w:id="72"/>
      <w:bookmarkEnd w:id="73"/>
      <w:bookmarkEnd w:id="74"/>
      <w:bookmarkEnd w:id="75"/>
    </w:p>
    <w:p w:rsidR="00337093" w:rsidP="00337093">
      <w:pPr>
        <w:ind w:firstLine="560" w:firstLineChars="200"/>
        <w:rPr>
          <w:sz w:val="28"/>
          <w:szCs w:val="28"/>
        </w:rPr>
      </w:pPr>
      <w:r>
        <w:rPr>
          <w:rFonts w:hint="eastAsia"/>
          <w:sz w:val="28"/>
          <w:szCs w:val="28"/>
        </w:rPr>
        <w:t>XXXX有限公司</w:t>
      </w:r>
    </w:p>
    <w:p w:rsidR="00337093">
      <w:pPr>
        <w:pStyle w:val="Heading3"/>
        <w:spacing w:before="60" w:after="60" w:line="240" w:lineRule="auto"/>
        <w:rPr>
          <w:rFonts w:eastAsia="宋体"/>
          <w:b/>
          <w:sz w:val="32"/>
        </w:rPr>
      </w:pPr>
      <w:smartTag w:uri="urn:schemas-microsoft-com:office:smarttags" w:element="chsdate">
        <w:smartTagPr>
          <w:attr w:name="Day" w:val="30"/>
          <w:attr w:name="IsLunarDate" w:val="False"/>
          <w:attr w:name="IsROCDate" w:val="False"/>
          <w:attr w:name="Month" w:val="12"/>
          <w:attr w:name="Year" w:val="1899"/>
        </w:smartTagPr>
        <w:r>
          <w:rPr>
            <w:rFonts w:eastAsia="宋体"/>
            <w:b/>
            <w:sz w:val="32"/>
          </w:rPr>
          <w:t>1.1.4</w:t>
        </w:r>
      </w:smartTag>
      <w:r>
        <w:rPr>
          <w:rFonts w:eastAsia="宋体" w:hAnsi="宋体"/>
          <w:b/>
          <w:sz w:val="32"/>
        </w:rPr>
        <w:t>可行性研究编制单位</w:t>
      </w:r>
    </w:p>
    <w:p w:rsidR="00337093" w:rsidP="00337093">
      <w:pPr>
        <w:ind w:firstLine="560" w:firstLineChars="200"/>
        <w:rPr>
          <w:sz w:val="28"/>
          <w:szCs w:val="28"/>
        </w:rPr>
      </w:pPr>
      <w:r>
        <w:rPr>
          <w:rFonts w:hAnsi="宋体"/>
          <w:sz w:val="28"/>
          <w:szCs w:val="28"/>
        </w:rPr>
        <w:t>北京智博睿投资咨询有限公司</w:t>
      </w:r>
    </w:p>
    <w:p w:rsidR="00337093">
      <w:pPr>
        <w:pStyle w:val="Heading3"/>
        <w:spacing w:before="60" w:after="60" w:line="240" w:lineRule="auto"/>
        <w:rPr>
          <w:rFonts w:eastAsia="宋体"/>
          <w:b/>
          <w:sz w:val="32"/>
        </w:rPr>
      </w:pPr>
      <w:smartTag w:uri="urn:schemas-microsoft-com:office:smarttags" w:element="chsdate">
        <w:smartTagPr>
          <w:attr w:name="Day" w:val="30"/>
          <w:attr w:name="IsLunarDate" w:val="False"/>
          <w:attr w:name="IsROCDate" w:val="False"/>
          <w:attr w:name="Month" w:val="12"/>
          <w:attr w:name="Year" w:val="1899"/>
        </w:smartTagPr>
        <w:r>
          <w:rPr>
            <w:rFonts w:eastAsia="宋体"/>
            <w:b/>
            <w:sz w:val="32"/>
          </w:rPr>
          <w:t>1.1.5</w:t>
        </w:r>
      </w:smartTag>
      <w:r>
        <w:rPr>
          <w:rFonts w:eastAsia="宋体" w:hAnsi="宋体"/>
          <w:b/>
          <w:sz w:val="32"/>
        </w:rPr>
        <w:t>项目建设地点</w:t>
      </w:r>
    </w:p>
    <w:p w:rsidR="00337093" w:rsidP="00337093">
      <w:pPr>
        <w:ind w:firstLine="560" w:firstLineChars="200"/>
        <w:rPr>
          <w:rFonts w:hint="eastAsia"/>
          <w:sz w:val="28"/>
          <w:szCs w:val="28"/>
        </w:rPr>
      </w:pPr>
      <w:r>
        <w:rPr>
          <w:rFonts w:hAnsi="宋体" w:hint="eastAsia"/>
          <w:sz w:val="28"/>
          <w:szCs w:val="28"/>
        </w:rPr>
        <w:t>XX省XX市</w:t>
      </w:r>
    </w:p>
    <w:p w:rsidR="00337093">
      <w:pPr>
        <w:pStyle w:val="Heading3"/>
        <w:spacing w:before="60" w:after="60" w:line="240" w:lineRule="auto"/>
        <w:rPr>
          <w:rFonts w:eastAsia="宋体"/>
          <w:b/>
          <w:sz w:val="32"/>
        </w:rPr>
      </w:pPr>
      <w:smartTag w:uri="urn:schemas-microsoft-com:office:smarttags" w:element="chsdate">
        <w:smartTagPr>
          <w:attr w:name="Day" w:val="30"/>
          <w:attr w:name="IsLunarDate" w:val="False"/>
          <w:attr w:name="IsROCDate" w:val="False"/>
          <w:attr w:name="Month" w:val="12"/>
          <w:attr w:name="Year" w:val="1899"/>
        </w:smartTagPr>
        <w:r>
          <w:rPr>
            <w:rFonts w:eastAsia="宋体"/>
            <w:b/>
            <w:sz w:val="32"/>
          </w:rPr>
          <w:t>1.1.6</w:t>
        </w:r>
      </w:smartTag>
      <w:r>
        <w:rPr>
          <w:rFonts w:eastAsia="宋体" w:hAnsi="宋体"/>
          <w:b/>
          <w:sz w:val="32"/>
        </w:rPr>
        <w:t>研究工作依据</w:t>
      </w:r>
    </w:p>
    <w:p w:rsidR="00337093">
      <w:pPr>
        <w:rPr>
          <w:b/>
          <w:sz w:val="28"/>
          <w:szCs w:val="28"/>
        </w:rPr>
      </w:pPr>
      <w:smartTag w:uri="urn:schemas-microsoft-com:office:smarttags" w:element="chsdate">
        <w:smartTagPr>
          <w:attr w:name="Day" w:val="30"/>
          <w:attr w:name="IsLunarDate" w:val="False"/>
          <w:attr w:name="IsROCDate" w:val="False"/>
          <w:attr w:name="Month" w:val="12"/>
          <w:attr w:name="Year" w:val="1899"/>
        </w:smartTagPr>
        <w:r>
          <w:rPr>
            <w:b/>
            <w:sz w:val="28"/>
            <w:szCs w:val="28"/>
          </w:rPr>
          <w:t>1.1.6</w:t>
        </w:r>
      </w:smartTag>
      <w:r>
        <w:rPr>
          <w:b/>
          <w:sz w:val="28"/>
          <w:szCs w:val="28"/>
        </w:rPr>
        <w:t>.1</w:t>
      </w:r>
      <w:r>
        <w:rPr>
          <w:rFonts w:hAnsi="宋体"/>
          <w:b/>
          <w:sz w:val="28"/>
          <w:szCs w:val="28"/>
        </w:rPr>
        <w:t>国家政策、行业发展规划、地区发展规划</w:t>
      </w:r>
    </w:p>
    <w:p w:rsidR="00337093" w:rsidP="00337093">
      <w:pPr>
        <w:ind w:firstLine="560" w:firstLineChars="200"/>
        <w:rPr>
          <w:sz w:val="28"/>
          <w:szCs w:val="28"/>
        </w:rPr>
      </w:pPr>
      <w:r>
        <w:rPr>
          <w:rFonts w:hAnsi="宋体"/>
          <w:sz w:val="28"/>
          <w:szCs w:val="28"/>
        </w:rPr>
        <w:t>（</w:t>
      </w:r>
      <w:r>
        <w:rPr>
          <w:sz w:val="28"/>
          <w:szCs w:val="28"/>
        </w:rPr>
        <w:t>1</w:t>
      </w:r>
      <w:r>
        <w:rPr>
          <w:rFonts w:hAnsi="宋体"/>
          <w:sz w:val="28"/>
          <w:szCs w:val="28"/>
        </w:rPr>
        <w:t>）《中华人民共和国国民经济和社会发展第十</w:t>
      </w:r>
      <w:r>
        <w:rPr>
          <w:rFonts w:hAnsi="宋体" w:hint="eastAsia"/>
          <w:sz w:val="28"/>
          <w:szCs w:val="28"/>
        </w:rPr>
        <w:t>三</w:t>
      </w:r>
      <w:r>
        <w:rPr>
          <w:rFonts w:hAnsi="宋体"/>
          <w:sz w:val="28"/>
          <w:szCs w:val="28"/>
        </w:rPr>
        <w:t>个五年规划纲要》；</w:t>
      </w:r>
    </w:p>
    <w:p w:rsidR="00337093" w:rsidP="00337093">
      <w:pPr>
        <w:ind w:firstLine="560" w:firstLineChars="200"/>
        <w:rPr>
          <w:sz w:val="28"/>
          <w:szCs w:val="28"/>
        </w:rPr>
      </w:pPr>
      <w:r>
        <w:rPr>
          <w:rFonts w:hAnsi="宋体"/>
          <w:sz w:val="28"/>
          <w:szCs w:val="28"/>
        </w:rPr>
        <w:t>（</w:t>
      </w:r>
      <w:r>
        <w:rPr>
          <w:sz w:val="28"/>
          <w:szCs w:val="28"/>
        </w:rPr>
        <w:t>2</w:t>
      </w:r>
      <w:r>
        <w:rPr>
          <w:rFonts w:hAnsi="宋体"/>
          <w:sz w:val="28"/>
          <w:szCs w:val="28"/>
        </w:rPr>
        <w:t>）《</w:t>
      </w:r>
      <w:r>
        <w:rPr>
          <w:rFonts w:hAnsi="宋体" w:hint="eastAsia"/>
          <w:sz w:val="28"/>
          <w:szCs w:val="28"/>
        </w:rPr>
        <w:t>XX</w:t>
      </w:r>
      <w:r>
        <w:rPr>
          <w:rFonts w:hAnsi="宋体"/>
          <w:sz w:val="28"/>
          <w:szCs w:val="28"/>
        </w:rPr>
        <w:t>省国民经济和社会发展第十</w:t>
      </w:r>
      <w:r>
        <w:rPr>
          <w:rFonts w:hAnsi="宋体" w:hint="eastAsia"/>
          <w:sz w:val="28"/>
          <w:szCs w:val="28"/>
        </w:rPr>
        <w:t>三</w:t>
      </w:r>
      <w:r>
        <w:rPr>
          <w:rFonts w:hAnsi="宋体"/>
          <w:sz w:val="28"/>
          <w:szCs w:val="28"/>
        </w:rPr>
        <w:t>个五年规划纲要》；</w:t>
      </w:r>
    </w:p>
    <w:p w:rsidR="00337093" w:rsidP="00337093">
      <w:pPr>
        <w:ind w:firstLine="560" w:firstLineChars="200"/>
        <w:rPr>
          <w:sz w:val="28"/>
          <w:szCs w:val="28"/>
        </w:rPr>
      </w:pPr>
      <w:r>
        <w:rPr>
          <w:rFonts w:hAnsi="宋体"/>
          <w:sz w:val="28"/>
          <w:szCs w:val="28"/>
        </w:rPr>
        <w:t>（</w:t>
      </w:r>
      <w:r>
        <w:rPr>
          <w:sz w:val="28"/>
          <w:szCs w:val="28"/>
        </w:rPr>
        <w:t>3</w:t>
      </w:r>
      <w:r>
        <w:rPr>
          <w:rFonts w:hAnsi="宋体"/>
          <w:sz w:val="28"/>
          <w:szCs w:val="28"/>
        </w:rPr>
        <w:t>）《</w:t>
      </w:r>
      <w:r>
        <w:rPr>
          <w:rFonts w:hAnsi="宋体" w:hint="eastAsia"/>
          <w:sz w:val="28"/>
          <w:szCs w:val="28"/>
        </w:rPr>
        <w:t>XX市</w:t>
      </w:r>
      <w:r>
        <w:rPr>
          <w:rFonts w:hAnsi="宋体"/>
          <w:sz w:val="28"/>
          <w:szCs w:val="28"/>
        </w:rPr>
        <w:t>国民经济和社会发展第十</w:t>
      </w:r>
      <w:r>
        <w:rPr>
          <w:rFonts w:hAnsi="宋体" w:hint="eastAsia"/>
          <w:sz w:val="28"/>
          <w:szCs w:val="28"/>
        </w:rPr>
        <w:t>三</w:t>
      </w:r>
      <w:r>
        <w:rPr>
          <w:rFonts w:hAnsi="宋体"/>
          <w:sz w:val="28"/>
          <w:szCs w:val="28"/>
        </w:rPr>
        <w:t>个五年规划纲要》；</w:t>
      </w:r>
    </w:p>
    <w:p w:rsidR="00337093" w:rsidP="00337093">
      <w:pPr>
        <w:ind w:firstLine="560" w:firstLineChars="200"/>
        <w:rPr>
          <w:sz w:val="28"/>
          <w:szCs w:val="28"/>
        </w:rPr>
        <w:sectPr>
          <w:headerReference w:type="default" r:id="rId12"/>
          <w:footerReference w:type="even" r:id="rId13"/>
          <w:footerReference w:type="default" r:id="rId14"/>
          <w:headerReference w:type="first" r:id="rId15"/>
          <w:pgSz w:w="11906" w:h="16838"/>
          <w:pgMar w:top="1418" w:right="1418" w:bottom="1418" w:left="1701" w:header="964" w:footer="964" w:gutter="0"/>
          <w:pgNumType w:fmt="numberInDash" w:start="1"/>
          <w:cols w:space="720"/>
          <w:docGrid w:type="linesAndChars" w:linePitch="291" w:charSpace="3135"/>
        </w:sectPr>
      </w:pPr>
      <w:r>
        <w:rPr>
          <w:rFonts w:hAnsi="宋体"/>
          <w:sz w:val="28"/>
          <w:szCs w:val="28"/>
        </w:rPr>
        <w:t>（</w:t>
      </w:r>
      <w:r>
        <w:rPr>
          <w:sz w:val="28"/>
          <w:szCs w:val="28"/>
        </w:rPr>
        <w:t>4</w:t>
      </w:r>
      <w:r>
        <w:rPr>
          <w:rFonts w:hAnsi="宋体"/>
          <w:sz w:val="28"/>
          <w:szCs w:val="28"/>
        </w:rPr>
        <w:t>）《</w:t>
      </w:r>
      <w:r>
        <w:rPr>
          <w:rFonts w:hint="eastAsia"/>
          <w:sz w:val="28"/>
          <w:szCs w:val="28"/>
        </w:rPr>
        <w:t>XX市城市公共交通规划</w:t>
      </w:r>
      <w:r>
        <w:rPr>
          <w:rFonts w:hAnsi="宋体"/>
          <w:sz w:val="28"/>
          <w:szCs w:val="28"/>
        </w:rPr>
        <w:t>》</w:t>
      </w:r>
    </w:p>
    <w:p w:rsidR="00337093" w:rsidP="00337093">
      <w:pPr>
        <w:ind w:firstLine="560" w:firstLineChars="200"/>
        <w:rPr>
          <w:sz w:val="28"/>
          <w:szCs w:val="28"/>
        </w:rPr>
      </w:pPr>
    </w:p>
    <w:p w:rsidR="00337093" w:rsidP="00337093">
      <w:pPr>
        <w:ind w:firstLine="560" w:firstLineChars="200"/>
        <w:rPr>
          <w:sz w:val="28"/>
          <w:szCs w:val="28"/>
        </w:rPr>
      </w:pPr>
      <w:r>
        <w:rPr>
          <w:rFonts w:hAnsi="宋体"/>
          <w:sz w:val="28"/>
          <w:szCs w:val="28"/>
        </w:rPr>
        <w:t>（</w:t>
      </w:r>
      <w:r>
        <w:rPr>
          <w:rFonts w:hint="eastAsia"/>
          <w:sz w:val="28"/>
          <w:szCs w:val="28"/>
        </w:rPr>
        <w:t>5</w:t>
      </w:r>
      <w:r>
        <w:rPr>
          <w:rFonts w:hAnsi="宋体"/>
          <w:sz w:val="28"/>
          <w:szCs w:val="28"/>
        </w:rPr>
        <w:t>）《投资项目可行性研究指南》；</w:t>
      </w:r>
    </w:p>
    <w:p w:rsidR="00337093" w:rsidP="00337093">
      <w:pPr>
        <w:ind w:firstLine="560" w:firstLineChars="200"/>
        <w:rPr>
          <w:sz w:val="28"/>
          <w:szCs w:val="28"/>
        </w:rPr>
      </w:pPr>
      <w:r>
        <w:rPr>
          <w:rFonts w:hAnsi="宋体"/>
          <w:sz w:val="28"/>
          <w:szCs w:val="28"/>
        </w:rPr>
        <w:t>（</w:t>
      </w:r>
      <w:r>
        <w:rPr>
          <w:rFonts w:hint="eastAsia"/>
          <w:sz w:val="28"/>
          <w:szCs w:val="28"/>
        </w:rPr>
        <w:t>6</w:t>
      </w:r>
      <w:r>
        <w:rPr>
          <w:rFonts w:hAnsi="宋体"/>
          <w:sz w:val="28"/>
          <w:szCs w:val="28"/>
        </w:rPr>
        <w:t>）</w:t>
      </w:r>
      <w:r>
        <w:rPr>
          <w:rFonts w:hAnsi="宋体" w:hint="eastAsia"/>
          <w:sz w:val="28"/>
          <w:szCs w:val="28"/>
        </w:rPr>
        <w:t>XX市</w:t>
      </w:r>
      <w:r>
        <w:rPr>
          <w:sz w:val="28"/>
          <w:szCs w:val="28"/>
        </w:rPr>
        <w:t>201</w:t>
      </w:r>
      <w:r>
        <w:rPr>
          <w:rFonts w:hint="eastAsia"/>
          <w:sz w:val="28"/>
          <w:szCs w:val="28"/>
        </w:rPr>
        <w:t>5</w:t>
      </w:r>
      <w:r>
        <w:rPr>
          <w:rFonts w:hAnsi="宋体"/>
          <w:sz w:val="28"/>
          <w:szCs w:val="28"/>
        </w:rPr>
        <w:t>年统计公报；</w:t>
      </w:r>
    </w:p>
    <w:p w:rsidR="00337093" w:rsidP="00337093">
      <w:pPr>
        <w:ind w:firstLine="560" w:firstLineChars="200"/>
        <w:rPr>
          <w:sz w:val="28"/>
          <w:szCs w:val="28"/>
        </w:rPr>
      </w:pPr>
      <w:r>
        <w:rPr>
          <w:rFonts w:hAnsi="宋体"/>
          <w:sz w:val="28"/>
          <w:szCs w:val="28"/>
        </w:rPr>
        <w:t>（</w:t>
      </w:r>
      <w:r>
        <w:rPr>
          <w:rFonts w:hint="eastAsia"/>
          <w:sz w:val="28"/>
          <w:szCs w:val="28"/>
        </w:rPr>
        <w:t>7</w:t>
      </w:r>
      <w:r>
        <w:rPr>
          <w:rFonts w:hAnsi="宋体"/>
          <w:sz w:val="28"/>
          <w:szCs w:val="28"/>
        </w:rPr>
        <w:t>）国家有关部门关于项目可行性研究报告编制规范和要求；</w:t>
      </w:r>
    </w:p>
    <w:p w:rsidR="00337093" w:rsidP="00337093">
      <w:pPr>
        <w:ind w:firstLine="560" w:firstLineChars="200"/>
        <w:rPr>
          <w:sz w:val="28"/>
          <w:szCs w:val="28"/>
        </w:rPr>
      </w:pPr>
      <w:r>
        <w:rPr>
          <w:rFonts w:hAnsi="宋体"/>
          <w:sz w:val="28"/>
          <w:szCs w:val="28"/>
        </w:rPr>
        <w:t>（</w:t>
      </w:r>
      <w:r>
        <w:rPr>
          <w:rFonts w:hint="eastAsia"/>
          <w:sz w:val="28"/>
          <w:szCs w:val="28"/>
        </w:rPr>
        <w:t>8</w:t>
      </w:r>
      <w:r>
        <w:rPr>
          <w:rFonts w:hAnsi="宋体"/>
          <w:sz w:val="28"/>
          <w:szCs w:val="28"/>
        </w:rPr>
        <w:t>）</w:t>
      </w:r>
      <w:r>
        <w:rPr>
          <w:rFonts w:hAnsi="宋体" w:hint="eastAsia"/>
          <w:sz w:val="28"/>
          <w:szCs w:val="28"/>
        </w:rPr>
        <w:t>XX</w:t>
      </w:r>
      <w:r>
        <w:rPr>
          <w:rFonts w:hAnsi="宋体"/>
          <w:sz w:val="28"/>
          <w:szCs w:val="28"/>
        </w:rPr>
        <w:t>省及</w:t>
      </w:r>
      <w:r>
        <w:rPr>
          <w:rFonts w:hAnsi="宋体" w:hint="eastAsia"/>
          <w:sz w:val="28"/>
          <w:szCs w:val="28"/>
        </w:rPr>
        <w:t>XX市</w:t>
      </w:r>
      <w:r>
        <w:rPr>
          <w:rFonts w:hAnsi="宋体"/>
          <w:sz w:val="28"/>
          <w:szCs w:val="28"/>
        </w:rPr>
        <w:t>材料市场价格信息。</w:t>
      </w:r>
    </w:p>
    <w:p w:rsidR="00337093">
      <w:pPr>
        <w:rPr>
          <w:b/>
          <w:sz w:val="28"/>
          <w:szCs w:val="28"/>
        </w:rPr>
      </w:pPr>
      <w:smartTag w:uri="urn:schemas-microsoft-com:office:smarttags" w:element="chsdate">
        <w:smartTagPr>
          <w:attr w:name="Day" w:val="30"/>
          <w:attr w:name="IsLunarDate" w:val="False"/>
          <w:attr w:name="IsROCDate" w:val="False"/>
          <w:attr w:name="Month" w:val="12"/>
          <w:attr w:name="Year" w:val="1899"/>
        </w:smartTagPr>
        <w:r>
          <w:rPr>
            <w:b/>
            <w:sz w:val="28"/>
            <w:szCs w:val="28"/>
          </w:rPr>
          <w:t>1.1.6</w:t>
        </w:r>
      </w:smartTag>
      <w:r>
        <w:rPr>
          <w:b/>
          <w:sz w:val="28"/>
          <w:szCs w:val="28"/>
        </w:rPr>
        <w:t>.2</w:t>
      </w:r>
      <w:r>
        <w:rPr>
          <w:rFonts w:hAnsi="宋体"/>
          <w:b/>
          <w:sz w:val="28"/>
          <w:szCs w:val="28"/>
        </w:rPr>
        <w:t>项目单位提供的基础资料</w:t>
      </w:r>
    </w:p>
    <w:p w:rsidR="00337093" w:rsidP="00337093">
      <w:pPr>
        <w:ind w:firstLine="560" w:firstLineChars="200"/>
        <w:rPr>
          <w:sz w:val="28"/>
          <w:szCs w:val="28"/>
        </w:rPr>
      </w:pPr>
      <w:r>
        <w:rPr>
          <w:rFonts w:hAnsi="宋体"/>
          <w:sz w:val="28"/>
          <w:szCs w:val="28"/>
        </w:rPr>
        <w:t>（</w:t>
      </w:r>
      <w:r>
        <w:rPr>
          <w:sz w:val="28"/>
          <w:szCs w:val="28"/>
        </w:rPr>
        <w:t>1</w:t>
      </w:r>
      <w:r>
        <w:rPr>
          <w:rFonts w:hAnsi="宋体"/>
          <w:sz w:val="28"/>
          <w:szCs w:val="28"/>
        </w:rPr>
        <w:t>）</w:t>
      </w:r>
      <w:r>
        <w:rPr>
          <w:rFonts w:hAnsi="宋体" w:hint="eastAsia"/>
          <w:sz w:val="28"/>
          <w:szCs w:val="28"/>
        </w:rPr>
        <w:t>XX</w:t>
      </w:r>
      <w:r>
        <w:rPr>
          <w:rFonts w:hAnsi="宋体"/>
          <w:sz w:val="28"/>
          <w:szCs w:val="28"/>
        </w:rPr>
        <w:t>市新能源汽车充电基础设施建设项目简介</w:t>
      </w:r>
    </w:p>
    <w:p w:rsidR="00337093" w:rsidP="00337093">
      <w:pPr>
        <w:ind w:firstLine="560" w:firstLineChars="200"/>
        <w:rPr>
          <w:sz w:val="28"/>
          <w:szCs w:val="28"/>
        </w:rPr>
      </w:pPr>
      <w:r>
        <w:rPr>
          <w:rFonts w:hAnsi="宋体"/>
          <w:sz w:val="28"/>
          <w:szCs w:val="28"/>
        </w:rPr>
        <w:t>（</w:t>
      </w:r>
      <w:r>
        <w:rPr>
          <w:sz w:val="28"/>
          <w:szCs w:val="28"/>
        </w:rPr>
        <w:t>2</w:t>
      </w:r>
      <w:r>
        <w:rPr>
          <w:rFonts w:hAnsi="宋体"/>
          <w:sz w:val="28"/>
          <w:szCs w:val="28"/>
        </w:rPr>
        <w:t>）其他有关项目的各种技术资料、项目方案等基础资料</w:t>
      </w:r>
    </w:p>
    <w:p w:rsidR="00337093">
      <w:pPr>
        <w:pStyle w:val="Heading3"/>
        <w:spacing w:before="60" w:after="60" w:line="240" w:lineRule="auto"/>
        <w:rPr>
          <w:rFonts w:eastAsia="宋体"/>
          <w:b/>
          <w:sz w:val="32"/>
        </w:rPr>
      </w:pPr>
      <w:smartTag w:uri="urn:schemas-microsoft-com:office:smarttags" w:element="chsdate">
        <w:smartTagPr>
          <w:attr w:name="Day" w:val="30"/>
          <w:attr w:name="IsLunarDate" w:val="False"/>
          <w:attr w:name="IsROCDate" w:val="False"/>
          <w:attr w:name="Month" w:val="12"/>
          <w:attr w:name="Year" w:val="1899"/>
        </w:smartTagPr>
        <w:r>
          <w:rPr>
            <w:rFonts w:eastAsia="宋体"/>
            <w:b/>
            <w:sz w:val="32"/>
          </w:rPr>
          <w:t>1.1.7</w:t>
        </w:r>
      </w:smartTag>
      <w:r>
        <w:rPr>
          <w:rFonts w:eastAsia="宋体" w:hAnsi="宋体"/>
          <w:b/>
          <w:sz w:val="32"/>
        </w:rPr>
        <w:t>研究工作范围</w:t>
      </w:r>
    </w:p>
    <w:p w:rsidR="00337093" w:rsidP="00337093">
      <w:pPr>
        <w:ind w:firstLine="560" w:firstLineChars="200"/>
        <w:rPr>
          <w:sz w:val="28"/>
          <w:szCs w:val="28"/>
        </w:rPr>
      </w:pPr>
      <w:r>
        <w:rPr>
          <w:rFonts w:hAnsi="宋体"/>
          <w:sz w:val="28"/>
          <w:szCs w:val="28"/>
        </w:rPr>
        <w:t>（</w:t>
      </w:r>
      <w:r>
        <w:rPr>
          <w:sz w:val="28"/>
          <w:szCs w:val="28"/>
        </w:rPr>
        <w:t>1</w:t>
      </w:r>
      <w:r>
        <w:rPr>
          <w:rFonts w:hAnsi="宋体"/>
          <w:sz w:val="28"/>
          <w:szCs w:val="28"/>
        </w:rPr>
        <w:t>）通过项目背景及发展概况的研究，分析项目提出的由来；</w:t>
      </w:r>
    </w:p>
    <w:p w:rsidR="00337093" w:rsidP="00337093">
      <w:pPr>
        <w:ind w:firstLine="560" w:firstLineChars="200"/>
        <w:rPr>
          <w:sz w:val="28"/>
          <w:szCs w:val="28"/>
        </w:rPr>
      </w:pPr>
      <w:r>
        <w:rPr>
          <w:rFonts w:hAnsi="宋体"/>
          <w:sz w:val="28"/>
          <w:szCs w:val="28"/>
        </w:rPr>
        <w:t>（</w:t>
      </w:r>
      <w:r>
        <w:rPr>
          <w:sz w:val="28"/>
          <w:szCs w:val="28"/>
        </w:rPr>
        <w:t>2</w:t>
      </w:r>
      <w:r>
        <w:rPr>
          <w:rFonts w:hAnsi="宋体"/>
          <w:sz w:val="28"/>
          <w:szCs w:val="28"/>
        </w:rPr>
        <w:t>）通过对市场的分析研究以及对项目规划的研究，推荐项目的建设规模、方案，论证项目建设的合理性；</w:t>
      </w:r>
    </w:p>
    <w:p w:rsidR="00337093" w:rsidP="00337093">
      <w:pPr>
        <w:ind w:firstLine="560" w:firstLineChars="200"/>
        <w:rPr>
          <w:sz w:val="28"/>
          <w:szCs w:val="28"/>
        </w:rPr>
      </w:pPr>
      <w:r>
        <w:rPr>
          <w:rFonts w:hAnsi="宋体"/>
          <w:sz w:val="28"/>
          <w:szCs w:val="28"/>
        </w:rPr>
        <w:t>（</w:t>
      </w:r>
      <w:r>
        <w:rPr>
          <w:sz w:val="28"/>
          <w:szCs w:val="28"/>
        </w:rPr>
        <w:t>3</w:t>
      </w:r>
      <w:r>
        <w:rPr>
          <w:rFonts w:hAnsi="宋体"/>
          <w:sz w:val="28"/>
          <w:szCs w:val="28"/>
        </w:rPr>
        <w:t>）对公用工程和辅助设施进行研究；</w:t>
      </w:r>
    </w:p>
    <w:p w:rsidR="00337093" w:rsidP="00337093">
      <w:pPr>
        <w:ind w:firstLine="560" w:firstLineChars="200"/>
        <w:rPr>
          <w:sz w:val="28"/>
          <w:szCs w:val="28"/>
        </w:rPr>
      </w:pPr>
      <w:r>
        <w:rPr>
          <w:rFonts w:hAnsi="宋体"/>
          <w:sz w:val="28"/>
          <w:szCs w:val="28"/>
        </w:rPr>
        <w:t>（</w:t>
      </w:r>
      <w:r>
        <w:rPr>
          <w:sz w:val="28"/>
          <w:szCs w:val="28"/>
        </w:rPr>
        <w:t>4</w:t>
      </w:r>
      <w:r>
        <w:rPr>
          <w:rFonts w:hAnsi="宋体"/>
          <w:sz w:val="28"/>
          <w:szCs w:val="28"/>
        </w:rPr>
        <w:t>）对投资估算、资金筹措、经济效益进行定量分析，测算各种效益指标和项目的抗风险能力；</w:t>
      </w:r>
    </w:p>
    <w:p w:rsidR="00337093" w:rsidP="00337093">
      <w:pPr>
        <w:ind w:firstLine="560" w:firstLineChars="200"/>
        <w:rPr>
          <w:sz w:val="28"/>
          <w:szCs w:val="28"/>
        </w:rPr>
      </w:pPr>
      <w:r>
        <w:rPr>
          <w:rFonts w:hAnsi="宋体"/>
          <w:sz w:val="28"/>
          <w:szCs w:val="28"/>
        </w:rPr>
        <w:t>（</w:t>
      </w:r>
      <w:r>
        <w:rPr>
          <w:sz w:val="28"/>
          <w:szCs w:val="28"/>
        </w:rPr>
        <w:t>5</w:t>
      </w:r>
      <w:r>
        <w:rPr>
          <w:rFonts w:hAnsi="宋体"/>
          <w:sz w:val="28"/>
          <w:szCs w:val="28"/>
        </w:rPr>
        <w:t>）对项目的社会效益和环境效益进行综合评价；</w:t>
      </w:r>
    </w:p>
    <w:p w:rsidR="00337093" w:rsidP="00337093">
      <w:pPr>
        <w:ind w:firstLine="560" w:firstLineChars="200"/>
        <w:rPr>
          <w:sz w:val="28"/>
          <w:szCs w:val="28"/>
        </w:rPr>
      </w:pPr>
      <w:r>
        <w:rPr>
          <w:rFonts w:hAnsi="宋体"/>
          <w:sz w:val="28"/>
          <w:szCs w:val="28"/>
        </w:rPr>
        <w:t>（</w:t>
      </w:r>
      <w:r>
        <w:rPr>
          <w:sz w:val="28"/>
          <w:szCs w:val="28"/>
        </w:rPr>
        <w:t>6</w:t>
      </w:r>
      <w:r>
        <w:rPr>
          <w:rFonts w:hAnsi="宋体"/>
          <w:sz w:val="28"/>
          <w:szCs w:val="28"/>
        </w:rPr>
        <w:t>）得出可行性研究结论。</w:t>
      </w:r>
    </w:p>
    <w:p w:rsidR="00337093">
      <w:pPr>
        <w:pStyle w:val="Heading2"/>
        <w:spacing w:before="0" w:after="0" w:line="240" w:lineRule="auto"/>
        <w:rPr>
          <w:rFonts w:ascii="Times New Roman" w:eastAsia="宋体" w:hAnsi="Times New Roman"/>
          <w:b/>
        </w:rPr>
      </w:pPr>
      <w:bookmarkStart w:id="76" w:name="_Toc349743468"/>
      <w:bookmarkStart w:id="77" w:name="_Toc350929448"/>
      <w:bookmarkStart w:id="78" w:name="_Toc350951336"/>
      <w:bookmarkStart w:id="79" w:name="_Toc350955790"/>
      <w:bookmarkStart w:id="80" w:name="_Toc351621593"/>
      <w:bookmarkStart w:id="81" w:name="_Toc351627277"/>
      <w:bookmarkStart w:id="82" w:name="_Toc352076353"/>
      <w:bookmarkStart w:id="83" w:name="_Toc352315170"/>
      <w:bookmarkStart w:id="84" w:name="_Toc353204204"/>
      <w:bookmarkStart w:id="85" w:name="_Toc353289470"/>
      <w:bookmarkStart w:id="86" w:name="_Toc387324652"/>
      <w:bookmarkStart w:id="87" w:name="_Toc387332147"/>
      <w:bookmarkStart w:id="88" w:name="_Toc398212108"/>
      <w:bookmarkStart w:id="89" w:name="_Toc398300233"/>
      <w:bookmarkStart w:id="90" w:name="_Toc398303283"/>
      <w:bookmarkStart w:id="91" w:name="_Toc402271128"/>
      <w:bookmarkStart w:id="92" w:name="_Toc402876335"/>
      <w:bookmarkStart w:id="93" w:name="_Toc402944618"/>
      <w:bookmarkStart w:id="94" w:name="_Toc403379783"/>
      <w:bookmarkStart w:id="95" w:name="_Toc403464057"/>
      <w:bookmarkStart w:id="96" w:name="_Toc403464271"/>
      <w:bookmarkStart w:id="97" w:name="_Toc404156111"/>
      <w:bookmarkStart w:id="98" w:name="_Toc449530770"/>
      <w:r>
        <w:rPr>
          <w:rFonts w:ascii="Times New Roman" w:eastAsia="宋体" w:hAnsi="Times New Roman"/>
          <w:b/>
        </w:rPr>
        <w:t>1.2</w:t>
      </w:r>
      <w:r>
        <w:rPr>
          <w:rFonts w:ascii="Times New Roman" w:eastAsia="宋体" w:hAnsi="宋体"/>
          <w:b/>
        </w:rPr>
        <w:t>可行性研究结论</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p>
    <w:p w:rsidR="00337093">
      <w:pPr>
        <w:pStyle w:val="Heading3"/>
        <w:spacing w:before="0" w:after="0" w:line="240" w:lineRule="auto"/>
        <w:rPr>
          <w:rFonts w:eastAsia="宋体"/>
          <w:b/>
          <w:sz w:val="32"/>
        </w:rPr>
      </w:pPr>
      <w:smartTag w:uri="urn:schemas-microsoft-com:office:smarttags" w:element="chsdate">
        <w:smartTagPr>
          <w:attr w:name="Day" w:val="30"/>
          <w:attr w:name="IsLunarDate" w:val="False"/>
          <w:attr w:name="IsROCDate" w:val="False"/>
          <w:attr w:name="Month" w:val="12"/>
          <w:attr w:name="Year" w:val="1899"/>
        </w:smartTagPr>
        <w:r>
          <w:rPr>
            <w:rFonts w:eastAsia="宋体"/>
            <w:b/>
            <w:sz w:val="32"/>
          </w:rPr>
          <w:t>1.2.1</w:t>
        </w:r>
      </w:smartTag>
      <w:r>
        <w:rPr>
          <w:rFonts w:eastAsia="宋体" w:hAnsi="宋体"/>
          <w:b/>
          <w:sz w:val="32"/>
        </w:rPr>
        <w:t>市场预测和项目规模</w:t>
      </w:r>
    </w:p>
    <w:p w:rsidR="00337093">
      <w:pPr>
        <w:rPr>
          <w:b/>
          <w:sz w:val="28"/>
          <w:szCs w:val="28"/>
        </w:rPr>
      </w:pPr>
      <w:smartTag w:uri="urn:schemas-microsoft-com:office:smarttags" w:element="chsdate">
        <w:smartTagPr>
          <w:attr w:name="Day" w:val="30"/>
          <w:attr w:name="IsLunarDate" w:val="False"/>
          <w:attr w:name="IsROCDate" w:val="False"/>
          <w:attr w:name="Month" w:val="12"/>
          <w:attr w:name="Year" w:val="1899"/>
        </w:smartTagPr>
        <w:r>
          <w:rPr>
            <w:b/>
            <w:sz w:val="28"/>
            <w:szCs w:val="28"/>
          </w:rPr>
          <w:t>1.2.1</w:t>
        </w:r>
      </w:smartTag>
      <w:r>
        <w:rPr>
          <w:b/>
          <w:sz w:val="28"/>
          <w:szCs w:val="28"/>
        </w:rPr>
        <w:t>.1</w:t>
      </w:r>
      <w:r>
        <w:rPr>
          <w:rFonts w:hAnsi="宋体"/>
          <w:b/>
          <w:sz w:val="28"/>
          <w:szCs w:val="28"/>
        </w:rPr>
        <w:t>市场前景简要分析</w:t>
      </w:r>
    </w:p>
    <w:p w:rsidR="00337093" w:rsidP="00337093">
      <w:pPr>
        <w:ind w:firstLine="560" w:firstLineChars="200"/>
        <w:rPr>
          <w:rFonts w:hAnsi="宋体" w:hint="eastAsia"/>
          <w:sz w:val="28"/>
          <w:szCs w:val="28"/>
        </w:rPr>
        <w:sectPr>
          <w:headerReference w:type="default" r:id="rId16"/>
          <w:footerReference w:type="even" r:id="rId17"/>
          <w:footerReference w:type="default" r:id="rId18"/>
          <w:headerReference w:type="first" r:id="rId19"/>
          <w:type w:val="nextPage"/>
          <w:pgSz w:w="11906" w:h="16838"/>
          <w:pgMar w:top="1418" w:right="1418" w:bottom="1418" w:left="1701" w:header="964" w:footer="964" w:gutter="0"/>
          <w:pgNumType w:fmt="numberInDash" w:start="2"/>
          <w:cols w:space="720"/>
          <w:titlePg w:val="0"/>
          <w:docGrid w:type="linesAndChars" w:linePitch="291" w:charSpace="3135"/>
        </w:sectPr>
      </w:pPr>
      <w:r>
        <w:rPr>
          <w:rFonts w:hAnsi="宋体" w:hint="eastAsia"/>
          <w:sz w:val="28"/>
          <w:szCs w:val="28"/>
        </w:rPr>
        <w:t>充电桩是新能源汽车的</w:t>
      </w:r>
      <w:r>
        <w:rPr>
          <w:rFonts w:hAnsi="宋体" w:hint="eastAsia"/>
          <w:sz w:val="28"/>
          <w:szCs w:val="28"/>
        </w:rPr>
        <w:t>“</w:t>
      </w:r>
      <w:r>
        <w:rPr>
          <w:rFonts w:hAnsi="宋体" w:hint="eastAsia"/>
          <w:sz w:val="28"/>
          <w:szCs w:val="28"/>
        </w:rPr>
        <w:t>加油机</w:t>
      </w:r>
      <w:r>
        <w:rPr>
          <w:rFonts w:hAnsi="宋体" w:hint="eastAsia"/>
          <w:sz w:val="28"/>
          <w:szCs w:val="28"/>
        </w:rPr>
        <w:t>”</w:t>
      </w:r>
    </w:p>
    <w:p w:rsidR="00337093" w:rsidP="00337093">
      <w:pPr>
        <w:ind w:firstLine="560" w:firstLineChars="200"/>
        <w:rPr>
          <w:rFonts w:hAnsi="宋体" w:hint="eastAsia"/>
          <w:sz w:val="28"/>
          <w:szCs w:val="28"/>
        </w:rPr>
      </w:pPr>
      <w:r>
        <w:rPr>
          <w:rFonts w:hAnsi="宋体" w:hint="eastAsia"/>
          <w:sz w:val="28"/>
          <w:szCs w:val="28"/>
        </w:rPr>
        <w:t>，根据输出电流的不同，可分为：交流充电桩和直流充电桩两种，其中交流充电桩又分为立式和壁挂式充电桩，直流充电桩分为一体式和分体式充电桩，广泛适用于露天、地下、立体等公共停车场、居民小区停车场、单位停车场等。</w:t>
      </w:r>
    </w:p>
    <w:p w:rsidR="00337093" w:rsidP="00337093">
      <w:pPr>
        <w:ind w:firstLine="560" w:firstLineChars="200"/>
        <w:rPr>
          <w:rFonts w:hAnsi="宋体" w:hint="eastAsia"/>
          <w:sz w:val="28"/>
          <w:szCs w:val="28"/>
        </w:rPr>
      </w:pPr>
      <w:r>
        <w:rPr>
          <w:rFonts w:hAnsi="宋体" w:hint="eastAsia"/>
          <w:sz w:val="28"/>
          <w:szCs w:val="28"/>
        </w:rPr>
        <w:t>充电桩采用高聚合、低耦合的模块化设计，其中电源模块采用世界先进的</w:t>
      </w:r>
      <w:r>
        <w:rPr>
          <w:rFonts w:hAnsi="宋体" w:hint="eastAsia"/>
          <w:sz w:val="28"/>
          <w:szCs w:val="28"/>
        </w:rPr>
        <w:t>“</w:t>
      </w:r>
      <w:r>
        <w:rPr>
          <w:rFonts w:hAnsi="宋体" w:hint="eastAsia"/>
          <w:sz w:val="28"/>
          <w:szCs w:val="28"/>
        </w:rPr>
        <w:t>谐振电压型双环控制的谐振开关电源技术</w:t>
      </w:r>
      <w:r>
        <w:rPr>
          <w:rFonts w:hAnsi="宋体" w:hint="eastAsia"/>
          <w:sz w:val="28"/>
          <w:szCs w:val="28"/>
        </w:rPr>
        <w:t>”</w:t>
      </w:r>
      <w:r>
        <w:rPr>
          <w:rFonts w:hAnsi="宋体" w:hint="eastAsia"/>
          <w:sz w:val="28"/>
          <w:szCs w:val="28"/>
        </w:rPr>
        <w:t>，具有体积小、重量轻、效率高、可靠性强等优点，可提供多种通信规约，方便组网，实现遥控、遥测、遥信、遥调的</w:t>
      </w:r>
      <w:r>
        <w:rPr>
          <w:rFonts w:hAnsi="宋体" w:hint="eastAsia"/>
          <w:sz w:val="28"/>
          <w:szCs w:val="28"/>
        </w:rPr>
        <w:t>“</w:t>
      </w:r>
      <w:r>
        <w:rPr>
          <w:rFonts w:hAnsi="宋体" w:hint="eastAsia"/>
          <w:sz w:val="28"/>
          <w:szCs w:val="28"/>
        </w:rPr>
        <w:t>四遥</w:t>
      </w:r>
      <w:r>
        <w:rPr>
          <w:rFonts w:hAnsi="宋体" w:hint="eastAsia"/>
          <w:sz w:val="28"/>
          <w:szCs w:val="28"/>
        </w:rPr>
        <w:t>”</w:t>
      </w:r>
      <w:r>
        <w:rPr>
          <w:rFonts w:hAnsi="宋体" w:hint="eastAsia"/>
          <w:sz w:val="28"/>
          <w:szCs w:val="28"/>
        </w:rPr>
        <w:t>及无人值守，具有人机交互、计量、刷卡付费、通讯、安全防护及自检等功能。金冠充电桩还可通过金冠华电提供的充电城市智慧网络平台，为用户提供快捷的充电搜索及导航、扫码充电、线上状态查询、在线支付、预约充电、账户管理等服务，成为未来信息化服务领域不可或缺的重要组成部分。</w:t>
      </w:r>
    </w:p>
    <w:p w:rsidR="00337093" w:rsidP="00337093">
      <w:pPr>
        <w:ind w:firstLine="560" w:firstLineChars="200"/>
        <w:rPr>
          <w:rFonts w:hAnsi="宋体"/>
          <w:sz w:val="28"/>
          <w:szCs w:val="28"/>
        </w:rPr>
      </w:pPr>
      <w:r>
        <w:rPr>
          <w:rFonts w:hAnsi="宋体" w:hint="eastAsia"/>
          <w:sz w:val="28"/>
          <w:szCs w:val="28"/>
        </w:rPr>
        <w:t>贯彻国家推进新能源汽车充电基础设施建设发展计划，加快新能源汽车在XX市的推广应用，推进XX市电动汽车充电基础设施建设，为新能源汽车产业发展和商业运营提供服务支撑，促进XX市低碳经济和循环经济发展做出贡献，实施XX市新能源汽车充电基础设施建设项目。项目完成后，可引导新增新能源汽车5.5万辆，年可替代燃油6600万升，减少碳排放20万吨、一氧化碳825吨，氮氧化物1650吨、碳氢化合物550吨、微粒碳烟220吨，环境效益显著。</w:t>
      </w:r>
    </w:p>
    <w:p w:rsidR="00337093">
      <w:pPr>
        <w:rPr>
          <w:b/>
          <w:sz w:val="28"/>
          <w:szCs w:val="28"/>
        </w:rPr>
      </w:pPr>
      <w:smartTag w:uri="urn:schemas-microsoft-com:office:smarttags" w:element="chsdate">
        <w:smartTagPr>
          <w:attr w:name="Day" w:val="30"/>
          <w:attr w:name="IsLunarDate" w:val="False"/>
          <w:attr w:name="IsROCDate" w:val="False"/>
          <w:attr w:name="Month" w:val="12"/>
          <w:attr w:name="Year" w:val="1899"/>
        </w:smartTagPr>
        <w:r>
          <w:rPr>
            <w:b/>
            <w:sz w:val="28"/>
            <w:szCs w:val="28"/>
          </w:rPr>
          <w:t>1.2.1</w:t>
        </w:r>
      </w:smartTag>
      <w:r>
        <w:rPr>
          <w:b/>
          <w:sz w:val="28"/>
          <w:szCs w:val="28"/>
        </w:rPr>
        <w:t>.2</w:t>
      </w:r>
      <w:r>
        <w:rPr>
          <w:rFonts w:hAnsi="宋体"/>
          <w:b/>
          <w:sz w:val="28"/>
          <w:szCs w:val="28"/>
        </w:rPr>
        <w:t>目标市场的确定</w:t>
      </w:r>
    </w:p>
    <w:p w:rsidR="00337093" w:rsidP="00337093">
      <w:pPr>
        <w:ind w:firstLine="560" w:firstLineChars="200"/>
        <w:rPr>
          <w:sz w:val="28"/>
          <w:szCs w:val="28"/>
        </w:rPr>
      </w:pPr>
      <w:r>
        <w:rPr>
          <w:rFonts w:hAnsi="宋体"/>
          <w:sz w:val="28"/>
          <w:szCs w:val="28"/>
        </w:rPr>
        <w:t>本项目目标市场定位于</w:t>
      </w:r>
      <w:r>
        <w:rPr>
          <w:rFonts w:hAnsi="宋体" w:hint="eastAsia"/>
          <w:sz w:val="28"/>
          <w:szCs w:val="28"/>
        </w:rPr>
        <w:t>XX市市区以及县郊区</w:t>
      </w:r>
      <w:r>
        <w:rPr>
          <w:rFonts w:hAnsi="宋体"/>
          <w:sz w:val="28"/>
          <w:szCs w:val="28"/>
        </w:rPr>
        <w:t>。</w:t>
      </w:r>
    </w:p>
    <w:p w:rsidR="00337093">
      <w:pPr>
        <w:rPr>
          <w:b/>
          <w:sz w:val="28"/>
          <w:szCs w:val="28"/>
        </w:rPr>
      </w:pPr>
      <w:smartTag w:uri="urn:schemas-microsoft-com:office:smarttags" w:element="chsdate">
        <w:smartTagPr>
          <w:attr w:name="Day" w:val="30"/>
          <w:attr w:name="IsLunarDate" w:val="False"/>
          <w:attr w:name="IsROCDate" w:val="False"/>
          <w:attr w:name="Month" w:val="12"/>
          <w:attr w:name="Year" w:val="1899"/>
        </w:smartTagPr>
        <w:r>
          <w:rPr>
            <w:b/>
            <w:sz w:val="28"/>
            <w:szCs w:val="28"/>
          </w:rPr>
          <w:t>1.2.1</w:t>
        </w:r>
      </w:smartTag>
      <w:r>
        <w:rPr>
          <w:b/>
          <w:sz w:val="28"/>
          <w:szCs w:val="28"/>
        </w:rPr>
        <w:t>.4</w:t>
      </w:r>
      <w:r>
        <w:rPr>
          <w:rFonts w:hAnsi="宋体"/>
          <w:b/>
          <w:sz w:val="28"/>
          <w:szCs w:val="28"/>
        </w:rPr>
        <w:t>项目拟建规模</w:t>
      </w:r>
    </w:p>
    <w:p w:rsidR="00337093" w:rsidP="00337093">
      <w:pPr>
        <w:ind w:firstLine="560" w:firstLineChars="200"/>
        <w:rPr>
          <w:rFonts w:hAnsi="宋体" w:hint="eastAsia"/>
          <w:bCs/>
          <w:sz w:val="28"/>
          <w:szCs w:val="28"/>
        </w:rPr>
        <w:sectPr>
          <w:headerReference w:type="default" r:id="rId20"/>
          <w:footerReference w:type="even" r:id="rId21"/>
          <w:footerReference w:type="default" r:id="rId22"/>
          <w:headerReference w:type="first" r:id="rId23"/>
          <w:type w:val="nextPage"/>
          <w:pgSz w:w="11906" w:h="16838"/>
          <w:pgMar w:top="1418" w:right="1418" w:bottom="1418" w:left="1701" w:header="964" w:footer="964" w:gutter="0"/>
          <w:pgNumType w:fmt="numberInDash" w:start="3"/>
          <w:cols w:space="720"/>
          <w:titlePg w:val="0"/>
          <w:docGrid w:type="linesAndChars" w:linePitch="291" w:charSpace="3135"/>
        </w:sectPr>
      </w:pPr>
    </w:p>
    <w:p w:rsidR="00337093" w:rsidP="00337093">
      <w:pPr>
        <w:ind w:firstLine="560" w:firstLineChars="200"/>
        <w:rPr>
          <w:rFonts w:hAnsi="宋体" w:hint="eastAsia"/>
          <w:bCs/>
          <w:sz w:val="28"/>
          <w:szCs w:val="28"/>
        </w:rPr>
      </w:pPr>
      <w:r>
        <w:rPr>
          <w:rFonts w:hAnsi="宋体" w:hint="eastAsia"/>
          <w:bCs/>
          <w:sz w:val="28"/>
          <w:szCs w:val="28"/>
        </w:rPr>
        <w:t>到2020年底，按照新能源汽车发展与配套充电桩需求，计划在XX市区及下属十一县新建公交充电站40座，配备直流充电桩800台、交流充电桩200台；道路干线充电站12座，配备直流充电桩72台、交流充电桩120台；在公共停车场、大型商超、大型酒店、居民小区、机场、景区、新能源汽车专业销售4S店、具备条件的加油站等场所建设充电站496处，安装直流充电桩1119台，交流充电桩13928台，建成覆盖XX市所有县区的充电基础设施网络。建设年产29520台交流充电桩生产基地。同时开展新能源充电汽车运营管理信息化服务平台建设和运营，实现新能源汽车服务系统化、智能化、物联网化。</w:t>
      </w:r>
    </w:p>
    <w:p w:rsidR="00337093">
      <w:pPr>
        <w:rPr>
          <w:b/>
          <w:sz w:val="28"/>
          <w:szCs w:val="28"/>
        </w:rPr>
      </w:pPr>
      <w:smartTag w:uri="urn:schemas-microsoft-com:office:smarttags" w:element="chsdate">
        <w:smartTagPr>
          <w:attr w:name="Day" w:val="30"/>
          <w:attr w:name="IsLunarDate" w:val="False"/>
          <w:attr w:name="IsROCDate" w:val="False"/>
          <w:attr w:name="Month" w:val="12"/>
          <w:attr w:name="Year" w:val="1899"/>
        </w:smartTagPr>
        <w:r>
          <w:rPr>
            <w:b/>
            <w:sz w:val="28"/>
            <w:szCs w:val="28"/>
          </w:rPr>
          <w:t>1.2.1</w:t>
        </w:r>
      </w:smartTag>
      <w:r>
        <w:rPr>
          <w:b/>
          <w:sz w:val="28"/>
          <w:szCs w:val="28"/>
        </w:rPr>
        <w:t>.3</w:t>
      </w:r>
      <w:r>
        <w:rPr>
          <w:rFonts w:hAnsi="宋体"/>
          <w:b/>
          <w:sz w:val="28"/>
          <w:szCs w:val="28"/>
        </w:rPr>
        <w:t>营业收入预测</w:t>
      </w:r>
    </w:p>
    <w:p w:rsidR="00337093" w:rsidP="00337093">
      <w:pPr>
        <w:ind w:firstLine="560" w:firstLineChars="200"/>
        <w:rPr>
          <w:rFonts w:hAnsi="宋体" w:hint="eastAsia"/>
          <w:bCs/>
          <w:sz w:val="28"/>
          <w:szCs w:val="28"/>
        </w:rPr>
      </w:pPr>
      <w:r>
        <w:rPr>
          <w:rFonts w:hAnsi="宋体" w:hint="eastAsia"/>
          <w:bCs/>
          <w:sz w:val="28"/>
          <w:szCs w:val="28"/>
        </w:rPr>
        <w:t>项目收入主要来源于充电服务费、广告收入、车位管理费、充电桩销售费用以及增值费用。</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72"/>
        <w:gridCol w:w="1513"/>
        <w:gridCol w:w="1297"/>
        <w:gridCol w:w="1320"/>
        <w:gridCol w:w="1297"/>
        <w:gridCol w:w="1404"/>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750"/>
        </w:trPr>
        <w:tc>
          <w:tcPr>
            <w:tcW w:w="2172" w:type="dxa"/>
            <w:shd w:val="clear" w:color="auto" w:fill="CCFFCC"/>
            <w:noWrap/>
            <w:vAlign w:val="center"/>
          </w:tcPr>
          <w:p w:rsidR="00337093">
            <w:pPr>
              <w:widowControl/>
              <w:jc w:val="left"/>
              <w:rPr>
                <w:rFonts w:ascii="宋体" w:hAnsi="宋体" w:cs="宋体"/>
                <w:b/>
                <w:bCs/>
                <w:kern w:val="0"/>
                <w:sz w:val="20"/>
              </w:rPr>
            </w:pPr>
          </w:p>
        </w:tc>
        <w:tc>
          <w:tcPr>
            <w:tcW w:w="1513" w:type="dxa"/>
            <w:shd w:val="clear" w:color="auto" w:fill="CCFFCC"/>
            <w:noWrap/>
            <w:vAlign w:val="center"/>
          </w:tcPr>
          <w:p w:rsidR="00337093">
            <w:pPr>
              <w:jc w:val="center"/>
              <w:rPr>
                <w:rFonts w:ascii="宋体" w:hAnsi="宋体" w:cs="宋体"/>
                <w:b/>
                <w:bCs/>
                <w:sz w:val="20"/>
              </w:rPr>
            </w:pPr>
            <w:r>
              <w:rPr>
                <w:rFonts w:hint="eastAsia"/>
                <w:b/>
                <w:bCs/>
                <w:sz w:val="20"/>
              </w:rPr>
              <w:t>公交车充电站</w:t>
            </w:r>
          </w:p>
        </w:tc>
        <w:tc>
          <w:tcPr>
            <w:tcW w:w="1297" w:type="dxa"/>
            <w:shd w:val="clear" w:color="auto" w:fill="CCFFCC"/>
            <w:noWrap/>
            <w:vAlign w:val="center"/>
          </w:tcPr>
          <w:p w:rsidR="00337093">
            <w:pPr>
              <w:jc w:val="center"/>
              <w:rPr>
                <w:rFonts w:ascii="宋体" w:hAnsi="宋体" w:cs="宋体"/>
                <w:b/>
                <w:bCs/>
                <w:sz w:val="20"/>
              </w:rPr>
            </w:pPr>
            <w:r>
              <w:rPr>
                <w:rFonts w:hint="eastAsia"/>
                <w:b/>
                <w:bCs/>
                <w:sz w:val="20"/>
              </w:rPr>
              <w:t>社会充电站</w:t>
            </w:r>
          </w:p>
        </w:tc>
        <w:tc>
          <w:tcPr>
            <w:tcW w:w="1320" w:type="dxa"/>
            <w:shd w:val="clear" w:color="auto" w:fill="CCFFCC"/>
            <w:noWrap/>
            <w:vAlign w:val="center"/>
          </w:tcPr>
          <w:p w:rsidR="00337093">
            <w:pPr>
              <w:jc w:val="center"/>
              <w:rPr>
                <w:rFonts w:ascii="宋体" w:hAnsi="宋体" w:cs="宋体"/>
                <w:b/>
                <w:bCs/>
                <w:sz w:val="20"/>
              </w:rPr>
            </w:pPr>
            <w:r>
              <w:rPr>
                <w:rFonts w:hint="eastAsia"/>
                <w:b/>
                <w:bCs/>
                <w:sz w:val="20"/>
              </w:rPr>
              <w:t>充电桩</w:t>
            </w:r>
          </w:p>
        </w:tc>
        <w:tc>
          <w:tcPr>
            <w:tcW w:w="1297" w:type="dxa"/>
            <w:shd w:val="clear" w:color="auto" w:fill="CCFFCC"/>
            <w:noWrap/>
            <w:vAlign w:val="center"/>
          </w:tcPr>
          <w:p w:rsidR="00337093">
            <w:pPr>
              <w:jc w:val="center"/>
              <w:rPr>
                <w:rFonts w:ascii="宋体" w:hAnsi="宋体" w:cs="宋体"/>
                <w:b/>
                <w:bCs/>
                <w:sz w:val="20"/>
              </w:rPr>
            </w:pPr>
            <w:r>
              <w:rPr>
                <w:rFonts w:hint="eastAsia"/>
                <w:b/>
                <w:bCs/>
                <w:sz w:val="20"/>
              </w:rPr>
              <w:t>充电桩销售</w:t>
            </w:r>
          </w:p>
        </w:tc>
        <w:tc>
          <w:tcPr>
            <w:tcW w:w="1404" w:type="dxa"/>
            <w:shd w:val="clear" w:color="auto" w:fill="CCFFCC"/>
            <w:noWrap/>
            <w:vAlign w:val="center"/>
          </w:tcPr>
          <w:p w:rsidR="00337093">
            <w:pPr>
              <w:jc w:val="center"/>
              <w:rPr>
                <w:rFonts w:ascii="宋体" w:hAnsi="宋体" w:cs="宋体"/>
                <w:b/>
                <w:bCs/>
                <w:sz w:val="22"/>
                <w:szCs w:val="22"/>
              </w:rPr>
            </w:pPr>
            <w:r>
              <w:rPr>
                <w:rFonts w:hint="eastAsia"/>
                <w:b/>
                <w:bCs/>
                <w:sz w:val="22"/>
                <w:szCs w:val="22"/>
              </w:rPr>
              <w:t>合计</w:t>
            </w:r>
          </w:p>
        </w:tc>
      </w:tr>
      <w:tr>
        <w:tblPrEx>
          <w:tblW w:w="0" w:type="auto"/>
          <w:tblInd w:w="0" w:type="dxa"/>
          <w:tblLayout w:type="fixed"/>
          <w:tblLook w:val="0000"/>
        </w:tblPrEx>
        <w:trPr>
          <w:trHeight w:val="750"/>
        </w:trPr>
        <w:tc>
          <w:tcPr>
            <w:tcW w:w="2172" w:type="dxa"/>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充电服务费</w:t>
            </w:r>
          </w:p>
        </w:tc>
        <w:tc>
          <w:tcPr>
            <w:tcW w:w="1513" w:type="dxa"/>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11395</w:t>
            </w:r>
          </w:p>
        </w:tc>
        <w:tc>
          <w:tcPr>
            <w:tcW w:w="1297" w:type="dxa"/>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 xml:space="preserve">5753 </w:t>
            </w:r>
          </w:p>
        </w:tc>
        <w:tc>
          <w:tcPr>
            <w:tcW w:w="1320" w:type="dxa"/>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 xml:space="preserve">14171 </w:t>
            </w:r>
          </w:p>
        </w:tc>
        <w:tc>
          <w:tcPr>
            <w:tcW w:w="1297" w:type="dxa"/>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　</w:t>
            </w:r>
          </w:p>
        </w:tc>
        <w:tc>
          <w:tcPr>
            <w:tcW w:w="1404" w:type="dxa"/>
            <w:shd w:val="clear" w:color="auto" w:fill="CCFFCC"/>
            <w:noWrap/>
            <w:vAlign w:val="center"/>
          </w:tcPr>
          <w:p w:rsidR="00337093">
            <w:pPr>
              <w:widowControl/>
              <w:jc w:val="center"/>
              <w:rPr>
                <w:rFonts w:ascii="宋体" w:hAnsi="宋体" w:cs="宋体"/>
                <w:b/>
                <w:bCs/>
                <w:kern w:val="0"/>
                <w:sz w:val="20"/>
              </w:rPr>
            </w:pPr>
            <w:r>
              <w:rPr>
                <w:rFonts w:ascii="宋体" w:hAnsi="宋体" w:cs="宋体" w:hint="eastAsia"/>
                <w:b/>
                <w:bCs/>
                <w:kern w:val="0"/>
                <w:sz w:val="20"/>
              </w:rPr>
              <w:t xml:space="preserve">31320 </w:t>
            </w:r>
          </w:p>
        </w:tc>
      </w:tr>
      <w:tr>
        <w:tblPrEx>
          <w:tblW w:w="0" w:type="auto"/>
          <w:tblInd w:w="0" w:type="dxa"/>
          <w:tblLayout w:type="fixed"/>
          <w:tblLook w:val="0000"/>
        </w:tblPrEx>
        <w:trPr>
          <w:trHeight w:val="750"/>
        </w:trPr>
        <w:tc>
          <w:tcPr>
            <w:tcW w:w="2172" w:type="dxa"/>
            <w:shd w:val="clear" w:color="auto" w:fill="CCFFCC"/>
            <w:noWrap/>
            <w:vAlign w:val="center"/>
          </w:tcPr>
          <w:p w:rsidR="00337093">
            <w:pPr>
              <w:widowControl/>
              <w:jc w:val="left"/>
              <w:rPr>
                <w:rFonts w:ascii="宋体" w:hAnsi="宋体" w:cs="宋体"/>
                <w:kern w:val="0"/>
                <w:sz w:val="20"/>
              </w:rPr>
            </w:pPr>
            <w:r>
              <w:rPr>
                <w:rFonts w:ascii="宋体" w:hAnsi="宋体" w:cs="宋体" w:hint="eastAsia"/>
                <w:kern w:val="0"/>
                <w:sz w:val="20"/>
              </w:rPr>
              <w:t xml:space="preserve">     广告费</w:t>
            </w:r>
          </w:p>
        </w:tc>
        <w:tc>
          <w:tcPr>
            <w:tcW w:w="1513" w:type="dxa"/>
            <w:shd w:val="clear" w:color="auto" w:fill="CCFFCC"/>
            <w:noWrap/>
            <w:vAlign w:val="center"/>
          </w:tcPr>
          <w:p w:rsidR="00337093">
            <w:pPr>
              <w:widowControl/>
              <w:jc w:val="left"/>
              <w:rPr>
                <w:rFonts w:ascii="宋体" w:hAnsi="宋体" w:cs="宋体"/>
                <w:kern w:val="0"/>
                <w:sz w:val="20"/>
              </w:rPr>
            </w:pPr>
            <w:r>
              <w:rPr>
                <w:rFonts w:ascii="宋体" w:hAnsi="宋体" w:cs="宋体" w:hint="eastAsia"/>
                <w:kern w:val="0"/>
                <w:sz w:val="20"/>
              </w:rPr>
              <w:t>　</w:t>
            </w:r>
          </w:p>
        </w:tc>
        <w:tc>
          <w:tcPr>
            <w:tcW w:w="1297" w:type="dxa"/>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 xml:space="preserve">1145 </w:t>
            </w:r>
          </w:p>
        </w:tc>
        <w:tc>
          <w:tcPr>
            <w:tcW w:w="1320" w:type="dxa"/>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 xml:space="preserve">8319 </w:t>
            </w:r>
          </w:p>
        </w:tc>
        <w:tc>
          <w:tcPr>
            <w:tcW w:w="1297" w:type="dxa"/>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　</w:t>
            </w:r>
          </w:p>
        </w:tc>
        <w:tc>
          <w:tcPr>
            <w:tcW w:w="1404" w:type="dxa"/>
            <w:shd w:val="clear" w:color="auto" w:fill="CCFFCC"/>
            <w:noWrap/>
            <w:vAlign w:val="center"/>
          </w:tcPr>
          <w:p w:rsidR="00337093">
            <w:pPr>
              <w:widowControl/>
              <w:jc w:val="center"/>
              <w:rPr>
                <w:rFonts w:ascii="宋体" w:hAnsi="宋体" w:cs="宋体"/>
                <w:b/>
                <w:bCs/>
                <w:kern w:val="0"/>
                <w:sz w:val="20"/>
              </w:rPr>
            </w:pPr>
            <w:r>
              <w:rPr>
                <w:rFonts w:ascii="宋体" w:hAnsi="宋体" w:cs="宋体" w:hint="eastAsia"/>
                <w:b/>
                <w:bCs/>
                <w:kern w:val="0"/>
                <w:sz w:val="20"/>
              </w:rPr>
              <w:t xml:space="preserve">9463 </w:t>
            </w:r>
          </w:p>
        </w:tc>
      </w:tr>
      <w:tr>
        <w:tblPrEx>
          <w:tblW w:w="0" w:type="auto"/>
          <w:tblInd w:w="0" w:type="dxa"/>
          <w:tblLayout w:type="fixed"/>
          <w:tblLook w:val="0000"/>
        </w:tblPrEx>
        <w:trPr>
          <w:trHeight w:val="750"/>
        </w:trPr>
        <w:tc>
          <w:tcPr>
            <w:tcW w:w="2172" w:type="dxa"/>
            <w:shd w:val="clear" w:color="auto" w:fill="CCFFCC"/>
            <w:noWrap/>
            <w:vAlign w:val="center"/>
          </w:tcPr>
          <w:p w:rsidR="00337093">
            <w:pPr>
              <w:widowControl/>
              <w:jc w:val="left"/>
              <w:rPr>
                <w:rFonts w:ascii="宋体" w:hAnsi="宋体" w:cs="宋体"/>
                <w:kern w:val="0"/>
                <w:sz w:val="20"/>
              </w:rPr>
            </w:pPr>
            <w:r>
              <w:rPr>
                <w:rFonts w:ascii="宋体" w:hAnsi="宋体" w:cs="宋体" w:hint="eastAsia"/>
                <w:kern w:val="0"/>
                <w:sz w:val="20"/>
              </w:rPr>
              <w:t xml:space="preserve">     车位管理费</w:t>
            </w:r>
          </w:p>
        </w:tc>
        <w:tc>
          <w:tcPr>
            <w:tcW w:w="1513" w:type="dxa"/>
            <w:shd w:val="clear" w:color="auto" w:fill="CCFFCC"/>
            <w:noWrap/>
            <w:vAlign w:val="center"/>
          </w:tcPr>
          <w:p w:rsidR="00337093">
            <w:pPr>
              <w:widowControl/>
              <w:jc w:val="left"/>
              <w:rPr>
                <w:rFonts w:ascii="宋体" w:hAnsi="宋体" w:cs="宋体"/>
                <w:kern w:val="0"/>
                <w:sz w:val="20"/>
              </w:rPr>
            </w:pPr>
            <w:r>
              <w:rPr>
                <w:rFonts w:ascii="宋体" w:hAnsi="宋体" w:cs="宋体" w:hint="eastAsia"/>
                <w:kern w:val="0"/>
                <w:sz w:val="20"/>
              </w:rPr>
              <w:t>　</w:t>
            </w:r>
          </w:p>
        </w:tc>
        <w:tc>
          <w:tcPr>
            <w:tcW w:w="1297" w:type="dxa"/>
            <w:shd w:val="clear" w:color="auto" w:fill="CCFFCC"/>
            <w:noWrap/>
            <w:vAlign w:val="center"/>
          </w:tcPr>
          <w:p w:rsidR="00337093">
            <w:pPr>
              <w:widowControl/>
              <w:jc w:val="left"/>
              <w:rPr>
                <w:rFonts w:ascii="宋体" w:hAnsi="宋体" w:cs="宋体"/>
                <w:kern w:val="0"/>
                <w:sz w:val="20"/>
              </w:rPr>
            </w:pPr>
            <w:r>
              <w:rPr>
                <w:rFonts w:ascii="宋体" w:hAnsi="宋体" w:cs="宋体" w:hint="eastAsia"/>
                <w:kern w:val="0"/>
                <w:sz w:val="20"/>
              </w:rPr>
              <w:t>　</w:t>
            </w:r>
          </w:p>
        </w:tc>
        <w:tc>
          <w:tcPr>
            <w:tcW w:w="1320" w:type="dxa"/>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 xml:space="preserve">3917 </w:t>
            </w:r>
          </w:p>
        </w:tc>
        <w:tc>
          <w:tcPr>
            <w:tcW w:w="1297" w:type="dxa"/>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　</w:t>
            </w:r>
          </w:p>
        </w:tc>
        <w:tc>
          <w:tcPr>
            <w:tcW w:w="1404" w:type="dxa"/>
            <w:shd w:val="clear" w:color="auto" w:fill="CCFFCC"/>
            <w:noWrap/>
            <w:vAlign w:val="center"/>
          </w:tcPr>
          <w:p w:rsidR="00337093">
            <w:pPr>
              <w:widowControl/>
              <w:jc w:val="center"/>
              <w:rPr>
                <w:rFonts w:ascii="宋体" w:hAnsi="宋体" w:cs="宋体"/>
                <w:b/>
                <w:bCs/>
                <w:kern w:val="0"/>
                <w:sz w:val="20"/>
              </w:rPr>
            </w:pPr>
            <w:r>
              <w:rPr>
                <w:rFonts w:ascii="宋体" w:hAnsi="宋体" w:cs="宋体" w:hint="eastAsia"/>
                <w:b/>
                <w:bCs/>
                <w:kern w:val="0"/>
                <w:sz w:val="20"/>
              </w:rPr>
              <w:t xml:space="preserve">3917 </w:t>
            </w:r>
          </w:p>
        </w:tc>
      </w:tr>
      <w:tr>
        <w:tblPrEx>
          <w:tblW w:w="0" w:type="auto"/>
          <w:tblInd w:w="0" w:type="dxa"/>
          <w:tblLayout w:type="fixed"/>
          <w:tblLook w:val="0000"/>
        </w:tblPrEx>
        <w:trPr>
          <w:trHeight w:val="750"/>
        </w:trPr>
        <w:tc>
          <w:tcPr>
            <w:tcW w:w="2172" w:type="dxa"/>
            <w:shd w:val="clear" w:color="auto" w:fill="CCFFCC"/>
            <w:noWrap/>
            <w:vAlign w:val="center"/>
          </w:tcPr>
          <w:p w:rsidR="00337093">
            <w:pPr>
              <w:widowControl/>
              <w:jc w:val="left"/>
              <w:rPr>
                <w:rFonts w:ascii="宋体" w:hAnsi="宋体" w:cs="宋体"/>
                <w:kern w:val="0"/>
                <w:sz w:val="20"/>
              </w:rPr>
            </w:pPr>
            <w:r>
              <w:rPr>
                <w:rFonts w:ascii="宋体" w:hAnsi="宋体" w:cs="宋体" w:hint="eastAsia"/>
                <w:kern w:val="0"/>
                <w:sz w:val="20"/>
              </w:rPr>
              <w:t xml:space="preserve">     销售充电桩</w:t>
            </w:r>
          </w:p>
        </w:tc>
        <w:tc>
          <w:tcPr>
            <w:tcW w:w="1513" w:type="dxa"/>
            <w:shd w:val="clear" w:color="auto" w:fill="CCFFCC"/>
            <w:noWrap/>
            <w:vAlign w:val="center"/>
          </w:tcPr>
          <w:p w:rsidR="00337093">
            <w:pPr>
              <w:widowControl/>
              <w:jc w:val="left"/>
              <w:rPr>
                <w:rFonts w:ascii="宋体" w:hAnsi="宋体" w:cs="宋体"/>
                <w:kern w:val="0"/>
                <w:sz w:val="20"/>
              </w:rPr>
            </w:pPr>
            <w:r>
              <w:rPr>
                <w:rFonts w:ascii="宋体" w:hAnsi="宋体" w:cs="宋体" w:hint="eastAsia"/>
                <w:kern w:val="0"/>
                <w:sz w:val="20"/>
              </w:rPr>
              <w:t>　</w:t>
            </w:r>
          </w:p>
        </w:tc>
        <w:tc>
          <w:tcPr>
            <w:tcW w:w="1297" w:type="dxa"/>
            <w:shd w:val="clear" w:color="auto" w:fill="CCFFCC"/>
            <w:noWrap/>
            <w:vAlign w:val="center"/>
          </w:tcPr>
          <w:p w:rsidR="00337093">
            <w:pPr>
              <w:widowControl/>
              <w:jc w:val="left"/>
              <w:rPr>
                <w:rFonts w:ascii="宋体" w:hAnsi="宋体" w:cs="宋体"/>
                <w:kern w:val="0"/>
                <w:sz w:val="20"/>
              </w:rPr>
            </w:pPr>
            <w:r>
              <w:rPr>
                <w:rFonts w:ascii="宋体" w:hAnsi="宋体" w:cs="宋体" w:hint="eastAsia"/>
                <w:kern w:val="0"/>
                <w:sz w:val="20"/>
              </w:rPr>
              <w:t>　</w:t>
            </w:r>
          </w:p>
        </w:tc>
        <w:tc>
          <w:tcPr>
            <w:tcW w:w="1320" w:type="dxa"/>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　</w:t>
            </w:r>
          </w:p>
        </w:tc>
        <w:tc>
          <w:tcPr>
            <w:tcW w:w="1297" w:type="dxa"/>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 xml:space="preserve">12615 </w:t>
            </w:r>
          </w:p>
        </w:tc>
        <w:tc>
          <w:tcPr>
            <w:tcW w:w="1404" w:type="dxa"/>
            <w:shd w:val="clear" w:color="auto" w:fill="CCFFCC"/>
            <w:noWrap/>
            <w:vAlign w:val="center"/>
          </w:tcPr>
          <w:p w:rsidR="00337093">
            <w:pPr>
              <w:widowControl/>
              <w:jc w:val="center"/>
              <w:rPr>
                <w:rFonts w:ascii="宋体" w:hAnsi="宋体" w:cs="宋体"/>
                <w:b/>
                <w:bCs/>
                <w:kern w:val="0"/>
                <w:sz w:val="20"/>
              </w:rPr>
            </w:pPr>
            <w:r>
              <w:rPr>
                <w:rFonts w:ascii="宋体" w:hAnsi="宋体" w:cs="宋体" w:hint="eastAsia"/>
                <w:b/>
                <w:bCs/>
                <w:kern w:val="0"/>
                <w:sz w:val="20"/>
              </w:rPr>
              <w:t xml:space="preserve">12615 </w:t>
            </w:r>
          </w:p>
        </w:tc>
      </w:tr>
      <w:tr>
        <w:tblPrEx>
          <w:tblW w:w="0" w:type="auto"/>
          <w:tblInd w:w="0" w:type="dxa"/>
          <w:tblLayout w:type="fixed"/>
          <w:tblLook w:val="0000"/>
        </w:tblPrEx>
        <w:trPr>
          <w:trHeight w:val="750"/>
        </w:trPr>
        <w:tc>
          <w:tcPr>
            <w:tcW w:w="2172" w:type="dxa"/>
            <w:shd w:val="clear" w:color="auto" w:fill="CCFFCC"/>
            <w:noWrap/>
            <w:vAlign w:val="center"/>
          </w:tcPr>
          <w:p w:rsidR="00337093">
            <w:pPr>
              <w:widowControl/>
              <w:jc w:val="left"/>
              <w:rPr>
                <w:rFonts w:ascii="宋体" w:hAnsi="宋体" w:cs="宋体"/>
                <w:kern w:val="0"/>
                <w:sz w:val="20"/>
              </w:rPr>
            </w:pPr>
            <w:r>
              <w:rPr>
                <w:rFonts w:ascii="宋体" w:hAnsi="宋体" w:cs="宋体" w:hint="eastAsia"/>
                <w:kern w:val="0"/>
                <w:sz w:val="20"/>
              </w:rPr>
              <w:t xml:space="preserve">     增值服务</w:t>
            </w:r>
          </w:p>
        </w:tc>
        <w:tc>
          <w:tcPr>
            <w:tcW w:w="1513" w:type="dxa"/>
            <w:shd w:val="clear" w:color="auto" w:fill="CCFFCC"/>
            <w:noWrap/>
            <w:vAlign w:val="center"/>
          </w:tcPr>
          <w:p w:rsidR="00337093">
            <w:pPr>
              <w:widowControl/>
              <w:jc w:val="left"/>
              <w:rPr>
                <w:rFonts w:ascii="宋体" w:hAnsi="宋体" w:cs="宋体"/>
                <w:kern w:val="0"/>
                <w:sz w:val="20"/>
              </w:rPr>
            </w:pPr>
            <w:r>
              <w:rPr>
                <w:rFonts w:ascii="宋体" w:hAnsi="宋体" w:cs="宋体" w:hint="eastAsia"/>
                <w:kern w:val="0"/>
                <w:sz w:val="20"/>
              </w:rPr>
              <w:t>　</w:t>
            </w:r>
          </w:p>
        </w:tc>
        <w:tc>
          <w:tcPr>
            <w:tcW w:w="1297" w:type="dxa"/>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 xml:space="preserve">1534 </w:t>
            </w:r>
          </w:p>
        </w:tc>
        <w:tc>
          <w:tcPr>
            <w:tcW w:w="1320" w:type="dxa"/>
            <w:shd w:val="clear" w:color="auto" w:fill="CCFFCC"/>
            <w:noWrap/>
            <w:vAlign w:val="center"/>
          </w:tcPr>
          <w:p w:rsidR="00337093">
            <w:pPr>
              <w:widowControl/>
              <w:jc w:val="left"/>
              <w:rPr>
                <w:rFonts w:ascii="宋体" w:hAnsi="宋体" w:cs="宋体"/>
                <w:kern w:val="0"/>
                <w:sz w:val="20"/>
              </w:rPr>
            </w:pPr>
            <w:r>
              <w:rPr>
                <w:rFonts w:ascii="宋体" w:hAnsi="宋体" w:cs="宋体" w:hint="eastAsia"/>
                <w:kern w:val="0"/>
                <w:sz w:val="20"/>
              </w:rPr>
              <w:t>　</w:t>
            </w:r>
          </w:p>
        </w:tc>
        <w:tc>
          <w:tcPr>
            <w:tcW w:w="1297" w:type="dxa"/>
            <w:shd w:val="clear" w:color="auto" w:fill="CCFFCC"/>
            <w:noWrap/>
            <w:vAlign w:val="center"/>
          </w:tcPr>
          <w:p w:rsidR="00337093">
            <w:pPr>
              <w:widowControl/>
              <w:jc w:val="left"/>
              <w:rPr>
                <w:rFonts w:ascii="宋体" w:hAnsi="宋体" w:cs="宋体"/>
                <w:kern w:val="0"/>
                <w:sz w:val="20"/>
              </w:rPr>
            </w:pPr>
            <w:r>
              <w:rPr>
                <w:rFonts w:ascii="宋体" w:hAnsi="宋体" w:cs="宋体" w:hint="eastAsia"/>
                <w:kern w:val="0"/>
                <w:sz w:val="20"/>
              </w:rPr>
              <w:t>　</w:t>
            </w:r>
          </w:p>
        </w:tc>
        <w:tc>
          <w:tcPr>
            <w:tcW w:w="1404" w:type="dxa"/>
            <w:shd w:val="clear" w:color="auto" w:fill="CCFFCC"/>
            <w:noWrap/>
            <w:vAlign w:val="center"/>
          </w:tcPr>
          <w:p w:rsidR="00337093">
            <w:pPr>
              <w:widowControl/>
              <w:jc w:val="center"/>
              <w:rPr>
                <w:rFonts w:ascii="宋体" w:hAnsi="宋体" w:cs="宋体"/>
                <w:b/>
                <w:bCs/>
                <w:kern w:val="0"/>
                <w:sz w:val="20"/>
              </w:rPr>
            </w:pPr>
            <w:r>
              <w:rPr>
                <w:rFonts w:ascii="宋体" w:hAnsi="宋体" w:cs="宋体" w:hint="eastAsia"/>
                <w:b/>
                <w:bCs/>
                <w:kern w:val="0"/>
                <w:sz w:val="20"/>
              </w:rPr>
              <w:t xml:space="preserve">1534 </w:t>
            </w:r>
          </w:p>
        </w:tc>
      </w:tr>
      <w:tr>
        <w:tblPrEx>
          <w:tblW w:w="0" w:type="auto"/>
          <w:tblInd w:w="0" w:type="dxa"/>
          <w:tblLayout w:type="fixed"/>
          <w:tblLook w:val="0000"/>
        </w:tblPrEx>
        <w:trPr>
          <w:trHeight w:val="750"/>
        </w:trPr>
        <w:tc>
          <w:tcPr>
            <w:tcW w:w="2172" w:type="dxa"/>
            <w:shd w:val="clear" w:color="auto" w:fill="CCFFCC"/>
            <w:noWrap/>
            <w:vAlign w:val="center"/>
          </w:tcPr>
          <w:p w:rsidR="00337093">
            <w:pPr>
              <w:widowControl/>
              <w:jc w:val="left"/>
              <w:rPr>
                <w:rFonts w:ascii="宋体" w:hAnsi="宋体" w:cs="宋体" w:hint="eastAsia"/>
                <w:kern w:val="0"/>
                <w:sz w:val="20"/>
              </w:rPr>
            </w:pPr>
            <w:r>
              <w:rPr>
                <w:rFonts w:ascii="宋体" w:hAnsi="宋体" w:cs="宋体" w:hint="eastAsia"/>
                <w:kern w:val="0"/>
                <w:sz w:val="20"/>
              </w:rPr>
              <w:t>合计</w:t>
            </w:r>
          </w:p>
        </w:tc>
        <w:tc>
          <w:tcPr>
            <w:tcW w:w="1513" w:type="dxa"/>
            <w:shd w:val="clear" w:color="auto" w:fill="CCFFCC"/>
            <w:noWrap/>
            <w:vAlign w:val="center"/>
          </w:tcPr>
          <w:p w:rsidR="00337093">
            <w:pPr>
              <w:widowControl/>
              <w:jc w:val="center"/>
              <w:rPr>
                <w:rFonts w:ascii="宋体" w:hAnsi="宋体" w:cs="宋体"/>
                <w:b/>
                <w:bCs/>
                <w:kern w:val="0"/>
                <w:sz w:val="20"/>
              </w:rPr>
            </w:pPr>
            <w:r>
              <w:rPr>
                <w:rFonts w:ascii="宋体" w:hAnsi="宋体" w:cs="宋体" w:hint="eastAsia"/>
                <w:b/>
                <w:bCs/>
                <w:kern w:val="0"/>
                <w:sz w:val="20"/>
              </w:rPr>
              <w:t xml:space="preserve">11395 </w:t>
            </w:r>
          </w:p>
        </w:tc>
        <w:tc>
          <w:tcPr>
            <w:tcW w:w="1297" w:type="dxa"/>
            <w:shd w:val="clear" w:color="auto" w:fill="CCFFCC"/>
            <w:noWrap/>
            <w:vAlign w:val="center"/>
          </w:tcPr>
          <w:p w:rsidR="00337093">
            <w:pPr>
              <w:widowControl/>
              <w:jc w:val="center"/>
              <w:rPr>
                <w:rFonts w:ascii="宋体" w:hAnsi="宋体" w:cs="宋体"/>
                <w:b/>
                <w:bCs/>
                <w:kern w:val="0"/>
                <w:sz w:val="20"/>
              </w:rPr>
            </w:pPr>
            <w:r>
              <w:rPr>
                <w:rFonts w:ascii="宋体" w:hAnsi="宋体" w:cs="宋体" w:hint="eastAsia"/>
                <w:b/>
                <w:bCs/>
                <w:kern w:val="0"/>
                <w:sz w:val="20"/>
              </w:rPr>
              <w:t xml:space="preserve">8433 </w:t>
            </w:r>
          </w:p>
        </w:tc>
        <w:tc>
          <w:tcPr>
            <w:tcW w:w="1320" w:type="dxa"/>
            <w:shd w:val="clear" w:color="auto" w:fill="CCFFCC"/>
            <w:noWrap/>
            <w:vAlign w:val="center"/>
          </w:tcPr>
          <w:p w:rsidR="00337093">
            <w:pPr>
              <w:widowControl/>
              <w:jc w:val="center"/>
              <w:rPr>
                <w:rFonts w:ascii="宋体" w:hAnsi="宋体" w:cs="宋体"/>
                <w:b/>
                <w:bCs/>
                <w:kern w:val="0"/>
                <w:sz w:val="20"/>
              </w:rPr>
            </w:pPr>
            <w:r>
              <w:rPr>
                <w:rFonts w:ascii="宋体" w:hAnsi="宋体" w:cs="宋体" w:hint="eastAsia"/>
                <w:b/>
                <w:bCs/>
                <w:kern w:val="0"/>
                <w:sz w:val="20"/>
              </w:rPr>
              <w:t xml:space="preserve">26407 </w:t>
            </w:r>
          </w:p>
        </w:tc>
        <w:tc>
          <w:tcPr>
            <w:tcW w:w="1297" w:type="dxa"/>
            <w:shd w:val="clear" w:color="auto" w:fill="CCFFCC"/>
            <w:noWrap/>
            <w:vAlign w:val="center"/>
          </w:tcPr>
          <w:p w:rsidR="00337093">
            <w:pPr>
              <w:widowControl/>
              <w:jc w:val="center"/>
              <w:rPr>
                <w:rFonts w:ascii="宋体" w:hAnsi="宋体" w:cs="宋体"/>
                <w:b/>
                <w:bCs/>
                <w:kern w:val="0"/>
                <w:sz w:val="20"/>
              </w:rPr>
            </w:pPr>
            <w:r>
              <w:rPr>
                <w:rFonts w:ascii="宋体" w:hAnsi="宋体" w:cs="宋体" w:hint="eastAsia"/>
                <w:b/>
                <w:bCs/>
                <w:kern w:val="0"/>
                <w:sz w:val="20"/>
              </w:rPr>
              <w:t xml:space="preserve">12615 </w:t>
            </w:r>
          </w:p>
        </w:tc>
        <w:tc>
          <w:tcPr>
            <w:tcW w:w="1404" w:type="dxa"/>
            <w:shd w:val="clear" w:color="auto" w:fill="CCFFCC"/>
            <w:noWrap/>
            <w:vAlign w:val="center"/>
          </w:tcPr>
          <w:p w:rsidR="00337093">
            <w:pPr>
              <w:widowControl/>
              <w:jc w:val="center"/>
              <w:rPr>
                <w:rFonts w:ascii="宋体" w:hAnsi="宋体" w:cs="宋体"/>
                <w:b/>
                <w:bCs/>
                <w:kern w:val="0"/>
                <w:sz w:val="20"/>
              </w:rPr>
            </w:pPr>
            <w:r>
              <w:rPr>
                <w:rFonts w:ascii="宋体" w:hAnsi="宋体" w:cs="宋体" w:hint="eastAsia"/>
                <w:b/>
                <w:bCs/>
                <w:kern w:val="0"/>
                <w:sz w:val="20"/>
              </w:rPr>
              <w:t xml:space="preserve">58850 </w:t>
            </w:r>
          </w:p>
        </w:tc>
      </w:tr>
    </w:tbl>
    <w:p w:rsidR="00337093" w:rsidP="00337093">
      <w:pPr>
        <w:ind w:firstLine="560" w:firstLineChars="200"/>
        <w:rPr>
          <w:rFonts w:hint="eastAsia"/>
          <w:bCs/>
          <w:sz w:val="28"/>
          <w:szCs w:val="28"/>
        </w:rPr>
      </w:pPr>
    </w:p>
    <w:p w:rsidR="00337093">
      <w:pPr>
        <w:pStyle w:val="Heading3"/>
        <w:spacing w:before="0" w:after="0" w:line="240" w:lineRule="auto"/>
        <w:rPr>
          <w:rFonts w:eastAsia="宋体"/>
          <w:b/>
          <w:sz w:val="32"/>
        </w:rPr>
      </w:pPr>
      <w:smartTag w:uri="urn:schemas-microsoft-com:office:smarttags" w:element="chsdate">
        <w:smartTagPr>
          <w:attr w:name="Day" w:val="30"/>
          <w:attr w:name="IsLunarDate" w:val="False"/>
          <w:attr w:name="IsROCDate" w:val="False"/>
          <w:attr w:name="Month" w:val="12"/>
          <w:attr w:name="Year" w:val="1899"/>
        </w:smartTagPr>
        <w:r>
          <w:rPr>
            <w:rFonts w:eastAsia="宋体"/>
            <w:b/>
            <w:sz w:val="32"/>
          </w:rPr>
          <w:t>1.2.</w:t>
        </w:r>
        <w:r>
          <w:rPr>
            <w:rFonts w:eastAsia="宋体" w:hint="eastAsia"/>
            <w:b/>
            <w:sz w:val="32"/>
          </w:rPr>
          <w:t>2</w:t>
        </w:r>
      </w:smartTag>
      <w:r>
        <w:rPr>
          <w:rFonts w:eastAsia="宋体" w:hAnsi="宋体"/>
          <w:b/>
          <w:sz w:val="32"/>
        </w:rPr>
        <w:t>劳动定员</w:t>
      </w:r>
    </w:p>
    <w:p w:rsidR="00337093" w:rsidP="00337093">
      <w:pPr>
        <w:ind w:firstLine="560" w:firstLineChars="200"/>
        <w:rPr>
          <w:sz w:val="28"/>
          <w:szCs w:val="28"/>
        </w:rPr>
        <w:sectPr>
          <w:headerReference w:type="default" r:id="rId24"/>
          <w:footerReference w:type="even" r:id="rId25"/>
          <w:footerReference w:type="default" r:id="rId26"/>
          <w:headerReference w:type="first" r:id="rId27"/>
          <w:type w:val="nextPage"/>
          <w:pgSz w:w="11906" w:h="16838"/>
          <w:pgMar w:top="1418" w:right="1418" w:bottom="1418" w:left="1701" w:header="964" w:footer="964" w:gutter="0"/>
          <w:pgNumType w:fmt="numberInDash" w:start="4"/>
          <w:cols w:space="720"/>
          <w:titlePg w:val="0"/>
          <w:docGrid w:type="linesAndChars" w:linePitch="291" w:charSpace="3135"/>
        </w:sectPr>
      </w:pPr>
      <w:r>
        <w:rPr>
          <w:rFonts w:hAnsi="宋体"/>
          <w:sz w:val="28"/>
          <w:szCs w:val="28"/>
        </w:rPr>
        <w:t>本项目建设单位为</w:t>
      </w:r>
      <w:r>
        <w:rPr>
          <w:rFonts w:hAnsi="宋体" w:hint="eastAsia"/>
          <w:sz w:val="28"/>
          <w:szCs w:val="28"/>
        </w:rPr>
        <w:t>XX</w:t>
      </w:r>
      <w:r>
        <w:rPr>
          <w:rFonts w:hAnsi="宋体"/>
          <w:sz w:val="28"/>
          <w:szCs w:val="28"/>
        </w:rPr>
        <w:t>市爱充充电技术有限公司，按照现代企业管理制度，实行总经理负责制，实行全员劳动合同制，制订严格的人事制度、财务制度及生产制度。项目劳动定员</w:t>
      </w:r>
      <w:r>
        <w:rPr>
          <w:rFonts w:hint="eastAsia"/>
          <w:sz w:val="28"/>
          <w:szCs w:val="28"/>
        </w:rPr>
        <w:t>300</w:t>
      </w:r>
      <w:r>
        <w:rPr>
          <w:rFonts w:hAnsi="宋体"/>
          <w:sz w:val="28"/>
          <w:szCs w:val="28"/>
        </w:rPr>
        <w:t>人，可从该</w:t>
      </w:r>
      <w:r>
        <w:rPr>
          <w:rFonts w:hAnsi="宋体" w:hint="eastAsia"/>
          <w:sz w:val="28"/>
          <w:szCs w:val="28"/>
        </w:rPr>
        <w:t>市</w:t>
      </w:r>
      <w:r>
        <w:rPr>
          <w:rFonts w:hAnsi="宋体"/>
          <w:sz w:val="28"/>
          <w:szCs w:val="28"/>
        </w:rPr>
        <w:t>及周边城市取得人力。</w:t>
      </w:r>
    </w:p>
    <w:p w:rsidR="00337093">
      <w:pPr>
        <w:pStyle w:val="Heading3"/>
        <w:spacing w:before="0" w:after="0" w:line="240" w:lineRule="auto"/>
        <w:rPr>
          <w:rFonts w:eastAsia="宋体"/>
          <w:b/>
          <w:sz w:val="32"/>
        </w:rPr>
      </w:pPr>
      <w:smartTag w:uri="urn:schemas-microsoft-com:office:smarttags" w:element="chsdate">
        <w:smartTagPr>
          <w:attr w:name="Day" w:val="30"/>
          <w:attr w:name="IsLunarDate" w:val="False"/>
          <w:attr w:name="IsROCDate" w:val="False"/>
          <w:attr w:name="Month" w:val="12"/>
          <w:attr w:name="Year" w:val="1899"/>
        </w:smartTagPr>
        <w:r>
          <w:rPr>
            <w:rFonts w:eastAsia="宋体"/>
            <w:b/>
            <w:sz w:val="32"/>
          </w:rPr>
          <w:t>1.2.</w:t>
        </w:r>
        <w:r>
          <w:rPr>
            <w:rFonts w:eastAsia="宋体" w:hint="eastAsia"/>
            <w:b/>
            <w:sz w:val="32"/>
          </w:rPr>
          <w:t>3</w:t>
        </w:r>
      </w:smartTag>
      <w:r>
        <w:rPr>
          <w:rFonts w:eastAsia="宋体" w:hAnsi="宋体"/>
          <w:b/>
          <w:sz w:val="32"/>
        </w:rPr>
        <w:t>项目建设进度</w:t>
      </w:r>
    </w:p>
    <w:p w:rsidR="00337093" w:rsidP="00337093">
      <w:pPr>
        <w:ind w:firstLine="560" w:firstLineChars="200"/>
        <w:rPr>
          <w:sz w:val="28"/>
          <w:szCs w:val="28"/>
        </w:rPr>
      </w:pPr>
      <w:r>
        <w:rPr>
          <w:rFonts w:hAnsi="宋体"/>
          <w:sz w:val="28"/>
          <w:szCs w:val="28"/>
        </w:rPr>
        <w:t>根据本项目的建设规模和投资规模，项目总体工程计划</w:t>
      </w:r>
      <w:r>
        <w:rPr>
          <w:rFonts w:hint="eastAsia"/>
          <w:sz w:val="28"/>
          <w:szCs w:val="28"/>
        </w:rPr>
        <w:t>5年</w:t>
      </w:r>
      <w:r>
        <w:rPr>
          <w:rFonts w:hAnsi="宋体"/>
          <w:sz w:val="28"/>
          <w:szCs w:val="28"/>
        </w:rPr>
        <w:t>的时间完成，即根据资金计划安排分段逐步实施到位，可以较早地获得经济效益，同时也为后续阶段的实施创造条件。</w:t>
      </w:r>
    </w:p>
    <w:p w:rsidR="00337093" w:rsidP="00337093">
      <w:pPr>
        <w:ind w:firstLine="560" w:firstLineChars="200"/>
        <w:rPr>
          <w:rFonts w:hint="eastAsia"/>
          <w:sz w:val="28"/>
          <w:szCs w:val="28"/>
        </w:rPr>
      </w:pPr>
      <w:r>
        <w:rPr>
          <w:rFonts w:hAnsi="宋体"/>
          <w:sz w:val="28"/>
          <w:szCs w:val="28"/>
        </w:rPr>
        <w:t>建设期从</w:t>
      </w:r>
      <w:r>
        <w:rPr>
          <w:sz w:val="28"/>
          <w:szCs w:val="28"/>
        </w:rPr>
        <w:t>201</w:t>
      </w:r>
      <w:r>
        <w:rPr>
          <w:rFonts w:hint="eastAsia"/>
          <w:sz w:val="28"/>
          <w:szCs w:val="28"/>
        </w:rPr>
        <w:t>6</w:t>
      </w:r>
      <w:r>
        <w:rPr>
          <w:rFonts w:hAnsi="宋体"/>
          <w:sz w:val="28"/>
          <w:szCs w:val="28"/>
        </w:rPr>
        <w:t>年</w:t>
      </w:r>
      <w:r>
        <w:rPr>
          <w:sz w:val="28"/>
          <w:szCs w:val="28"/>
        </w:rPr>
        <w:t>1</w:t>
      </w:r>
      <w:r>
        <w:rPr>
          <w:rFonts w:hAnsi="宋体"/>
          <w:sz w:val="28"/>
          <w:szCs w:val="28"/>
        </w:rPr>
        <w:t>月到</w:t>
      </w:r>
      <w:r>
        <w:rPr>
          <w:sz w:val="28"/>
          <w:szCs w:val="28"/>
        </w:rPr>
        <w:t>20</w:t>
      </w:r>
      <w:r>
        <w:rPr>
          <w:rFonts w:hint="eastAsia"/>
          <w:sz w:val="28"/>
          <w:szCs w:val="28"/>
        </w:rPr>
        <w:t>20</w:t>
      </w:r>
      <w:r>
        <w:rPr>
          <w:rFonts w:hAnsi="宋体"/>
          <w:sz w:val="28"/>
          <w:szCs w:val="28"/>
        </w:rPr>
        <w:t>年</w:t>
      </w:r>
      <w:r>
        <w:rPr>
          <w:rFonts w:hint="eastAsia"/>
          <w:sz w:val="28"/>
          <w:szCs w:val="28"/>
        </w:rPr>
        <w:t>12</w:t>
      </w:r>
      <w:r>
        <w:rPr>
          <w:rFonts w:hAnsi="宋体"/>
          <w:sz w:val="28"/>
          <w:szCs w:val="28"/>
        </w:rPr>
        <w:t>月</w:t>
      </w:r>
      <w:r>
        <w:rPr>
          <w:rFonts w:hAnsi="宋体" w:hint="eastAsia"/>
          <w:sz w:val="28"/>
          <w:szCs w:val="28"/>
        </w:rPr>
        <w:t>，根据布局安排网点布局。</w:t>
      </w:r>
    </w:p>
    <w:p w:rsidR="00337093">
      <w:pPr>
        <w:pStyle w:val="Heading3"/>
        <w:spacing w:before="0" w:after="0" w:line="240" w:lineRule="auto"/>
        <w:rPr>
          <w:rFonts w:eastAsia="宋体"/>
          <w:b/>
          <w:sz w:val="32"/>
        </w:rPr>
      </w:pPr>
      <w:smartTag w:uri="urn:schemas-microsoft-com:office:smarttags" w:element="chsdate">
        <w:smartTagPr>
          <w:attr w:name="Day" w:val="30"/>
          <w:attr w:name="IsLunarDate" w:val="False"/>
          <w:attr w:name="IsROCDate" w:val="False"/>
          <w:attr w:name="Month" w:val="12"/>
          <w:attr w:name="Year" w:val="1899"/>
        </w:smartTagPr>
        <w:r>
          <w:rPr>
            <w:rFonts w:eastAsia="宋体"/>
            <w:b/>
            <w:sz w:val="32"/>
          </w:rPr>
          <w:t>1.2.</w:t>
        </w:r>
        <w:r>
          <w:rPr>
            <w:rFonts w:eastAsia="宋体" w:hint="eastAsia"/>
            <w:b/>
            <w:sz w:val="32"/>
          </w:rPr>
          <w:t>4</w:t>
        </w:r>
      </w:smartTag>
      <w:r>
        <w:rPr>
          <w:rFonts w:eastAsia="宋体" w:hAnsi="宋体"/>
          <w:b/>
          <w:sz w:val="32"/>
        </w:rPr>
        <w:t>投资估算和资金筹措</w:t>
      </w:r>
    </w:p>
    <w:p w:rsidR="00337093">
      <w:pPr>
        <w:tabs>
          <w:tab w:val="left" w:pos="1103"/>
          <w:tab w:val="left" w:pos="3350"/>
          <w:tab w:val="left" w:pos="4453"/>
          <w:tab w:val="left" w:pos="5556"/>
          <w:tab w:val="left" w:pos="7249"/>
        </w:tabs>
        <w:jc w:val="left"/>
        <w:rPr>
          <w:b/>
          <w:sz w:val="28"/>
          <w:szCs w:val="28"/>
        </w:rPr>
      </w:pPr>
      <w:bookmarkStart w:id="99" w:name="_Toc86953955"/>
      <w:bookmarkStart w:id="100" w:name="_Toc88645097"/>
      <w:bookmarkStart w:id="101" w:name="_Toc88653545"/>
      <w:bookmarkStart w:id="102" w:name="_Toc88901216"/>
      <w:bookmarkStart w:id="103" w:name="_Toc88906490"/>
      <w:bookmarkStart w:id="104" w:name="_Toc88906559"/>
      <w:bookmarkStart w:id="105" w:name="_Toc139166516"/>
      <w:bookmarkStart w:id="106" w:name="_Toc190759323"/>
      <w:smartTag w:uri="urn:schemas-microsoft-com:office:smarttags" w:element="chsdate">
        <w:smartTagPr>
          <w:attr w:name="Day" w:val="30"/>
          <w:attr w:name="IsLunarDate" w:val="False"/>
          <w:attr w:name="IsROCDate" w:val="False"/>
          <w:attr w:name="Month" w:val="12"/>
          <w:attr w:name="Year" w:val="1899"/>
        </w:smartTagPr>
        <w:r>
          <w:rPr>
            <w:b/>
            <w:sz w:val="28"/>
            <w:szCs w:val="28"/>
          </w:rPr>
          <w:t>1.2.</w:t>
        </w:r>
        <w:r>
          <w:rPr>
            <w:rFonts w:hint="eastAsia"/>
            <w:b/>
            <w:sz w:val="28"/>
            <w:szCs w:val="28"/>
          </w:rPr>
          <w:t>4</w:t>
        </w:r>
      </w:smartTag>
      <w:r>
        <w:rPr>
          <w:b/>
          <w:sz w:val="28"/>
          <w:szCs w:val="28"/>
        </w:rPr>
        <w:t>.1</w:t>
      </w:r>
      <w:r>
        <w:rPr>
          <w:rFonts w:hAnsi="宋体"/>
          <w:b/>
          <w:sz w:val="28"/>
          <w:szCs w:val="28"/>
        </w:rPr>
        <w:t>投资</w:t>
      </w:r>
      <w:bookmarkEnd w:id="99"/>
      <w:bookmarkEnd w:id="100"/>
      <w:bookmarkEnd w:id="101"/>
      <w:bookmarkEnd w:id="102"/>
      <w:bookmarkEnd w:id="103"/>
      <w:bookmarkEnd w:id="104"/>
      <w:bookmarkEnd w:id="105"/>
      <w:bookmarkEnd w:id="106"/>
      <w:r>
        <w:rPr>
          <w:rFonts w:hAnsi="宋体"/>
          <w:b/>
          <w:sz w:val="28"/>
          <w:szCs w:val="28"/>
        </w:rPr>
        <w:t>估算</w:t>
      </w:r>
    </w:p>
    <w:p w:rsidR="00337093" w:rsidP="00337093">
      <w:pPr>
        <w:tabs>
          <w:tab w:val="left" w:pos="1103"/>
          <w:tab w:val="left" w:pos="3350"/>
          <w:tab w:val="left" w:pos="4453"/>
          <w:tab w:val="left" w:pos="5556"/>
          <w:tab w:val="left" w:pos="7249"/>
        </w:tabs>
        <w:ind w:firstLine="560" w:firstLineChars="200"/>
        <w:rPr>
          <w:sz w:val="28"/>
          <w:szCs w:val="28"/>
        </w:rPr>
      </w:pPr>
      <w:r>
        <w:rPr>
          <w:rFonts w:hAnsi="宋体"/>
          <w:sz w:val="28"/>
          <w:szCs w:val="28"/>
        </w:rPr>
        <w:t>按照流动资金口径计算，本项目总投资为</w:t>
      </w:r>
      <w:r>
        <w:rPr>
          <w:rFonts w:hint="eastAsia"/>
          <w:sz w:val="28"/>
          <w:szCs w:val="28"/>
        </w:rPr>
        <w:t>123658.25</w:t>
      </w:r>
      <w:r>
        <w:rPr>
          <w:rFonts w:hAnsi="宋体"/>
          <w:sz w:val="28"/>
          <w:szCs w:val="28"/>
        </w:rPr>
        <w:t>万元。</w:t>
      </w:r>
    </w:p>
    <w:p w:rsidR="00337093" w:rsidP="00337093">
      <w:pPr>
        <w:tabs>
          <w:tab w:val="left" w:pos="1103"/>
          <w:tab w:val="left" w:pos="3350"/>
          <w:tab w:val="left" w:pos="4453"/>
          <w:tab w:val="left" w:pos="5556"/>
          <w:tab w:val="left" w:pos="7249"/>
        </w:tabs>
        <w:ind w:firstLine="560" w:firstLineChars="200"/>
        <w:rPr>
          <w:sz w:val="28"/>
          <w:szCs w:val="28"/>
        </w:rPr>
      </w:pPr>
      <w:r>
        <w:rPr>
          <w:rFonts w:hAnsi="宋体"/>
          <w:sz w:val="28"/>
          <w:szCs w:val="28"/>
        </w:rPr>
        <w:t>其中：建设投资</w:t>
      </w:r>
      <w:r>
        <w:rPr>
          <w:rFonts w:hint="eastAsia"/>
          <w:sz w:val="28"/>
          <w:szCs w:val="28"/>
        </w:rPr>
        <w:t>117156.90</w:t>
      </w:r>
      <w:r>
        <w:rPr>
          <w:rFonts w:hAnsi="宋体"/>
          <w:sz w:val="28"/>
          <w:szCs w:val="28"/>
        </w:rPr>
        <w:t>万元，流动资金为</w:t>
      </w:r>
      <w:r>
        <w:rPr>
          <w:rFonts w:hint="eastAsia"/>
          <w:sz w:val="28"/>
          <w:szCs w:val="28"/>
        </w:rPr>
        <w:t>6501.35</w:t>
      </w:r>
      <w:r>
        <w:rPr>
          <w:rFonts w:hAnsi="宋体"/>
          <w:sz w:val="28"/>
          <w:szCs w:val="28"/>
        </w:rPr>
        <w:t>万元。</w:t>
      </w:r>
    </w:p>
    <w:p w:rsidR="00337093">
      <w:pPr>
        <w:tabs>
          <w:tab w:val="left" w:pos="1103"/>
          <w:tab w:val="left" w:pos="3350"/>
          <w:tab w:val="left" w:pos="4453"/>
          <w:tab w:val="left" w:pos="5556"/>
          <w:tab w:val="left" w:pos="7249"/>
        </w:tabs>
        <w:jc w:val="left"/>
        <w:rPr>
          <w:b/>
          <w:sz w:val="28"/>
          <w:szCs w:val="28"/>
        </w:rPr>
      </w:pPr>
      <w:bookmarkStart w:id="107" w:name="_Toc86953956"/>
      <w:bookmarkStart w:id="108" w:name="_Toc88645098"/>
      <w:bookmarkStart w:id="109" w:name="_Toc88653546"/>
      <w:bookmarkStart w:id="110" w:name="_Toc88901217"/>
      <w:bookmarkStart w:id="111" w:name="_Toc88906491"/>
      <w:bookmarkStart w:id="112" w:name="_Toc88906560"/>
      <w:bookmarkStart w:id="113" w:name="_Toc139166517"/>
      <w:smartTag w:uri="urn:schemas-microsoft-com:office:smarttags" w:element="chsdate">
        <w:smartTagPr>
          <w:attr w:name="Day" w:val="30"/>
          <w:attr w:name="IsLunarDate" w:val="False"/>
          <w:attr w:name="IsROCDate" w:val="False"/>
          <w:attr w:name="Month" w:val="12"/>
          <w:attr w:name="Year" w:val="1899"/>
        </w:smartTagPr>
        <w:r>
          <w:rPr>
            <w:b/>
            <w:sz w:val="28"/>
            <w:szCs w:val="28"/>
          </w:rPr>
          <w:t>1.2.</w:t>
        </w:r>
        <w:r>
          <w:rPr>
            <w:rFonts w:hint="eastAsia"/>
            <w:b/>
            <w:sz w:val="28"/>
            <w:szCs w:val="28"/>
          </w:rPr>
          <w:t>4</w:t>
        </w:r>
      </w:smartTag>
      <w:r>
        <w:rPr>
          <w:b/>
          <w:sz w:val="28"/>
          <w:szCs w:val="28"/>
        </w:rPr>
        <w:t>.2</w:t>
      </w:r>
      <w:r>
        <w:rPr>
          <w:rFonts w:hAnsi="宋体"/>
          <w:b/>
          <w:sz w:val="28"/>
          <w:szCs w:val="28"/>
        </w:rPr>
        <w:t>资金筹措</w:t>
      </w:r>
      <w:bookmarkEnd w:id="107"/>
      <w:bookmarkEnd w:id="108"/>
      <w:bookmarkEnd w:id="109"/>
      <w:bookmarkEnd w:id="110"/>
      <w:bookmarkEnd w:id="111"/>
      <w:bookmarkEnd w:id="112"/>
      <w:bookmarkEnd w:id="113"/>
    </w:p>
    <w:p w:rsidR="00337093" w:rsidP="00337093">
      <w:pPr>
        <w:tabs>
          <w:tab w:val="left" w:pos="1103"/>
          <w:tab w:val="left" w:pos="3350"/>
          <w:tab w:val="left" w:pos="4453"/>
          <w:tab w:val="left" w:pos="5556"/>
          <w:tab w:val="left" w:pos="7249"/>
        </w:tabs>
        <w:ind w:firstLine="560" w:firstLineChars="200"/>
        <w:rPr>
          <w:sz w:val="28"/>
          <w:szCs w:val="28"/>
        </w:rPr>
      </w:pPr>
      <w:r>
        <w:rPr>
          <w:rFonts w:hAnsi="宋体"/>
          <w:sz w:val="28"/>
          <w:szCs w:val="28"/>
        </w:rPr>
        <w:t>项目总投资</w:t>
      </w:r>
      <w:r>
        <w:rPr>
          <w:rFonts w:hint="eastAsia"/>
          <w:sz w:val="28"/>
          <w:szCs w:val="28"/>
        </w:rPr>
        <w:t>123658.25</w:t>
      </w:r>
      <w:r>
        <w:rPr>
          <w:rFonts w:hAnsi="宋体"/>
          <w:sz w:val="28"/>
          <w:szCs w:val="28"/>
        </w:rPr>
        <w:t>万元，全部由企业自筹。</w:t>
      </w:r>
    </w:p>
    <w:p w:rsidR="00337093">
      <w:pPr>
        <w:pStyle w:val="Heading3"/>
        <w:spacing w:before="0" w:after="0" w:line="240" w:lineRule="auto"/>
        <w:rPr>
          <w:rFonts w:eastAsia="宋体"/>
          <w:b/>
          <w:sz w:val="32"/>
        </w:rPr>
      </w:pPr>
      <w:smartTag w:uri="urn:schemas-microsoft-com:office:smarttags" w:element="chsdate">
        <w:smartTagPr>
          <w:attr w:name="Day" w:val="30"/>
          <w:attr w:name="IsLunarDate" w:val="False"/>
          <w:attr w:name="IsROCDate" w:val="False"/>
          <w:attr w:name="Month" w:val="12"/>
          <w:attr w:name="Year" w:val="1899"/>
        </w:smartTagPr>
        <w:r>
          <w:rPr>
            <w:rFonts w:eastAsia="宋体"/>
            <w:b/>
            <w:sz w:val="32"/>
          </w:rPr>
          <w:t>1.2.</w:t>
        </w:r>
        <w:r>
          <w:rPr>
            <w:rFonts w:eastAsia="宋体" w:hint="eastAsia"/>
            <w:b/>
            <w:sz w:val="32"/>
          </w:rPr>
          <w:t>5</w:t>
        </w:r>
      </w:smartTag>
      <w:r>
        <w:rPr>
          <w:rFonts w:eastAsia="宋体" w:hAnsi="宋体"/>
          <w:b/>
          <w:sz w:val="32"/>
        </w:rPr>
        <w:t>项目财务和经济评论</w:t>
      </w:r>
    </w:p>
    <w:p w:rsidR="00337093" w:rsidP="00337093">
      <w:pPr>
        <w:tabs>
          <w:tab w:val="left" w:pos="1103"/>
          <w:tab w:val="left" w:pos="3350"/>
          <w:tab w:val="left" w:pos="4453"/>
          <w:tab w:val="left" w:pos="5556"/>
          <w:tab w:val="left" w:pos="7249"/>
        </w:tabs>
        <w:ind w:firstLine="560" w:firstLineChars="200"/>
        <w:rPr>
          <w:sz w:val="28"/>
          <w:szCs w:val="28"/>
        </w:rPr>
      </w:pPr>
      <w:r>
        <w:rPr>
          <w:rFonts w:hAnsi="宋体"/>
          <w:sz w:val="28"/>
          <w:szCs w:val="28"/>
        </w:rPr>
        <w:t>项目建成并达产后：</w:t>
      </w:r>
    </w:p>
    <w:p w:rsidR="00337093" w:rsidP="00337093">
      <w:pPr>
        <w:tabs>
          <w:tab w:val="left" w:pos="1103"/>
          <w:tab w:val="left" w:pos="3350"/>
          <w:tab w:val="left" w:pos="4453"/>
          <w:tab w:val="left" w:pos="5556"/>
          <w:tab w:val="left" w:pos="7249"/>
        </w:tabs>
        <w:ind w:firstLine="560" w:firstLineChars="200"/>
        <w:rPr>
          <w:sz w:val="28"/>
          <w:szCs w:val="28"/>
        </w:rPr>
      </w:pPr>
      <w:r>
        <w:rPr>
          <w:rFonts w:hAnsi="宋体"/>
          <w:sz w:val="28"/>
          <w:szCs w:val="28"/>
        </w:rPr>
        <w:t>总收入：</w:t>
      </w:r>
      <w:r>
        <w:rPr>
          <w:rFonts w:hint="eastAsia"/>
          <w:sz w:val="28"/>
          <w:szCs w:val="28"/>
        </w:rPr>
        <w:t>58849.54</w:t>
      </w:r>
      <w:r>
        <w:rPr>
          <w:rFonts w:hAnsi="宋体"/>
          <w:sz w:val="28"/>
          <w:szCs w:val="28"/>
        </w:rPr>
        <w:t>万元。</w:t>
      </w:r>
    </w:p>
    <w:p w:rsidR="00337093" w:rsidP="00337093">
      <w:pPr>
        <w:tabs>
          <w:tab w:val="left" w:pos="1103"/>
          <w:tab w:val="left" w:pos="3350"/>
          <w:tab w:val="left" w:pos="4453"/>
          <w:tab w:val="left" w:pos="5556"/>
          <w:tab w:val="left" w:pos="7249"/>
        </w:tabs>
        <w:ind w:firstLine="560" w:firstLineChars="200"/>
        <w:rPr>
          <w:sz w:val="28"/>
          <w:szCs w:val="28"/>
        </w:rPr>
      </w:pPr>
      <w:r>
        <w:rPr>
          <w:rFonts w:hAnsi="宋体"/>
          <w:sz w:val="28"/>
          <w:szCs w:val="28"/>
        </w:rPr>
        <w:t>总成本费用：</w:t>
      </w:r>
      <w:r>
        <w:rPr>
          <w:rFonts w:hint="eastAsia"/>
          <w:sz w:val="28"/>
          <w:szCs w:val="28"/>
        </w:rPr>
        <w:t>36337.05</w:t>
      </w:r>
      <w:r>
        <w:rPr>
          <w:rFonts w:hAnsi="宋体"/>
          <w:sz w:val="28"/>
          <w:szCs w:val="28"/>
        </w:rPr>
        <w:t>万元。</w:t>
      </w:r>
    </w:p>
    <w:p w:rsidR="00337093" w:rsidP="00337093">
      <w:pPr>
        <w:tabs>
          <w:tab w:val="left" w:pos="1103"/>
          <w:tab w:val="left" w:pos="3350"/>
          <w:tab w:val="left" w:pos="4453"/>
          <w:tab w:val="left" w:pos="5556"/>
          <w:tab w:val="left" w:pos="7249"/>
        </w:tabs>
        <w:ind w:firstLine="560" w:firstLineChars="200"/>
        <w:rPr>
          <w:sz w:val="28"/>
          <w:szCs w:val="28"/>
        </w:rPr>
      </w:pPr>
      <w:r>
        <w:rPr>
          <w:rFonts w:hAnsi="宋体"/>
          <w:sz w:val="28"/>
          <w:szCs w:val="28"/>
        </w:rPr>
        <w:t>年税后利润：税后利润为收入减去总成本、税收等，税后利润为</w:t>
      </w:r>
      <w:r>
        <w:rPr>
          <w:rFonts w:hint="eastAsia"/>
          <w:sz w:val="28"/>
          <w:szCs w:val="28"/>
        </w:rPr>
        <w:t>19969.60万</w:t>
      </w:r>
      <w:r>
        <w:rPr>
          <w:rFonts w:hAnsi="宋体"/>
          <w:sz w:val="28"/>
          <w:szCs w:val="28"/>
        </w:rPr>
        <w:t>元。</w:t>
      </w:r>
      <w:r>
        <w:rPr>
          <w:sz w:val="28"/>
          <w:szCs w:val="28"/>
        </w:rPr>
        <w:t xml:space="preserve"> </w:t>
      </w:r>
    </w:p>
    <w:p w:rsidR="00337093" w:rsidP="00337093">
      <w:pPr>
        <w:ind w:firstLine="560" w:firstLineChars="200"/>
        <w:rPr>
          <w:sz w:val="28"/>
          <w:szCs w:val="28"/>
        </w:rPr>
      </w:pPr>
      <w:r>
        <w:rPr>
          <w:rFonts w:hAnsi="宋体"/>
          <w:sz w:val="28"/>
          <w:szCs w:val="28"/>
        </w:rPr>
        <w:t>财务净现值：</w:t>
      </w:r>
      <w:r>
        <w:rPr>
          <w:sz w:val="28"/>
          <w:szCs w:val="28"/>
        </w:rPr>
        <w:t xml:space="preserve">    </w:t>
      </w:r>
      <w:r>
        <w:rPr>
          <w:rFonts w:hAnsi="宋体"/>
          <w:sz w:val="28"/>
          <w:szCs w:val="28"/>
        </w:rPr>
        <w:t>税前：</w:t>
      </w:r>
      <w:r>
        <w:rPr>
          <w:rFonts w:hint="eastAsia"/>
          <w:sz w:val="28"/>
          <w:szCs w:val="28"/>
        </w:rPr>
        <w:t>98222.4</w:t>
      </w:r>
      <w:r>
        <w:rPr>
          <w:rFonts w:hint="eastAsia"/>
          <w:sz w:val="28"/>
          <w:szCs w:val="28"/>
        </w:rPr>
        <w:t>6</w:t>
      </w:r>
      <w:r>
        <w:rPr>
          <w:rFonts w:hAnsi="宋体"/>
          <w:sz w:val="28"/>
          <w:szCs w:val="28"/>
        </w:rPr>
        <w:t>万元（基准收益率＝</w:t>
      </w:r>
      <w:r>
        <w:rPr>
          <w:rFonts w:hint="eastAsia"/>
          <w:sz w:val="28"/>
          <w:szCs w:val="28"/>
        </w:rPr>
        <w:t>8</w:t>
      </w:r>
      <w:r>
        <w:rPr>
          <w:sz w:val="28"/>
          <w:szCs w:val="28"/>
        </w:rPr>
        <w:t>%</w:t>
      </w:r>
      <w:r>
        <w:rPr>
          <w:rFonts w:hAnsi="宋体"/>
          <w:sz w:val="28"/>
          <w:szCs w:val="28"/>
        </w:rPr>
        <w:t>），</w:t>
      </w:r>
    </w:p>
    <w:p w:rsidR="00337093" w:rsidP="00337093">
      <w:pPr>
        <w:ind w:firstLine="2803" w:firstLineChars="1001"/>
        <w:rPr>
          <w:sz w:val="28"/>
          <w:szCs w:val="28"/>
        </w:rPr>
      </w:pPr>
      <w:r>
        <w:rPr>
          <w:rFonts w:hAnsi="宋体"/>
          <w:sz w:val="28"/>
          <w:szCs w:val="28"/>
        </w:rPr>
        <w:t>税后：</w:t>
      </w:r>
      <w:r>
        <w:rPr>
          <w:rFonts w:hint="eastAsia"/>
          <w:sz w:val="28"/>
          <w:szCs w:val="28"/>
        </w:rPr>
        <w:t>64012.03</w:t>
      </w:r>
      <w:r>
        <w:rPr>
          <w:rFonts w:hAnsi="宋体"/>
          <w:sz w:val="28"/>
          <w:szCs w:val="28"/>
        </w:rPr>
        <w:t>万元（基准收益率＝</w:t>
      </w:r>
      <w:r>
        <w:rPr>
          <w:rFonts w:hint="eastAsia"/>
          <w:sz w:val="28"/>
          <w:szCs w:val="28"/>
        </w:rPr>
        <w:t>8</w:t>
      </w:r>
      <w:r>
        <w:rPr>
          <w:sz w:val="28"/>
          <w:szCs w:val="28"/>
        </w:rPr>
        <w:t>%</w:t>
      </w:r>
      <w:r>
        <w:rPr>
          <w:rFonts w:hAnsi="宋体"/>
          <w:sz w:val="28"/>
          <w:szCs w:val="28"/>
        </w:rPr>
        <w:t>）。</w:t>
      </w:r>
    </w:p>
    <w:p w:rsidR="00337093" w:rsidP="00337093">
      <w:pPr>
        <w:ind w:firstLine="560" w:firstLineChars="200"/>
        <w:rPr>
          <w:sz w:val="28"/>
          <w:szCs w:val="28"/>
        </w:rPr>
      </w:pPr>
      <w:r>
        <w:rPr>
          <w:rFonts w:hAnsi="宋体"/>
          <w:sz w:val="28"/>
          <w:szCs w:val="28"/>
        </w:rPr>
        <w:t>全部投资回收期：税前：</w:t>
      </w:r>
      <w:r>
        <w:rPr>
          <w:rFonts w:hint="eastAsia"/>
          <w:sz w:val="28"/>
          <w:szCs w:val="28"/>
        </w:rPr>
        <w:t>6.53</w:t>
      </w:r>
      <w:r>
        <w:rPr>
          <w:rFonts w:hAnsi="宋体"/>
          <w:sz w:val="28"/>
          <w:szCs w:val="28"/>
        </w:rPr>
        <w:t>年（含建设期），</w:t>
      </w:r>
    </w:p>
    <w:p w:rsidR="00337093" w:rsidP="00337093">
      <w:pPr>
        <w:ind w:firstLine="2800" w:firstLineChars="1000"/>
        <w:rPr>
          <w:sz w:val="28"/>
          <w:szCs w:val="28"/>
        </w:rPr>
      </w:pPr>
      <w:r>
        <w:rPr>
          <w:rFonts w:hAnsi="宋体"/>
          <w:sz w:val="28"/>
          <w:szCs w:val="28"/>
        </w:rPr>
        <w:t>税后：</w:t>
      </w:r>
      <w:r>
        <w:rPr>
          <w:rFonts w:hAnsi="宋体" w:hint="eastAsia"/>
          <w:sz w:val="28"/>
          <w:szCs w:val="28"/>
        </w:rPr>
        <w:t>7.40</w:t>
      </w:r>
      <w:r>
        <w:rPr>
          <w:rFonts w:hAnsi="宋体"/>
          <w:sz w:val="28"/>
          <w:szCs w:val="28"/>
        </w:rPr>
        <w:t>年（含建设期）。</w:t>
      </w:r>
    </w:p>
    <w:p w:rsidR="00337093" w:rsidP="00337093">
      <w:pPr>
        <w:ind w:firstLine="560" w:firstLineChars="200"/>
        <w:rPr>
          <w:sz w:val="28"/>
          <w:szCs w:val="28"/>
        </w:rPr>
        <w:sectPr>
          <w:headerReference w:type="default" r:id="rId28"/>
          <w:footerReference w:type="even" r:id="rId29"/>
          <w:footerReference w:type="default" r:id="rId30"/>
          <w:headerReference w:type="first" r:id="rId31"/>
          <w:type w:val="nextPage"/>
          <w:pgSz w:w="11906" w:h="16838"/>
          <w:pgMar w:top="1418" w:right="1418" w:bottom="1418" w:left="1701" w:header="964" w:footer="964" w:gutter="0"/>
          <w:pgNumType w:fmt="numberInDash" w:start="5"/>
          <w:cols w:space="720"/>
          <w:titlePg w:val="0"/>
          <w:docGrid w:type="linesAndChars" w:linePitch="291" w:charSpace="3135"/>
        </w:sectPr>
      </w:pPr>
      <w:r>
        <w:rPr>
          <w:rFonts w:hAnsi="宋体"/>
          <w:sz w:val="28"/>
          <w:szCs w:val="28"/>
        </w:rPr>
        <w:t>投资内部收益率：税前</w:t>
      </w:r>
      <w:r>
        <w:rPr>
          <w:rFonts w:hint="eastAsia"/>
          <w:sz w:val="28"/>
          <w:szCs w:val="28"/>
        </w:rPr>
        <w:t>25.30</w:t>
      </w:r>
      <w:r>
        <w:rPr>
          <w:sz w:val="28"/>
          <w:szCs w:val="28"/>
        </w:rPr>
        <w:t>%</w:t>
      </w:r>
      <w:r>
        <w:rPr>
          <w:rFonts w:hAnsi="宋体"/>
          <w:sz w:val="28"/>
          <w:szCs w:val="28"/>
        </w:rPr>
        <w:t>，税后</w:t>
      </w:r>
      <w:r>
        <w:rPr>
          <w:rFonts w:hint="eastAsia"/>
          <w:sz w:val="28"/>
          <w:szCs w:val="28"/>
        </w:rPr>
        <w:t>19.62</w:t>
      </w:r>
      <w:r>
        <w:rPr>
          <w:sz w:val="28"/>
          <w:szCs w:val="28"/>
        </w:rPr>
        <w:t>%</w:t>
      </w:r>
      <w:r>
        <w:rPr>
          <w:rFonts w:hAnsi="宋体"/>
          <w:sz w:val="28"/>
          <w:szCs w:val="28"/>
        </w:rPr>
        <w:t>。</w:t>
      </w:r>
    </w:p>
    <w:p w:rsidR="00337093">
      <w:pPr>
        <w:pStyle w:val="Heading3"/>
        <w:spacing w:before="0" w:after="0" w:line="240" w:lineRule="auto"/>
        <w:rPr>
          <w:rFonts w:eastAsia="宋体"/>
          <w:b/>
          <w:sz w:val="32"/>
        </w:rPr>
      </w:pPr>
      <w:smartTag w:uri="urn:schemas-microsoft-com:office:smarttags" w:element="chsdate">
        <w:smartTagPr>
          <w:attr w:name="Day" w:val="30"/>
          <w:attr w:name="IsLunarDate" w:val="False"/>
          <w:attr w:name="IsROCDate" w:val="False"/>
          <w:attr w:name="Month" w:val="12"/>
          <w:attr w:name="Year" w:val="1899"/>
        </w:smartTagPr>
        <w:r>
          <w:rPr>
            <w:rFonts w:eastAsia="宋体"/>
            <w:b/>
            <w:sz w:val="32"/>
          </w:rPr>
          <w:t>1.2.</w:t>
        </w:r>
        <w:r>
          <w:rPr>
            <w:rFonts w:eastAsia="宋体" w:hint="eastAsia"/>
            <w:b/>
            <w:sz w:val="32"/>
          </w:rPr>
          <w:t>6</w:t>
        </w:r>
      </w:smartTag>
      <w:r>
        <w:rPr>
          <w:rFonts w:eastAsia="宋体" w:hAnsi="宋体"/>
          <w:b/>
          <w:sz w:val="32"/>
        </w:rPr>
        <w:t>项目综合评价结论</w:t>
      </w:r>
    </w:p>
    <w:p w:rsidR="00337093" w:rsidP="00337093">
      <w:pPr>
        <w:ind w:firstLine="560" w:firstLineChars="200"/>
        <w:rPr>
          <w:rFonts w:hint="eastAsia"/>
          <w:sz w:val="28"/>
          <w:szCs w:val="28"/>
        </w:rPr>
      </w:pPr>
      <w:r>
        <w:rPr>
          <w:rFonts w:hAnsi="宋体" w:hint="eastAsia"/>
          <w:sz w:val="28"/>
          <w:szCs w:val="28"/>
        </w:rPr>
        <w:t>本项目的建设作为电动汽车推广的基础设施配套，有利于XX市新能源汽车推广，有利于XX市城市公共交通行业改革。通过城市公共交通的示范效应，配套本项目基础充电站的建设，未来XX市电动汽车的应用将走在全国的前列，对节能减排和环境保护有重大影响。</w:t>
      </w:r>
    </w:p>
    <w:p w:rsidR="00337093">
      <w:pPr>
        <w:pStyle w:val="Heading2"/>
        <w:spacing w:before="0" w:after="0" w:line="240" w:lineRule="auto"/>
        <w:rPr>
          <w:rFonts w:ascii="Times New Roman" w:eastAsia="宋体" w:hAnsi="Times New Roman"/>
          <w:b/>
        </w:rPr>
      </w:pPr>
      <w:bookmarkStart w:id="114" w:name="_Toc86953957"/>
      <w:bookmarkStart w:id="115" w:name="_Toc88645099"/>
      <w:bookmarkStart w:id="116" w:name="_Toc88653547"/>
      <w:bookmarkStart w:id="117" w:name="_Toc88901218"/>
      <w:bookmarkStart w:id="118" w:name="_Toc88906493"/>
      <w:bookmarkStart w:id="119" w:name="_Toc88906561"/>
      <w:bookmarkStart w:id="120" w:name="_Toc139166518"/>
      <w:bookmarkStart w:id="121" w:name="_Toc349743469"/>
      <w:bookmarkStart w:id="122" w:name="_Toc350929449"/>
      <w:bookmarkStart w:id="123" w:name="_Toc350951337"/>
      <w:bookmarkStart w:id="124" w:name="_Toc350955791"/>
      <w:bookmarkStart w:id="125" w:name="_Toc351621594"/>
      <w:bookmarkStart w:id="126" w:name="_Toc351627278"/>
      <w:bookmarkStart w:id="127" w:name="_Toc352076354"/>
      <w:bookmarkStart w:id="128" w:name="_Toc352315171"/>
      <w:bookmarkStart w:id="129" w:name="_Toc353204205"/>
      <w:bookmarkStart w:id="130" w:name="_Toc353289471"/>
      <w:bookmarkStart w:id="131" w:name="_Toc387324653"/>
      <w:bookmarkStart w:id="132" w:name="_Toc387332148"/>
      <w:bookmarkStart w:id="133" w:name="_Toc398212109"/>
      <w:bookmarkStart w:id="134" w:name="_Toc398300234"/>
      <w:bookmarkStart w:id="135" w:name="_Toc398303284"/>
      <w:bookmarkStart w:id="136" w:name="_Toc402271129"/>
      <w:bookmarkStart w:id="137" w:name="_Toc402876336"/>
      <w:bookmarkStart w:id="138" w:name="_Toc402944619"/>
      <w:bookmarkStart w:id="139" w:name="_Toc403379784"/>
      <w:bookmarkStart w:id="140" w:name="_Toc403464058"/>
      <w:bookmarkStart w:id="141" w:name="_Toc403464272"/>
      <w:bookmarkStart w:id="142" w:name="_Toc404156112"/>
      <w:bookmarkStart w:id="143" w:name="_Toc449530771"/>
      <w:r>
        <w:rPr>
          <w:rFonts w:ascii="Times New Roman" w:eastAsia="宋体" w:hAnsi="Times New Roman"/>
          <w:b/>
        </w:rPr>
        <w:t>1.3</w:t>
      </w:r>
      <w:r>
        <w:rPr>
          <w:rFonts w:ascii="Times New Roman" w:eastAsia="宋体" w:hAnsi="宋体"/>
          <w:b/>
        </w:rPr>
        <w:t>主要技术经济指标</w:t>
      </w:r>
      <w:bookmarkEnd w:id="114"/>
      <w:bookmarkEnd w:id="115"/>
      <w:bookmarkEnd w:id="116"/>
      <w:bookmarkEnd w:id="117"/>
      <w:bookmarkEnd w:id="118"/>
      <w:bookmarkEnd w:id="119"/>
      <w:bookmarkEnd w:id="120"/>
      <w:r>
        <w:rPr>
          <w:rFonts w:ascii="Times New Roman" w:eastAsia="宋体" w:hAnsi="宋体"/>
          <w:b/>
        </w:rPr>
        <w:t>表</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337093" w:rsidP="00337093">
      <w:pPr>
        <w:spacing w:line="360" w:lineRule="auto"/>
        <w:ind w:firstLine="560" w:firstLineChars="200"/>
        <w:rPr>
          <w:sz w:val="28"/>
          <w:szCs w:val="28"/>
        </w:rPr>
      </w:pPr>
      <w:r>
        <w:rPr>
          <w:rFonts w:hAnsi="宋体"/>
          <w:sz w:val="28"/>
          <w:szCs w:val="28"/>
        </w:rPr>
        <w:t>见下表：</w:t>
      </w:r>
    </w:p>
    <w:p w:rsidR="00337093">
      <w:pPr>
        <w:tabs>
          <w:tab w:val="left" w:pos="1103"/>
          <w:tab w:val="left" w:pos="3350"/>
          <w:tab w:val="left" w:pos="4453"/>
          <w:tab w:val="left" w:pos="5556"/>
          <w:tab w:val="left" w:pos="7249"/>
        </w:tabs>
        <w:jc w:val="center"/>
        <w:rPr>
          <w:b/>
          <w:sz w:val="28"/>
          <w:szCs w:val="28"/>
        </w:rPr>
      </w:pPr>
      <w:r>
        <w:rPr>
          <w:rFonts w:hAnsi="宋体"/>
          <w:b/>
          <w:sz w:val="28"/>
          <w:szCs w:val="28"/>
        </w:rPr>
        <w:t>表</w:t>
      </w:r>
      <w:r>
        <w:rPr>
          <w:b/>
          <w:sz w:val="28"/>
          <w:szCs w:val="28"/>
        </w:rPr>
        <w:t xml:space="preserve">1-1  </w:t>
      </w:r>
      <w:r>
        <w:rPr>
          <w:rFonts w:hAnsi="宋体"/>
          <w:b/>
          <w:sz w:val="28"/>
          <w:szCs w:val="28"/>
        </w:rPr>
        <w:t>主要技术经济指标表</w:t>
      </w:r>
    </w:p>
    <w:tbl>
      <w:tblPr>
        <w:tblStyle w:val="TableNormal"/>
        <w:tblW w:w="0" w:type="auto"/>
        <w:tblInd w:w="0" w:type="dxa"/>
        <w:tblLayout w:type="fixed"/>
        <w:tblLook w:val="0000"/>
      </w:tblPr>
      <w:tblGrid>
        <w:gridCol w:w="1326"/>
        <w:gridCol w:w="3438"/>
        <w:gridCol w:w="1326"/>
        <w:gridCol w:w="1588"/>
        <w:gridCol w:w="1325"/>
      </w:tblGrid>
      <w:tr>
        <w:tblPrEx>
          <w:tblW w:w="0" w:type="auto"/>
          <w:tblInd w:w="0" w:type="dxa"/>
          <w:tblLayout w:type="fixed"/>
          <w:tblLook w:val="0000"/>
        </w:tblPrEx>
        <w:trPr>
          <w:trHeight w:val="439"/>
        </w:trPr>
        <w:tc>
          <w:tcPr>
            <w:tcW w:w="1326" w:type="dxa"/>
            <w:tcBorders>
              <w:top w:val="single" w:sz="4" w:space="0" w:color="auto"/>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序号</w:t>
            </w:r>
          </w:p>
        </w:tc>
        <w:tc>
          <w:tcPr>
            <w:tcW w:w="3438" w:type="dxa"/>
            <w:tcBorders>
              <w:top w:val="single" w:sz="4" w:space="0" w:color="auto"/>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项</w:t>
            </w:r>
            <w:r>
              <w:rPr>
                <w:kern w:val="0"/>
                <w:sz w:val="20"/>
              </w:rPr>
              <w:t xml:space="preserve">           </w:t>
            </w:r>
            <w:r>
              <w:rPr>
                <w:rFonts w:ascii="宋体" w:hAnsi="宋体" w:cs="宋体" w:hint="eastAsia"/>
                <w:kern w:val="0"/>
                <w:sz w:val="20"/>
              </w:rPr>
              <w:t>目</w:t>
            </w:r>
          </w:p>
        </w:tc>
        <w:tc>
          <w:tcPr>
            <w:tcW w:w="1326" w:type="dxa"/>
            <w:tcBorders>
              <w:top w:val="single" w:sz="4" w:space="0" w:color="auto"/>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单位</w:t>
            </w:r>
          </w:p>
        </w:tc>
        <w:tc>
          <w:tcPr>
            <w:tcW w:w="1588" w:type="dxa"/>
            <w:tcBorders>
              <w:top w:val="single" w:sz="4" w:space="0" w:color="auto"/>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数据及指标</w:t>
            </w:r>
          </w:p>
        </w:tc>
        <w:tc>
          <w:tcPr>
            <w:tcW w:w="1325" w:type="dxa"/>
            <w:tcBorders>
              <w:top w:val="single" w:sz="4" w:space="0" w:color="auto"/>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备</w:t>
            </w:r>
            <w:r>
              <w:rPr>
                <w:kern w:val="0"/>
                <w:sz w:val="20"/>
              </w:rPr>
              <w:t xml:space="preserve">    </w:t>
            </w:r>
            <w:r>
              <w:rPr>
                <w:rFonts w:ascii="宋体" w:hAnsi="宋体" w:cs="宋体" w:hint="eastAsia"/>
                <w:kern w:val="0"/>
                <w:sz w:val="20"/>
              </w:rPr>
              <w:t>注</w:t>
            </w:r>
          </w:p>
        </w:tc>
      </w:tr>
      <w:tr>
        <w:tblPrEx>
          <w:tblW w:w="0" w:type="auto"/>
          <w:tblInd w:w="0" w:type="dxa"/>
          <w:tblLayout w:type="fixed"/>
          <w:tblLook w:val="0000"/>
        </w:tblPrEx>
        <w:trPr>
          <w:trHeight w:val="439"/>
        </w:trPr>
        <w:tc>
          <w:tcPr>
            <w:tcW w:w="1326" w:type="dxa"/>
            <w:tcBorders>
              <w:top w:val="nil"/>
              <w:left w:val="single" w:sz="4" w:space="0" w:color="auto"/>
              <w:bottom w:val="single" w:sz="4" w:space="0" w:color="auto"/>
              <w:right w:val="single" w:sz="4" w:space="0" w:color="auto"/>
            </w:tcBorders>
            <w:noWrap/>
            <w:vAlign w:val="bottom"/>
          </w:tcPr>
          <w:p w:rsidR="00337093">
            <w:pPr>
              <w:widowControl/>
              <w:jc w:val="center"/>
              <w:rPr>
                <w:kern w:val="0"/>
                <w:sz w:val="20"/>
              </w:rPr>
            </w:pPr>
            <w:r>
              <w:rPr>
                <w:kern w:val="0"/>
                <w:sz w:val="20"/>
              </w:rPr>
              <w:t>1</w:t>
            </w:r>
          </w:p>
        </w:tc>
        <w:tc>
          <w:tcPr>
            <w:tcW w:w="3438"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总投资</w:t>
            </w:r>
          </w:p>
        </w:tc>
        <w:tc>
          <w:tcPr>
            <w:tcW w:w="1326"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万元</w:t>
            </w:r>
          </w:p>
        </w:tc>
        <w:tc>
          <w:tcPr>
            <w:tcW w:w="1588" w:type="dxa"/>
            <w:tcBorders>
              <w:top w:val="nil"/>
              <w:left w:val="nil"/>
              <w:bottom w:val="single" w:sz="4" w:space="0" w:color="auto"/>
              <w:right w:val="single" w:sz="4" w:space="0" w:color="auto"/>
            </w:tcBorders>
            <w:noWrap/>
            <w:vAlign w:val="center"/>
          </w:tcPr>
          <w:p w:rsidR="00337093">
            <w:pPr>
              <w:jc w:val="center"/>
              <w:rPr>
                <w:sz w:val="20"/>
              </w:rPr>
            </w:pPr>
            <w:r>
              <w:rPr>
                <w:sz w:val="20"/>
              </w:rPr>
              <w:t xml:space="preserve">123658.25 </w:t>
            </w:r>
          </w:p>
        </w:tc>
        <w:tc>
          <w:tcPr>
            <w:tcW w:w="1325" w:type="dxa"/>
            <w:tcBorders>
              <w:top w:val="nil"/>
              <w:left w:val="nil"/>
              <w:bottom w:val="single" w:sz="4" w:space="0" w:color="auto"/>
              <w:right w:val="single" w:sz="4" w:space="0" w:color="auto"/>
            </w:tcBorders>
            <w:noWrap/>
            <w:vAlign w:val="center"/>
          </w:tcPr>
          <w:p w:rsidR="00337093">
            <w:pPr>
              <w:widowControl/>
              <w:jc w:val="center"/>
              <w:rPr>
                <w:kern w:val="0"/>
                <w:sz w:val="20"/>
              </w:rPr>
            </w:pPr>
            <w:r>
              <w:rPr>
                <w:kern w:val="0"/>
                <w:sz w:val="20"/>
              </w:rPr>
              <w:t>　</w:t>
            </w:r>
          </w:p>
        </w:tc>
      </w:tr>
      <w:tr>
        <w:tblPrEx>
          <w:tblW w:w="0" w:type="auto"/>
          <w:tblInd w:w="0" w:type="dxa"/>
          <w:tblLayout w:type="fixed"/>
          <w:tblLook w:val="0000"/>
        </w:tblPrEx>
        <w:trPr>
          <w:trHeight w:val="439"/>
        </w:trPr>
        <w:tc>
          <w:tcPr>
            <w:tcW w:w="1326" w:type="dxa"/>
            <w:tcBorders>
              <w:top w:val="nil"/>
              <w:left w:val="single" w:sz="4" w:space="0" w:color="auto"/>
              <w:bottom w:val="single" w:sz="4" w:space="0" w:color="auto"/>
              <w:right w:val="single" w:sz="4" w:space="0" w:color="auto"/>
            </w:tcBorders>
            <w:noWrap/>
            <w:vAlign w:val="bottom"/>
          </w:tcPr>
          <w:p w:rsidR="00337093">
            <w:pPr>
              <w:widowControl/>
              <w:jc w:val="center"/>
              <w:rPr>
                <w:kern w:val="0"/>
                <w:sz w:val="20"/>
              </w:rPr>
            </w:pPr>
            <w:r>
              <w:rPr>
                <w:kern w:val="0"/>
                <w:sz w:val="20"/>
              </w:rPr>
              <w:t>1.1</w:t>
            </w:r>
          </w:p>
        </w:tc>
        <w:tc>
          <w:tcPr>
            <w:tcW w:w="3438"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建设投资</w:t>
            </w:r>
          </w:p>
        </w:tc>
        <w:tc>
          <w:tcPr>
            <w:tcW w:w="1326"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万元</w:t>
            </w:r>
          </w:p>
        </w:tc>
        <w:tc>
          <w:tcPr>
            <w:tcW w:w="1588" w:type="dxa"/>
            <w:tcBorders>
              <w:top w:val="nil"/>
              <w:left w:val="nil"/>
              <w:bottom w:val="single" w:sz="4" w:space="0" w:color="auto"/>
              <w:right w:val="single" w:sz="4" w:space="0" w:color="auto"/>
            </w:tcBorders>
            <w:noWrap/>
            <w:vAlign w:val="center"/>
          </w:tcPr>
          <w:p w:rsidR="00337093">
            <w:pPr>
              <w:jc w:val="center"/>
              <w:rPr>
                <w:sz w:val="20"/>
              </w:rPr>
            </w:pPr>
            <w:r>
              <w:rPr>
                <w:sz w:val="20"/>
              </w:rPr>
              <w:t xml:space="preserve">117156.90 </w:t>
            </w:r>
          </w:p>
        </w:tc>
        <w:tc>
          <w:tcPr>
            <w:tcW w:w="1325" w:type="dxa"/>
            <w:tcBorders>
              <w:top w:val="nil"/>
              <w:left w:val="nil"/>
              <w:bottom w:val="single" w:sz="4" w:space="0" w:color="auto"/>
              <w:right w:val="single" w:sz="4" w:space="0" w:color="auto"/>
            </w:tcBorders>
            <w:noWrap/>
            <w:vAlign w:val="center"/>
          </w:tcPr>
          <w:p w:rsidR="00337093">
            <w:pPr>
              <w:widowControl/>
              <w:jc w:val="center"/>
              <w:rPr>
                <w:kern w:val="0"/>
                <w:sz w:val="20"/>
              </w:rPr>
            </w:pPr>
            <w:r>
              <w:rPr>
                <w:kern w:val="0"/>
                <w:sz w:val="20"/>
              </w:rPr>
              <w:t>　</w:t>
            </w:r>
          </w:p>
        </w:tc>
      </w:tr>
      <w:tr>
        <w:tblPrEx>
          <w:tblW w:w="0" w:type="auto"/>
          <w:tblInd w:w="0" w:type="dxa"/>
          <w:tblLayout w:type="fixed"/>
          <w:tblLook w:val="0000"/>
        </w:tblPrEx>
        <w:trPr>
          <w:trHeight w:val="439"/>
        </w:trPr>
        <w:tc>
          <w:tcPr>
            <w:tcW w:w="1326" w:type="dxa"/>
            <w:tcBorders>
              <w:top w:val="nil"/>
              <w:left w:val="single" w:sz="4" w:space="0" w:color="auto"/>
              <w:bottom w:val="single" w:sz="4" w:space="0" w:color="auto"/>
              <w:right w:val="single" w:sz="4" w:space="0" w:color="auto"/>
            </w:tcBorders>
            <w:noWrap/>
            <w:vAlign w:val="bottom"/>
          </w:tcPr>
          <w:p w:rsidR="00337093">
            <w:pPr>
              <w:widowControl/>
              <w:jc w:val="center"/>
              <w:rPr>
                <w:kern w:val="0"/>
                <w:sz w:val="20"/>
              </w:rPr>
            </w:pPr>
            <w:r>
              <w:rPr>
                <w:kern w:val="0"/>
                <w:sz w:val="20"/>
              </w:rPr>
              <w:t>1.2</w:t>
            </w:r>
          </w:p>
        </w:tc>
        <w:tc>
          <w:tcPr>
            <w:tcW w:w="3438"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建设期利息</w:t>
            </w:r>
          </w:p>
        </w:tc>
        <w:tc>
          <w:tcPr>
            <w:tcW w:w="1326"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万元</w:t>
            </w:r>
          </w:p>
        </w:tc>
        <w:tc>
          <w:tcPr>
            <w:tcW w:w="1588" w:type="dxa"/>
            <w:tcBorders>
              <w:top w:val="nil"/>
              <w:left w:val="nil"/>
              <w:bottom w:val="single" w:sz="4" w:space="0" w:color="auto"/>
              <w:right w:val="single" w:sz="4" w:space="0" w:color="auto"/>
            </w:tcBorders>
            <w:noWrap/>
            <w:vAlign w:val="center"/>
          </w:tcPr>
          <w:p w:rsidR="00337093">
            <w:pPr>
              <w:jc w:val="center"/>
              <w:rPr>
                <w:sz w:val="20"/>
              </w:rPr>
            </w:pPr>
            <w:r>
              <w:rPr>
                <w:sz w:val="20"/>
              </w:rPr>
              <w:t xml:space="preserve">0.00 </w:t>
            </w:r>
          </w:p>
        </w:tc>
        <w:tc>
          <w:tcPr>
            <w:tcW w:w="1325" w:type="dxa"/>
            <w:tcBorders>
              <w:top w:val="nil"/>
              <w:left w:val="nil"/>
              <w:bottom w:val="single" w:sz="4" w:space="0" w:color="auto"/>
              <w:right w:val="single" w:sz="4" w:space="0" w:color="auto"/>
            </w:tcBorders>
            <w:noWrap/>
            <w:vAlign w:val="center"/>
          </w:tcPr>
          <w:p w:rsidR="00337093">
            <w:pPr>
              <w:widowControl/>
              <w:jc w:val="center"/>
              <w:rPr>
                <w:kern w:val="0"/>
                <w:sz w:val="20"/>
              </w:rPr>
            </w:pPr>
            <w:r>
              <w:rPr>
                <w:kern w:val="0"/>
                <w:sz w:val="20"/>
              </w:rPr>
              <w:t>　</w:t>
            </w:r>
          </w:p>
        </w:tc>
      </w:tr>
      <w:tr>
        <w:tblPrEx>
          <w:tblW w:w="0" w:type="auto"/>
          <w:tblInd w:w="0" w:type="dxa"/>
          <w:tblLayout w:type="fixed"/>
          <w:tblLook w:val="0000"/>
        </w:tblPrEx>
        <w:trPr>
          <w:trHeight w:val="439"/>
        </w:trPr>
        <w:tc>
          <w:tcPr>
            <w:tcW w:w="1326" w:type="dxa"/>
            <w:tcBorders>
              <w:top w:val="nil"/>
              <w:left w:val="single" w:sz="4" w:space="0" w:color="auto"/>
              <w:bottom w:val="single" w:sz="4" w:space="0" w:color="auto"/>
              <w:right w:val="single" w:sz="4" w:space="0" w:color="auto"/>
            </w:tcBorders>
            <w:noWrap/>
            <w:vAlign w:val="bottom"/>
          </w:tcPr>
          <w:p w:rsidR="00337093">
            <w:pPr>
              <w:widowControl/>
              <w:jc w:val="center"/>
              <w:rPr>
                <w:kern w:val="0"/>
                <w:sz w:val="20"/>
              </w:rPr>
            </w:pPr>
            <w:r>
              <w:rPr>
                <w:kern w:val="0"/>
                <w:sz w:val="20"/>
              </w:rPr>
              <w:t>1.3</w:t>
            </w:r>
          </w:p>
        </w:tc>
        <w:tc>
          <w:tcPr>
            <w:tcW w:w="3438"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流动资金</w:t>
            </w:r>
          </w:p>
        </w:tc>
        <w:tc>
          <w:tcPr>
            <w:tcW w:w="1326"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万元</w:t>
            </w:r>
          </w:p>
        </w:tc>
        <w:tc>
          <w:tcPr>
            <w:tcW w:w="1588" w:type="dxa"/>
            <w:tcBorders>
              <w:top w:val="nil"/>
              <w:left w:val="nil"/>
              <w:bottom w:val="single" w:sz="4" w:space="0" w:color="auto"/>
              <w:right w:val="single" w:sz="4" w:space="0" w:color="auto"/>
            </w:tcBorders>
            <w:noWrap/>
            <w:vAlign w:val="center"/>
          </w:tcPr>
          <w:p w:rsidR="00337093">
            <w:pPr>
              <w:jc w:val="center"/>
              <w:rPr>
                <w:sz w:val="20"/>
              </w:rPr>
            </w:pPr>
            <w:r>
              <w:rPr>
                <w:sz w:val="20"/>
              </w:rPr>
              <w:t xml:space="preserve">6501.35 </w:t>
            </w:r>
          </w:p>
        </w:tc>
        <w:tc>
          <w:tcPr>
            <w:tcW w:w="1325" w:type="dxa"/>
            <w:tcBorders>
              <w:top w:val="nil"/>
              <w:left w:val="nil"/>
              <w:bottom w:val="single" w:sz="4" w:space="0" w:color="auto"/>
              <w:right w:val="single" w:sz="4" w:space="0" w:color="auto"/>
            </w:tcBorders>
            <w:noWrap/>
            <w:vAlign w:val="center"/>
          </w:tcPr>
          <w:p w:rsidR="00337093">
            <w:pPr>
              <w:widowControl/>
              <w:jc w:val="center"/>
              <w:rPr>
                <w:kern w:val="0"/>
                <w:sz w:val="20"/>
              </w:rPr>
            </w:pPr>
            <w:r>
              <w:rPr>
                <w:kern w:val="0"/>
                <w:sz w:val="20"/>
              </w:rPr>
              <w:t>　</w:t>
            </w:r>
          </w:p>
        </w:tc>
      </w:tr>
      <w:tr>
        <w:tblPrEx>
          <w:tblW w:w="0" w:type="auto"/>
          <w:tblInd w:w="0" w:type="dxa"/>
          <w:tblLayout w:type="fixed"/>
          <w:tblLook w:val="0000"/>
        </w:tblPrEx>
        <w:trPr>
          <w:trHeight w:val="439"/>
        </w:trPr>
        <w:tc>
          <w:tcPr>
            <w:tcW w:w="1326" w:type="dxa"/>
            <w:tcBorders>
              <w:top w:val="nil"/>
              <w:left w:val="single" w:sz="4" w:space="0" w:color="auto"/>
              <w:bottom w:val="single" w:sz="4" w:space="0" w:color="auto"/>
              <w:right w:val="single" w:sz="4" w:space="0" w:color="auto"/>
            </w:tcBorders>
            <w:noWrap/>
            <w:vAlign w:val="bottom"/>
          </w:tcPr>
          <w:p w:rsidR="00337093">
            <w:pPr>
              <w:widowControl/>
              <w:jc w:val="center"/>
              <w:rPr>
                <w:kern w:val="0"/>
                <w:sz w:val="20"/>
              </w:rPr>
            </w:pPr>
            <w:r>
              <w:rPr>
                <w:kern w:val="0"/>
                <w:sz w:val="20"/>
              </w:rPr>
              <w:t>2</w:t>
            </w:r>
          </w:p>
        </w:tc>
        <w:tc>
          <w:tcPr>
            <w:tcW w:w="3438"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项目资本金</w:t>
            </w:r>
          </w:p>
        </w:tc>
        <w:tc>
          <w:tcPr>
            <w:tcW w:w="1326"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万元</w:t>
            </w:r>
          </w:p>
        </w:tc>
        <w:tc>
          <w:tcPr>
            <w:tcW w:w="1588" w:type="dxa"/>
            <w:tcBorders>
              <w:top w:val="nil"/>
              <w:left w:val="nil"/>
              <w:bottom w:val="single" w:sz="4" w:space="0" w:color="auto"/>
              <w:right w:val="single" w:sz="4" w:space="0" w:color="auto"/>
            </w:tcBorders>
            <w:noWrap/>
            <w:vAlign w:val="center"/>
          </w:tcPr>
          <w:p w:rsidR="00337093">
            <w:pPr>
              <w:jc w:val="center"/>
              <w:rPr>
                <w:sz w:val="20"/>
              </w:rPr>
            </w:pPr>
            <w:r>
              <w:rPr>
                <w:sz w:val="20"/>
              </w:rPr>
              <w:t xml:space="preserve">122550.34 </w:t>
            </w:r>
          </w:p>
        </w:tc>
        <w:tc>
          <w:tcPr>
            <w:tcW w:w="1325" w:type="dxa"/>
            <w:tcBorders>
              <w:top w:val="nil"/>
              <w:left w:val="nil"/>
              <w:bottom w:val="single" w:sz="4" w:space="0" w:color="auto"/>
              <w:right w:val="single" w:sz="4" w:space="0" w:color="auto"/>
            </w:tcBorders>
            <w:noWrap/>
            <w:vAlign w:val="center"/>
          </w:tcPr>
          <w:p w:rsidR="00337093">
            <w:pPr>
              <w:widowControl/>
              <w:jc w:val="center"/>
              <w:rPr>
                <w:kern w:val="0"/>
                <w:sz w:val="20"/>
              </w:rPr>
            </w:pPr>
            <w:r>
              <w:rPr>
                <w:kern w:val="0"/>
                <w:sz w:val="20"/>
              </w:rPr>
              <w:t>　</w:t>
            </w:r>
          </w:p>
        </w:tc>
      </w:tr>
      <w:tr>
        <w:tblPrEx>
          <w:tblW w:w="0" w:type="auto"/>
          <w:tblInd w:w="0" w:type="dxa"/>
          <w:tblLayout w:type="fixed"/>
          <w:tblLook w:val="0000"/>
        </w:tblPrEx>
        <w:trPr>
          <w:trHeight w:val="439"/>
        </w:trPr>
        <w:tc>
          <w:tcPr>
            <w:tcW w:w="1326" w:type="dxa"/>
            <w:tcBorders>
              <w:top w:val="nil"/>
              <w:left w:val="single" w:sz="4" w:space="0" w:color="auto"/>
              <w:bottom w:val="single" w:sz="4" w:space="0" w:color="auto"/>
              <w:right w:val="single" w:sz="4" w:space="0" w:color="auto"/>
            </w:tcBorders>
            <w:noWrap/>
            <w:vAlign w:val="bottom"/>
          </w:tcPr>
          <w:p w:rsidR="00337093">
            <w:pPr>
              <w:widowControl/>
              <w:jc w:val="center"/>
              <w:rPr>
                <w:kern w:val="0"/>
                <w:sz w:val="20"/>
              </w:rPr>
            </w:pPr>
            <w:r>
              <w:rPr>
                <w:kern w:val="0"/>
                <w:sz w:val="20"/>
              </w:rPr>
              <w:t>3</w:t>
            </w:r>
          </w:p>
        </w:tc>
        <w:tc>
          <w:tcPr>
            <w:tcW w:w="3438"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总成本费用</w:t>
            </w:r>
          </w:p>
        </w:tc>
        <w:tc>
          <w:tcPr>
            <w:tcW w:w="1326"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万元</w:t>
            </w:r>
          </w:p>
        </w:tc>
        <w:tc>
          <w:tcPr>
            <w:tcW w:w="1588" w:type="dxa"/>
            <w:tcBorders>
              <w:top w:val="nil"/>
              <w:left w:val="nil"/>
              <w:bottom w:val="single" w:sz="4" w:space="0" w:color="auto"/>
              <w:right w:val="single" w:sz="4" w:space="0" w:color="auto"/>
            </w:tcBorders>
            <w:noWrap/>
            <w:vAlign w:val="center"/>
          </w:tcPr>
          <w:p w:rsidR="00337093">
            <w:pPr>
              <w:jc w:val="center"/>
              <w:rPr>
                <w:sz w:val="20"/>
              </w:rPr>
            </w:pPr>
            <w:r>
              <w:rPr>
                <w:sz w:val="20"/>
              </w:rPr>
              <w:t xml:space="preserve">27483.91 </w:t>
            </w:r>
          </w:p>
        </w:tc>
        <w:tc>
          <w:tcPr>
            <w:tcW w:w="1325"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年均值</w:t>
            </w:r>
          </w:p>
        </w:tc>
      </w:tr>
      <w:tr>
        <w:tblPrEx>
          <w:tblW w:w="0" w:type="auto"/>
          <w:tblInd w:w="0" w:type="dxa"/>
          <w:tblLayout w:type="fixed"/>
          <w:tblLook w:val="0000"/>
        </w:tblPrEx>
        <w:trPr>
          <w:trHeight w:val="439"/>
        </w:trPr>
        <w:tc>
          <w:tcPr>
            <w:tcW w:w="1326" w:type="dxa"/>
            <w:tcBorders>
              <w:top w:val="nil"/>
              <w:left w:val="single" w:sz="4" w:space="0" w:color="auto"/>
              <w:bottom w:val="single" w:sz="4" w:space="0" w:color="auto"/>
              <w:right w:val="single" w:sz="4" w:space="0" w:color="auto"/>
            </w:tcBorders>
            <w:noWrap/>
            <w:vAlign w:val="bottom"/>
          </w:tcPr>
          <w:p w:rsidR="00337093">
            <w:pPr>
              <w:widowControl/>
              <w:jc w:val="center"/>
              <w:rPr>
                <w:kern w:val="0"/>
                <w:sz w:val="20"/>
              </w:rPr>
            </w:pPr>
            <w:r>
              <w:rPr>
                <w:kern w:val="0"/>
                <w:sz w:val="20"/>
              </w:rPr>
              <w:t>4</w:t>
            </w:r>
          </w:p>
        </w:tc>
        <w:tc>
          <w:tcPr>
            <w:tcW w:w="3438"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经营成本</w:t>
            </w:r>
          </w:p>
        </w:tc>
        <w:tc>
          <w:tcPr>
            <w:tcW w:w="1326"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万元</w:t>
            </w:r>
          </w:p>
        </w:tc>
        <w:tc>
          <w:tcPr>
            <w:tcW w:w="1588" w:type="dxa"/>
            <w:tcBorders>
              <w:top w:val="nil"/>
              <w:left w:val="nil"/>
              <w:bottom w:val="single" w:sz="4" w:space="0" w:color="auto"/>
              <w:right w:val="single" w:sz="4" w:space="0" w:color="auto"/>
            </w:tcBorders>
            <w:noWrap/>
            <w:vAlign w:val="center"/>
          </w:tcPr>
          <w:p w:rsidR="00337093">
            <w:pPr>
              <w:jc w:val="center"/>
              <w:rPr>
                <w:sz w:val="20"/>
              </w:rPr>
            </w:pPr>
            <w:r>
              <w:rPr>
                <w:sz w:val="20"/>
              </w:rPr>
              <w:t xml:space="preserve">20328.13 </w:t>
            </w:r>
          </w:p>
        </w:tc>
        <w:tc>
          <w:tcPr>
            <w:tcW w:w="1325"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年均值</w:t>
            </w:r>
          </w:p>
        </w:tc>
      </w:tr>
      <w:tr>
        <w:tblPrEx>
          <w:tblW w:w="0" w:type="auto"/>
          <w:tblInd w:w="0" w:type="dxa"/>
          <w:tblLayout w:type="fixed"/>
          <w:tblLook w:val="0000"/>
        </w:tblPrEx>
        <w:trPr>
          <w:trHeight w:val="439"/>
        </w:trPr>
        <w:tc>
          <w:tcPr>
            <w:tcW w:w="1326" w:type="dxa"/>
            <w:tcBorders>
              <w:top w:val="nil"/>
              <w:left w:val="single" w:sz="4" w:space="0" w:color="auto"/>
              <w:bottom w:val="single" w:sz="4" w:space="0" w:color="auto"/>
              <w:right w:val="single" w:sz="4" w:space="0" w:color="auto"/>
            </w:tcBorders>
            <w:noWrap/>
            <w:vAlign w:val="bottom"/>
          </w:tcPr>
          <w:p w:rsidR="00337093">
            <w:pPr>
              <w:widowControl/>
              <w:jc w:val="center"/>
              <w:rPr>
                <w:kern w:val="0"/>
                <w:sz w:val="20"/>
              </w:rPr>
            </w:pPr>
            <w:r>
              <w:rPr>
                <w:kern w:val="0"/>
                <w:sz w:val="20"/>
              </w:rPr>
              <w:t>5</w:t>
            </w:r>
          </w:p>
        </w:tc>
        <w:tc>
          <w:tcPr>
            <w:tcW w:w="3438"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营业收入</w:t>
            </w:r>
          </w:p>
        </w:tc>
        <w:tc>
          <w:tcPr>
            <w:tcW w:w="1326"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万元</w:t>
            </w:r>
          </w:p>
        </w:tc>
        <w:tc>
          <w:tcPr>
            <w:tcW w:w="1588" w:type="dxa"/>
            <w:tcBorders>
              <w:top w:val="nil"/>
              <w:left w:val="nil"/>
              <w:bottom w:val="single" w:sz="4" w:space="0" w:color="auto"/>
              <w:right w:val="single" w:sz="4" w:space="0" w:color="auto"/>
            </w:tcBorders>
            <w:noWrap/>
            <w:vAlign w:val="center"/>
          </w:tcPr>
          <w:p w:rsidR="00337093">
            <w:pPr>
              <w:jc w:val="center"/>
              <w:rPr>
                <w:sz w:val="20"/>
              </w:rPr>
            </w:pPr>
            <w:r>
              <w:rPr>
                <w:sz w:val="20"/>
              </w:rPr>
              <w:t xml:space="preserve">47640.28 </w:t>
            </w:r>
          </w:p>
        </w:tc>
        <w:tc>
          <w:tcPr>
            <w:tcW w:w="1325"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年均值</w:t>
            </w:r>
          </w:p>
        </w:tc>
      </w:tr>
      <w:tr>
        <w:tblPrEx>
          <w:tblW w:w="0" w:type="auto"/>
          <w:tblInd w:w="0" w:type="dxa"/>
          <w:tblLayout w:type="fixed"/>
          <w:tblLook w:val="0000"/>
        </w:tblPrEx>
        <w:trPr>
          <w:trHeight w:val="439"/>
        </w:trPr>
        <w:tc>
          <w:tcPr>
            <w:tcW w:w="1326" w:type="dxa"/>
            <w:tcBorders>
              <w:top w:val="nil"/>
              <w:left w:val="single" w:sz="4" w:space="0" w:color="auto"/>
              <w:bottom w:val="single" w:sz="4" w:space="0" w:color="auto"/>
              <w:right w:val="single" w:sz="4" w:space="0" w:color="auto"/>
            </w:tcBorders>
            <w:noWrap/>
            <w:vAlign w:val="bottom"/>
          </w:tcPr>
          <w:p w:rsidR="00337093">
            <w:pPr>
              <w:widowControl/>
              <w:jc w:val="center"/>
              <w:rPr>
                <w:kern w:val="0"/>
                <w:sz w:val="20"/>
              </w:rPr>
            </w:pPr>
            <w:r>
              <w:rPr>
                <w:kern w:val="0"/>
                <w:sz w:val="20"/>
              </w:rPr>
              <w:t>6</w:t>
            </w:r>
          </w:p>
        </w:tc>
        <w:tc>
          <w:tcPr>
            <w:tcW w:w="3438"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营业税及附加</w:t>
            </w:r>
          </w:p>
        </w:tc>
        <w:tc>
          <w:tcPr>
            <w:tcW w:w="1326"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万元</w:t>
            </w:r>
          </w:p>
        </w:tc>
        <w:tc>
          <w:tcPr>
            <w:tcW w:w="1588" w:type="dxa"/>
            <w:tcBorders>
              <w:top w:val="nil"/>
              <w:left w:val="nil"/>
              <w:bottom w:val="single" w:sz="4" w:space="0" w:color="auto"/>
              <w:right w:val="single" w:sz="4" w:space="0" w:color="auto"/>
            </w:tcBorders>
            <w:noWrap/>
            <w:vAlign w:val="center"/>
          </w:tcPr>
          <w:p w:rsidR="00337093">
            <w:pPr>
              <w:jc w:val="center"/>
              <w:rPr>
                <w:sz w:val="20"/>
              </w:rPr>
            </w:pPr>
            <w:r>
              <w:rPr>
                <w:sz w:val="20"/>
              </w:rPr>
              <w:t xml:space="preserve">2154.05 </w:t>
            </w:r>
          </w:p>
        </w:tc>
        <w:tc>
          <w:tcPr>
            <w:tcW w:w="1325"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年均值</w:t>
            </w:r>
          </w:p>
        </w:tc>
      </w:tr>
      <w:tr>
        <w:tblPrEx>
          <w:tblW w:w="0" w:type="auto"/>
          <w:tblInd w:w="0" w:type="dxa"/>
          <w:tblLayout w:type="fixed"/>
          <w:tblLook w:val="0000"/>
        </w:tblPrEx>
        <w:trPr>
          <w:trHeight w:val="439"/>
        </w:trPr>
        <w:tc>
          <w:tcPr>
            <w:tcW w:w="1326" w:type="dxa"/>
            <w:tcBorders>
              <w:top w:val="nil"/>
              <w:left w:val="single" w:sz="4" w:space="0" w:color="auto"/>
              <w:bottom w:val="single" w:sz="4" w:space="0" w:color="auto"/>
              <w:right w:val="single" w:sz="4" w:space="0" w:color="auto"/>
            </w:tcBorders>
            <w:noWrap/>
            <w:vAlign w:val="bottom"/>
          </w:tcPr>
          <w:p w:rsidR="00337093">
            <w:pPr>
              <w:widowControl/>
              <w:jc w:val="center"/>
              <w:rPr>
                <w:kern w:val="0"/>
                <w:sz w:val="20"/>
              </w:rPr>
            </w:pPr>
            <w:r>
              <w:rPr>
                <w:kern w:val="0"/>
                <w:sz w:val="20"/>
              </w:rPr>
              <w:t>7</w:t>
            </w:r>
          </w:p>
        </w:tc>
        <w:tc>
          <w:tcPr>
            <w:tcW w:w="3438"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利润总额</w:t>
            </w:r>
          </w:p>
        </w:tc>
        <w:tc>
          <w:tcPr>
            <w:tcW w:w="1326"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万元</w:t>
            </w:r>
          </w:p>
        </w:tc>
        <w:tc>
          <w:tcPr>
            <w:tcW w:w="1588" w:type="dxa"/>
            <w:tcBorders>
              <w:top w:val="nil"/>
              <w:left w:val="nil"/>
              <w:bottom w:val="single" w:sz="4" w:space="0" w:color="auto"/>
              <w:right w:val="single" w:sz="4" w:space="0" w:color="auto"/>
            </w:tcBorders>
            <w:noWrap/>
            <w:vAlign w:val="center"/>
          </w:tcPr>
          <w:p w:rsidR="00337093">
            <w:pPr>
              <w:jc w:val="center"/>
              <w:rPr>
                <w:sz w:val="20"/>
              </w:rPr>
            </w:pPr>
            <w:r>
              <w:rPr>
                <w:sz w:val="20"/>
              </w:rPr>
              <w:t xml:space="preserve">18002.32 </w:t>
            </w:r>
          </w:p>
        </w:tc>
        <w:tc>
          <w:tcPr>
            <w:tcW w:w="1325"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年均值</w:t>
            </w:r>
          </w:p>
        </w:tc>
      </w:tr>
      <w:tr>
        <w:tblPrEx>
          <w:tblW w:w="0" w:type="auto"/>
          <w:tblInd w:w="0" w:type="dxa"/>
          <w:tblLayout w:type="fixed"/>
          <w:tblLook w:val="0000"/>
        </w:tblPrEx>
        <w:trPr>
          <w:trHeight w:val="439"/>
        </w:trPr>
        <w:tc>
          <w:tcPr>
            <w:tcW w:w="1326" w:type="dxa"/>
            <w:tcBorders>
              <w:top w:val="nil"/>
              <w:left w:val="single" w:sz="4" w:space="0" w:color="auto"/>
              <w:bottom w:val="single" w:sz="4" w:space="0" w:color="auto"/>
              <w:right w:val="single" w:sz="4" w:space="0" w:color="auto"/>
            </w:tcBorders>
            <w:noWrap/>
            <w:vAlign w:val="bottom"/>
          </w:tcPr>
          <w:p w:rsidR="00337093">
            <w:pPr>
              <w:widowControl/>
              <w:jc w:val="center"/>
              <w:rPr>
                <w:kern w:val="0"/>
                <w:sz w:val="20"/>
              </w:rPr>
            </w:pPr>
            <w:r>
              <w:rPr>
                <w:kern w:val="0"/>
                <w:sz w:val="20"/>
              </w:rPr>
              <w:t>8</w:t>
            </w:r>
          </w:p>
        </w:tc>
        <w:tc>
          <w:tcPr>
            <w:tcW w:w="3438"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所得税</w:t>
            </w:r>
          </w:p>
        </w:tc>
        <w:tc>
          <w:tcPr>
            <w:tcW w:w="1326"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万元</w:t>
            </w:r>
          </w:p>
        </w:tc>
        <w:tc>
          <w:tcPr>
            <w:tcW w:w="1588" w:type="dxa"/>
            <w:tcBorders>
              <w:top w:val="nil"/>
              <w:left w:val="nil"/>
              <w:bottom w:val="single" w:sz="4" w:space="0" w:color="auto"/>
              <w:right w:val="single" w:sz="4" w:space="0" w:color="auto"/>
            </w:tcBorders>
            <w:noWrap/>
            <w:vAlign w:val="center"/>
          </w:tcPr>
          <w:p w:rsidR="00337093">
            <w:pPr>
              <w:jc w:val="center"/>
              <w:rPr>
                <w:sz w:val="20"/>
              </w:rPr>
            </w:pPr>
            <w:r>
              <w:rPr>
                <w:sz w:val="20"/>
              </w:rPr>
              <w:t xml:space="preserve">4500.58 </w:t>
            </w:r>
          </w:p>
        </w:tc>
        <w:tc>
          <w:tcPr>
            <w:tcW w:w="1325"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年均值</w:t>
            </w:r>
          </w:p>
        </w:tc>
      </w:tr>
      <w:tr>
        <w:tblPrEx>
          <w:tblW w:w="0" w:type="auto"/>
          <w:tblInd w:w="0" w:type="dxa"/>
          <w:tblLayout w:type="fixed"/>
          <w:tblLook w:val="0000"/>
        </w:tblPrEx>
        <w:trPr>
          <w:trHeight w:val="439"/>
        </w:trPr>
        <w:tc>
          <w:tcPr>
            <w:tcW w:w="1326" w:type="dxa"/>
            <w:tcBorders>
              <w:top w:val="nil"/>
              <w:left w:val="single" w:sz="4" w:space="0" w:color="auto"/>
              <w:bottom w:val="single" w:sz="4" w:space="0" w:color="auto"/>
              <w:right w:val="single" w:sz="4" w:space="0" w:color="auto"/>
            </w:tcBorders>
            <w:noWrap/>
            <w:vAlign w:val="bottom"/>
          </w:tcPr>
          <w:p w:rsidR="00337093">
            <w:pPr>
              <w:widowControl/>
              <w:jc w:val="center"/>
              <w:rPr>
                <w:kern w:val="0"/>
                <w:sz w:val="20"/>
              </w:rPr>
            </w:pPr>
            <w:r>
              <w:rPr>
                <w:kern w:val="0"/>
                <w:sz w:val="20"/>
              </w:rPr>
              <w:t>9</w:t>
            </w:r>
          </w:p>
        </w:tc>
        <w:tc>
          <w:tcPr>
            <w:tcW w:w="3438"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净利润</w:t>
            </w:r>
          </w:p>
        </w:tc>
        <w:tc>
          <w:tcPr>
            <w:tcW w:w="1326"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万元</w:t>
            </w:r>
          </w:p>
        </w:tc>
        <w:tc>
          <w:tcPr>
            <w:tcW w:w="1588" w:type="dxa"/>
            <w:tcBorders>
              <w:top w:val="nil"/>
              <w:left w:val="nil"/>
              <w:bottom w:val="single" w:sz="4" w:space="0" w:color="auto"/>
              <w:right w:val="single" w:sz="4" w:space="0" w:color="auto"/>
            </w:tcBorders>
            <w:noWrap/>
            <w:vAlign w:val="center"/>
          </w:tcPr>
          <w:p w:rsidR="00337093">
            <w:pPr>
              <w:jc w:val="center"/>
              <w:rPr>
                <w:sz w:val="20"/>
              </w:rPr>
            </w:pPr>
            <w:r>
              <w:rPr>
                <w:sz w:val="20"/>
              </w:rPr>
              <w:t xml:space="preserve">13501.74 </w:t>
            </w:r>
          </w:p>
        </w:tc>
        <w:tc>
          <w:tcPr>
            <w:tcW w:w="1325"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年均值</w:t>
            </w:r>
          </w:p>
        </w:tc>
      </w:tr>
      <w:tr>
        <w:tblPrEx>
          <w:tblW w:w="0" w:type="auto"/>
          <w:tblInd w:w="0" w:type="dxa"/>
          <w:tblLayout w:type="fixed"/>
          <w:tblLook w:val="0000"/>
        </w:tblPrEx>
        <w:trPr>
          <w:trHeight w:val="439"/>
        </w:trPr>
        <w:tc>
          <w:tcPr>
            <w:tcW w:w="1326" w:type="dxa"/>
            <w:tcBorders>
              <w:top w:val="nil"/>
              <w:left w:val="single" w:sz="4" w:space="0" w:color="auto"/>
              <w:bottom w:val="single" w:sz="4" w:space="0" w:color="auto"/>
              <w:right w:val="single" w:sz="4" w:space="0" w:color="auto"/>
            </w:tcBorders>
            <w:noWrap/>
            <w:vAlign w:val="bottom"/>
          </w:tcPr>
          <w:p w:rsidR="00337093">
            <w:pPr>
              <w:widowControl/>
              <w:jc w:val="center"/>
              <w:rPr>
                <w:kern w:val="0"/>
                <w:sz w:val="20"/>
              </w:rPr>
            </w:pPr>
            <w:r>
              <w:rPr>
                <w:kern w:val="0"/>
                <w:sz w:val="20"/>
              </w:rPr>
              <w:t>10</w:t>
            </w:r>
          </w:p>
        </w:tc>
        <w:tc>
          <w:tcPr>
            <w:tcW w:w="3438"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所得税前的财务内部收益率</w:t>
            </w:r>
          </w:p>
        </w:tc>
        <w:tc>
          <w:tcPr>
            <w:tcW w:w="1326" w:type="dxa"/>
            <w:tcBorders>
              <w:top w:val="nil"/>
              <w:left w:val="nil"/>
              <w:bottom w:val="single" w:sz="4" w:space="0" w:color="auto"/>
              <w:right w:val="single" w:sz="4" w:space="0" w:color="auto"/>
            </w:tcBorders>
            <w:noWrap/>
            <w:vAlign w:val="center"/>
          </w:tcPr>
          <w:p w:rsidR="00337093">
            <w:pPr>
              <w:widowControl/>
              <w:jc w:val="center"/>
              <w:rPr>
                <w:kern w:val="0"/>
                <w:sz w:val="20"/>
              </w:rPr>
            </w:pPr>
            <w:r>
              <w:rPr>
                <w:kern w:val="0"/>
                <w:sz w:val="20"/>
              </w:rPr>
              <w:t>%</w:t>
            </w:r>
          </w:p>
        </w:tc>
        <w:tc>
          <w:tcPr>
            <w:tcW w:w="1588" w:type="dxa"/>
            <w:tcBorders>
              <w:top w:val="nil"/>
              <w:left w:val="nil"/>
              <w:bottom w:val="single" w:sz="4" w:space="0" w:color="auto"/>
              <w:right w:val="single" w:sz="4" w:space="0" w:color="auto"/>
            </w:tcBorders>
            <w:noWrap/>
            <w:vAlign w:val="center"/>
          </w:tcPr>
          <w:p w:rsidR="00337093">
            <w:pPr>
              <w:jc w:val="center"/>
              <w:rPr>
                <w:sz w:val="20"/>
              </w:rPr>
            </w:pPr>
            <w:r>
              <w:rPr>
                <w:sz w:val="20"/>
              </w:rPr>
              <w:t xml:space="preserve">25.30 </w:t>
            </w:r>
          </w:p>
        </w:tc>
        <w:tc>
          <w:tcPr>
            <w:tcW w:w="1325"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项目投资</w:t>
            </w:r>
          </w:p>
        </w:tc>
      </w:tr>
      <w:tr>
        <w:tblPrEx>
          <w:tblW w:w="0" w:type="auto"/>
          <w:tblInd w:w="0" w:type="dxa"/>
          <w:tblLayout w:type="fixed"/>
          <w:tblLook w:val="0000"/>
        </w:tblPrEx>
        <w:trPr>
          <w:trHeight w:val="439"/>
        </w:trPr>
        <w:tc>
          <w:tcPr>
            <w:tcW w:w="1326" w:type="dxa"/>
            <w:tcBorders>
              <w:top w:val="nil"/>
              <w:left w:val="single" w:sz="4" w:space="0" w:color="auto"/>
              <w:bottom w:val="single" w:sz="4" w:space="0" w:color="auto"/>
              <w:right w:val="single" w:sz="4" w:space="0" w:color="auto"/>
            </w:tcBorders>
            <w:noWrap/>
            <w:vAlign w:val="bottom"/>
          </w:tcPr>
          <w:p w:rsidR="00337093">
            <w:pPr>
              <w:widowControl/>
              <w:jc w:val="center"/>
              <w:rPr>
                <w:kern w:val="0"/>
                <w:sz w:val="20"/>
              </w:rPr>
            </w:pPr>
            <w:r>
              <w:rPr>
                <w:kern w:val="0"/>
                <w:sz w:val="20"/>
              </w:rPr>
              <w:t>11</w:t>
            </w:r>
          </w:p>
        </w:tc>
        <w:tc>
          <w:tcPr>
            <w:tcW w:w="3438"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所得税前的财务净现值</w:t>
            </w:r>
            <w:r>
              <w:rPr>
                <w:kern w:val="0"/>
                <w:sz w:val="20"/>
              </w:rPr>
              <w:t xml:space="preserve">                        </w:t>
            </w:r>
          </w:p>
        </w:tc>
        <w:tc>
          <w:tcPr>
            <w:tcW w:w="1326"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万元</w:t>
            </w:r>
          </w:p>
        </w:tc>
        <w:tc>
          <w:tcPr>
            <w:tcW w:w="1588" w:type="dxa"/>
            <w:tcBorders>
              <w:top w:val="nil"/>
              <w:left w:val="nil"/>
              <w:bottom w:val="single" w:sz="4" w:space="0" w:color="auto"/>
              <w:right w:val="single" w:sz="4" w:space="0" w:color="auto"/>
            </w:tcBorders>
            <w:noWrap/>
            <w:vAlign w:val="center"/>
          </w:tcPr>
          <w:p w:rsidR="00337093">
            <w:pPr>
              <w:jc w:val="center"/>
              <w:rPr>
                <w:sz w:val="20"/>
              </w:rPr>
            </w:pPr>
            <w:r>
              <w:rPr>
                <w:sz w:val="20"/>
              </w:rPr>
              <w:t xml:space="preserve">98222.46 </w:t>
            </w:r>
          </w:p>
        </w:tc>
        <w:tc>
          <w:tcPr>
            <w:tcW w:w="1325"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项目投资</w:t>
            </w:r>
          </w:p>
        </w:tc>
      </w:tr>
      <w:tr>
        <w:tblPrEx>
          <w:tblW w:w="0" w:type="auto"/>
          <w:tblInd w:w="0" w:type="dxa"/>
          <w:tblLayout w:type="fixed"/>
          <w:tblLook w:val="0000"/>
        </w:tblPrEx>
        <w:trPr>
          <w:trHeight w:val="439"/>
        </w:trPr>
        <w:tc>
          <w:tcPr>
            <w:tcW w:w="1326" w:type="dxa"/>
            <w:tcBorders>
              <w:top w:val="nil"/>
              <w:left w:val="single" w:sz="4" w:space="0" w:color="auto"/>
              <w:bottom w:val="single" w:sz="4" w:space="0" w:color="auto"/>
              <w:right w:val="single" w:sz="4" w:space="0" w:color="auto"/>
            </w:tcBorders>
            <w:noWrap/>
            <w:vAlign w:val="bottom"/>
          </w:tcPr>
          <w:p w:rsidR="00337093">
            <w:pPr>
              <w:widowControl/>
              <w:jc w:val="center"/>
              <w:rPr>
                <w:kern w:val="0"/>
                <w:sz w:val="20"/>
              </w:rPr>
            </w:pPr>
            <w:r>
              <w:rPr>
                <w:kern w:val="0"/>
                <w:sz w:val="20"/>
              </w:rPr>
              <w:t>12</w:t>
            </w:r>
          </w:p>
        </w:tc>
        <w:tc>
          <w:tcPr>
            <w:tcW w:w="3438"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所得税前的投资回收期</w:t>
            </w:r>
          </w:p>
        </w:tc>
        <w:tc>
          <w:tcPr>
            <w:tcW w:w="1326"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年</w:t>
            </w:r>
          </w:p>
        </w:tc>
        <w:tc>
          <w:tcPr>
            <w:tcW w:w="1588" w:type="dxa"/>
            <w:tcBorders>
              <w:top w:val="nil"/>
              <w:left w:val="nil"/>
              <w:bottom w:val="single" w:sz="4" w:space="0" w:color="auto"/>
              <w:right w:val="single" w:sz="4" w:space="0" w:color="auto"/>
            </w:tcBorders>
            <w:noWrap/>
            <w:vAlign w:val="center"/>
          </w:tcPr>
          <w:p w:rsidR="00337093">
            <w:pPr>
              <w:jc w:val="center"/>
              <w:rPr>
                <w:sz w:val="20"/>
              </w:rPr>
            </w:pPr>
            <w:r>
              <w:rPr>
                <w:sz w:val="20"/>
              </w:rPr>
              <w:t xml:space="preserve">6.53 </w:t>
            </w:r>
          </w:p>
        </w:tc>
        <w:tc>
          <w:tcPr>
            <w:tcW w:w="1325"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项目投资</w:t>
            </w:r>
          </w:p>
        </w:tc>
      </w:tr>
      <w:tr>
        <w:tblPrEx>
          <w:tblW w:w="0" w:type="auto"/>
          <w:tblInd w:w="0" w:type="dxa"/>
          <w:tblLayout w:type="fixed"/>
          <w:tblLook w:val="0000"/>
        </w:tblPrEx>
        <w:trPr>
          <w:trHeight w:val="439"/>
        </w:trPr>
        <w:tc>
          <w:tcPr>
            <w:tcW w:w="1326" w:type="dxa"/>
            <w:tcBorders>
              <w:top w:val="nil"/>
              <w:left w:val="single" w:sz="4" w:space="0" w:color="auto"/>
              <w:bottom w:val="single" w:sz="4" w:space="0" w:color="auto"/>
              <w:right w:val="single" w:sz="4" w:space="0" w:color="auto"/>
            </w:tcBorders>
            <w:noWrap/>
            <w:vAlign w:val="bottom"/>
          </w:tcPr>
          <w:p w:rsidR="00337093">
            <w:pPr>
              <w:widowControl/>
              <w:jc w:val="center"/>
              <w:rPr>
                <w:kern w:val="0"/>
                <w:sz w:val="20"/>
              </w:rPr>
            </w:pPr>
            <w:r>
              <w:rPr>
                <w:kern w:val="0"/>
                <w:sz w:val="20"/>
              </w:rPr>
              <w:t>13</w:t>
            </w:r>
          </w:p>
        </w:tc>
        <w:tc>
          <w:tcPr>
            <w:tcW w:w="3438"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所得税后的财务内部收益率</w:t>
            </w:r>
          </w:p>
        </w:tc>
        <w:tc>
          <w:tcPr>
            <w:tcW w:w="1326" w:type="dxa"/>
            <w:tcBorders>
              <w:top w:val="nil"/>
              <w:left w:val="nil"/>
              <w:bottom w:val="single" w:sz="4" w:space="0" w:color="auto"/>
              <w:right w:val="single" w:sz="4" w:space="0" w:color="auto"/>
            </w:tcBorders>
            <w:noWrap/>
            <w:vAlign w:val="center"/>
          </w:tcPr>
          <w:p w:rsidR="00337093">
            <w:pPr>
              <w:widowControl/>
              <w:jc w:val="center"/>
              <w:rPr>
                <w:kern w:val="0"/>
                <w:sz w:val="20"/>
              </w:rPr>
            </w:pPr>
            <w:r>
              <w:rPr>
                <w:kern w:val="0"/>
                <w:sz w:val="20"/>
              </w:rPr>
              <w:t>%</w:t>
            </w:r>
          </w:p>
        </w:tc>
        <w:tc>
          <w:tcPr>
            <w:tcW w:w="1588" w:type="dxa"/>
            <w:tcBorders>
              <w:top w:val="nil"/>
              <w:left w:val="nil"/>
              <w:bottom w:val="single" w:sz="4" w:space="0" w:color="auto"/>
              <w:right w:val="single" w:sz="4" w:space="0" w:color="auto"/>
            </w:tcBorders>
            <w:noWrap/>
            <w:vAlign w:val="center"/>
          </w:tcPr>
          <w:p w:rsidR="00337093">
            <w:pPr>
              <w:jc w:val="center"/>
              <w:rPr>
                <w:sz w:val="20"/>
              </w:rPr>
            </w:pPr>
            <w:r>
              <w:rPr>
                <w:sz w:val="20"/>
              </w:rPr>
              <w:t xml:space="preserve">19.62 </w:t>
            </w:r>
          </w:p>
        </w:tc>
        <w:tc>
          <w:tcPr>
            <w:tcW w:w="1325"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项目投资</w:t>
            </w:r>
          </w:p>
        </w:tc>
      </w:tr>
      <w:tr>
        <w:tblPrEx>
          <w:tblW w:w="0" w:type="auto"/>
          <w:tblInd w:w="0" w:type="dxa"/>
          <w:tblLayout w:type="fixed"/>
          <w:tblLook w:val="0000"/>
        </w:tblPrEx>
        <w:trPr>
          <w:trHeight w:val="439"/>
        </w:trPr>
        <w:tc>
          <w:tcPr>
            <w:tcW w:w="1326" w:type="dxa"/>
            <w:tcBorders>
              <w:top w:val="nil"/>
              <w:left w:val="single" w:sz="4" w:space="0" w:color="auto"/>
              <w:bottom w:val="single" w:sz="4" w:space="0" w:color="auto"/>
              <w:right w:val="single" w:sz="4" w:space="0" w:color="auto"/>
            </w:tcBorders>
            <w:noWrap/>
            <w:vAlign w:val="bottom"/>
          </w:tcPr>
          <w:p w:rsidR="00337093">
            <w:pPr>
              <w:widowControl/>
              <w:jc w:val="center"/>
              <w:rPr>
                <w:kern w:val="0"/>
                <w:sz w:val="20"/>
              </w:rPr>
            </w:pPr>
            <w:r>
              <w:rPr>
                <w:kern w:val="0"/>
                <w:sz w:val="20"/>
              </w:rPr>
              <w:t>14</w:t>
            </w:r>
          </w:p>
        </w:tc>
        <w:tc>
          <w:tcPr>
            <w:tcW w:w="3438"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所得税后的财务净现值</w:t>
            </w:r>
            <w:r>
              <w:rPr>
                <w:kern w:val="0"/>
                <w:sz w:val="20"/>
              </w:rPr>
              <w:t xml:space="preserve">      </w:t>
            </w:r>
            <w:r>
              <w:rPr>
                <w:kern w:val="0"/>
                <w:sz w:val="20"/>
              </w:rPr>
              <w:t xml:space="preserve">                  </w:t>
            </w:r>
          </w:p>
        </w:tc>
        <w:tc>
          <w:tcPr>
            <w:tcW w:w="1326"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万元</w:t>
            </w:r>
          </w:p>
        </w:tc>
        <w:tc>
          <w:tcPr>
            <w:tcW w:w="1588" w:type="dxa"/>
            <w:tcBorders>
              <w:top w:val="nil"/>
              <w:left w:val="nil"/>
              <w:bottom w:val="single" w:sz="4" w:space="0" w:color="auto"/>
              <w:right w:val="single" w:sz="4" w:space="0" w:color="auto"/>
            </w:tcBorders>
            <w:noWrap/>
            <w:vAlign w:val="center"/>
          </w:tcPr>
          <w:p w:rsidR="00337093">
            <w:pPr>
              <w:jc w:val="center"/>
              <w:rPr>
                <w:sz w:val="20"/>
              </w:rPr>
            </w:pPr>
            <w:r>
              <w:rPr>
                <w:sz w:val="20"/>
              </w:rPr>
              <w:t xml:space="preserve">64012.03 </w:t>
            </w:r>
          </w:p>
        </w:tc>
        <w:tc>
          <w:tcPr>
            <w:tcW w:w="1325"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项目投资</w:t>
            </w:r>
          </w:p>
        </w:tc>
      </w:tr>
      <w:tr>
        <w:tblPrEx>
          <w:tblW w:w="0" w:type="auto"/>
          <w:tblInd w:w="0" w:type="dxa"/>
          <w:tblLayout w:type="fixed"/>
          <w:tblLook w:val="0000"/>
        </w:tblPrEx>
        <w:trPr>
          <w:trHeight w:val="439"/>
        </w:trPr>
        <w:tc>
          <w:tcPr>
            <w:tcW w:w="1326" w:type="dxa"/>
            <w:tcBorders>
              <w:top w:val="nil"/>
              <w:left w:val="single" w:sz="4" w:space="0" w:color="auto"/>
              <w:bottom w:val="single" w:sz="4" w:space="0" w:color="auto"/>
              <w:right w:val="single" w:sz="4" w:space="0" w:color="auto"/>
            </w:tcBorders>
            <w:noWrap/>
            <w:vAlign w:val="bottom"/>
          </w:tcPr>
          <w:p w:rsidR="00337093">
            <w:pPr>
              <w:widowControl/>
              <w:jc w:val="center"/>
              <w:rPr>
                <w:kern w:val="0"/>
                <w:sz w:val="20"/>
              </w:rPr>
            </w:pPr>
            <w:r>
              <w:rPr>
                <w:kern w:val="0"/>
                <w:sz w:val="20"/>
              </w:rPr>
              <w:t>15</w:t>
            </w:r>
          </w:p>
        </w:tc>
        <w:tc>
          <w:tcPr>
            <w:tcW w:w="3438"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所得税后的投资回收期</w:t>
            </w:r>
          </w:p>
        </w:tc>
        <w:tc>
          <w:tcPr>
            <w:tcW w:w="1326"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年</w:t>
            </w:r>
          </w:p>
        </w:tc>
        <w:tc>
          <w:tcPr>
            <w:tcW w:w="1588" w:type="dxa"/>
            <w:tcBorders>
              <w:top w:val="nil"/>
              <w:left w:val="nil"/>
              <w:bottom w:val="single" w:sz="4" w:space="0" w:color="auto"/>
              <w:right w:val="single" w:sz="4" w:space="0" w:color="auto"/>
            </w:tcBorders>
            <w:noWrap/>
            <w:vAlign w:val="center"/>
          </w:tcPr>
          <w:p w:rsidR="00337093">
            <w:pPr>
              <w:jc w:val="center"/>
              <w:rPr>
                <w:sz w:val="20"/>
              </w:rPr>
            </w:pPr>
            <w:r>
              <w:rPr>
                <w:sz w:val="20"/>
              </w:rPr>
              <w:t xml:space="preserve">7.40 </w:t>
            </w:r>
          </w:p>
        </w:tc>
        <w:tc>
          <w:tcPr>
            <w:tcW w:w="1325"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项目投资</w:t>
            </w:r>
          </w:p>
        </w:tc>
      </w:tr>
    </w:tbl>
    <w:p>
      <w:pPr>
        <w:sectPr>
          <w:headerReference w:type="default" r:id="rId32"/>
          <w:footerReference w:type="even" r:id="rId33"/>
          <w:footerReference w:type="default" r:id="rId34"/>
          <w:headerReference w:type="first" r:id="rId35"/>
          <w:type w:val="nextPage"/>
          <w:pgSz w:w="11906" w:h="16838"/>
          <w:pgMar w:top="1418" w:right="1418" w:bottom="1418" w:left="1701" w:header="964" w:footer="964" w:gutter="0"/>
          <w:pgNumType w:fmt="numberInDash" w:start="6"/>
          <w:cols w:space="720"/>
          <w:titlePg w:val="0"/>
          <w:docGrid w:type="linesAndChars" w:linePitch="291" w:charSpace="3135"/>
        </w:sectPr>
      </w:pPr>
    </w:p>
    <w:tbl>
      <w:tblPr>
        <w:tblStyle w:val="TableNormal"/>
        <w:tblW w:w="0" w:type="auto"/>
        <w:tblInd w:w="0" w:type="dxa"/>
        <w:tblLayout w:type="fixed"/>
        <w:tblLook w:val="0000"/>
      </w:tblPr>
      <w:tblGrid>
        <w:gridCol w:w="1326"/>
        <w:gridCol w:w="3438"/>
        <w:gridCol w:w="1326"/>
        <w:gridCol w:w="1588"/>
        <w:gridCol w:w="1325"/>
      </w:tblGrid>
      <w:tr>
        <w:tblPrEx>
          <w:tblW w:w="0" w:type="auto"/>
          <w:tblInd w:w="0" w:type="dxa"/>
          <w:tblLayout w:type="fixed"/>
          <w:tblLook w:val="0000"/>
        </w:tblPrEx>
        <w:trPr>
          <w:trHeight w:val="439"/>
        </w:trPr>
        <w:tc>
          <w:tcPr>
            <w:tcW w:w="1326" w:type="dxa"/>
            <w:tcBorders>
              <w:top w:val="nil"/>
              <w:left w:val="single" w:sz="4" w:space="0" w:color="auto"/>
              <w:bottom w:val="single" w:sz="4" w:space="0" w:color="auto"/>
              <w:right w:val="single" w:sz="4" w:space="0" w:color="auto"/>
            </w:tcBorders>
            <w:noWrap/>
            <w:vAlign w:val="bottom"/>
          </w:tcPr>
          <w:p w:rsidR="00337093">
            <w:pPr>
              <w:widowControl/>
              <w:jc w:val="center"/>
              <w:rPr>
                <w:kern w:val="0"/>
                <w:sz w:val="20"/>
              </w:rPr>
            </w:pPr>
            <w:r>
              <w:rPr>
                <w:kern w:val="0"/>
                <w:sz w:val="20"/>
              </w:rPr>
              <w:t>16</w:t>
            </w:r>
          </w:p>
        </w:tc>
        <w:tc>
          <w:tcPr>
            <w:tcW w:w="3438"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总投资收益率</w:t>
            </w:r>
          </w:p>
        </w:tc>
        <w:tc>
          <w:tcPr>
            <w:tcW w:w="1326" w:type="dxa"/>
            <w:tcBorders>
              <w:top w:val="nil"/>
              <w:left w:val="nil"/>
              <w:bottom w:val="single" w:sz="4" w:space="0" w:color="auto"/>
              <w:right w:val="single" w:sz="4" w:space="0" w:color="auto"/>
            </w:tcBorders>
            <w:noWrap/>
            <w:vAlign w:val="center"/>
          </w:tcPr>
          <w:p w:rsidR="00337093">
            <w:pPr>
              <w:widowControl/>
              <w:jc w:val="center"/>
              <w:rPr>
                <w:kern w:val="0"/>
                <w:sz w:val="20"/>
              </w:rPr>
            </w:pPr>
            <w:r>
              <w:rPr>
                <w:kern w:val="0"/>
                <w:sz w:val="20"/>
              </w:rPr>
              <w:t>%</w:t>
            </w:r>
          </w:p>
        </w:tc>
        <w:tc>
          <w:tcPr>
            <w:tcW w:w="1588" w:type="dxa"/>
            <w:tcBorders>
              <w:top w:val="nil"/>
              <w:left w:val="nil"/>
              <w:bottom w:val="single" w:sz="4" w:space="0" w:color="auto"/>
              <w:right w:val="single" w:sz="4" w:space="0" w:color="auto"/>
            </w:tcBorders>
            <w:noWrap/>
            <w:vAlign w:val="center"/>
          </w:tcPr>
          <w:p w:rsidR="00337093">
            <w:pPr>
              <w:jc w:val="center"/>
              <w:rPr>
                <w:sz w:val="20"/>
              </w:rPr>
            </w:pPr>
            <w:r>
              <w:rPr>
                <w:sz w:val="20"/>
              </w:rPr>
              <w:t xml:space="preserve">14.56 </w:t>
            </w:r>
          </w:p>
        </w:tc>
        <w:tc>
          <w:tcPr>
            <w:tcW w:w="1325" w:type="dxa"/>
            <w:tcBorders>
              <w:top w:val="nil"/>
              <w:left w:val="nil"/>
              <w:bottom w:val="single" w:sz="4" w:space="0" w:color="auto"/>
              <w:right w:val="single" w:sz="4" w:space="0" w:color="auto"/>
            </w:tcBorders>
            <w:noWrap/>
            <w:vAlign w:val="center"/>
          </w:tcPr>
          <w:p w:rsidR="00337093">
            <w:pPr>
              <w:widowControl/>
              <w:jc w:val="center"/>
              <w:rPr>
                <w:kern w:val="0"/>
                <w:sz w:val="20"/>
              </w:rPr>
            </w:pPr>
            <w:r>
              <w:rPr>
                <w:kern w:val="0"/>
                <w:sz w:val="20"/>
              </w:rPr>
              <w:t>　</w:t>
            </w:r>
          </w:p>
        </w:tc>
      </w:tr>
      <w:tr>
        <w:tblPrEx>
          <w:tblW w:w="0" w:type="auto"/>
          <w:tblInd w:w="0" w:type="dxa"/>
          <w:tblLayout w:type="fixed"/>
          <w:tblLook w:val="0000"/>
        </w:tblPrEx>
        <w:trPr>
          <w:trHeight w:val="439"/>
        </w:trPr>
        <w:tc>
          <w:tcPr>
            <w:tcW w:w="1326" w:type="dxa"/>
            <w:tcBorders>
              <w:top w:val="nil"/>
              <w:left w:val="single" w:sz="4" w:space="0" w:color="auto"/>
              <w:bottom w:val="single" w:sz="4" w:space="0" w:color="auto"/>
              <w:right w:val="single" w:sz="4" w:space="0" w:color="auto"/>
            </w:tcBorders>
            <w:noWrap/>
            <w:vAlign w:val="bottom"/>
          </w:tcPr>
          <w:p w:rsidR="00337093">
            <w:pPr>
              <w:widowControl/>
              <w:jc w:val="center"/>
              <w:rPr>
                <w:kern w:val="0"/>
                <w:sz w:val="20"/>
              </w:rPr>
            </w:pPr>
            <w:r>
              <w:rPr>
                <w:kern w:val="0"/>
                <w:sz w:val="20"/>
              </w:rPr>
              <w:t>17</w:t>
            </w:r>
          </w:p>
        </w:tc>
        <w:tc>
          <w:tcPr>
            <w:tcW w:w="3438"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项目资本金净利润率</w:t>
            </w:r>
          </w:p>
        </w:tc>
        <w:tc>
          <w:tcPr>
            <w:tcW w:w="1326" w:type="dxa"/>
            <w:tcBorders>
              <w:top w:val="nil"/>
              <w:left w:val="nil"/>
              <w:bottom w:val="single" w:sz="4" w:space="0" w:color="auto"/>
              <w:right w:val="single" w:sz="4" w:space="0" w:color="auto"/>
            </w:tcBorders>
            <w:noWrap/>
            <w:vAlign w:val="center"/>
          </w:tcPr>
          <w:p w:rsidR="00337093">
            <w:pPr>
              <w:widowControl/>
              <w:jc w:val="center"/>
              <w:rPr>
                <w:kern w:val="0"/>
                <w:sz w:val="20"/>
              </w:rPr>
            </w:pPr>
            <w:r>
              <w:rPr>
                <w:kern w:val="0"/>
                <w:sz w:val="20"/>
              </w:rPr>
              <w:t>%</w:t>
            </w:r>
          </w:p>
        </w:tc>
        <w:tc>
          <w:tcPr>
            <w:tcW w:w="1588" w:type="dxa"/>
            <w:tcBorders>
              <w:top w:val="nil"/>
              <w:left w:val="nil"/>
              <w:bottom w:val="single" w:sz="4" w:space="0" w:color="auto"/>
              <w:right w:val="single" w:sz="4" w:space="0" w:color="auto"/>
            </w:tcBorders>
            <w:noWrap/>
            <w:vAlign w:val="center"/>
          </w:tcPr>
          <w:p w:rsidR="00337093">
            <w:pPr>
              <w:jc w:val="center"/>
              <w:rPr>
                <w:sz w:val="20"/>
              </w:rPr>
            </w:pPr>
            <w:r>
              <w:rPr>
                <w:sz w:val="20"/>
              </w:rPr>
              <w:t xml:space="preserve">11.02 </w:t>
            </w:r>
          </w:p>
        </w:tc>
        <w:tc>
          <w:tcPr>
            <w:tcW w:w="1325" w:type="dxa"/>
            <w:tcBorders>
              <w:top w:val="nil"/>
              <w:left w:val="nil"/>
              <w:bottom w:val="single" w:sz="4" w:space="0" w:color="auto"/>
              <w:right w:val="single" w:sz="4" w:space="0" w:color="auto"/>
            </w:tcBorders>
            <w:noWrap/>
            <w:vAlign w:val="center"/>
          </w:tcPr>
          <w:p w:rsidR="00337093">
            <w:pPr>
              <w:widowControl/>
              <w:jc w:val="center"/>
              <w:rPr>
                <w:kern w:val="0"/>
                <w:sz w:val="20"/>
              </w:rPr>
            </w:pPr>
            <w:r>
              <w:rPr>
                <w:kern w:val="0"/>
                <w:sz w:val="20"/>
              </w:rPr>
              <w:t>　</w:t>
            </w:r>
          </w:p>
        </w:tc>
      </w:tr>
      <w:tr>
        <w:tblPrEx>
          <w:tblW w:w="0" w:type="auto"/>
          <w:tblInd w:w="0" w:type="dxa"/>
          <w:tblLayout w:type="fixed"/>
          <w:tblLook w:val="0000"/>
        </w:tblPrEx>
        <w:trPr>
          <w:trHeight w:val="439"/>
        </w:trPr>
        <w:tc>
          <w:tcPr>
            <w:tcW w:w="1326" w:type="dxa"/>
            <w:tcBorders>
              <w:top w:val="nil"/>
              <w:left w:val="single" w:sz="4" w:space="0" w:color="auto"/>
              <w:bottom w:val="single" w:sz="4" w:space="0" w:color="auto"/>
              <w:right w:val="single" w:sz="4" w:space="0" w:color="auto"/>
            </w:tcBorders>
            <w:noWrap/>
            <w:vAlign w:val="bottom"/>
          </w:tcPr>
          <w:p w:rsidR="00337093">
            <w:pPr>
              <w:widowControl/>
              <w:jc w:val="center"/>
              <w:rPr>
                <w:kern w:val="0"/>
                <w:sz w:val="20"/>
              </w:rPr>
            </w:pPr>
            <w:r>
              <w:rPr>
                <w:kern w:val="0"/>
                <w:sz w:val="20"/>
              </w:rPr>
              <w:t>18</w:t>
            </w:r>
          </w:p>
        </w:tc>
        <w:tc>
          <w:tcPr>
            <w:tcW w:w="3438"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盈亏平衡点</w:t>
            </w:r>
          </w:p>
        </w:tc>
        <w:tc>
          <w:tcPr>
            <w:tcW w:w="1326" w:type="dxa"/>
            <w:tcBorders>
              <w:top w:val="nil"/>
              <w:left w:val="nil"/>
              <w:bottom w:val="single" w:sz="4" w:space="0" w:color="auto"/>
              <w:right w:val="single" w:sz="4" w:space="0" w:color="auto"/>
            </w:tcBorders>
            <w:noWrap/>
            <w:vAlign w:val="center"/>
          </w:tcPr>
          <w:p w:rsidR="00337093">
            <w:pPr>
              <w:widowControl/>
              <w:jc w:val="center"/>
              <w:rPr>
                <w:kern w:val="0"/>
                <w:sz w:val="20"/>
              </w:rPr>
            </w:pPr>
            <w:r>
              <w:rPr>
                <w:kern w:val="0"/>
                <w:sz w:val="20"/>
              </w:rPr>
              <w:t>%</w:t>
            </w:r>
          </w:p>
        </w:tc>
        <w:tc>
          <w:tcPr>
            <w:tcW w:w="1588" w:type="dxa"/>
            <w:tcBorders>
              <w:top w:val="nil"/>
              <w:left w:val="nil"/>
              <w:bottom w:val="single" w:sz="4" w:space="0" w:color="auto"/>
              <w:right w:val="single" w:sz="4" w:space="0" w:color="auto"/>
            </w:tcBorders>
            <w:noWrap/>
            <w:vAlign w:val="center"/>
          </w:tcPr>
          <w:p w:rsidR="00337093">
            <w:pPr>
              <w:jc w:val="center"/>
              <w:rPr>
                <w:sz w:val="20"/>
              </w:rPr>
            </w:pPr>
            <w:r>
              <w:rPr>
                <w:sz w:val="20"/>
              </w:rPr>
              <w:t xml:space="preserve">42.92 </w:t>
            </w:r>
          </w:p>
        </w:tc>
        <w:tc>
          <w:tcPr>
            <w:tcW w:w="1325" w:type="dxa"/>
            <w:tcBorders>
              <w:top w:val="nil"/>
              <w:left w:val="nil"/>
              <w:bottom w:val="single" w:sz="4" w:space="0" w:color="auto"/>
              <w:right w:val="single" w:sz="4" w:space="0" w:color="auto"/>
            </w:tcBorders>
            <w:noWrap/>
            <w:vAlign w:val="center"/>
          </w:tcPr>
          <w:p w:rsidR="00337093">
            <w:pPr>
              <w:widowControl/>
              <w:jc w:val="center"/>
              <w:rPr>
                <w:kern w:val="0"/>
                <w:sz w:val="20"/>
              </w:rPr>
            </w:pPr>
            <w:r>
              <w:rPr>
                <w:kern w:val="0"/>
                <w:sz w:val="20"/>
              </w:rPr>
              <w:t>　</w:t>
            </w:r>
          </w:p>
        </w:tc>
      </w:tr>
    </w:tbl>
    <w:p w:rsidR="00337093">
      <w:pPr>
        <w:tabs>
          <w:tab w:val="left" w:pos="1103"/>
          <w:tab w:val="left" w:pos="3350"/>
          <w:tab w:val="left" w:pos="4453"/>
          <w:tab w:val="left" w:pos="5556"/>
          <w:tab w:val="left" w:pos="7249"/>
        </w:tabs>
        <w:jc w:val="center"/>
        <w:rPr>
          <w:b/>
          <w:sz w:val="28"/>
          <w:szCs w:val="28"/>
        </w:rPr>
      </w:pPr>
    </w:p>
    <w:p w:rsidR="00337093" w:rsidP="00337093">
      <w:pPr>
        <w:tabs>
          <w:tab w:val="left" w:pos="1103"/>
          <w:tab w:val="left" w:pos="3350"/>
          <w:tab w:val="left" w:pos="4453"/>
          <w:tab w:val="left" w:pos="5556"/>
          <w:tab w:val="left" w:pos="7249"/>
        </w:tabs>
        <w:ind w:firstLine="560" w:firstLineChars="200"/>
        <w:jc w:val="left"/>
        <w:rPr>
          <w:b/>
          <w:sz w:val="28"/>
          <w:szCs w:val="28"/>
        </w:rPr>
        <w:sectPr>
          <w:headerReference w:type="default" r:id="rId36"/>
          <w:footerReference w:type="even" r:id="rId37"/>
          <w:footerReference w:type="default" r:id="rId38"/>
          <w:headerReference w:type="first" r:id="rId39"/>
          <w:type w:val="nextPage"/>
          <w:pgSz w:w="11906" w:h="16838"/>
          <w:pgMar w:top="1418" w:right="1418" w:bottom="1418" w:left="1701" w:header="964" w:footer="964" w:gutter="0"/>
          <w:pgNumType w:fmt="numberInDash" w:start="7"/>
          <w:cols w:space="720"/>
          <w:titlePg w:val="0"/>
          <w:docGrid w:type="linesAndChars" w:linePitch="291" w:charSpace="3135"/>
        </w:sectPr>
      </w:pPr>
    </w:p>
    <w:p w:rsidR="00337093">
      <w:pPr>
        <w:pStyle w:val="Heading1"/>
        <w:spacing w:before="840" w:after="600" w:line="360" w:lineRule="auto"/>
        <w:jc w:val="center"/>
        <w:rPr>
          <w:rFonts w:eastAsia="宋体"/>
          <w:b/>
          <w:sz w:val="38"/>
        </w:rPr>
      </w:pPr>
      <w:bookmarkStart w:id="144" w:name="_Toc86953868"/>
      <w:bookmarkStart w:id="145" w:name="_Toc88645101"/>
      <w:bookmarkStart w:id="146" w:name="_Toc88653549"/>
      <w:bookmarkStart w:id="147" w:name="_Toc88901220"/>
      <w:bookmarkStart w:id="148" w:name="_Toc88904277"/>
      <w:bookmarkStart w:id="149" w:name="_Toc88905503"/>
      <w:bookmarkStart w:id="150" w:name="_Toc88906703"/>
      <w:bookmarkStart w:id="151" w:name="_Toc90350690"/>
      <w:bookmarkStart w:id="152" w:name="_Toc139166448"/>
      <w:bookmarkStart w:id="153" w:name="_Toc139166520"/>
      <w:bookmarkStart w:id="154" w:name="_Toc349743470"/>
      <w:bookmarkStart w:id="155" w:name="_Toc350929450"/>
      <w:bookmarkStart w:id="156" w:name="_Toc350951338"/>
      <w:bookmarkStart w:id="157" w:name="_Toc350955792"/>
      <w:bookmarkStart w:id="158" w:name="_Toc351621595"/>
      <w:bookmarkStart w:id="159" w:name="_Toc351627279"/>
      <w:bookmarkStart w:id="160" w:name="_Toc352076355"/>
      <w:bookmarkStart w:id="161" w:name="_Toc352315172"/>
      <w:bookmarkStart w:id="162" w:name="_Toc353204206"/>
      <w:bookmarkStart w:id="163" w:name="_Toc353289472"/>
      <w:bookmarkStart w:id="164" w:name="_Toc387324654"/>
      <w:bookmarkStart w:id="165" w:name="_Toc387332149"/>
      <w:bookmarkStart w:id="166" w:name="_Toc398212110"/>
      <w:bookmarkStart w:id="167" w:name="_Toc398300235"/>
      <w:bookmarkStart w:id="168" w:name="_Toc398303285"/>
      <w:bookmarkStart w:id="169" w:name="_Toc402271130"/>
      <w:bookmarkStart w:id="170" w:name="_Toc402876337"/>
      <w:bookmarkStart w:id="171" w:name="_Toc402944620"/>
      <w:bookmarkStart w:id="172" w:name="_Toc403379785"/>
      <w:bookmarkStart w:id="173" w:name="_Toc403464059"/>
      <w:bookmarkStart w:id="174" w:name="_Toc403464273"/>
      <w:bookmarkStart w:id="175" w:name="_Toc404156113"/>
      <w:bookmarkStart w:id="176" w:name="_Toc449530772"/>
      <w:r>
        <w:rPr>
          <w:rFonts w:eastAsia="宋体" w:hAnsi="宋体"/>
          <w:b/>
          <w:sz w:val="38"/>
        </w:rPr>
        <w:t>第二章</w:t>
      </w:r>
      <w:r>
        <w:rPr>
          <w:rFonts w:eastAsia="宋体"/>
          <w:b/>
          <w:sz w:val="38"/>
        </w:rPr>
        <w:t xml:space="preserve">  </w:t>
      </w:r>
      <w:r>
        <w:rPr>
          <w:rFonts w:eastAsia="宋体" w:hAnsi="宋体"/>
          <w:b/>
          <w:sz w:val="38"/>
        </w:rPr>
        <w:t>项目背景</w:t>
      </w:r>
      <w:bookmarkEnd w:id="144"/>
      <w:bookmarkEnd w:id="145"/>
      <w:bookmarkEnd w:id="146"/>
      <w:bookmarkEnd w:id="147"/>
      <w:bookmarkEnd w:id="148"/>
      <w:bookmarkEnd w:id="149"/>
      <w:bookmarkEnd w:id="150"/>
      <w:bookmarkEnd w:id="151"/>
      <w:bookmarkEnd w:id="152"/>
      <w:bookmarkEnd w:id="153"/>
      <w:r>
        <w:rPr>
          <w:rFonts w:eastAsia="宋体" w:hAnsi="宋体"/>
          <w:b/>
          <w:sz w:val="38"/>
        </w:rPr>
        <w:t>与投资的必要性</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p>
    <w:p w:rsidR="00337093">
      <w:pPr>
        <w:pStyle w:val="Heading2"/>
        <w:spacing w:before="60" w:after="60" w:line="240" w:lineRule="auto"/>
        <w:rPr>
          <w:rFonts w:ascii="Times New Roman" w:eastAsia="宋体" w:hAnsi="Times New Roman"/>
          <w:b/>
        </w:rPr>
      </w:pPr>
      <w:bookmarkStart w:id="177" w:name="_Toc86953869"/>
      <w:bookmarkStart w:id="178" w:name="_Toc88645102"/>
      <w:bookmarkStart w:id="179" w:name="_Toc88653550"/>
      <w:bookmarkStart w:id="180" w:name="_Toc88901221"/>
      <w:bookmarkStart w:id="181" w:name="_Toc88904278"/>
      <w:bookmarkStart w:id="182" w:name="_Toc88905504"/>
      <w:bookmarkStart w:id="183" w:name="_Toc88906704"/>
      <w:bookmarkStart w:id="184" w:name="_Toc90350691"/>
      <w:bookmarkStart w:id="185" w:name="_Toc139166449"/>
      <w:bookmarkStart w:id="186" w:name="_Toc139166521"/>
      <w:bookmarkStart w:id="187" w:name="_Toc349743471"/>
      <w:bookmarkStart w:id="188" w:name="_Toc350929451"/>
      <w:bookmarkStart w:id="189" w:name="_Toc350951339"/>
      <w:bookmarkStart w:id="190" w:name="_Toc350955793"/>
      <w:bookmarkStart w:id="191" w:name="_Toc351621596"/>
      <w:bookmarkStart w:id="192" w:name="_Toc351627280"/>
      <w:bookmarkStart w:id="193" w:name="_Toc352076356"/>
      <w:bookmarkStart w:id="194" w:name="_Toc352315173"/>
      <w:bookmarkStart w:id="195" w:name="_Toc353204207"/>
      <w:bookmarkStart w:id="196" w:name="_Toc353289473"/>
      <w:bookmarkStart w:id="197" w:name="_Toc387324655"/>
      <w:bookmarkStart w:id="198" w:name="_Toc387332150"/>
      <w:bookmarkStart w:id="199" w:name="_Toc398212111"/>
      <w:bookmarkStart w:id="200" w:name="_Toc398300236"/>
      <w:bookmarkStart w:id="201" w:name="_Toc398303286"/>
      <w:bookmarkStart w:id="202" w:name="_Toc402271131"/>
      <w:bookmarkStart w:id="203" w:name="_Toc402876338"/>
      <w:bookmarkStart w:id="204" w:name="_Toc402944621"/>
      <w:bookmarkStart w:id="205" w:name="_Toc403379786"/>
      <w:bookmarkStart w:id="206" w:name="_Toc403464060"/>
      <w:bookmarkStart w:id="207" w:name="_Toc403464274"/>
      <w:bookmarkStart w:id="208" w:name="_Toc404156114"/>
      <w:bookmarkStart w:id="209" w:name="_Toc449530773"/>
      <w:r>
        <w:rPr>
          <w:rFonts w:ascii="Times New Roman" w:eastAsia="宋体" w:hAnsi="Times New Roman"/>
          <w:b/>
        </w:rPr>
        <w:t>2.1</w:t>
      </w:r>
      <w:r>
        <w:rPr>
          <w:rFonts w:ascii="Times New Roman" w:eastAsia="宋体" w:hAnsi="宋体"/>
          <w:b/>
        </w:rPr>
        <w:t>项目提出的背景</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337093" w:rsidP="00337093">
      <w:pPr>
        <w:ind w:firstLine="560" w:firstLineChars="200"/>
        <w:rPr>
          <w:rFonts w:hint="eastAsia"/>
          <w:sz w:val="28"/>
          <w:szCs w:val="28"/>
        </w:rPr>
      </w:pPr>
      <w:r>
        <w:rPr>
          <w:rFonts w:hint="eastAsia"/>
          <w:sz w:val="28"/>
          <w:szCs w:val="28"/>
        </w:rPr>
        <w:t>1、政策背景</w:t>
      </w:r>
    </w:p>
    <w:p w:rsidR="00337093" w:rsidP="00337093">
      <w:pPr>
        <w:ind w:firstLine="560" w:firstLineChars="200"/>
        <w:rPr>
          <w:rFonts w:hint="eastAsia"/>
          <w:sz w:val="28"/>
          <w:szCs w:val="28"/>
        </w:rPr>
      </w:pPr>
      <w:r>
        <w:rPr>
          <w:rFonts w:hint="eastAsia"/>
          <w:sz w:val="28"/>
          <w:szCs w:val="28"/>
        </w:rPr>
        <w:t>发展新能源电动汽车成为世界各国的共识，已列入各主要国家重要发展战略；作为全球金融危机过后新一轮经济增长的突破口和实现交通能源转型的根本途径，已经成为世界各主要国家和汽车制造厂商共同的战略选择。世界汽车产业进入了全面的交通能源转型时期，电动汽车进入了加速发展的新阶段。</w:t>
      </w:r>
    </w:p>
    <w:p w:rsidR="00337093" w:rsidP="00337093">
      <w:pPr>
        <w:ind w:firstLine="560" w:firstLineChars="200"/>
        <w:rPr>
          <w:rFonts w:hint="eastAsia"/>
          <w:sz w:val="28"/>
          <w:szCs w:val="28"/>
        </w:rPr>
      </w:pPr>
      <w:r>
        <w:rPr>
          <w:rFonts w:hint="eastAsia"/>
          <w:sz w:val="28"/>
          <w:szCs w:val="28"/>
        </w:rPr>
        <w:t>国务院关于印发节能与新能源汽车产业发展规划（2012</w:t>
      </w:r>
      <w:r>
        <w:rPr>
          <w:rFonts w:hint="eastAsia"/>
          <w:sz w:val="28"/>
          <w:szCs w:val="28"/>
        </w:rPr>
        <w:t>―</w:t>
      </w:r>
      <w:r>
        <w:rPr>
          <w:rFonts w:hint="eastAsia"/>
          <w:sz w:val="28"/>
          <w:szCs w:val="28"/>
        </w:rPr>
        <w:t>2020年）的通知：</w:t>
      </w:r>
    </w:p>
    <w:p w:rsidR="00337093" w:rsidP="00337093">
      <w:pPr>
        <w:ind w:firstLine="560" w:firstLineChars="200"/>
        <w:rPr>
          <w:rFonts w:hint="eastAsia"/>
          <w:sz w:val="28"/>
          <w:szCs w:val="28"/>
        </w:rPr>
      </w:pPr>
      <w:r>
        <w:rPr>
          <w:rFonts w:hint="eastAsia"/>
          <w:sz w:val="28"/>
          <w:szCs w:val="28"/>
        </w:rPr>
        <w:t>新能源汽车是指采用新型动力系统，完全或主要依靠新型能源驱动的汽车，本规划所指新能源汽车主要包括纯电动汽车、插电式混合动力汽车及燃料电池汽车。节能汽车是指以内燃机为主要动力系统，综合工况燃料消耗量优于下一阶段目标值的汽车。发展节能与新能源汽车是降低汽车燃料消耗量，缓解燃油供求矛盾，减少尾气排放，改善大气环境，促进汽车产业技术进步和优化升级的重要举措。</w:t>
      </w:r>
    </w:p>
    <w:p w:rsidR="00337093" w:rsidP="00337093">
      <w:pPr>
        <w:ind w:firstLine="560" w:firstLineChars="200"/>
        <w:rPr>
          <w:rFonts w:hint="eastAsia"/>
          <w:sz w:val="28"/>
          <w:szCs w:val="28"/>
        </w:rPr>
        <w:sectPr>
          <w:headerReference w:type="default" r:id="rId40"/>
          <w:footerReference w:type="even" r:id="rId41"/>
          <w:footerReference w:type="default" r:id="rId42"/>
          <w:headerReference w:type="first" r:id="rId43"/>
          <w:pgSz w:w="11906" w:h="16838"/>
          <w:pgMar w:top="1418" w:right="1418" w:bottom="1418" w:left="1701" w:header="964" w:footer="964" w:gutter="0"/>
          <w:pgNumType w:fmt="numberInDash" w:start="8"/>
          <w:cols w:space="720"/>
          <w:docGrid w:type="linesAndChars" w:linePitch="291" w:charSpace="3135"/>
        </w:sectPr>
      </w:pPr>
    </w:p>
    <w:p w:rsidR="00337093" w:rsidP="00337093">
      <w:pPr>
        <w:ind w:firstLine="560" w:firstLineChars="200"/>
        <w:rPr>
          <w:rFonts w:hint="eastAsia"/>
          <w:sz w:val="28"/>
          <w:szCs w:val="28"/>
        </w:rPr>
      </w:pPr>
      <w:r>
        <w:rPr>
          <w:rFonts w:hint="eastAsia"/>
          <w:sz w:val="28"/>
          <w:szCs w:val="28"/>
        </w:rPr>
        <w:t>我国新能源汽车经过近10年的研究开发和示范运行，基本具备产业化发展基础，电池、电机、电子控制和系统集成等关键技术取得重大进步，纯电动汽车和插电式混合动力汽车开始小规模投放市场。近年来，汽车节能技术推广应用也取得积极进展，通过实施乘用车燃料消耗量限值标准和鼓励购买小排量汽车的财税政策等措施，先进内燃机、高效变速器、轻量化材料、整车优化设计以及混合动力等节能技术和产品得到大力推广，汽车平均燃料消耗量明显降低；天然气等替代燃料汽车技术基本成熟并初步实现产业化，形成了一定市场规模。但总体上看，我国新能源汽车整车和部分核心零部件关键技术尚未突破，产品成本高，社会配套体系不完善，产业化和市场化发展受到制约；汽车节能关键核心技术尚未完全掌握，燃料经济性与国际先进水平相比还有一定差距，节能型小排量汽车市场占有率偏低。</w:t>
      </w:r>
    </w:p>
    <w:p w:rsidR="00337093" w:rsidP="00337093">
      <w:pPr>
        <w:ind w:firstLine="560" w:firstLineChars="200"/>
        <w:rPr>
          <w:rFonts w:hint="eastAsia"/>
          <w:sz w:val="28"/>
          <w:szCs w:val="28"/>
        </w:rPr>
      </w:pPr>
      <w:r>
        <w:rPr>
          <w:rFonts w:hint="eastAsia"/>
          <w:sz w:val="28"/>
          <w:szCs w:val="28"/>
        </w:rPr>
        <w:t>为应对日益突出的燃油供求矛盾和环境污染问题，世界主要汽车生产国纷纷加快部署，将发展新能源汽车作为国家战略，加快推进技术研发和产业化，同时大力发展和推广应用汽车节能技术。节能与新能源汽车已成为国际汽车产业的发展方向，未来10年将迎来全球汽车产业转型升级的重要战略机遇期。目前我国汽车产销规模已居世界首位，预计在未来一段时期仍将持续增长，必须抓住机遇、抓紧部署，加快培育和发展节能与新能源汽车产业，促进汽车产业优化升级，实现由汽车工业大国向汽车工业强国转变。</w:t>
      </w:r>
    </w:p>
    <w:p w:rsidR="00337093" w:rsidP="00337093">
      <w:pPr>
        <w:ind w:firstLine="560" w:firstLineChars="200"/>
        <w:rPr>
          <w:rFonts w:hint="eastAsia"/>
          <w:sz w:val="28"/>
          <w:szCs w:val="28"/>
        </w:rPr>
      </w:pPr>
      <w:r>
        <w:rPr>
          <w:rFonts w:hint="eastAsia"/>
          <w:sz w:val="28"/>
          <w:szCs w:val="28"/>
        </w:rPr>
        <w:t>新能源汽车尚处于产业化初期，需要加大政策支持力度，积极开展推广试点示范，加快培育市场，推动技术进步和产业发展。节能汽车已具备产业化基础，需要综合采用标准约束、财税支持等措施加以推广普及。</w:t>
      </w:r>
    </w:p>
    <w:p w:rsidR="00337093" w:rsidP="00337093">
      <w:pPr>
        <w:ind w:firstLine="560" w:firstLineChars="200"/>
        <w:rPr>
          <w:rFonts w:hint="eastAsia"/>
          <w:sz w:val="28"/>
          <w:szCs w:val="28"/>
        </w:rPr>
        <w:sectPr>
          <w:headerReference w:type="default" r:id="rId44"/>
          <w:footerReference w:type="even" r:id="rId45"/>
          <w:footerReference w:type="default" r:id="rId46"/>
          <w:headerReference w:type="first" r:id="rId47"/>
          <w:type w:val="nextPage"/>
          <w:pgSz w:w="11906" w:h="16838"/>
          <w:pgMar w:top="1418" w:right="1418" w:bottom="1418" w:left="1701" w:header="964" w:footer="964" w:gutter="0"/>
          <w:pgNumType w:fmt="numberInDash" w:start="9"/>
          <w:cols w:space="720"/>
          <w:titlePg w:val="0"/>
          <w:docGrid w:type="linesAndChars" w:linePitch="291" w:charSpace="3135"/>
        </w:sectPr>
      </w:pPr>
    </w:p>
    <w:p w:rsidR="00337093" w:rsidP="00337093">
      <w:pPr>
        <w:ind w:firstLine="560" w:firstLineChars="200"/>
        <w:rPr>
          <w:rFonts w:hint="eastAsia"/>
          <w:sz w:val="28"/>
          <w:szCs w:val="28"/>
        </w:rPr>
      </w:pPr>
      <w:r>
        <w:rPr>
          <w:rFonts w:hint="eastAsia"/>
          <w:sz w:val="28"/>
          <w:szCs w:val="28"/>
        </w:rPr>
        <w:t>扎实推进新能源汽车试点示范。在大中型城市扩大公共服务领域新能源汽车示范推广范围，开展私人购买新能源汽车补贴试点，重点在国家确定的试点城市集中开展新能源汽车产品性能验证及生产使用、售后服务、电池回收利用的综合评价。探索具有商业可行性的市场推广模式，协调发展充电设施，形成试点带动技术进步和产业发展的有效机制。</w:t>
      </w:r>
    </w:p>
    <w:p w:rsidR="00337093" w:rsidP="00337093">
      <w:pPr>
        <w:ind w:firstLine="560" w:firstLineChars="200"/>
        <w:rPr>
          <w:rFonts w:hint="eastAsia"/>
          <w:sz w:val="28"/>
          <w:szCs w:val="28"/>
        </w:rPr>
      </w:pPr>
      <w:r>
        <w:rPr>
          <w:rFonts w:hint="eastAsia"/>
          <w:sz w:val="28"/>
          <w:szCs w:val="28"/>
        </w:rPr>
        <w:t>探索新能源汽车及电池租赁、充换电服务等多种商业模式，形成一批优质的新能源汽车服务企业。继续开展燃料电池汽车运行示范，提高燃料电池系统的可靠性和耐久性，带动氢的制备、储运和加注技术发展。</w:t>
      </w:r>
    </w:p>
    <w:p w:rsidR="00337093" w:rsidP="00337093">
      <w:pPr>
        <w:ind w:firstLine="560" w:firstLineChars="200"/>
        <w:rPr>
          <w:rFonts w:hint="eastAsia"/>
          <w:sz w:val="28"/>
          <w:szCs w:val="28"/>
        </w:rPr>
      </w:pPr>
      <w:smartTag w:uri="urn:schemas-microsoft-com:office:smarttags" w:element="chsdate">
        <w:smartTagPr>
          <w:attr w:name="Day" w:val="21"/>
          <w:attr w:name="IsLunarDate" w:val="False"/>
          <w:attr w:name="IsROCDate" w:val="False"/>
          <w:attr w:name="Month" w:val="7"/>
          <w:attr w:name="Year" w:val="2014"/>
        </w:smartTagPr>
        <w:r>
          <w:rPr>
            <w:rFonts w:hint="eastAsia"/>
            <w:sz w:val="28"/>
            <w:szCs w:val="28"/>
          </w:rPr>
          <w:t>2014年7月21日</w:t>
        </w:r>
      </w:smartTag>
      <w:r>
        <w:rPr>
          <w:rFonts w:hint="eastAsia"/>
          <w:sz w:val="28"/>
          <w:szCs w:val="28"/>
        </w:rPr>
        <w:t>，国务院办公厅发布《关于加快新能源汽车推广应用的指导意见》</w:t>
      </w:r>
      <w:r>
        <w:rPr>
          <w:sz w:val="28"/>
          <w:szCs w:val="28"/>
        </w:rPr>
        <w:t> </w:t>
      </w:r>
      <w:r>
        <w:rPr>
          <w:rFonts w:hint="eastAsia"/>
          <w:sz w:val="28"/>
          <w:szCs w:val="28"/>
        </w:rPr>
        <w:t>：贯彻落实发展新能源汽车的国家战略，以纯电驱动为新能源汽车发展的主要战略取向，重点发展纯电动汽车、插电式(含增程式)混合动力汽车和燃料电池汽车，以市场主导和政府扶持相结合，建立长期稳定的新能源汽车发展政策体系，创造良好发展环境，加快培育市场，促进新能源汽车产业健康快速发展。</w:t>
      </w:r>
    </w:p>
    <w:p w:rsidR="00337093" w:rsidP="00337093">
      <w:pPr>
        <w:ind w:firstLine="560" w:firstLineChars="200"/>
        <w:rPr>
          <w:rFonts w:hint="eastAsia"/>
          <w:sz w:val="28"/>
          <w:szCs w:val="28"/>
        </w:rPr>
      </w:pPr>
      <w:r>
        <w:rPr>
          <w:rFonts w:hint="eastAsia"/>
          <w:sz w:val="28"/>
          <w:szCs w:val="28"/>
        </w:rPr>
        <w:t>政府引导，市场竞争拉动。地方政府要相应制定新能源汽车推广应用规划，促进形成统一、竞争、有序的市场环境。建立和规范市场准入标准，鼓励社会资本参与新能源汽车生产和充电运营服务。</w:t>
      </w:r>
    </w:p>
    <w:p w:rsidR="00337093" w:rsidP="00337093">
      <w:pPr>
        <w:ind w:firstLine="560" w:firstLineChars="200"/>
        <w:rPr>
          <w:rFonts w:hint="eastAsia"/>
          <w:sz w:val="28"/>
          <w:szCs w:val="28"/>
        </w:rPr>
      </w:pPr>
      <w:r>
        <w:rPr>
          <w:rFonts w:hint="eastAsia"/>
          <w:sz w:val="28"/>
          <w:szCs w:val="28"/>
        </w:rPr>
        <w:t>双管齐下，公共服务带动。把公共服务领域用车作为新能源汽车推广应用的突破口，扩大公共机构采购新能源汽车的规模，通过示范使用增强社会信心，降低购买使用成本，引导个人消费，形成良性循环。</w:t>
      </w:r>
    </w:p>
    <w:p w:rsidR="00337093" w:rsidP="00337093">
      <w:pPr>
        <w:ind w:firstLine="560" w:firstLineChars="200"/>
        <w:rPr>
          <w:rFonts w:hint="eastAsia"/>
          <w:sz w:val="28"/>
          <w:szCs w:val="28"/>
        </w:rPr>
        <w:sectPr>
          <w:headerReference w:type="default" r:id="rId48"/>
          <w:footerReference w:type="even" r:id="rId49"/>
          <w:footerReference w:type="default" r:id="rId50"/>
          <w:headerReference w:type="first" r:id="rId51"/>
          <w:type w:val="nextPage"/>
          <w:pgSz w:w="11906" w:h="16838"/>
          <w:pgMar w:top="1418" w:right="1418" w:bottom="1418" w:left="1701" w:header="964" w:footer="964" w:gutter="0"/>
          <w:pgNumType w:fmt="numberInDash" w:start="10"/>
          <w:cols w:space="720"/>
          <w:titlePg w:val="0"/>
          <w:docGrid w:type="linesAndChars" w:linePitch="291" w:charSpace="3135"/>
        </w:sectPr>
      </w:pPr>
    </w:p>
    <w:p w:rsidR="00337093" w:rsidP="00337093">
      <w:pPr>
        <w:ind w:firstLine="560" w:firstLineChars="200"/>
        <w:rPr>
          <w:rFonts w:hint="eastAsia"/>
          <w:sz w:val="28"/>
          <w:szCs w:val="28"/>
        </w:rPr>
      </w:pPr>
      <w:r>
        <w:rPr>
          <w:rFonts w:hint="eastAsia"/>
          <w:sz w:val="28"/>
          <w:szCs w:val="28"/>
        </w:rPr>
        <w:t>将充电设施建设和配套电网建设与改造纳入城市规划，完善相关工程建设标准，明确建筑物配建停车场、城市公共停车场预留充电设施建设条件的要求和比例。加快形成以使用者居住地、驻地停车位(基本车位)配建充电设施为主体，以城市公共停车位、路内临时停车位配建充电设施为辅助，以城市充电站、换电站为补充的，数量适度超前、布局合理的充电设施服务体系。研究在高速公路服务区配建充电设施，积极构建高速公路城际快充网络。</w:t>
      </w:r>
    </w:p>
    <w:p w:rsidR="00337093" w:rsidP="00337093">
      <w:pPr>
        <w:ind w:firstLine="560" w:firstLineChars="200"/>
        <w:rPr>
          <w:rFonts w:hint="eastAsia"/>
          <w:sz w:val="28"/>
          <w:szCs w:val="28"/>
        </w:rPr>
      </w:pPr>
      <w:r>
        <w:rPr>
          <w:rFonts w:hint="eastAsia"/>
          <w:sz w:val="28"/>
          <w:szCs w:val="28"/>
        </w:rPr>
        <w:t>扩大公共服务领域新能源汽车应用规模。各地区、各有关部门要在公交车、出租车等城市客运以及环卫、物流、机场通勤、公安巡逻等领域加大新能源汽车推广应用力度，制定机动车更新计划，不断提高新能源汽车运营比重。新能源汽车推广应用城市新增或更新车辆中的新能源汽车比例不低于30%。</w:t>
      </w:r>
    </w:p>
    <w:p w:rsidR="00337093" w:rsidP="00337093">
      <w:pPr>
        <w:ind w:firstLine="560" w:firstLineChars="200"/>
        <w:rPr>
          <w:rFonts w:hint="eastAsia"/>
          <w:sz w:val="28"/>
          <w:szCs w:val="28"/>
        </w:rPr>
      </w:pPr>
      <w:r>
        <w:rPr>
          <w:rFonts w:hint="eastAsia"/>
          <w:sz w:val="28"/>
          <w:szCs w:val="28"/>
        </w:rPr>
        <w:t>2、社会背景</w:t>
      </w:r>
    </w:p>
    <w:p w:rsidR="00337093" w:rsidP="00337093">
      <w:pPr>
        <w:ind w:firstLine="560" w:firstLineChars="200"/>
        <w:rPr>
          <w:rFonts w:hint="eastAsia"/>
          <w:sz w:val="28"/>
          <w:szCs w:val="28"/>
        </w:rPr>
      </w:pPr>
      <w:r>
        <w:rPr>
          <w:rFonts w:hint="eastAsia"/>
          <w:sz w:val="28"/>
          <w:szCs w:val="28"/>
        </w:rPr>
        <w:t>我国正处于人均GDP超过3000美元的重要时期，经过改革开放30多年来的发展，居民积蓄不断增多，外出旅游、商务活动等日益活跃，私家车需求数量急剧增加，高速公路通车里程也不断刷新纪录。在此背景下，发展新能源电动汽车具有广阔的市场和便利的条件。</w:t>
      </w:r>
    </w:p>
    <w:p w:rsidR="00337093" w:rsidP="00337093">
      <w:pPr>
        <w:ind w:firstLine="560" w:firstLineChars="200"/>
        <w:rPr>
          <w:rFonts w:hint="eastAsia"/>
          <w:sz w:val="28"/>
          <w:szCs w:val="28"/>
        </w:rPr>
      </w:pPr>
      <w:r>
        <w:rPr>
          <w:rFonts w:hint="eastAsia"/>
          <w:sz w:val="28"/>
          <w:szCs w:val="28"/>
        </w:rPr>
        <w:t>3、生态背景</w:t>
      </w:r>
    </w:p>
    <w:p w:rsidR="00337093" w:rsidP="00337093">
      <w:pPr>
        <w:ind w:firstLine="560" w:firstLineChars="200"/>
        <w:rPr>
          <w:rFonts w:hint="eastAsia"/>
          <w:sz w:val="28"/>
          <w:szCs w:val="28"/>
        </w:rPr>
      </w:pPr>
      <w:r>
        <w:rPr>
          <w:rFonts w:hint="eastAsia"/>
          <w:sz w:val="28"/>
          <w:szCs w:val="28"/>
        </w:rPr>
        <w:t>近年来，党和国家日益重视科学发展，原来以破坏环境换取经济增长的发展模式日渐被科学发展观所取代，建设资源节约型、环境友好型社会已成为国家一项发展战略。</w:t>
      </w:r>
    </w:p>
    <w:p w:rsidR="00337093" w:rsidP="00337093">
      <w:pPr>
        <w:ind w:firstLine="560" w:firstLineChars="200"/>
        <w:rPr>
          <w:rFonts w:hint="eastAsia"/>
          <w:sz w:val="28"/>
          <w:szCs w:val="28"/>
        </w:rPr>
      </w:pPr>
      <w:r>
        <w:rPr>
          <w:rFonts w:hint="eastAsia"/>
          <w:sz w:val="28"/>
          <w:szCs w:val="28"/>
        </w:rPr>
        <w:t>4、科技背景</w:t>
      </w:r>
    </w:p>
    <w:p w:rsidR="00337093" w:rsidP="00337093">
      <w:pPr>
        <w:ind w:firstLine="560" w:firstLineChars="200"/>
        <w:rPr>
          <w:rFonts w:hint="eastAsia"/>
          <w:sz w:val="28"/>
          <w:szCs w:val="28"/>
        </w:rPr>
        <w:sectPr>
          <w:headerReference w:type="default" r:id="rId52"/>
          <w:footerReference w:type="even" r:id="rId53"/>
          <w:footerReference w:type="default" r:id="rId54"/>
          <w:headerReference w:type="first" r:id="rId55"/>
          <w:type w:val="nextPage"/>
          <w:pgSz w:w="11906" w:h="16838"/>
          <w:pgMar w:top="1418" w:right="1418" w:bottom="1418" w:left="1701" w:header="964" w:footer="964" w:gutter="0"/>
          <w:pgNumType w:fmt="numberInDash" w:start="11"/>
          <w:cols w:space="720"/>
          <w:titlePg w:val="0"/>
          <w:docGrid w:type="linesAndChars" w:linePitch="291" w:charSpace="3135"/>
        </w:sectPr>
      </w:pPr>
    </w:p>
    <w:p w:rsidR="00337093" w:rsidP="00337093">
      <w:pPr>
        <w:ind w:firstLine="560" w:firstLineChars="200"/>
        <w:rPr>
          <w:rFonts w:hint="eastAsia"/>
          <w:sz w:val="28"/>
          <w:szCs w:val="28"/>
        </w:rPr>
      </w:pPr>
      <w:r>
        <w:rPr>
          <w:rFonts w:hint="eastAsia"/>
          <w:sz w:val="28"/>
          <w:szCs w:val="28"/>
        </w:rPr>
        <w:t>随着科技的不断成熟，制约新能源电动汽车的关键技术已经被攻破，新能源电动汽车技术日臻成熟：动力电池关键技术的研发取得一定的突破，电动汽车整车控制系统及电池管理系统成功应用于实际。新能源电动汽车产业是以电动车的生产、运行为核心的高技术产业群，这样的一个产业群包括电动车、电动机、电控系统，动力电池、电源管理、能量回收；还有正极材料、负极材料、电解液、膜的制作工艺；以及电池回收、电池复用、资源再生，最后还包括供电系统、充电设施、充电服务。</w:t>
      </w:r>
    </w:p>
    <w:p w:rsidR="00337093" w:rsidP="00337093">
      <w:pPr>
        <w:ind w:firstLine="560" w:firstLineChars="200"/>
        <w:rPr>
          <w:rFonts w:hint="eastAsia"/>
          <w:sz w:val="28"/>
          <w:szCs w:val="28"/>
        </w:rPr>
      </w:pPr>
      <w:r>
        <w:rPr>
          <w:rFonts w:hint="eastAsia"/>
          <w:sz w:val="28"/>
          <w:szCs w:val="28"/>
        </w:rPr>
        <w:t>汽车产业是践行</w:t>
      </w:r>
      <w:r>
        <w:rPr>
          <w:rFonts w:hint="eastAsia"/>
          <w:sz w:val="28"/>
          <w:szCs w:val="28"/>
        </w:rPr>
        <w:t>“</w:t>
      </w:r>
      <w:r>
        <w:rPr>
          <w:rFonts w:hint="eastAsia"/>
          <w:sz w:val="28"/>
          <w:szCs w:val="28"/>
        </w:rPr>
        <w:t>低碳</w:t>
      </w:r>
      <w:r>
        <w:rPr>
          <w:rFonts w:hint="eastAsia"/>
          <w:sz w:val="28"/>
          <w:szCs w:val="28"/>
        </w:rPr>
        <w:t>”</w:t>
      </w:r>
      <w:r>
        <w:rPr>
          <w:rFonts w:hint="eastAsia"/>
          <w:sz w:val="28"/>
          <w:szCs w:val="28"/>
        </w:rPr>
        <w:t>经济的重要领地。在各种新能源汽车技术路线的角逐中，电动汽车已经成为我国新能源汽车发展的主力方向。当电动汽车产业化条件日趋成熟，产业链蕴藏的巨大商机也将同时浮出水面。</w:t>
      </w:r>
    </w:p>
    <w:p w:rsidR="00337093">
      <w:pPr>
        <w:pStyle w:val="Heading2"/>
        <w:spacing w:before="60" w:after="60" w:line="240" w:lineRule="auto"/>
        <w:rPr>
          <w:rFonts w:ascii="Times New Roman" w:eastAsia="宋体" w:hAnsi="Times New Roman"/>
          <w:b/>
        </w:rPr>
      </w:pPr>
      <w:bookmarkStart w:id="210" w:name="_Toc86953873"/>
      <w:bookmarkStart w:id="211" w:name="_Toc88645106"/>
      <w:bookmarkStart w:id="212" w:name="_Toc88653554"/>
      <w:bookmarkStart w:id="213" w:name="_Toc88901225"/>
      <w:bookmarkStart w:id="214" w:name="_Toc88904282"/>
      <w:bookmarkStart w:id="215" w:name="_Toc88905508"/>
      <w:bookmarkStart w:id="216" w:name="_Toc88906708"/>
      <w:bookmarkStart w:id="217" w:name="_Toc90350695"/>
      <w:bookmarkStart w:id="218" w:name="_Toc139166450"/>
      <w:bookmarkStart w:id="219" w:name="_Toc139166525"/>
      <w:bookmarkStart w:id="220" w:name="_Toc349743472"/>
      <w:bookmarkStart w:id="221" w:name="_Toc350929452"/>
      <w:bookmarkStart w:id="222" w:name="_Toc350951340"/>
      <w:bookmarkStart w:id="223" w:name="_Toc350955794"/>
      <w:bookmarkStart w:id="224" w:name="_Toc351621597"/>
      <w:bookmarkStart w:id="225" w:name="_Toc351627281"/>
      <w:bookmarkStart w:id="226" w:name="_Toc352076357"/>
      <w:bookmarkStart w:id="227" w:name="_Toc352315174"/>
      <w:bookmarkStart w:id="228" w:name="_Toc353204208"/>
      <w:bookmarkStart w:id="229" w:name="_Toc353289474"/>
      <w:bookmarkStart w:id="230" w:name="_Toc387324656"/>
      <w:bookmarkStart w:id="231" w:name="_Toc387332151"/>
      <w:bookmarkStart w:id="232" w:name="_Toc398212112"/>
      <w:bookmarkStart w:id="233" w:name="_Toc398300237"/>
      <w:bookmarkStart w:id="234" w:name="_Toc398303287"/>
      <w:bookmarkStart w:id="235" w:name="_Toc402271132"/>
      <w:bookmarkStart w:id="236" w:name="_Toc402876339"/>
      <w:bookmarkStart w:id="237" w:name="_Toc402944622"/>
      <w:bookmarkStart w:id="238" w:name="_Toc403379787"/>
      <w:bookmarkStart w:id="239" w:name="_Toc403464061"/>
      <w:bookmarkStart w:id="240" w:name="_Toc403464275"/>
      <w:bookmarkStart w:id="241" w:name="_Toc404156115"/>
      <w:bookmarkStart w:id="242" w:name="_Toc449530774"/>
      <w:r>
        <w:rPr>
          <w:rFonts w:ascii="Times New Roman" w:eastAsia="宋体" w:hAnsi="Times New Roman"/>
          <w:b/>
        </w:rPr>
        <w:t>2.2</w:t>
      </w:r>
      <w:r>
        <w:rPr>
          <w:rFonts w:ascii="Times New Roman" w:eastAsia="宋体" w:hAnsi="宋体"/>
          <w:b/>
        </w:rPr>
        <w:t>投资的</w:t>
      </w:r>
      <w:bookmarkEnd w:id="210"/>
      <w:bookmarkEnd w:id="211"/>
      <w:bookmarkEnd w:id="212"/>
      <w:bookmarkEnd w:id="213"/>
      <w:bookmarkEnd w:id="214"/>
      <w:bookmarkEnd w:id="215"/>
      <w:bookmarkEnd w:id="216"/>
      <w:bookmarkEnd w:id="217"/>
      <w:bookmarkEnd w:id="218"/>
      <w:bookmarkEnd w:id="219"/>
      <w:r>
        <w:rPr>
          <w:rFonts w:ascii="Times New Roman" w:eastAsia="宋体" w:hAnsi="宋体"/>
          <w:b/>
        </w:rPr>
        <w:t>必要性</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p>
    <w:p w:rsidR="00337093">
      <w:pPr>
        <w:pStyle w:val="Heading3"/>
        <w:spacing w:before="0" w:after="0" w:line="240" w:lineRule="auto"/>
        <w:rPr>
          <w:rFonts w:eastAsia="宋体"/>
          <w:b/>
          <w:sz w:val="32"/>
        </w:rPr>
      </w:pPr>
      <w:smartTag w:uri="urn:schemas-microsoft-com:office:smarttags" w:element="chsdate">
        <w:smartTagPr>
          <w:attr w:name="Day" w:val="30"/>
          <w:attr w:name="IsLunarDate" w:val="False"/>
          <w:attr w:name="IsROCDate" w:val="False"/>
          <w:attr w:name="Month" w:val="12"/>
          <w:attr w:name="Year" w:val="1899"/>
        </w:smartTagPr>
        <w:r>
          <w:rPr>
            <w:rFonts w:eastAsia="宋体" w:hint="eastAsia"/>
            <w:b/>
            <w:sz w:val="32"/>
          </w:rPr>
          <w:t>2.2.1</w:t>
        </w:r>
      </w:smartTag>
      <w:r>
        <w:rPr>
          <w:rFonts w:eastAsia="宋体" w:hint="eastAsia"/>
          <w:b/>
          <w:sz w:val="32"/>
        </w:rPr>
        <w:t>直接推动XX市</w:t>
      </w:r>
      <w:r>
        <w:rPr>
          <w:rFonts w:eastAsia="宋体"/>
          <w:b/>
          <w:sz w:val="32"/>
        </w:rPr>
        <w:t>新能源电动汽车产业</w:t>
      </w:r>
      <w:r>
        <w:rPr>
          <w:rFonts w:eastAsia="宋体" w:hint="eastAsia"/>
          <w:b/>
          <w:sz w:val="32"/>
        </w:rPr>
        <w:t>发展和完善</w:t>
      </w:r>
      <w:r>
        <w:rPr>
          <w:rFonts w:eastAsia="宋体"/>
          <w:b/>
          <w:sz w:val="32"/>
        </w:rPr>
        <w:t xml:space="preserve"> </w:t>
      </w:r>
    </w:p>
    <w:p w:rsidR="00337093" w:rsidP="00337093">
      <w:pPr>
        <w:ind w:firstLine="560" w:firstLineChars="200"/>
        <w:rPr>
          <w:rFonts w:hint="eastAsia"/>
          <w:sz w:val="28"/>
          <w:szCs w:val="28"/>
        </w:rPr>
      </w:pPr>
      <w:r>
        <w:rPr>
          <w:sz w:val="28"/>
          <w:szCs w:val="28"/>
        </w:rPr>
        <w:t>新能源电动汽车产业是以电动车的生产、运行为核心的高技术产业群，</w:t>
      </w:r>
      <w:r>
        <w:rPr>
          <w:rFonts w:hint="eastAsia"/>
          <w:sz w:val="28"/>
          <w:szCs w:val="28"/>
        </w:rPr>
        <w:t>学科涉及机械、动力、材料、电力等方面</w:t>
      </w:r>
      <w:r>
        <w:rPr>
          <w:sz w:val="28"/>
          <w:szCs w:val="28"/>
        </w:rPr>
        <w:t>。</w:t>
      </w:r>
      <w:r>
        <w:rPr>
          <w:rFonts w:hint="eastAsia"/>
          <w:sz w:val="28"/>
          <w:szCs w:val="28"/>
        </w:rPr>
        <w:t>城市公共交通是新能源汽车推广的最前沿阵地，在这个产业群中，充电站的建设具有举足轻重的影响，是整个新能源电动汽车产业链条中重要的一环，直接关系到</w:t>
      </w:r>
      <w:r>
        <w:rPr>
          <w:sz w:val="28"/>
          <w:szCs w:val="28"/>
        </w:rPr>
        <w:t>新能源汽车</w:t>
      </w:r>
      <w:r>
        <w:rPr>
          <w:rFonts w:hint="eastAsia"/>
          <w:sz w:val="28"/>
          <w:szCs w:val="28"/>
        </w:rPr>
        <w:t>能否由实验阶段进入</w:t>
      </w:r>
      <w:r>
        <w:rPr>
          <w:sz w:val="28"/>
          <w:szCs w:val="28"/>
        </w:rPr>
        <w:t>示范推广应用</w:t>
      </w:r>
      <w:r>
        <w:rPr>
          <w:rFonts w:hint="eastAsia"/>
          <w:sz w:val="28"/>
          <w:szCs w:val="28"/>
        </w:rPr>
        <w:t>阶段，关系到整个新能源电动汽车产业能否兴旺发展。通过充电桩网点的建设，不仅能够普及电动汽车知识，提高社会对电动汽车的认知和接受度，具有明显的示范意义，而且能够直接推动XX市</w:t>
      </w:r>
      <w:r>
        <w:rPr>
          <w:sz w:val="28"/>
          <w:szCs w:val="28"/>
        </w:rPr>
        <w:t>新能源电动汽车产业</w:t>
      </w:r>
      <w:r>
        <w:rPr>
          <w:rFonts w:hint="eastAsia"/>
          <w:sz w:val="28"/>
          <w:szCs w:val="28"/>
        </w:rPr>
        <w:t>的发展和完善。</w:t>
      </w:r>
    </w:p>
    <w:p w:rsidR="00337093">
      <w:pPr>
        <w:pStyle w:val="Heading3"/>
        <w:spacing w:before="0" w:after="0" w:line="240" w:lineRule="auto"/>
        <w:rPr>
          <w:rFonts w:eastAsia="宋体" w:hint="eastAsia"/>
          <w:b/>
          <w:sz w:val="32"/>
        </w:rPr>
      </w:pPr>
      <w:smartTag w:uri="urn:schemas-microsoft-com:office:smarttags" w:element="chsdate">
        <w:smartTagPr>
          <w:attr w:name="Day" w:val="30"/>
          <w:attr w:name="IsLunarDate" w:val="False"/>
          <w:attr w:name="IsROCDate" w:val="False"/>
          <w:attr w:name="Month" w:val="12"/>
          <w:attr w:name="Year" w:val="1899"/>
        </w:smartTagPr>
        <w:r>
          <w:rPr>
            <w:rFonts w:eastAsia="宋体" w:hint="eastAsia"/>
            <w:b/>
            <w:sz w:val="32"/>
          </w:rPr>
          <w:t>2.2.2</w:t>
        </w:r>
      </w:smartTag>
      <w:r>
        <w:rPr>
          <w:rFonts w:eastAsia="宋体" w:hint="eastAsia"/>
          <w:b/>
          <w:sz w:val="32"/>
        </w:rPr>
        <w:t>降低了污染</w:t>
      </w:r>
    </w:p>
    <w:p w:rsidR="00337093" w:rsidP="00337093">
      <w:pPr>
        <w:ind w:firstLine="560" w:firstLineChars="200"/>
        <w:rPr>
          <w:rFonts w:hint="eastAsia"/>
          <w:sz w:val="28"/>
          <w:szCs w:val="28"/>
        </w:rPr>
        <w:sectPr>
          <w:headerReference w:type="default" r:id="rId56"/>
          <w:footerReference w:type="even" r:id="rId57"/>
          <w:footerReference w:type="default" r:id="rId58"/>
          <w:headerReference w:type="first" r:id="rId59"/>
          <w:type w:val="nextPage"/>
          <w:pgSz w:w="11906" w:h="16838"/>
          <w:pgMar w:top="1418" w:right="1418" w:bottom="1418" w:left="1701" w:header="964" w:footer="964" w:gutter="0"/>
          <w:pgNumType w:fmt="numberInDash" w:start="12"/>
          <w:cols w:space="720"/>
          <w:titlePg w:val="0"/>
          <w:docGrid w:type="linesAndChars" w:linePitch="291" w:charSpace="3135"/>
        </w:sectPr>
      </w:pPr>
    </w:p>
    <w:p w:rsidR="00337093" w:rsidP="00337093">
      <w:pPr>
        <w:ind w:firstLine="560" w:firstLineChars="200"/>
        <w:rPr>
          <w:rFonts w:hint="eastAsia"/>
          <w:sz w:val="28"/>
          <w:szCs w:val="28"/>
        </w:rPr>
      </w:pPr>
      <w:r>
        <w:rPr>
          <w:rFonts w:hint="eastAsia"/>
          <w:sz w:val="28"/>
          <w:szCs w:val="28"/>
        </w:rPr>
        <w:t>纯电动汽车从本质上讲是一种零排放汽车，一般无直接排放污染物，间接的污染物主要产生于发电和电池废弃物。就电池废弃物来讲，回收技术也逐渐成熟，且目前新型蓄电池也朝着污染低、安全性好的方向发展。因此无论从直接还是间接污染来说，纯电动汽车均是理想的</w:t>
      </w:r>
      <w:r>
        <w:rPr>
          <w:rFonts w:hint="eastAsia"/>
          <w:sz w:val="28"/>
          <w:szCs w:val="28"/>
        </w:rPr>
        <w:t>“</w:t>
      </w:r>
      <w:r>
        <w:rPr>
          <w:rFonts w:hint="eastAsia"/>
          <w:sz w:val="28"/>
          <w:szCs w:val="28"/>
        </w:rPr>
        <w:t>清洁车辆</w:t>
      </w:r>
      <w:r>
        <w:rPr>
          <w:rFonts w:hint="eastAsia"/>
          <w:sz w:val="28"/>
          <w:szCs w:val="28"/>
        </w:rPr>
        <w:t>”</w:t>
      </w:r>
      <w:r>
        <w:rPr>
          <w:rFonts w:hint="eastAsia"/>
          <w:sz w:val="28"/>
          <w:szCs w:val="28"/>
        </w:rPr>
        <w:t>。从噪音的角度，相关资料显示电动汽车比同类燃油车辆低5分贝以上，大规模推广电动汽车将大幅度降低城市噪音。</w:t>
      </w:r>
    </w:p>
    <w:p w:rsidR="00337093">
      <w:pPr>
        <w:pStyle w:val="Heading3"/>
        <w:spacing w:before="0" w:after="0" w:line="240" w:lineRule="auto"/>
        <w:rPr>
          <w:rFonts w:eastAsia="宋体" w:hint="eastAsia"/>
          <w:b/>
          <w:sz w:val="32"/>
        </w:rPr>
      </w:pPr>
      <w:smartTag w:uri="urn:schemas-microsoft-com:office:smarttags" w:element="chsdate">
        <w:smartTagPr>
          <w:attr w:name="Day" w:val="30"/>
          <w:attr w:name="IsLunarDate" w:val="False"/>
          <w:attr w:name="IsROCDate" w:val="False"/>
          <w:attr w:name="Month" w:val="12"/>
          <w:attr w:name="Year" w:val="1899"/>
        </w:smartTagPr>
        <w:r>
          <w:rPr>
            <w:rFonts w:eastAsia="宋体" w:hint="eastAsia"/>
            <w:b/>
            <w:sz w:val="32"/>
          </w:rPr>
          <w:t>2.2.3</w:t>
        </w:r>
      </w:smartTag>
      <w:r>
        <w:rPr>
          <w:rFonts w:eastAsia="宋体" w:hint="eastAsia"/>
          <w:b/>
          <w:sz w:val="32"/>
        </w:rPr>
        <w:t>改善能源消耗结构</w:t>
      </w:r>
    </w:p>
    <w:p w:rsidR="00337093" w:rsidP="00337093">
      <w:pPr>
        <w:ind w:firstLine="560" w:firstLineChars="200"/>
        <w:rPr>
          <w:rFonts w:hint="eastAsia"/>
          <w:sz w:val="28"/>
          <w:szCs w:val="28"/>
        </w:rPr>
      </w:pPr>
      <w:r>
        <w:rPr>
          <w:sz w:val="28"/>
          <w:szCs w:val="28"/>
        </w:rPr>
        <w:t>中国</w:t>
      </w:r>
      <w:r>
        <w:rPr>
          <w:rFonts w:hint="eastAsia"/>
          <w:sz w:val="28"/>
          <w:szCs w:val="28"/>
        </w:rPr>
        <w:t>每年对</w:t>
      </w:r>
      <w:r>
        <w:rPr>
          <w:sz w:val="28"/>
          <w:szCs w:val="28"/>
        </w:rPr>
        <w:t>石油</w:t>
      </w:r>
      <w:r>
        <w:rPr>
          <w:rFonts w:hint="eastAsia"/>
          <w:sz w:val="28"/>
          <w:szCs w:val="28"/>
        </w:rPr>
        <w:t>的</w:t>
      </w:r>
      <w:r>
        <w:rPr>
          <w:sz w:val="28"/>
          <w:szCs w:val="28"/>
        </w:rPr>
        <w:t>需求增长量占全球需求增长量的41%，</w:t>
      </w:r>
      <w:r>
        <w:rPr>
          <w:rFonts w:hint="eastAsia"/>
          <w:sz w:val="28"/>
          <w:szCs w:val="28"/>
        </w:rPr>
        <w:t>而</w:t>
      </w:r>
      <w:r>
        <w:rPr>
          <w:sz w:val="28"/>
          <w:szCs w:val="28"/>
        </w:rPr>
        <w:t>新增石油需求</w:t>
      </w:r>
      <w:r>
        <w:rPr>
          <w:rFonts w:hint="eastAsia"/>
          <w:sz w:val="28"/>
          <w:szCs w:val="28"/>
        </w:rPr>
        <w:t>的</w:t>
      </w:r>
      <w:r>
        <w:rPr>
          <w:sz w:val="28"/>
          <w:szCs w:val="28"/>
        </w:rPr>
        <w:t>2/3用于交通运输业</w:t>
      </w:r>
      <w:r>
        <w:rPr>
          <w:rFonts w:hint="eastAsia"/>
          <w:sz w:val="28"/>
          <w:szCs w:val="28"/>
        </w:rPr>
        <w:t>；中国对石油的进口依存度已高达40-50%，每年需进口1.2-2亿吨石油，据测算，</w:t>
      </w:r>
      <w:r>
        <w:rPr>
          <w:sz w:val="28"/>
          <w:szCs w:val="28"/>
        </w:rPr>
        <w:t>进口的原油</w:t>
      </w:r>
      <w:r>
        <w:rPr>
          <w:rFonts w:hint="eastAsia"/>
          <w:sz w:val="28"/>
          <w:szCs w:val="28"/>
        </w:rPr>
        <w:t>有</w:t>
      </w:r>
      <w:r>
        <w:rPr>
          <w:sz w:val="28"/>
          <w:szCs w:val="28"/>
        </w:rPr>
        <w:t>30%</w:t>
      </w:r>
      <w:r>
        <w:rPr>
          <w:rFonts w:hint="eastAsia"/>
          <w:sz w:val="28"/>
          <w:szCs w:val="28"/>
        </w:rPr>
        <w:t>左右</w:t>
      </w:r>
      <w:r>
        <w:rPr>
          <w:sz w:val="28"/>
          <w:szCs w:val="28"/>
        </w:rPr>
        <w:t>被汽车消耗</w:t>
      </w:r>
      <w:r>
        <w:rPr>
          <w:rFonts w:hint="eastAsia"/>
          <w:sz w:val="28"/>
          <w:szCs w:val="28"/>
        </w:rPr>
        <w:t>掉</w:t>
      </w:r>
      <w:r>
        <w:rPr>
          <w:sz w:val="28"/>
          <w:szCs w:val="28"/>
        </w:rPr>
        <w:t>。</w:t>
      </w:r>
      <w:r>
        <w:rPr>
          <w:rFonts w:hint="eastAsia"/>
          <w:sz w:val="28"/>
          <w:szCs w:val="28"/>
        </w:rPr>
        <w:t>而电动汽车不用消耗石油，因此，</w:t>
      </w:r>
      <w:r>
        <w:rPr>
          <w:sz w:val="28"/>
          <w:szCs w:val="28"/>
        </w:rPr>
        <w:t>使用电动车辆对减少石油资源消耗具有举足轻重的影响</w:t>
      </w:r>
      <w:r>
        <w:rPr>
          <w:rFonts w:hint="eastAsia"/>
          <w:sz w:val="28"/>
          <w:szCs w:val="28"/>
        </w:rPr>
        <w:t>，对于建立资源节约型和环境友好型广西具有重要意义。</w:t>
      </w:r>
    </w:p>
    <w:p w:rsidR="00337093">
      <w:pPr>
        <w:pStyle w:val="Heading3"/>
        <w:spacing w:before="0" w:after="0" w:line="240" w:lineRule="auto"/>
        <w:rPr>
          <w:rFonts w:eastAsia="宋体" w:hint="eastAsia"/>
          <w:b/>
          <w:sz w:val="32"/>
        </w:rPr>
      </w:pPr>
      <w:smartTag w:uri="urn:schemas-microsoft-com:office:smarttags" w:element="chsdate">
        <w:smartTagPr>
          <w:attr w:name="Day" w:val="30"/>
          <w:attr w:name="IsLunarDate" w:val="False"/>
          <w:attr w:name="IsROCDate" w:val="False"/>
          <w:attr w:name="Month" w:val="12"/>
          <w:attr w:name="Year" w:val="1899"/>
        </w:smartTagPr>
        <w:r>
          <w:rPr>
            <w:rFonts w:eastAsia="宋体" w:hint="eastAsia"/>
            <w:b/>
            <w:sz w:val="32"/>
          </w:rPr>
          <w:t>2.2.4</w:t>
        </w:r>
      </w:smartTag>
      <w:r>
        <w:rPr>
          <w:rFonts w:eastAsia="宋体" w:hint="eastAsia"/>
          <w:b/>
          <w:sz w:val="32"/>
        </w:rPr>
        <w:t>降低电网负荷</w:t>
      </w:r>
    </w:p>
    <w:p w:rsidR="00337093" w:rsidP="00337093">
      <w:pPr>
        <w:ind w:firstLine="560" w:firstLineChars="200"/>
        <w:rPr>
          <w:rFonts w:hint="eastAsia"/>
          <w:sz w:val="28"/>
          <w:szCs w:val="28"/>
        </w:rPr>
      </w:pPr>
      <w:r>
        <w:rPr>
          <w:rFonts w:hint="eastAsia"/>
          <w:sz w:val="28"/>
          <w:szCs w:val="28"/>
        </w:rPr>
        <w:t>世界各国供电系统都存在负荷平衡问题，峰谷差甚至在1:0.5以上。利用夜间对电动汽车充电，现有电网容量己经能适应若干年电动汽车发展电能需求，不但有利于电动汽车的能量补充，也有利于电网的峰谷平衡，有效地降低电网高峰负荷，相应降低峰谷差，提高电网负荷率，提高发输配电设备利用率。</w:t>
      </w:r>
    </w:p>
    <w:p w:rsidR="00337093">
      <w:pPr>
        <w:pStyle w:val="Heading3"/>
        <w:spacing w:before="0" w:after="0" w:line="240" w:lineRule="auto"/>
        <w:rPr>
          <w:rFonts w:eastAsia="宋体" w:hint="eastAsia"/>
          <w:b/>
          <w:sz w:val="32"/>
        </w:rPr>
      </w:pPr>
      <w:smartTag w:uri="urn:schemas-microsoft-com:office:smarttags" w:element="chsdate">
        <w:smartTagPr>
          <w:attr w:name="Day" w:val="30"/>
          <w:attr w:name="IsLunarDate" w:val="False"/>
          <w:attr w:name="IsROCDate" w:val="False"/>
          <w:attr w:name="Month" w:val="12"/>
          <w:attr w:name="Year" w:val="1899"/>
        </w:smartTagPr>
        <w:r>
          <w:rPr>
            <w:rFonts w:eastAsia="宋体" w:hint="eastAsia"/>
            <w:b/>
            <w:sz w:val="32"/>
          </w:rPr>
          <w:t>2.2.5</w:t>
        </w:r>
      </w:smartTag>
      <w:r>
        <w:rPr>
          <w:rFonts w:eastAsia="宋体" w:hint="eastAsia"/>
          <w:b/>
          <w:sz w:val="32"/>
        </w:rPr>
        <w:t>节约能源</w:t>
      </w:r>
    </w:p>
    <w:p w:rsidR="00337093" w:rsidP="00337093">
      <w:pPr>
        <w:ind w:firstLine="560" w:firstLineChars="200"/>
        <w:rPr>
          <w:rFonts w:hint="eastAsia"/>
          <w:sz w:val="28"/>
          <w:szCs w:val="28"/>
        </w:rPr>
      </w:pPr>
      <w:r>
        <w:rPr>
          <w:rFonts w:hint="eastAsia"/>
          <w:sz w:val="28"/>
          <w:szCs w:val="28"/>
        </w:rPr>
        <w:t>据测算，将原油提炼成汽、柴油并用于燃油汽车驱动时，平均能量利用率仅为14%左右。电动汽车即使使用燃烧重油发电的电厂输出的电，其能量经重油提炼、电厂热电转换、电力输配、电池充电、电机损耗等环节，在电机输出轴也可得到20%左右的能量。</w:t>
      </w:r>
    </w:p>
    <w:p w:rsidR="00337093">
      <w:pPr>
        <w:pStyle w:val="Heading3"/>
        <w:spacing w:before="0" w:after="0" w:line="240" w:lineRule="auto"/>
        <w:rPr>
          <w:rFonts w:eastAsia="宋体" w:hint="eastAsia"/>
          <w:b/>
          <w:sz w:val="32"/>
        </w:rPr>
      </w:pPr>
      <w:smartTag w:uri="urn:schemas-microsoft-com:office:smarttags" w:element="chsdate">
        <w:smartTagPr>
          <w:attr w:name="Day" w:val="30"/>
          <w:attr w:name="IsLunarDate" w:val="False"/>
          <w:attr w:name="IsROCDate" w:val="False"/>
          <w:attr w:name="Month" w:val="12"/>
          <w:attr w:name="Year" w:val="1899"/>
        </w:smartTagPr>
        <w:r>
          <w:rPr>
            <w:rFonts w:eastAsia="宋体" w:hint="eastAsia"/>
            <w:b/>
            <w:sz w:val="32"/>
          </w:rPr>
          <w:t>2.2.6</w:t>
        </w:r>
      </w:smartTag>
      <w:r>
        <w:rPr>
          <w:rFonts w:eastAsia="宋体" w:hint="eastAsia"/>
          <w:b/>
          <w:sz w:val="32"/>
        </w:rPr>
        <w:t>树立XX绿色环保新形象</w:t>
      </w:r>
    </w:p>
    <w:p w:rsidR="00337093" w:rsidP="00337093">
      <w:pPr>
        <w:ind w:firstLine="560" w:firstLineChars="200"/>
        <w:rPr>
          <w:rFonts w:hint="eastAsia"/>
          <w:sz w:val="28"/>
          <w:szCs w:val="28"/>
        </w:rPr>
        <w:sectPr>
          <w:headerReference w:type="default" r:id="rId60"/>
          <w:footerReference w:type="even" r:id="rId61"/>
          <w:footerReference w:type="default" r:id="rId62"/>
          <w:headerReference w:type="first" r:id="rId63"/>
          <w:type w:val="nextPage"/>
          <w:pgSz w:w="11906" w:h="16838"/>
          <w:pgMar w:top="1418" w:right="1418" w:bottom="1418" w:left="1701" w:header="964" w:footer="964" w:gutter="0"/>
          <w:pgNumType w:fmt="numberInDash" w:start="13"/>
          <w:cols w:space="720"/>
          <w:titlePg w:val="0"/>
          <w:docGrid w:type="linesAndChars" w:linePitch="291" w:charSpace="3135"/>
        </w:sectPr>
      </w:pPr>
    </w:p>
    <w:p w:rsidR="00337093" w:rsidP="00337093">
      <w:pPr>
        <w:ind w:firstLine="560" w:firstLineChars="200"/>
        <w:rPr>
          <w:rFonts w:hint="eastAsia"/>
          <w:sz w:val="28"/>
          <w:szCs w:val="28"/>
        </w:rPr>
      </w:pPr>
      <w:r>
        <w:rPr>
          <w:rFonts w:hint="eastAsia"/>
          <w:sz w:val="28"/>
          <w:szCs w:val="28"/>
        </w:rPr>
        <w:t>随着XX打造国际大都市的定位日益明确和经济发展的不断提升。XX是国务院首批命名的历史文化名城，旅游产业发展迅速，机动车需求量较大，建设电动汽车充电站、发展推广新能源汽车产业，能够践行发展国家</w:t>
      </w:r>
      <w:r>
        <w:rPr>
          <w:sz w:val="28"/>
          <w:szCs w:val="28"/>
        </w:rPr>
        <w:t>“</w:t>
      </w:r>
      <w:r>
        <w:rPr>
          <w:rFonts w:hint="eastAsia"/>
          <w:sz w:val="28"/>
          <w:szCs w:val="28"/>
        </w:rPr>
        <w:t>低碳</w:t>
      </w:r>
      <w:r>
        <w:rPr>
          <w:sz w:val="28"/>
          <w:szCs w:val="28"/>
        </w:rPr>
        <w:t>”</w:t>
      </w:r>
      <w:r>
        <w:rPr>
          <w:rFonts w:hint="eastAsia"/>
          <w:sz w:val="28"/>
          <w:szCs w:val="28"/>
        </w:rPr>
        <w:t>经济的要求，树立和提升绿色XX、生态XX的国际新形象。</w:t>
      </w:r>
    </w:p>
    <w:p w:rsidR="00337093">
      <w:pPr>
        <w:pStyle w:val="Heading3"/>
        <w:spacing w:before="0" w:after="0" w:line="240" w:lineRule="auto"/>
        <w:rPr>
          <w:rFonts w:eastAsia="宋体" w:hint="eastAsia"/>
          <w:b/>
          <w:sz w:val="32"/>
        </w:rPr>
      </w:pPr>
      <w:smartTag w:uri="urn:schemas-microsoft-com:office:smarttags" w:element="chsdate">
        <w:smartTagPr>
          <w:attr w:name="Day" w:val="30"/>
          <w:attr w:name="IsLunarDate" w:val="False"/>
          <w:attr w:name="IsROCDate" w:val="False"/>
          <w:attr w:name="Month" w:val="12"/>
          <w:attr w:name="Year" w:val="1899"/>
        </w:smartTagPr>
        <w:r>
          <w:rPr>
            <w:rFonts w:eastAsia="宋体" w:hint="eastAsia"/>
            <w:b/>
            <w:sz w:val="32"/>
          </w:rPr>
          <w:t>2.2.7</w:t>
        </w:r>
      </w:smartTag>
      <w:r>
        <w:rPr>
          <w:rFonts w:eastAsia="宋体" w:hint="eastAsia"/>
          <w:b/>
          <w:sz w:val="32"/>
        </w:rPr>
        <w:t>企业未来发展需要</w:t>
      </w:r>
    </w:p>
    <w:p w:rsidR="00337093" w:rsidP="00337093">
      <w:pPr>
        <w:ind w:firstLine="560" w:firstLineChars="200"/>
        <w:rPr>
          <w:rFonts w:hint="eastAsia"/>
          <w:sz w:val="28"/>
          <w:szCs w:val="28"/>
        </w:rPr>
      </w:pPr>
      <w:r>
        <w:rPr>
          <w:rFonts w:hint="eastAsia"/>
          <w:sz w:val="28"/>
          <w:szCs w:val="28"/>
        </w:rPr>
        <w:t>项目公司还配套建设有充电桩生产基地，本项目的实施，为充电桩概念企业市场推广奠定了基础，对公司的产品推广有重大推动作用。因此，项目的建设对公司整体发展有重大作用。</w:t>
      </w:r>
    </w:p>
    <w:p w:rsidR="00337093" w:rsidP="00337093">
      <w:pPr>
        <w:ind w:firstLine="560" w:firstLineChars="200"/>
        <w:rPr>
          <w:sz w:val="28"/>
          <w:szCs w:val="28"/>
        </w:rPr>
      </w:pPr>
    </w:p>
    <w:p w:rsidR="00337093" w:rsidP="00337093">
      <w:pPr>
        <w:ind w:firstLine="560" w:firstLineChars="200"/>
        <w:rPr>
          <w:sz w:val="28"/>
          <w:szCs w:val="28"/>
        </w:rPr>
      </w:pPr>
    </w:p>
    <w:p w:rsidR="00337093">
      <w:pPr>
        <w:pStyle w:val="Heading1"/>
        <w:spacing w:before="840" w:after="600" w:line="360" w:lineRule="auto"/>
        <w:jc w:val="center"/>
        <w:rPr>
          <w:rFonts w:eastAsia="宋体"/>
          <w:b/>
          <w:sz w:val="38"/>
        </w:rPr>
        <w:sectPr>
          <w:headerReference w:type="default" r:id="rId64"/>
          <w:footerReference w:type="even" r:id="rId65"/>
          <w:footerReference w:type="default" r:id="rId66"/>
          <w:headerReference w:type="first" r:id="rId67"/>
          <w:type w:val="nextPage"/>
          <w:pgSz w:w="11906" w:h="16838"/>
          <w:pgMar w:top="1418" w:right="1418" w:bottom="1418" w:left="1701" w:header="964" w:footer="964" w:gutter="0"/>
          <w:pgNumType w:fmt="numberInDash" w:start="14"/>
          <w:cols w:space="720"/>
          <w:titlePg w:val="0"/>
          <w:docGrid w:type="linesAndChars" w:linePitch="291" w:charSpace="3135"/>
        </w:sectPr>
      </w:pPr>
      <w:bookmarkStart w:id="243" w:name="_Toc349743473"/>
      <w:bookmarkStart w:id="244" w:name="_Toc350929453"/>
      <w:bookmarkStart w:id="245" w:name="_Toc350951341"/>
      <w:bookmarkStart w:id="246" w:name="_Toc350955795"/>
      <w:bookmarkStart w:id="247" w:name="_Toc351621598"/>
      <w:bookmarkStart w:id="248" w:name="_Toc351627282"/>
      <w:bookmarkStart w:id="249" w:name="_Toc352076358"/>
      <w:bookmarkStart w:id="250" w:name="_Toc352315175"/>
      <w:bookmarkStart w:id="251" w:name="_Toc353204209"/>
      <w:bookmarkStart w:id="252" w:name="_Toc353289475"/>
      <w:bookmarkStart w:id="253" w:name="_Toc387324657"/>
      <w:bookmarkStart w:id="254" w:name="_Toc387332152"/>
      <w:bookmarkStart w:id="255" w:name="_Toc398212114"/>
      <w:bookmarkStart w:id="256" w:name="_Toc398300239"/>
      <w:bookmarkStart w:id="257" w:name="_Toc398303289"/>
      <w:bookmarkStart w:id="258" w:name="_Toc402271134"/>
      <w:bookmarkStart w:id="259" w:name="_Toc402876340"/>
      <w:bookmarkStart w:id="260" w:name="_Toc402944623"/>
      <w:bookmarkStart w:id="261" w:name="_Toc403379788"/>
      <w:bookmarkStart w:id="262" w:name="_Toc403464062"/>
      <w:bookmarkStart w:id="263" w:name="_Toc403464276"/>
    </w:p>
    <w:p w:rsidR="00337093">
      <w:pPr>
        <w:pStyle w:val="Heading1"/>
        <w:spacing w:before="840" w:after="600" w:line="360" w:lineRule="auto"/>
        <w:jc w:val="center"/>
        <w:rPr>
          <w:rFonts w:eastAsia="宋体"/>
          <w:b/>
          <w:sz w:val="38"/>
        </w:rPr>
      </w:pPr>
      <w:bookmarkStart w:id="264" w:name="_Toc404156116"/>
      <w:bookmarkStart w:id="265" w:name="_Toc449530775"/>
      <w:r>
        <w:rPr>
          <w:rFonts w:eastAsia="宋体" w:hAnsi="宋体"/>
          <w:b/>
          <w:sz w:val="38"/>
        </w:rPr>
        <w:t>第三章</w:t>
      </w:r>
      <w:r>
        <w:rPr>
          <w:rFonts w:eastAsia="宋体"/>
          <w:b/>
          <w:sz w:val="38"/>
        </w:rPr>
        <w:t xml:space="preserve">  </w:t>
      </w:r>
      <w:r>
        <w:rPr>
          <w:rFonts w:eastAsia="宋体" w:hAnsi="宋体"/>
          <w:b/>
          <w:sz w:val="38"/>
        </w:rPr>
        <w:t>市场分析</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337093">
      <w:pPr>
        <w:pStyle w:val="Heading2"/>
        <w:tabs>
          <w:tab w:val="left" w:pos="5400"/>
        </w:tabs>
        <w:spacing w:before="120" w:after="120" w:line="240" w:lineRule="auto"/>
        <w:rPr>
          <w:rFonts w:ascii="Times New Roman" w:eastAsia="宋体" w:hAnsi="Times New Roman"/>
          <w:b/>
        </w:rPr>
      </w:pPr>
      <w:bookmarkStart w:id="266" w:name="_Toc372453152"/>
      <w:bookmarkStart w:id="267" w:name="_Toc430266691"/>
      <w:bookmarkStart w:id="268" w:name="_Toc449530776"/>
      <w:bookmarkStart w:id="269" w:name="_Toc387324658"/>
      <w:bookmarkStart w:id="270" w:name="_Toc387332153"/>
      <w:bookmarkStart w:id="271" w:name="_Toc398212115"/>
      <w:bookmarkStart w:id="272" w:name="_Toc398300240"/>
      <w:bookmarkStart w:id="273" w:name="_Toc398303290"/>
      <w:bookmarkStart w:id="274" w:name="_Toc402876344"/>
      <w:bookmarkStart w:id="275" w:name="_Toc402944627"/>
      <w:bookmarkStart w:id="276" w:name="_Toc403379792"/>
      <w:bookmarkStart w:id="277" w:name="_Toc403464066"/>
      <w:bookmarkStart w:id="278" w:name="_Toc403464280"/>
      <w:bookmarkStart w:id="279" w:name="_Toc404156120"/>
      <w:r>
        <w:rPr>
          <w:rFonts w:ascii="Times New Roman" w:eastAsia="宋体" w:hAnsi="Times New Roman"/>
          <w:b/>
        </w:rPr>
        <w:t>3.</w:t>
      </w:r>
      <w:bookmarkEnd w:id="266"/>
      <w:r>
        <w:rPr>
          <w:rFonts w:ascii="Times New Roman" w:eastAsia="宋体" w:hAnsi="Times New Roman" w:hint="eastAsia"/>
          <w:b/>
        </w:rPr>
        <w:t>1XX省新能源汽车发展态势</w:t>
      </w:r>
      <w:bookmarkEnd w:id="267"/>
      <w:bookmarkEnd w:id="268"/>
    </w:p>
    <w:p w:rsidR="00337093">
      <w:pPr>
        <w:pStyle w:val="Heading3"/>
        <w:spacing w:before="0" w:after="0" w:line="240" w:lineRule="auto"/>
        <w:rPr>
          <w:rFonts w:eastAsia="宋体" w:hint="eastAsia"/>
          <w:b/>
          <w:sz w:val="32"/>
        </w:rPr>
      </w:pPr>
      <w:smartTag w:uri="urn:schemas-microsoft-com:office:smarttags" w:element="chsdate">
        <w:smartTagPr>
          <w:attr w:name="Day" w:val="30"/>
          <w:attr w:name="IsLunarDate" w:val="False"/>
          <w:attr w:name="IsROCDate" w:val="False"/>
          <w:attr w:name="Month" w:val="12"/>
          <w:attr w:name="Year" w:val="1899"/>
        </w:smartTagPr>
        <w:r>
          <w:rPr>
            <w:rFonts w:eastAsia="宋体" w:hint="eastAsia"/>
            <w:b/>
            <w:sz w:val="32"/>
          </w:rPr>
          <w:t>3.1.1</w:t>
        </w:r>
      </w:smartTag>
      <w:r>
        <w:rPr>
          <w:rFonts w:eastAsia="宋体" w:hint="eastAsia"/>
          <w:b/>
          <w:sz w:val="32"/>
        </w:rPr>
        <w:t>产业发展现状</w:t>
      </w:r>
    </w:p>
    <w:p w:rsidR="00337093" w:rsidP="00337093">
      <w:pPr>
        <w:ind w:firstLine="560" w:firstLineChars="200"/>
        <w:rPr>
          <w:rFonts w:hint="eastAsia"/>
          <w:bCs/>
          <w:sz w:val="28"/>
          <w:szCs w:val="28"/>
        </w:rPr>
      </w:pPr>
      <w:r>
        <w:rPr>
          <w:rFonts w:hint="eastAsia"/>
          <w:bCs/>
          <w:sz w:val="28"/>
          <w:szCs w:val="28"/>
        </w:rPr>
        <w:t>1.新能源汽车产品不断增加。</w:t>
      </w:r>
    </w:p>
    <w:p w:rsidR="00337093" w:rsidP="00337093">
      <w:pPr>
        <w:ind w:firstLine="560" w:firstLineChars="200"/>
        <w:rPr>
          <w:rFonts w:hint="eastAsia"/>
          <w:bCs/>
          <w:sz w:val="28"/>
          <w:szCs w:val="28"/>
        </w:rPr>
      </w:pPr>
      <w:r>
        <w:rPr>
          <w:rFonts w:hint="eastAsia"/>
          <w:bCs/>
          <w:sz w:val="28"/>
          <w:szCs w:val="28"/>
        </w:rPr>
        <w:t>目前，全省共有7家企业具有新能源汽车生产资质，分别是宇通客车、郑州日产、海马轿车、少林客车、宇通重工、森源重工、新乡新能，三门峡速达与川汽集团合作，目前正积极争取新能源汽车资质。2014年，全省共有34款节能与新能源汽车型号获得国家《车辆生产企业及产品》公告，以混合动力和纯电动客车、纯电动乘用车、纯电动工程车为主。2009-2014年，国家《节能与新能源汽车示范推广应用工程推荐车型目录》中，全省共有107个产品型号，按产品类别分，客车产品90个，乘用车、工程车、专用车产品17个；按动力形式分，纯电动产品60个，混合动力产品47个。</w:t>
      </w:r>
    </w:p>
    <w:p w:rsidR="00337093" w:rsidP="00337093">
      <w:pPr>
        <w:ind w:firstLine="560" w:firstLineChars="200"/>
        <w:rPr>
          <w:rFonts w:hint="eastAsia"/>
          <w:bCs/>
          <w:sz w:val="28"/>
          <w:szCs w:val="28"/>
        </w:rPr>
      </w:pPr>
      <w:r>
        <w:rPr>
          <w:rFonts w:hint="eastAsia"/>
          <w:bCs/>
          <w:sz w:val="28"/>
          <w:szCs w:val="28"/>
        </w:rPr>
        <w:t>2. 新能源客车产销量位居全国首位。</w:t>
      </w:r>
    </w:p>
    <w:p w:rsidR="00337093" w:rsidP="00337093">
      <w:pPr>
        <w:ind w:firstLine="560" w:firstLineChars="200"/>
        <w:rPr>
          <w:rFonts w:hint="eastAsia"/>
          <w:bCs/>
          <w:sz w:val="28"/>
          <w:szCs w:val="28"/>
        </w:rPr>
        <w:sectPr>
          <w:headerReference w:type="default" r:id="rId68"/>
          <w:footerReference w:type="even" r:id="rId69"/>
          <w:footerReference w:type="default" r:id="rId70"/>
          <w:headerReference w:type="first" r:id="rId71"/>
          <w:pgSz w:w="11906" w:h="16838"/>
          <w:pgMar w:top="1418" w:right="1418" w:bottom="1418" w:left="1701" w:header="964" w:footer="964" w:gutter="0"/>
          <w:pgNumType w:fmt="numberInDash" w:start="15"/>
          <w:cols w:space="720"/>
          <w:docGrid w:type="linesAndChars" w:linePitch="291" w:charSpace="3135"/>
        </w:sectPr>
      </w:pPr>
      <w:r>
        <w:rPr>
          <w:rFonts w:hint="eastAsia"/>
          <w:bCs/>
          <w:sz w:val="28"/>
          <w:szCs w:val="28"/>
        </w:rPr>
        <w:t>近年来，全省新能源汽车产销量稳步增长，新能源客车产销增长迅猛，其市场占有率稳居国内第一位，新能源客车已基本实现产业化。2011-2014年，全省公告内企业新能源汽车产销近15000辆，郑州宇通的新能源客车产量占据全省产量的约95%。2014年，全省公告内企业生产新能源汽车近8000辆，是2013年产量的2倍，约占全国产量的1/10，以郑州宇通的纯电动及插电式混合动力客车为主。其中，新能源客车产量占全国新能源客车产量的近1/3。</w:t>
      </w:r>
    </w:p>
    <w:p w:rsidR="00337093" w:rsidP="00337093">
      <w:pPr>
        <w:ind w:firstLine="560" w:firstLineChars="200"/>
        <w:rPr>
          <w:rFonts w:hint="eastAsia"/>
          <w:bCs/>
          <w:sz w:val="28"/>
          <w:szCs w:val="28"/>
        </w:rPr>
      </w:pPr>
      <w:r>
        <w:rPr>
          <w:rFonts w:hint="eastAsia"/>
          <w:bCs/>
          <w:sz w:val="28"/>
          <w:szCs w:val="28"/>
        </w:rPr>
        <w:t>3. 动力电池产业优势不断凸显。</w:t>
      </w:r>
    </w:p>
    <w:p w:rsidR="00337093" w:rsidP="00337093">
      <w:pPr>
        <w:ind w:firstLine="560" w:firstLineChars="200"/>
        <w:rPr>
          <w:rFonts w:hint="eastAsia"/>
          <w:bCs/>
          <w:sz w:val="28"/>
          <w:szCs w:val="28"/>
        </w:rPr>
      </w:pPr>
      <w:r>
        <w:rPr>
          <w:rFonts w:hint="eastAsia"/>
          <w:bCs/>
          <w:sz w:val="28"/>
          <w:szCs w:val="28"/>
        </w:rPr>
        <w:t>目前，全省动力电池产业发展迅速，在国内具有较强的比较优势。基本构成了从正负极材料、隔膜、电解液、电池零部件、电池芯、电池组及电池生产检测设备、回收、质量监督检验的较为完整的产业链条，产业链内本地企业配套化率高，在国内具有较高的知名度。中航锂电、环宇集团、金龙集团、科隆集团等一批骨干企业重点动力锂离子电池项目顺利实施，迅速提升了全省动力锂离子电池产能规模。其中，新乡市拥有电池及相关产业企业200余家，是</w:t>
      </w:r>
      <w:r>
        <w:rPr>
          <w:rFonts w:hint="eastAsia"/>
          <w:bCs/>
          <w:sz w:val="28"/>
          <w:szCs w:val="28"/>
        </w:rPr>
        <w:t>“</w:t>
      </w:r>
      <w:r>
        <w:rPr>
          <w:rFonts w:hint="eastAsia"/>
          <w:bCs/>
          <w:sz w:val="28"/>
          <w:szCs w:val="28"/>
        </w:rPr>
        <w:t>中国电池工业之都</w:t>
      </w:r>
      <w:r>
        <w:rPr>
          <w:rFonts w:hint="eastAsia"/>
          <w:bCs/>
          <w:sz w:val="28"/>
          <w:szCs w:val="28"/>
        </w:rPr>
        <w:t>”</w:t>
      </w:r>
      <w:r>
        <w:rPr>
          <w:rFonts w:hint="eastAsia"/>
          <w:bCs/>
          <w:sz w:val="28"/>
          <w:szCs w:val="28"/>
        </w:rPr>
        <w:t>，初步形成了国内重要的动力电源系统生产中心。新乡的国家电池产品质量监督检验中心是我国质检系统集检测、科研、标准制修订为一体的综合性电池检测机构。新乡电池研究院由XX省动力电源及关键材料工程技术研究中心联合省内外科研院所、高校、企业等组建，是电池及相关科研和生产的专业研究机构。</w:t>
      </w:r>
    </w:p>
    <w:p w:rsidR="00337093" w:rsidP="00337093">
      <w:pPr>
        <w:ind w:firstLine="560" w:firstLineChars="200"/>
        <w:rPr>
          <w:rFonts w:hint="eastAsia"/>
          <w:bCs/>
          <w:sz w:val="28"/>
          <w:szCs w:val="28"/>
        </w:rPr>
      </w:pPr>
      <w:r>
        <w:rPr>
          <w:rFonts w:hint="eastAsia"/>
          <w:bCs/>
          <w:sz w:val="28"/>
          <w:szCs w:val="28"/>
        </w:rPr>
        <w:t>4. 充换电设施及关键零部件体系较为健全。</w:t>
      </w:r>
    </w:p>
    <w:p w:rsidR="00337093" w:rsidP="00337093">
      <w:pPr>
        <w:ind w:firstLine="560" w:firstLineChars="200"/>
        <w:rPr>
          <w:rFonts w:hint="eastAsia"/>
          <w:bCs/>
          <w:sz w:val="28"/>
          <w:szCs w:val="28"/>
        </w:rPr>
        <w:sectPr>
          <w:headerReference w:type="default" r:id="rId72"/>
          <w:footerReference w:type="even" r:id="rId73"/>
          <w:footerReference w:type="default" r:id="rId74"/>
          <w:headerReference w:type="first" r:id="rId75"/>
          <w:type w:val="nextPage"/>
          <w:pgSz w:w="11906" w:h="16838"/>
          <w:pgMar w:top="1418" w:right="1418" w:bottom="1418" w:left="1701" w:header="964" w:footer="964" w:gutter="0"/>
          <w:pgNumType w:fmt="numberInDash" w:start="16"/>
          <w:cols w:space="720"/>
          <w:titlePg w:val="0"/>
          <w:docGrid w:type="linesAndChars" w:linePitch="291" w:charSpace="3135"/>
        </w:sectPr>
      </w:pPr>
    </w:p>
    <w:p w:rsidR="00337093" w:rsidP="00337093">
      <w:pPr>
        <w:ind w:firstLine="560" w:firstLineChars="200"/>
        <w:rPr>
          <w:rFonts w:hint="eastAsia"/>
          <w:bCs/>
          <w:sz w:val="28"/>
          <w:szCs w:val="28"/>
        </w:rPr>
      </w:pPr>
      <w:r>
        <w:rPr>
          <w:rFonts w:hint="eastAsia"/>
          <w:bCs/>
          <w:sz w:val="28"/>
          <w:szCs w:val="28"/>
        </w:rPr>
        <w:t>充换电设施是新能源汽车推广应用的重要环节之一，是新能源汽车商业化和产业化的重要基础支撑。许继电动汽车充换电产业中心是目前国内生产能力最强、工艺设备最先进、产品覆盖最广的产业基地，具备20个亿的年生产能力。在充换电设施关键技术研究、核心装备研制、工程建设等方面已走到国际前列。在城市公交换电站设施领域占有率达70%以上，产品覆盖了80%以上的新能源汽车示范城市，高速公路快充电站领域占有率50%以上。同时，XX省的新能源汽车关键零部件，如电机、整车管理与控制系统、电动转向器、电动空调、电子水泵、超级电容器等产品门类较为齐全，构成了XX省新能源汽车关键零部件较为完备的发展体系。中国电科27所、XX嘉远、XX防爆、通宇新源、中航电动汽车、天海电器、三门峡速达等企业在电机或电控方面竞争实力不断增强。新航集团的电动转向器、电动空调，西峡水泵的电子水泵，洛阳凯迈的超级电容器等产品竞争优势进一步显现。</w:t>
      </w:r>
    </w:p>
    <w:p w:rsidR="00337093" w:rsidP="00337093">
      <w:pPr>
        <w:ind w:firstLine="560" w:firstLineChars="200"/>
        <w:rPr>
          <w:rFonts w:hint="eastAsia"/>
          <w:bCs/>
          <w:sz w:val="28"/>
          <w:szCs w:val="28"/>
        </w:rPr>
      </w:pPr>
      <w:r>
        <w:rPr>
          <w:rFonts w:hint="eastAsia"/>
          <w:bCs/>
          <w:sz w:val="28"/>
          <w:szCs w:val="28"/>
        </w:rPr>
        <w:t>5. 技术研发不断取得进展。</w:t>
      </w:r>
    </w:p>
    <w:p w:rsidR="00337093" w:rsidP="00337093">
      <w:pPr>
        <w:ind w:firstLine="560" w:firstLineChars="200"/>
        <w:rPr>
          <w:rFonts w:hint="eastAsia"/>
          <w:bCs/>
          <w:sz w:val="28"/>
          <w:szCs w:val="28"/>
        </w:rPr>
      </w:pPr>
      <w:r>
        <w:rPr>
          <w:rFonts w:hint="eastAsia"/>
          <w:bCs/>
          <w:sz w:val="28"/>
          <w:szCs w:val="28"/>
        </w:rPr>
        <w:t>XX省新能源汽车及零部件企业不断加大科技投入，加快创新平台建设，自主创新能力不断增强，初步建立了高校、科研机构和企业产学研用结合的合作体系。在动力集成技术、整车管理与控制系统技术、电动转向器、电动空调、电子水泵技术等方面处于国内领先水平。电池成组技术、电源管理技术以及高容量、大动力、长寿命电池及材料领域，获得了一系列技术突破。取得科研成果800余项，申报专利515项，获得发明专利62项，为XX省新能源汽车快速发展奠定了技术基础。宇通客车正在主持和参与包括国家863、国家科技支撑和国家技术创新工程在内的20多个省部级以上科研项目，自主研发了同轴混联构型、发动机智能启停、五合一控制器、复合电源等。实际线路运行中，纯电动客车电耗低于0.9kWh/km，插电式客车节油率50%以上，混合动力客车节油率达到30%。</w:t>
      </w:r>
    </w:p>
    <w:p w:rsidR="00337093" w:rsidP="00337093">
      <w:pPr>
        <w:ind w:firstLine="560" w:firstLineChars="200"/>
        <w:rPr>
          <w:rFonts w:hint="eastAsia"/>
          <w:bCs/>
          <w:sz w:val="28"/>
          <w:szCs w:val="28"/>
        </w:rPr>
      </w:pPr>
      <w:r>
        <w:rPr>
          <w:rFonts w:hint="eastAsia"/>
          <w:bCs/>
          <w:sz w:val="28"/>
          <w:szCs w:val="28"/>
        </w:rPr>
        <w:t>6. 示范推广应用不断推进。</w:t>
      </w:r>
    </w:p>
    <w:p w:rsidR="00337093" w:rsidP="00337093">
      <w:pPr>
        <w:ind w:firstLine="560" w:firstLineChars="200"/>
        <w:rPr>
          <w:rFonts w:hint="eastAsia"/>
          <w:bCs/>
          <w:sz w:val="28"/>
          <w:szCs w:val="28"/>
        </w:rPr>
        <w:sectPr>
          <w:headerReference w:type="default" r:id="rId76"/>
          <w:footerReference w:type="even" r:id="rId77"/>
          <w:footerReference w:type="default" r:id="rId78"/>
          <w:headerReference w:type="first" r:id="rId79"/>
          <w:type w:val="nextPage"/>
          <w:pgSz w:w="11906" w:h="16838"/>
          <w:pgMar w:top="1418" w:right="1418" w:bottom="1418" w:left="1701" w:header="964" w:footer="964" w:gutter="0"/>
          <w:pgNumType w:fmt="numberInDash" w:start="17"/>
          <w:cols w:space="720"/>
          <w:titlePg w:val="0"/>
          <w:docGrid w:type="linesAndChars" w:linePitch="291" w:charSpace="3135"/>
        </w:sectPr>
      </w:pPr>
      <w:r>
        <w:rPr>
          <w:rFonts w:hint="eastAsia"/>
          <w:bCs/>
          <w:sz w:val="28"/>
          <w:szCs w:val="28"/>
        </w:rPr>
        <w:t>郑州市、新乡市作为第一批继续开展新能源汽车推广应用城市，新能源汽车推广应用走在全省发展的前列。目前，全省推广应用的新能源汽车约4000辆，以郑州和新乡为主。郑州市在参与</w:t>
      </w:r>
      <w:r>
        <w:rPr>
          <w:rFonts w:hint="eastAsia"/>
          <w:bCs/>
          <w:sz w:val="28"/>
          <w:szCs w:val="28"/>
        </w:rPr>
        <w:t>“</w:t>
      </w:r>
      <w:r>
        <w:rPr>
          <w:rFonts w:hint="eastAsia"/>
          <w:bCs/>
          <w:sz w:val="28"/>
          <w:szCs w:val="28"/>
        </w:rPr>
        <w:t>十城千辆</w:t>
      </w:r>
      <w:r>
        <w:rPr>
          <w:rFonts w:hint="eastAsia"/>
          <w:bCs/>
          <w:sz w:val="28"/>
          <w:szCs w:val="28"/>
        </w:rPr>
        <w:t>”</w:t>
      </w:r>
    </w:p>
    <w:p w:rsidR="00337093" w:rsidP="00337093">
      <w:pPr>
        <w:ind w:firstLine="560" w:firstLineChars="200"/>
        <w:rPr>
          <w:rFonts w:hint="eastAsia"/>
          <w:bCs/>
          <w:sz w:val="28"/>
          <w:szCs w:val="28"/>
        </w:rPr>
      </w:pPr>
      <w:r>
        <w:rPr>
          <w:rFonts w:hint="eastAsia"/>
          <w:bCs/>
          <w:sz w:val="28"/>
          <w:szCs w:val="28"/>
        </w:rPr>
        <w:t>示范推广试点城市基础上，2013年11月又成为第一批继续开展新能源汽车推广应用城市。2014年，郑州市已推广应用新能源汽车2558辆，推广数量在全国推广应用城市/城市群中位居前10位（上海11465辆，浙江11127辆、北京9377辆、江苏7351辆，合肥5355辆，深圳5194辆，广州3193辆，湖南2886辆，天津2825辆）。新乡市创新商业化运营模式，开展电动公交及城市出租车示范运营。初步建立的</w:t>
      </w:r>
      <w:r>
        <w:rPr>
          <w:rFonts w:hint="eastAsia"/>
          <w:bCs/>
          <w:sz w:val="28"/>
          <w:szCs w:val="28"/>
        </w:rPr>
        <w:t>“</w:t>
      </w:r>
      <w:r>
        <w:rPr>
          <w:rFonts w:hint="eastAsia"/>
          <w:bCs/>
          <w:sz w:val="28"/>
          <w:szCs w:val="28"/>
        </w:rPr>
        <w:t>车电分离，换电为主</w:t>
      </w:r>
      <w:r>
        <w:rPr>
          <w:rFonts w:hint="eastAsia"/>
          <w:bCs/>
          <w:sz w:val="28"/>
          <w:szCs w:val="28"/>
        </w:rPr>
        <w:t>”</w:t>
      </w:r>
      <w:r>
        <w:rPr>
          <w:rFonts w:hint="eastAsia"/>
          <w:bCs/>
          <w:sz w:val="28"/>
          <w:szCs w:val="28"/>
        </w:rPr>
        <w:t>的商业模式，截至2015年7月底，共推广各类新能源汽车823辆。三门峡市自2011年开展电动出租车示范运营以来，目前已有超过100辆电动出租车。</w:t>
      </w:r>
    </w:p>
    <w:p w:rsidR="00337093" w:rsidP="00337093">
      <w:pPr>
        <w:ind w:firstLine="560" w:firstLineChars="200"/>
        <w:rPr>
          <w:rFonts w:hint="eastAsia"/>
          <w:bCs/>
          <w:sz w:val="28"/>
          <w:szCs w:val="28"/>
        </w:rPr>
      </w:pPr>
      <w:r>
        <w:rPr>
          <w:rFonts w:hint="eastAsia"/>
          <w:bCs/>
          <w:sz w:val="28"/>
          <w:szCs w:val="28"/>
        </w:rPr>
        <w:t>7. 基础设施建设不断完善。</w:t>
      </w:r>
    </w:p>
    <w:p w:rsidR="00337093" w:rsidP="00337093">
      <w:pPr>
        <w:ind w:firstLine="560" w:firstLineChars="200"/>
        <w:rPr>
          <w:rFonts w:hint="eastAsia"/>
          <w:bCs/>
          <w:sz w:val="28"/>
          <w:szCs w:val="28"/>
        </w:rPr>
      </w:pPr>
      <w:r>
        <w:rPr>
          <w:rFonts w:hint="eastAsia"/>
          <w:bCs/>
          <w:sz w:val="28"/>
          <w:szCs w:val="28"/>
        </w:rPr>
        <w:t>郑州市、新乡市作为第一批继续开展新能源汽车推广应用城市，新能源推广应用基础设施建设走在全省的前列。郑州市加快推广应用配套的充换电站等基础设施建设，先后投资3474万元和3968万元，建成商都路充电站并将其升级为2工位大型公交充换电站，分别为30台市内公交和50台城际公交提供换电服务。同时，投资8700万元，在博学路新建4工位换电站一座，该站已建成，能满足160台市内纯电动公交车换电需要。新乡市已建成国内第一座全自动智能化充换电站，研制开发了国内首款拥有自主知识产权的底盘换电式纯电动汽车和移动式充换电站。</w:t>
      </w:r>
    </w:p>
    <w:p w:rsidR="00337093">
      <w:pPr>
        <w:pStyle w:val="Heading3"/>
        <w:spacing w:before="0" w:after="0" w:line="240" w:lineRule="auto"/>
        <w:rPr>
          <w:rFonts w:eastAsia="宋体" w:hint="eastAsia"/>
          <w:b/>
          <w:sz w:val="32"/>
        </w:rPr>
      </w:pPr>
      <w:smartTag w:uri="urn:schemas-microsoft-com:office:smarttags" w:element="chsdate">
        <w:smartTagPr>
          <w:attr w:name="Day" w:val="30"/>
          <w:attr w:name="IsLunarDate" w:val="False"/>
          <w:attr w:name="IsROCDate" w:val="False"/>
          <w:attr w:name="Month" w:val="12"/>
          <w:attr w:name="Year" w:val="1899"/>
        </w:smartTagPr>
        <w:r>
          <w:rPr>
            <w:rFonts w:eastAsia="宋体" w:hint="eastAsia"/>
            <w:b/>
            <w:sz w:val="32"/>
          </w:rPr>
          <w:t>3.1.2</w:t>
        </w:r>
      </w:smartTag>
      <w:r>
        <w:rPr>
          <w:rFonts w:eastAsia="宋体" w:hint="eastAsia"/>
          <w:b/>
          <w:sz w:val="32"/>
        </w:rPr>
        <w:t>产业发展存在的问题</w:t>
      </w:r>
    </w:p>
    <w:p w:rsidR="00337093" w:rsidP="00337093">
      <w:pPr>
        <w:ind w:firstLine="560" w:firstLineChars="200"/>
        <w:rPr>
          <w:rFonts w:hint="eastAsia"/>
          <w:bCs/>
          <w:sz w:val="28"/>
          <w:szCs w:val="28"/>
        </w:rPr>
      </w:pPr>
      <w:r>
        <w:rPr>
          <w:rFonts w:hint="eastAsia"/>
          <w:bCs/>
          <w:sz w:val="28"/>
          <w:szCs w:val="28"/>
        </w:rPr>
        <w:t>1. 关键技术瓶颈急待突破。</w:t>
      </w:r>
    </w:p>
    <w:p w:rsidR="00337093" w:rsidP="00337093">
      <w:pPr>
        <w:ind w:firstLine="560" w:firstLineChars="200"/>
        <w:rPr>
          <w:rFonts w:hint="eastAsia"/>
          <w:bCs/>
          <w:sz w:val="28"/>
          <w:szCs w:val="28"/>
        </w:rPr>
        <w:sectPr>
          <w:headerReference w:type="default" r:id="rId80"/>
          <w:footerReference w:type="even" r:id="rId81"/>
          <w:footerReference w:type="default" r:id="rId82"/>
          <w:headerReference w:type="first" r:id="rId83"/>
          <w:type w:val="nextPage"/>
          <w:pgSz w:w="11906" w:h="16838"/>
          <w:pgMar w:top="1418" w:right="1418" w:bottom="1418" w:left="1701" w:header="964" w:footer="964" w:gutter="0"/>
          <w:pgNumType w:fmt="numberInDash" w:start="18"/>
          <w:cols w:space="720"/>
          <w:titlePg w:val="0"/>
          <w:docGrid w:type="linesAndChars" w:linePitch="291" w:charSpace="3135"/>
        </w:sectPr>
      </w:pPr>
    </w:p>
    <w:p w:rsidR="00337093" w:rsidP="00337093">
      <w:pPr>
        <w:ind w:firstLine="560" w:firstLineChars="200"/>
        <w:rPr>
          <w:rFonts w:hint="eastAsia"/>
          <w:bCs/>
          <w:sz w:val="28"/>
          <w:szCs w:val="28"/>
        </w:rPr>
      </w:pPr>
      <w:r>
        <w:rPr>
          <w:rFonts w:hint="eastAsia"/>
          <w:bCs/>
          <w:sz w:val="28"/>
          <w:szCs w:val="28"/>
        </w:rPr>
        <w:t>电池及管理系统技术是新能源汽车发展的最大瓶颈，特别是存在比能量小、容量低、重量大，成组性能差、电池价格偏高、充电时间长、使用寿命较短等方面问题，导致新能源汽车续驶里程短，整车车身自重大、制约着产品进入市场的步伐。</w:t>
      </w:r>
    </w:p>
    <w:p w:rsidR="00337093" w:rsidP="00337093">
      <w:pPr>
        <w:ind w:firstLine="560" w:firstLineChars="200"/>
        <w:rPr>
          <w:rFonts w:hint="eastAsia"/>
          <w:bCs/>
          <w:sz w:val="28"/>
          <w:szCs w:val="28"/>
        </w:rPr>
      </w:pPr>
      <w:r>
        <w:rPr>
          <w:rFonts w:hint="eastAsia"/>
          <w:bCs/>
          <w:sz w:val="28"/>
          <w:szCs w:val="28"/>
        </w:rPr>
        <w:t>2. 技术研发和推广应用投入不足。</w:t>
      </w:r>
    </w:p>
    <w:p w:rsidR="00337093" w:rsidP="00337093">
      <w:pPr>
        <w:ind w:firstLine="560" w:firstLineChars="200"/>
        <w:rPr>
          <w:rFonts w:hint="eastAsia"/>
          <w:bCs/>
          <w:sz w:val="28"/>
          <w:szCs w:val="28"/>
        </w:rPr>
      </w:pPr>
      <w:r>
        <w:rPr>
          <w:rFonts w:hint="eastAsia"/>
          <w:bCs/>
          <w:sz w:val="28"/>
          <w:szCs w:val="28"/>
        </w:rPr>
        <w:t>技术攻关和示范推广应用均需要投入大量资金，而目前新能源汽车企业资金筹措渠道单一，远远满足不了发展需要。部分企业对新能源产品开发持试探性投资态度，持续投入的巨额研发资金给企业的发展带来重大压力。同时，新能源汽车市场化比例小、周期长，回款慢，短期赢利可能性小，风险较大。</w:t>
      </w:r>
    </w:p>
    <w:p w:rsidR="00337093" w:rsidP="00337093">
      <w:pPr>
        <w:ind w:firstLine="560" w:firstLineChars="200"/>
        <w:rPr>
          <w:rFonts w:hint="eastAsia"/>
          <w:bCs/>
          <w:sz w:val="28"/>
          <w:szCs w:val="28"/>
        </w:rPr>
      </w:pPr>
      <w:r>
        <w:rPr>
          <w:rFonts w:hint="eastAsia"/>
          <w:bCs/>
          <w:sz w:val="28"/>
          <w:szCs w:val="28"/>
        </w:rPr>
        <w:t>3. 产品结构不合理。</w:t>
      </w:r>
    </w:p>
    <w:p w:rsidR="00337093" w:rsidP="00337093">
      <w:pPr>
        <w:ind w:firstLine="560" w:firstLineChars="200"/>
        <w:rPr>
          <w:rFonts w:hint="eastAsia"/>
          <w:bCs/>
          <w:sz w:val="28"/>
          <w:szCs w:val="28"/>
        </w:rPr>
      </w:pPr>
      <w:r>
        <w:rPr>
          <w:rFonts w:hint="eastAsia"/>
          <w:bCs/>
          <w:sz w:val="28"/>
          <w:szCs w:val="28"/>
        </w:rPr>
        <w:t>目前，在全国的新能源产量构成中，新能源乘用车占比65%，新能源客车占比35%。XX省新能源产量中，客车产品占据绝对多数，新能源乘用车产品，尤其是新能源轿车明显偏少，新能源汽车产品结构有待进一步优化。</w:t>
      </w:r>
    </w:p>
    <w:p w:rsidR="00337093" w:rsidP="00337093">
      <w:pPr>
        <w:ind w:firstLine="560" w:firstLineChars="200"/>
        <w:rPr>
          <w:rFonts w:hint="eastAsia"/>
          <w:bCs/>
          <w:sz w:val="28"/>
          <w:szCs w:val="28"/>
        </w:rPr>
      </w:pPr>
      <w:r>
        <w:rPr>
          <w:rFonts w:hint="eastAsia"/>
          <w:bCs/>
          <w:sz w:val="28"/>
          <w:szCs w:val="28"/>
        </w:rPr>
        <w:t>4. 产学研合作和交流不足。</w:t>
      </w:r>
    </w:p>
    <w:p w:rsidR="00337093" w:rsidP="00337093">
      <w:pPr>
        <w:ind w:firstLine="560" w:firstLineChars="200"/>
        <w:rPr>
          <w:rFonts w:hint="eastAsia"/>
          <w:bCs/>
          <w:sz w:val="28"/>
          <w:szCs w:val="28"/>
        </w:rPr>
      </w:pPr>
      <w:r>
        <w:rPr>
          <w:rFonts w:hint="eastAsia"/>
          <w:bCs/>
          <w:sz w:val="28"/>
          <w:szCs w:val="28"/>
        </w:rPr>
        <w:t>整车企业之间、整车与关键部件企业之间合作不够，各自为战，力量分散，同时，地方高校、科研院所在基础理论研究也存在深度和合作不够，各自为战，沟通不足等问题。</w:t>
      </w:r>
    </w:p>
    <w:p w:rsidR="00337093" w:rsidP="00337093">
      <w:pPr>
        <w:ind w:firstLine="560" w:firstLineChars="200"/>
        <w:rPr>
          <w:rFonts w:hint="eastAsia"/>
          <w:bCs/>
          <w:sz w:val="28"/>
          <w:szCs w:val="28"/>
        </w:rPr>
      </w:pPr>
      <w:r>
        <w:rPr>
          <w:rFonts w:hint="eastAsia"/>
          <w:bCs/>
          <w:sz w:val="28"/>
          <w:szCs w:val="28"/>
        </w:rPr>
        <w:t>5. 产业化进程和推广应用工作有待加强。</w:t>
      </w:r>
    </w:p>
    <w:p w:rsidR="00337093" w:rsidP="00337093">
      <w:pPr>
        <w:ind w:firstLine="560" w:firstLineChars="200"/>
        <w:rPr>
          <w:rFonts w:hint="eastAsia"/>
          <w:bCs/>
          <w:sz w:val="28"/>
          <w:szCs w:val="28"/>
        </w:rPr>
      </w:pPr>
      <w:r>
        <w:rPr>
          <w:rFonts w:hint="eastAsia"/>
          <w:bCs/>
          <w:sz w:val="28"/>
          <w:szCs w:val="28"/>
        </w:rPr>
        <w:t>XX省目前除宇通客车的新能源产品实现规模销售外，其他整车企业尚无可规模化销售的车型投放，产业化发展进程较慢。同时，新能源汽车商业运营模式也亟待创新。</w:t>
      </w:r>
    </w:p>
    <w:p w:rsidR="00337093" w:rsidP="00337093">
      <w:pPr>
        <w:ind w:firstLine="560" w:firstLineChars="200"/>
        <w:rPr>
          <w:rFonts w:hint="eastAsia"/>
          <w:bCs/>
          <w:sz w:val="28"/>
          <w:szCs w:val="28"/>
        </w:rPr>
      </w:pPr>
      <w:r>
        <w:rPr>
          <w:rFonts w:hint="eastAsia"/>
          <w:bCs/>
          <w:sz w:val="28"/>
          <w:szCs w:val="28"/>
        </w:rPr>
        <w:t>6. 基础设施建设有待加强。</w:t>
      </w:r>
    </w:p>
    <w:p w:rsidR="00337093" w:rsidP="00337093">
      <w:pPr>
        <w:ind w:firstLine="560" w:firstLineChars="200"/>
        <w:rPr>
          <w:rFonts w:hint="eastAsia"/>
          <w:bCs/>
          <w:sz w:val="28"/>
          <w:szCs w:val="28"/>
        </w:rPr>
        <w:sectPr>
          <w:headerReference w:type="default" r:id="rId84"/>
          <w:footerReference w:type="even" r:id="rId85"/>
          <w:footerReference w:type="default" r:id="rId86"/>
          <w:headerReference w:type="first" r:id="rId87"/>
          <w:type w:val="nextPage"/>
          <w:pgSz w:w="11906" w:h="16838"/>
          <w:pgMar w:top="1418" w:right="1418" w:bottom="1418" w:left="1701" w:header="964" w:footer="964" w:gutter="0"/>
          <w:pgNumType w:fmt="numberInDash" w:start="19"/>
          <w:cols w:space="720"/>
          <w:titlePg w:val="0"/>
          <w:docGrid w:type="linesAndChars" w:linePitch="291" w:charSpace="3135"/>
        </w:sectPr>
      </w:pPr>
    </w:p>
    <w:p w:rsidR="00337093" w:rsidP="00337093">
      <w:pPr>
        <w:ind w:firstLine="560" w:firstLineChars="200"/>
        <w:rPr>
          <w:rFonts w:hint="eastAsia"/>
          <w:bCs/>
          <w:sz w:val="28"/>
          <w:szCs w:val="28"/>
        </w:rPr>
      </w:pPr>
      <w:r>
        <w:rPr>
          <w:rFonts w:hint="eastAsia"/>
          <w:bCs/>
          <w:sz w:val="28"/>
          <w:szCs w:val="28"/>
        </w:rPr>
        <w:t>目前全省的充换电基础设施建设，制约了新能源汽车的使用和推广，使全省推广应用目标差距较大。同时，充电设施建设的规划、充电设施用地政策、充电设施运营模式等也需要解决和完善。</w:t>
      </w:r>
    </w:p>
    <w:p w:rsidR="00337093">
      <w:pPr>
        <w:pStyle w:val="Heading2"/>
        <w:spacing w:before="120" w:after="120" w:line="240" w:lineRule="auto"/>
        <w:rPr>
          <w:rFonts w:ascii="Times New Roman" w:eastAsia="宋体" w:hAnsi="宋体" w:hint="eastAsia"/>
          <w:b/>
        </w:rPr>
      </w:pPr>
      <w:bookmarkStart w:id="280" w:name="_Toc449530777"/>
      <w:r>
        <w:rPr>
          <w:rFonts w:ascii="Times New Roman" w:eastAsia="宋体" w:hAnsi="宋体" w:hint="eastAsia"/>
          <w:b/>
        </w:rPr>
        <w:t>3.4XX市新能源基础设施的需求分析</w:t>
      </w:r>
      <w:bookmarkEnd w:id="280"/>
    </w:p>
    <w:p w:rsidR="00337093" w:rsidP="00337093">
      <w:pPr>
        <w:ind w:firstLine="560" w:firstLineChars="200"/>
        <w:rPr>
          <w:rFonts w:hAnsi="宋体" w:hint="eastAsia"/>
          <w:bCs/>
          <w:sz w:val="28"/>
          <w:szCs w:val="28"/>
        </w:rPr>
      </w:pPr>
      <w:r>
        <w:rPr>
          <w:rFonts w:hAnsi="宋体" w:hint="eastAsia"/>
          <w:bCs/>
          <w:sz w:val="28"/>
          <w:szCs w:val="28"/>
        </w:rPr>
        <w:t>截止2015年底，XX市机动车辆已达163万辆，其中小型汽车42万辆。随着汽车保有量的持续攀升，大力发展电动汽车，加快燃油替代，减少汽车尾气排放，对保障能源安全，促进节能减排，防治大气污染具有重要意义。为此，国家近年相继出台了多项产业政策，支持和鼓励新能源汽车发展，特别是</w:t>
      </w:r>
      <w:smartTag w:uri="urn:schemas-microsoft-com:office:smarttags" w:element="chsdate">
        <w:smartTagPr>
          <w:attr w:name="Day" w:val="29"/>
          <w:attr w:name="IsLunarDate" w:val="False"/>
          <w:attr w:name="IsROCDate" w:val="False"/>
          <w:attr w:name="Month" w:val="9"/>
          <w:attr w:name="Year" w:val="2015"/>
        </w:smartTagPr>
        <w:r>
          <w:rPr>
            <w:rFonts w:hAnsi="宋体" w:hint="eastAsia"/>
            <w:bCs/>
            <w:sz w:val="28"/>
            <w:szCs w:val="28"/>
          </w:rPr>
          <w:t>2015年9月29日</w:t>
        </w:r>
      </w:smartTag>
      <w:r>
        <w:rPr>
          <w:rFonts w:hAnsi="宋体" w:hint="eastAsia"/>
          <w:bCs/>
          <w:sz w:val="28"/>
          <w:szCs w:val="28"/>
        </w:rPr>
        <w:t>，国务院下发了《关于加快电动汽车充电基础设施建设的指导意见》，明确大力推进充电基础设施建设，是发展新能源汽车产业的重要保障。电动汽车取代燃油汽车成为城市主流交通工具，已成为汽车工业发展的必然趋势。</w:t>
      </w:r>
    </w:p>
    <w:p w:rsidR="00337093" w:rsidP="00337093">
      <w:pPr>
        <w:ind w:firstLine="560" w:firstLineChars="200"/>
        <w:rPr>
          <w:rFonts w:hAnsi="宋体" w:hint="eastAsia"/>
          <w:bCs/>
          <w:sz w:val="28"/>
          <w:szCs w:val="28"/>
        </w:rPr>
      </w:pPr>
      <w:r>
        <w:rPr>
          <w:rFonts w:hAnsi="宋体" w:hint="eastAsia"/>
          <w:bCs/>
          <w:sz w:val="28"/>
          <w:szCs w:val="28"/>
        </w:rPr>
        <w:t>实施XX市新能源汽车充电基础设施建设项目，项目完成后，可引导XX市新增新能源汽车5.5万辆，年可替代燃油6600万升，减少碳排放20万吨、一氧化碳825吨，氮氧化物1650吨、碳氢化合物550吨、微粒碳烟220吨，环境效益显著。</w:t>
      </w:r>
    </w:p>
    <w:p w:rsidR="00337093" w:rsidP="00337093">
      <w:pPr>
        <w:ind w:firstLine="560" w:firstLineChars="200"/>
        <w:rPr>
          <w:rFonts w:hAnsi="宋体"/>
          <w:bCs/>
          <w:sz w:val="28"/>
          <w:szCs w:val="28"/>
        </w:rPr>
        <w:sectPr>
          <w:headerReference w:type="default" r:id="rId88"/>
          <w:footerReference w:type="even" r:id="rId89"/>
          <w:footerReference w:type="default" r:id="rId90"/>
          <w:headerReference w:type="first" r:id="rId91"/>
          <w:type w:val="nextPage"/>
          <w:pgSz w:w="11906" w:h="16838"/>
          <w:pgMar w:top="1418" w:right="1418" w:bottom="1418" w:left="1701" w:header="964" w:footer="964" w:gutter="0"/>
          <w:pgNumType w:fmt="numberInDash" w:start="20"/>
          <w:cols w:space="720"/>
          <w:titlePg w:val="0"/>
          <w:docGrid w:type="linesAndChars" w:linePitch="291" w:charSpace="3135"/>
        </w:sectPr>
      </w:pPr>
      <w:bookmarkStart w:id="281" w:name="_Toc349743479"/>
      <w:bookmarkStart w:id="282" w:name="_Toc350929459"/>
      <w:bookmarkStart w:id="283" w:name="_Toc350951347"/>
      <w:bookmarkStart w:id="284" w:name="_Toc350955801"/>
      <w:bookmarkStart w:id="285" w:name="_Toc351621604"/>
      <w:bookmarkStart w:id="286" w:name="_Toc351627288"/>
      <w:bookmarkStart w:id="287" w:name="_Toc352076364"/>
      <w:bookmarkStart w:id="288" w:name="_Toc352315182"/>
      <w:bookmarkStart w:id="289" w:name="_Toc353204216"/>
      <w:bookmarkStart w:id="290" w:name="_Toc353289482"/>
      <w:bookmarkStart w:id="291" w:name="_Toc387324665"/>
      <w:bookmarkStart w:id="292" w:name="_Toc387332160"/>
      <w:bookmarkStart w:id="293" w:name="_Toc398212121"/>
      <w:bookmarkStart w:id="294" w:name="_Toc398300246"/>
      <w:bookmarkStart w:id="295" w:name="_Toc398303295"/>
      <w:bookmarkStart w:id="296" w:name="_Toc402271141"/>
      <w:bookmarkStart w:id="297" w:name="_Toc402876345"/>
      <w:bookmarkStart w:id="298" w:name="_Toc402944629"/>
      <w:bookmarkEnd w:id="269"/>
      <w:bookmarkEnd w:id="270"/>
      <w:bookmarkEnd w:id="271"/>
      <w:bookmarkEnd w:id="272"/>
      <w:bookmarkEnd w:id="273"/>
      <w:bookmarkEnd w:id="274"/>
      <w:bookmarkEnd w:id="275"/>
      <w:bookmarkEnd w:id="276"/>
      <w:bookmarkEnd w:id="277"/>
      <w:bookmarkEnd w:id="278"/>
      <w:bookmarkEnd w:id="279"/>
    </w:p>
    <w:p w:rsidR="00337093">
      <w:pPr>
        <w:pStyle w:val="Heading1"/>
        <w:spacing w:before="840" w:after="600" w:line="360" w:lineRule="auto"/>
        <w:jc w:val="center"/>
        <w:rPr>
          <w:rFonts w:eastAsia="宋体"/>
          <w:b/>
          <w:sz w:val="38"/>
        </w:rPr>
      </w:pPr>
      <w:bookmarkStart w:id="299" w:name="_Toc403379794"/>
      <w:bookmarkStart w:id="300" w:name="_Toc403464068"/>
      <w:bookmarkStart w:id="301" w:name="_Toc403464282"/>
      <w:bookmarkStart w:id="302" w:name="_Toc404156122"/>
      <w:bookmarkStart w:id="303" w:name="_Toc449530778"/>
      <w:r>
        <w:rPr>
          <w:rFonts w:eastAsia="宋体" w:hAnsi="宋体"/>
          <w:b/>
          <w:sz w:val="38"/>
        </w:rPr>
        <w:t>第四章</w:t>
      </w:r>
      <w:r>
        <w:rPr>
          <w:rFonts w:eastAsia="宋体"/>
          <w:b/>
          <w:sz w:val="38"/>
        </w:rPr>
        <w:t xml:space="preserve">  </w:t>
      </w:r>
      <w:r>
        <w:rPr>
          <w:rFonts w:eastAsia="宋体" w:hAnsi="宋体"/>
          <w:b/>
          <w:sz w:val="38"/>
        </w:rPr>
        <w:t>建设条件与厂址选择</w:t>
      </w:r>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rsidR="00337093">
      <w:pPr>
        <w:pStyle w:val="Heading2"/>
        <w:spacing w:before="120" w:after="120" w:line="240" w:lineRule="auto"/>
        <w:rPr>
          <w:rFonts w:ascii="Times New Roman" w:eastAsia="宋体" w:hAnsi="Times New Roman"/>
          <w:b/>
        </w:rPr>
      </w:pPr>
      <w:bookmarkStart w:id="304" w:name="_Toc349743480"/>
      <w:bookmarkStart w:id="305" w:name="_Toc350929460"/>
      <w:bookmarkStart w:id="306" w:name="_Toc350951348"/>
      <w:bookmarkStart w:id="307" w:name="_Toc350955802"/>
      <w:bookmarkStart w:id="308" w:name="_Toc351621605"/>
      <w:bookmarkStart w:id="309" w:name="_Toc351627289"/>
      <w:bookmarkStart w:id="310" w:name="_Toc352076365"/>
      <w:bookmarkStart w:id="311" w:name="_Toc352315183"/>
      <w:bookmarkStart w:id="312" w:name="_Toc353204217"/>
      <w:bookmarkStart w:id="313" w:name="_Toc353289483"/>
      <w:bookmarkStart w:id="314" w:name="_Toc387324666"/>
      <w:bookmarkStart w:id="315" w:name="_Toc387332161"/>
      <w:bookmarkStart w:id="316" w:name="_Toc398212122"/>
      <w:bookmarkStart w:id="317" w:name="_Toc398300247"/>
      <w:bookmarkStart w:id="318" w:name="_Toc398303296"/>
      <w:bookmarkStart w:id="319" w:name="_Toc402271142"/>
      <w:bookmarkStart w:id="320" w:name="_Toc402876346"/>
      <w:bookmarkStart w:id="321" w:name="_Toc402944630"/>
      <w:bookmarkStart w:id="322" w:name="_Toc403379795"/>
      <w:bookmarkStart w:id="323" w:name="_Toc403464069"/>
      <w:bookmarkStart w:id="324" w:name="_Toc403464283"/>
      <w:bookmarkStart w:id="325" w:name="_Toc404156123"/>
      <w:bookmarkStart w:id="326" w:name="_Toc449530779"/>
      <w:r>
        <w:rPr>
          <w:rFonts w:ascii="Times New Roman" w:eastAsia="宋体" w:hAnsi="Times New Roman"/>
          <w:b/>
        </w:rPr>
        <w:t>4.1</w:t>
      </w:r>
      <w:r>
        <w:rPr>
          <w:rFonts w:ascii="Times New Roman" w:eastAsia="宋体" w:hAnsi="宋体"/>
          <w:b/>
        </w:rPr>
        <w:t>建设场址地理位置</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rsidR="00337093">
      <w:pPr>
        <w:pStyle w:val="Heading3"/>
        <w:spacing w:before="60" w:after="60" w:line="240" w:lineRule="auto"/>
        <w:rPr>
          <w:rFonts w:eastAsia="宋体"/>
          <w:b/>
          <w:sz w:val="32"/>
        </w:rPr>
      </w:pPr>
      <w:smartTag w:uri="urn:schemas-microsoft-com:office:smarttags" w:element="chsdate">
        <w:smartTagPr>
          <w:attr w:name="Day" w:val="30"/>
          <w:attr w:name="IsLunarDate" w:val="False"/>
          <w:attr w:name="IsROCDate" w:val="False"/>
          <w:attr w:name="Month" w:val="12"/>
          <w:attr w:name="Year" w:val="1899"/>
        </w:smartTagPr>
        <w:r>
          <w:rPr>
            <w:rFonts w:eastAsia="宋体"/>
            <w:b/>
            <w:sz w:val="32"/>
          </w:rPr>
          <w:t>4.1.1</w:t>
        </w:r>
      </w:smartTag>
      <w:r>
        <w:rPr>
          <w:rFonts w:eastAsia="宋体" w:hAnsi="宋体"/>
          <w:b/>
          <w:sz w:val="32"/>
        </w:rPr>
        <w:t>地理位置</w:t>
      </w:r>
    </w:p>
    <w:p w:rsidR="00337093">
      <w:pPr>
        <w:rPr>
          <w:rFonts w:hAnsi="宋体" w:hint="eastAsia"/>
          <w:bCs/>
          <w:sz w:val="28"/>
          <w:szCs w:val="28"/>
        </w:rPr>
      </w:pPr>
      <w:r>
        <w:rPr>
          <w:rFonts w:hAnsi="宋体" w:hint="eastAsia"/>
          <w:bCs/>
          <w:sz w:val="28"/>
          <w:szCs w:val="28"/>
        </w:rPr>
        <w:t>XX古称宛，位于XX省西南部、豫鄂陕三省交界处，为三面环山、南部开口的盆地，因地处伏牛山以南，汉水以北而得名。全市现辖2行政区、4个开发区、10个县。总面积2.66万平方公里，在XX省18个省辖市中面积最大、人口最多。历史悠久，文化璀璨。XX是国务院首批命名的历史文化名城。早在50万年前，与北京猿人同时代的南召猿人，就在这里繁衍生息；西汉时为全国六大都会之一；东汉时期为光武帝刘秀的发迹之地，故有</w:t>
      </w:r>
      <w:r>
        <w:rPr>
          <w:rFonts w:hAnsi="宋体" w:hint="eastAsia"/>
          <w:bCs/>
          <w:sz w:val="28"/>
          <w:szCs w:val="28"/>
        </w:rPr>
        <w:t>“</w:t>
      </w:r>
      <w:r>
        <w:rPr>
          <w:rFonts w:hAnsi="宋体" w:hint="eastAsia"/>
          <w:bCs/>
          <w:sz w:val="28"/>
          <w:szCs w:val="28"/>
        </w:rPr>
        <w:t>南都</w:t>
      </w:r>
      <w:r>
        <w:rPr>
          <w:rFonts w:hAnsi="宋体" w:hint="eastAsia"/>
          <w:bCs/>
          <w:sz w:val="28"/>
          <w:szCs w:val="28"/>
        </w:rPr>
        <w:t>”</w:t>
      </w:r>
      <w:r>
        <w:rPr>
          <w:rFonts w:hAnsi="宋体" w:hint="eastAsia"/>
          <w:bCs/>
          <w:sz w:val="28"/>
          <w:szCs w:val="28"/>
        </w:rPr>
        <w:t>、</w:t>
      </w:r>
      <w:r>
        <w:rPr>
          <w:rFonts w:hAnsi="宋体" w:hint="eastAsia"/>
          <w:bCs/>
          <w:sz w:val="28"/>
          <w:szCs w:val="28"/>
        </w:rPr>
        <w:t>“</w:t>
      </w:r>
      <w:r>
        <w:rPr>
          <w:rFonts w:hAnsi="宋体" w:hint="eastAsia"/>
          <w:bCs/>
          <w:sz w:val="28"/>
          <w:szCs w:val="28"/>
        </w:rPr>
        <w:t>帝乡</w:t>
      </w:r>
      <w:r>
        <w:rPr>
          <w:rFonts w:hAnsi="宋体" w:hint="eastAsia"/>
          <w:bCs/>
          <w:sz w:val="28"/>
          <w:szCs w:val="28"/>
        </w:rPr>
        <w:t>”</w:t>
      </w:r>
      <w:r>
        <w:rPr>
          <w:rFonts w:hAnsi="宋体" w:hint="eastAsia"/>
          <w:bCs/>
          <w:sz w:val="28"/>
          <w:szCs w:val="28"/>
        </w:rPr>
        <w:t>之称。现拥有全国重点文物保护单位13处，省级重点文物保护单位79处。</w:t>
      </w:r>
    </w:p>
    <w:p w:rsidR="00337093">
      <w:pPr>
        <w:pStyle w:val="Heading3"/>
        <w:spacing w:before="60" w:after="60" w:line="240" w:lineRule="auto"/>
        <w:rPr>
          <w:rFonts w:eastAsia="宋体"/>
          <w:b/>
          <w:sz w:val="32"/>
        </w:rPr>
      </w:pPr>
      <w:smartTag w:uri="urn:schemas-microsoft-com:office:smarttags" w:element="chsdate">
        <w:smartTagPr>
          <w:attr w:name="Day" w:val="30"/>
          <w:attr w:name="IsLunarDate" w:val="False"/>
          <w:attr w:name="IsROCDate" w:val="False"/>
          <w:attr w:name="Month" w:val="12"/>
          <w:attr w:name="Year" w:val="1899"/>
        </w:smartTagPr>
        <w:r>
          <w:rPr>
            <w:rFonts w:eastAsia="宋体"/>
            <w:b/>
            <w:sz w:val="32"/>
          </w:rPr>
          <w:t>4.1.2</w:t>
        </w:r>
      </w:smartTag>
      <w:r>
        <w:rPr>
          <w:rFonts w:eastAsia="宋体" w:hAnsi="宋体"/>
          <w:b/>
          <w:sz w:val="32"/>
        </w:rPr>
        <w:t>场址概述</w:t>
      </w:r>
    </w:p>
    <w:p w:rsidR="00337093" w:rsidP="00337093">
      <w:pPr>
        <w:ind w:firstLine="560" w:firstLineChars="200"/>
        <w:rPr>
          <w:rFonts w:hAnsi="宋体"/>
          <w:sz w:val="28"/>
          <w:szCs w:val="28"/>
        </w:rPr>
      </w:pPr>
      <w:r>
        <w:rPr>
          <w:rFonts w:hAnsi="宋体"/>
          <w:sz w:val="28"/>
          <w:szCs w:val="28"/>
        </w:rPr>
        <w:t>本项目建设地点位于</w:t>
      </w:r>
      <w:r>
        <w:rPr>
          <w:rFonts w:hAnsi="宋体" w:hint="eastAsia"/>
          <w:sz w:val="28"/>
          <w:szCs w:val="28"/>
        </w:rPr>
        <w:t>XX市</w:t>
      </w:r>
      <w:r>
        <w:rPr>
          <w:rFonts w:hAnsi="宋体"/>
          <w:sz w:val="28"/>
          <w:szCs w:val="28"/>
        </w:rPr>
        <w:t>。</w:t>
      </w:r>
      <w:r>
        <w:rPr>
          <w:rFonts w:hAnsi="宋体" w:hint="eastAsia"/>
          <w:sz w:val="28"/>
          <w:szCs w:val="28"/>
        </w:rPr>
        <w:t>计划XX市中心城区公共停车场、大型商超、大型酒店、居民小区、机场、景区、新能源汽车专业销售4S店、具备条件的加油站等场所及XX市下辖各县市，共建造4088个充电终端，满足XX市新能源汽车快速充电、行程覆盖周边县城的需求。</w:t>
      </w:r>
    </w:p>
    <w:p w:rsidR="00337093">
      <w:pPr>
        <w:pStyle w:val="Heading2"/>
        <w:spacing w:before="120" w:after="120" w:line="240" w:lineRule="auto"/>
        <w:rPr>
          <w:rFonts w:ascii="Times New Roman" w:eastAsia="宋体" w:hAnsi="宋体" w:hint="eastAsia"/>
          <w:b/>
        </w:rPr>
      </w:pPr>
      <w:bookmarkStart w:id="327" w:name="_Toc449530780"/>
      <w:r>
        <w:rPr>
          <w:rFonts w:ascii="Times New Roman" w:eastAsia="宋体" w:hAnsi="宋体"/>
          <w:b/>
        </w:rPr>
        <w:t>4.2</w:t>
      </w:r>
      <w:r>
        <w:rPr>
          <w:rFonts w:ascii="Times New Roman" w:eastAsia="宋体" w:hAnsi="宋体" w:hint="eastAsia"/>
          <w:b/>
        </w:rPr>
        <w:t>XX新能源汽车规划</w:t>
      </w:r>
      <w:bookmarkEnd w:id="327"/>
    </w:p>
    <w:p w:rsidR="00337093" w:rsidP="00337093">
      <w:pPr>
        <w:autoSpaceDE w:val="0"/>
        <w:autoSpaceDN w:val="0"/>
        <w:adjustRightInd w:val="0"/>
        <w:ind w:firstLine="560" w:firstLineChars="200"/>
        <w:rPr>
          <w:rFonts w:hint="eastAsia"/>
          <w:bCs/>
          <w:sz w:val="28"/>
          <w:szCs w:val="28"/>
        </w:rPr>
        <w:sectPr>
          <w:headerReference w:type="default" r:id="rId92"/>
          <w:footerReference w:type="even" r:id="rId93"/>
          <w:footerReference w:type="default" r:id="rId94"/>
          <w:headerReference w:type="first" r:id="rId95"/>
          <w:pgSz w:w="11906" w:h="16838"/>
          <w:pgMar w:top="1418" w:right="1418" w:bottom="1418" w:left="1701" w:header="964" w:footer="964" w:gutter="0"/>
          <w:pgNumType w:fmt="numberInDash" w:start="21"/>
          <w:cols w:space="720"/>
          <w:docGrid w:type="linesAndChars" w:linePitch="291" w:charSpace="3135"/>
        </w:sectPr>
      </w:pPr>
    </w:p>
    <w:p w:rsidR="00337093" w:rsidP="00337093">
      <w:pPr>
        <w:autoSpaceDE w:val="0"/>
        <w:autoSpaceDN w:val="0"/>
        <w:adjustRightInd w:val="0"/>
        <w:ind w:firstLine="560" w:firstLineChars="200"/>
        <w:rPr>
          <w:rFonts w:hint="eastAsia"/>
          <w:bCs/>
          <w:sz w:val="28"/>
          <w:szCs w:val="28"/>
        </w:rPr>
      </w:pPr>
      <w:r>
        <w:rPr>
          <w:rFonts w:hint="eastAsia"/>
          <w:bCs/>
          <w:sz w:val="28"/>
          <w:szCs w:val="28"/>
        </w:rPr>
        <w:t>截止2015年底，XX市机动车辆已达163万辆，其中小型汽车42万辆。随着汽车保有量的持续攀升，大力发展电动汽车，加快燃油替代，减少汽车尾气排放，对保障能源安全，促进节能减排，防治大气污染具有重要意义。为此，国家近年相继出台了多项产业政策，支持和鼓励新能源汽车发展，特别是</w:t>
      </w:r>
      <w:smartTag w:uri="urn:schemas-microsoft-com:office:smarttags" w:element="chsdate">
        <w:smartTagPr>
          <w:attr w:name="Day" w:val="29"/>
          <w:attr w:name="IsLunarDate" w:val="False"/>
          <w:attr w:name="IsROCDate" w:val="False"/>
          <w:attr w:name="Month" w:val="9"/>
          <w:attr w:name="Year" w:val="2015"/>
        </w:smartTagPr>
        <w:r>
          <w:rPr>
            <w:rFonts w:hint="eastAsia"/>
            <w:bCs/>
            <w:sz w:val="28"/>
            <w:szCs w:val="28"/>
          </w:rPr>
          <w:t>2015年9月29日</w:t>
        </w:r>
      </w:smartTag>
      <w:r>
        <w:rPr>
          <w:rFonts w:hint="eastAsia"/>
          <w:bCs/>
          <w:sz w:val="28"/>
          <w:szCs w:val="28"/>
        </w:rPr>
        <w:t>，国务院下发了《关于加快电动汽车充电基础设施建设的指导意见》，明确大力推进充电基础设施建设，是发展新能源汽车产业的重要保障。电动汽车取代燃油汽车成为城市主流交通工具，已成为汽车工业发展的必然趋势。</w:t>
      </w:r>
    </w:p>
    <w:p w:rsidR="00337093" w:rsidP="00337093">
      <w:pPr>
        <w:autoSpaceDE w:val="0"/>
        <w:autoSpaceDN w:val="0"/>
        <w:adjustRightInd w:val="0"/>
        <w:ind w:firstLine="560" w:firstLineChars="200"/>
        <w:rPr>
          <w:bCs/>
          <w:sz w:val="28"/>
          <w:szCs w:val="28"/>
        </w:rPr>
      </w:pPr>
      <w:r>
        <w:rPr>
          <w:rFonts w:hint="eastAsia"/>
          <w:bCs/>
          <w:sz w:val="28"/>
          <w:szCs w:val="28"/>
        </w:rPr>
        <w:t>实施XX市新能源汽车充电基础设施建设项目，项目完成后，可引导XX市新增新能源汽车5.5万辆，年可替代燃油6600万升，减少碳排放20万吨、一氧化碳825吨，氮氧化物1650吨、碳氢化合物550吨、微粒碳烟220吨，环境效益显著。</w:t>
      </w:r>
    </w:p>
    <w:p w:rsidR="00337093">
      <w:pPr>
        <w:pStyle w:val="Heading1"/>
        <w:spacing w:before="840" w:after="600" w:line="360" w:lineRule="auto"/>
        <w:jc w:val="center"/>
        <w:rPr>
          <w:rFonts w:eastAsia="宋体"/>
          <w:b/>
          <w:sz w:val="38"/>
        </w:rPr>
        <w:sectPr>
          <w:headerReference w:type="default" r:id="rId96"/>
          <w:footerReference w:type="even" r:id="rId97"/>
          <w:footerReference w:type="default" r:id="rId98"/>
          <w:headerReference w:type="first" r:id="rId99"/>
          <w:type w:val="nextPage"/>
          <w:pgSz w:w="11906" w:h="16838"/>
          <w:pgMar w:top="1418" w:right="1418" w:bottom="1418" w:left="1701" w:header="964" w:footer="964" w:gutter="0"/>
          <w:pgNumType w:fmt="numberInDash" w:start="22"/>
          <w:cols w:space="720"/>
          <w:titlePg w:val="0"/>
          <w:docGrid w:type="linesAndChars" w:linePitch="291" w:charSpace="3135"/>
        </w:sectPr>
      </w:pPr>
      <w:bookmarkStart w:id="328" w:name="_Toc349743482"/>
      <w:bookmarkStart w:id="329" w:name="_Toc350929462"/>
      <w:bookmarkStart w:id="330" w:name="_Toc350951350"/>
      <w:bookmarkStart w:id="331" w:name="_Toc350955804"/>
      <w:bookmarkStart w:id="332" w:name="_Toc351621607"/>
      <w:bookmarkStart w:id="333" w:name="_Toc351627291"/>
      <w:bookmarkStart w:id="334" w:name="_Toc352076367"/>
      <w:bookmarkStart w:id="335" w:name="_Toc352315186"/>
      <w:bookmarkStart w:id="336" w:name="_Toc353204220"/>
      <w:bookmarkStart w:id="337" w:name="_Toc353289486"/>
      <w:bookmarkStart w:id="338" w:name="_Toc387324669"/>
      <w:bookmarkStart w:id="339" w:name="_Toc387332164"/>
      <w:bookmarkStart w:id="340" w:name="_Toc398212125"/>
      <w:bookmarkStart w:id="341" w:name="_Toc398300250"/>
      <w:bookmarkStart w:id="342" w:name="_Toc398303299"/>
      <w:bookmarkStart w:id="343" w:name="_Toc402271145"/>
    </w:p>
    <w:p w:rsidR="00337093">
      <w:pPr>
        <w:pStyle w:val="Heading1"/>
        <w:spacing w:before="840" w:after="600" w:line="360" w:lineRule="auto"/>
        <w:jc w:val="center"/>
        <w:rPr>
          <w:rFonts w:eastAsia="宋体" w:hint="eastAsia"/>
          <w:b/>
          <w:sz w:val="38"/>
        </w:rPr>
      </w:pPr>
      <w:bookmarkStart w:id="344" w:name="_Toc402876348"/>
      <w:bookmarkStart w:id="345" w:name="_Toc402944632"/>
      <w:bookmarkStart w:id="346" w:name="_Toc403379797"/>
      <w:bookmarkStart w:id="347" w:name="_Toc403464071"/>
      <w:bookmarkStart w:id="348" w:name="_Toc403464285"/>
      <w:bookmarkStart w:id="349" w:name="_Toc404156125"/>
      <w:bookmarkStart w:id="350" w:name="_Toc449530781"/>
      <w:r>
        <w:rPr>
          <w:rFonts w:eastAsia="宋体" w:hAnsi="宋体"/>
          <w:b/>
          <w:sz w:val="38"/>
        </w:rPr>
        <w:t>第五章</w:t>
      </w:r>
      <w:r>
        <w:rPr>
          <w:rFonts w:eastAsia="宋体"/>
          <w:b/>
          <w:sz w:val="38"/>
        </w:rPr>
        <w:t xml:space="preserve">  </w:t>
      </w:r>
      <w:r>
        <w:rPr>
          <w:rFonts w:eastAsia="宋体" w:hAnsi="宋体"/>
          <w:b/>
          <w:sz w:val="38"/>
        </w:rPr>
        <w:t>项目</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r>
        <w:rPr>
          <w:rFonts w:eastAsia="宋体" w:hAnsi="宋体" w:hint="eastAsia"/>
          <w:b/>
          <w:sz w:val="38"/>
        </w:rPr>
        <w:t>建设内容</w:t>
      </w:r>
      <w:bookmarkEnd w:id="350"/>
    </w:p>
    <w:p w:rsidR="00337093">
      <w:pPr>
        <w:pStyle w:val="Heading2"/>
        <w:spacing w:before="120" w:after="120" w:line="240" w:lineRule="auto"/>
        <w:rPr>
          <w:rFonts w:ascii="Times New Roman" w:eastAsia="宋体" w:hAnsi="Times New Roman" w:hint="eastAsia"/>
          <w:b/>
        </w:rPr>
      </w:pPr>
      <w:bookmarkStart w:id="351" w:name="_Toc402876350"/>
      <w:bookmarkStart w:id="352" w:name="_Toc402944633"/>
      <w:bookmarkStart w:id="353" w:name="_Toc403379798"/>
      <w:bookmarkStart w:id="354" w:name="_Toc403464072"/>
      <w:bookmarkStart w:id="355" w:name="_Toc403464286"/>
      <w:bookmarkStart w:id="356" w:name="_Toc404156126"/>
      <w:bookmarkStart w:id="357" w:name="_Toc449530782"/>
      <w:r>
        <w:rPr>
          <w:rFonts w:ascii="Times New Roman" w:eastAsia="宋体" w:hAnsi="Times New Roman"/>
          <w:b/>
        </w:rPr>
        <w:t>5.1</w:t>
      </w:r>
      <w:r>
        <w:rPr>
          <w:rFonts w:ascii="Times New Roman" w:eastAsia="宋体" w:hAnsi="宋体"/>
          <w:b/>
        </w:rPr>
        <w:t>项目宗旨</w:t>
      </w:r>
      <w:bookmarkEnd w:id="351"/>
      <w:bookmarkEnd w:id="352"/>
      <w:bookmarkEnd w:id="353"/>
      <w:bookmarkEnd w:id="354"/>
      <w:bookmarkEnd w:id="355"/>
      <w:bookmarkEnd w:id="356"/>
      <w:r>
        <w:rPr>
          <w:rFonts w:ascii="Times New Roman" w:eastAsia="宋体" w:hAnsi="宋体" w:hint="eastAsia"/>
          <w:b/>
        </w:rPr>
        <w:t>及目标</w:t>
      </w:r>
      <w:bookmarkEnd w:id="357"/>
    </w:p>
    <w:p w:rsidR="00337093">
      <w:pPr>
        <w:pStyle w:val="Heading3"/>
        <w:spacing w:before="0" w:after="0" w:line="240" w:lineRule="auto"/>
        <w:rPr>
          <w:rFonts w:eastAsia="宋体" w:hint="eastAsia"/>
          <w:b/>
          <w:sz w:val="32"/>
        </w:rPr>
      </w:pPr>
      <w:smartTag w:uri="urn:schemas-microsoft-com:office:smarttags" w:element="chsdate">
        <w:smartTagPr>
          <w:attr w:name="Day" w:val="30"/>
          <w:attr w:name="IsLunarDate" w:val="False"/>
          <w:attr w:name="IsROCDate" w:val="False"/>
          <w:attr w:name="Month" w:val="12"/>
          <w:attr w:name="Year" w:val="1899"/>
        </w:smartTagPr>
        <w:r>
          <w:rPr>
            <w:rFonts w:eastAsia="宋体" w:hint="eastAsia"/>
            <w:b/>
            <w:sz w:val="32"/>
          </w:rPr>
          <w:t>5.1.1</w:t>
        </w:r>
      </w:smartTag>
      <w:r>
        <w:rPr>
          <w:rFonts w:eastAsia="宋体" w:hint="eastAsia"/>
          <w:b/>
          <w:sz w:val="32"/>
        </w:rPr>
        <w:t>项目宗旨</w:t>
      </w:r>
    </w:p>
    <w:p w:rsidR="00337093" w:rsidP="00337093">
      <w:pPr>
        <w:ind w:firstLine="560" w:firstLineChars="200"/>
        <w:rPr>
          <w:rFonts w:hAnsi="宋体" w:hint="eastAsia"/>
          <w:bCs/>
          <w:sz w:val="28"/>
          <w:szCs w:val="28"/>
        </w:rPr>
      </w:pPr>
      <w:r>
        <w:rPr>
          <w:rFonts w:hAnsi="宋体"/>
          <w:bCs/>
          <w:sz w:val="28"/>
          <w:szCs w:val="28"/>
        </w:rPr>
        <w:t>项目的经营服务理念：为推进</w:t>
      </w:r>
      <w:r>
        <w:rPr>
          <w:rFonts w:hAnsi="宋体" w:hint="eastAsia"/>
          <w:bCs/>
          <w:sz w:val="28"/>
          <w:szCs w:val="28"/>
        </w:rPr>
        <w:t>新能源汽车行业</w:t>
      </w:r>
      <w:r>
        <w:rPr>
          <w:rFonts w:hAnsi="宋体"/>
          <w:bCs/>
          <w:sz w:val="28"/>
          <w:szCs w:val="28"/>
        </w:rPr>
        <w:t>发展，适应市场经济发展的需要，更好地提高</w:t>
      </w:r>
      <w:r>
        <w:rPr>
          <w:rFonts w:hAnsi="宋体" w:hint="eastAsia"/>
          <w:bCs/>
          <w:sz w:val="28"/>
          <w:szCs w:val="28"/>
        </w:rPr>
        <w:t>电动汽车市场使用效果</w:t>
      </w:r>
      <w:r>
        <w:rPr>
          <w:rFonts w:hAnsi="宋体"/>
          <w:bCs/>
          <w:sz w:val="28"/>
          <w:szCs w:val="28"/>
        </w:rPr>
        <w:t>，</w:t>
      </w:r>
      <w:r>
        <w:rPr>
          <w:rFonts w:hAnsi="宋体" w:hint="eastAsia"/>
          <w:bCs/>
          <w:sz w:val="28"/>
          <w:szCs w:val="28"/>
        </w:rPr>
        <w:t>根据城市布局合理的充电设施</w:t>
      </w:r>
      <w:r>
        <w:rPr>
          <w:rFonts w:hAnsi="宋体"/>
          <w:bCs/>
          <w:sz w:val="28"/>
          <w:szCs w:val="28"/>
        </w:rPr>
        <w:t>，</w:t>
      </w:r>
      <w:r>
        <w:rPr>
          <w:rFonts w:hAnsi="宋体" w:hint="eastAsia"/>
          <w:bCs/>
          <w:sz w:val="28"/>
          <w:szCs w:val="28"/>
        </w:rPr>
        <w:t>促进XX市新能源汽车行业发展。本项目前期以城市公交车为推广点，推广新能源汽车，并且对社会环境保护、节能减排等有重大作用，</w:t>
      </w:r>
      <w:r>
        <w:rPr>
          <w:rFonts w:hAnsi="宋体"/>
          <w:bCs/>
          <w:sz w:val="28"/>
          <w:szCs w:val="28"/>
        </w:rPr>
        <w:t>促进</w:t>
      </w:r>
      <w:r>
        <w:rPr>
          <w:rFonts w:hAnsi="宋体" w:hint="eastAsia"/>
          <w:bCs/>
          <w:sz w:val="28"/>
          <w:szCs w:val="28"/>
        </w:rPr>
        <w:t>XX</w:t>
      </w:r>
      <w:r>
        <w:rPr>
          <w:rFonts w:hAnsi="宋体"/>
          <w:bCs/>
          <w:sz w:val="28"/>
          <w:szCs w:val="28"/>
        </w:rPr>
        <w:t>和谐社会的发展。</w:t>
      </w:r>
    </w:p>
    <w:p w:rsidR="00337093">
      <w:pPr>
        <w:pStyle w:val="Heading3"/>
        <w:spacing w:before="0" w:after="0" w:line="240" w:lineRule="auto"/>
        <w:rPr>
          <w:rFonts w:eastAsia="宋体" w:hint="eastAsia"/>
          <w:b/>
          <w:sz w:val="32"/>
        </w:rPr>
      </w:pPr>
      <w:smartTag w:uri="urn:schemas-microsoft-com:office:smarttags" w:element="chsdate">
        <w:smartTagPr>
          <w:attr w:name="Day" w:val="30"/>
          <w:attr w:name="IsLunarDate" w:val="False"/>
          <w:attr w:name="IsROCDate" w:val="False"/>
          <w:attr w:name="Month" w:val="12"/>
          <w:attr w:name="Year" w:val="1899"/>
        </w:smartTagPr>
        <w:r>
          <w:rPr>
            <w:rFonts w:eastAsia="宋体" w:hint="eastAsia"/>
            <w:b/>
            <w:sz w:val="32"/>
          </w:rPr>
          <w:t>5.1.2</w:t>
        </w:r>
      </w:smartTag>
      <w:r>
        <w:rPr>
          <w:rFonts w:eastAsia="宋体" w:hint="eastAsia"/>
          <w:b/>
          <w:sz w:val="32"/>
        </w:rPr>
        <w:t>项目建设目标</w:t>
      </w:r>
    </w:p>
    <w:p w:rsidR="00337093" w:rsidP="00337093">
      <w:pPr>
        <w:ind w:firstLine="560" w:firstLineChars="200"/>
        <w:rPr>
          <w:rFonts w:hint="eastAsia"/>
          <w:bCs/>
          <w:sz w:val="28"/>
          <w:szCs w:val="28"/>
        </w:rPr>
      </w:pPr>
      <w:r>
        <w:rPr>
          <w:rFonts w:hAnsi="宋体" w:hint="eastAsia"/>
          <w:bCs/>
          <w:sz w:val="28"/>
          <w:szCs w:val="28"/>
        </w:rPr>
        <w:t>到2020年底，按照新能源汽车发展与配套充电桩需求，计划在XX市区及下属十一县新建公交充电站40座，配备直流充电桩800台、交流充电桩200台；道路干线充电站12座，配备直流充电桩72台、交流充电桩120台；在公共停车场、大型商超、大型酒店、居民小区、机场、景区、新能源汽车专业销售4S店、具备条件的加油站等场所建设充电站496处，安装直流充电桩1119台，交流充电桩13928台，建成覆盖XX市所有县区的充电基础设施网络。建设年产29520台交流充电桩生产基地。同时开展新能源充电汽车运营管理信息化服务平台建设和运营，实现新能源汽车服务系统化、智能化、物联网化。</w:t>
      </w:r>
    </w:p>
    <w:p w:rsidR="00337093">
      <w:pPr>
        <w:pStyle w:val="Heading2"/>
        <w:spacing w:before="120" w:after="120" w:line="240" w:lineRule="auto"/>
        <w:rPr>
          <w:rFonts w:ascii="Times New Roman" w:eastAsia="宋体" w:hAnsi="宋体"/>
          <w:b/>
        </w:rPr>
      </w:pPr>
      <w:bookmarkStart w:id="358" w:name="_Toc402944634"/>
      <w:bookmarkStart w:id="359" w:name="_Toc403379799"/>
      <w:bookmarkStart w:id="360" w:name="_Toc403464073"/>
      <w:bookmarkStart w:id="361" w:name="_Toc403464287"/>
      <w:bookmarkStart w:id="362" w:name="_Toc404156127"/>
      <w:bookmarkStart w:id="363" w:name="_Toc449530783"/>
      <w:r>
        <w:rPr>
          <w:rFonts w:ascii="Times New Roman" w:eastAsia="宋体" w:hAnsi="Times New Roman"/>
          <w:b/>
        </w:rPr>
        <w:t>5.2</w:t>
      </w:r>
      <w:bookmarkEnd w:id="358"/>
      <w:bookmarkEnd w:id="359"/>
      <w:bookmarkEnd w:id="360"/>
      <w:bookmarkEnd w:id="361"/>
      <w:bookmarkEnd w:id="362"/>
      <w:r>
        <w:rPr>
          <w:rFonts w:ascii="Times New Roman" w:eastAsia="宋体" w:hAnsi="宋体" w:hint="eastAsia"/>
          <w:b/>
        </w:rPr>
        <w:t>项目运营模式</w:t>
      </w:r>
      <w:bookmarkEnd w:id="363"/>
    </w:p>
    <w:p w:rsidR="00337093" w:rsidP="00337093">
      <w:pPr>
        <w:ind w:firstLine="560" w:firstLineChars="200"/>
        <w:rPr>
          <w:rFonts w:hAnsi="宋体" w:hint="eastAsia"/>
          <w:bCs/>
          <w:sz w:val="28"/>
          <w:szCs w:val="28"/>
        </w:rPr>
      </w:pPr>
      <w:r>
        <w:rPr>
          <w:rFonts w:hAnsi="宋体" w:hint="eastAsia"/>
          <w:bCs/>
          <w:sz w:val="28"/>
          <w:szCs w:val="28"/>
        </w:rPr>
        <w:t>爱充公司充电桩项目运营模式主要包括以下四个方面：</w:t>
      </w:r>
    </w:p>
    <w:p w:rsidR="00337093" w:rsidP="00337093">
      <w:pPr>
        <w:ind w:firstLine="560" w:firstLineChars="200"/>
        <w:rPr>
          <w:rFonts w:hAnsi="宋体" w:hint="eastAsia"/>
          <w:bCs/>
          <w:sz w:val="28"/>
          <w:szCs w:val="28"/>
        </w:rPr>
        <w:sectPr>
          <w:headerReference w:type="default" r:id="rId100"/>
          <w:footerReference w:type="even" r:id="rId101"/>
          <w:footerReference w:type="default" r:id="rId102"/>
          <w:headerReference w:type="first" r:id="rId103"/>
          <w:pgSz w:w="11906" w:h="16838"/>
          <w:pgMar w:top="1418" w:right="1418" w:bottom="1418" w:left="1701" w:header="964" w:footer="964" w:gutter="0"/>
          <w:pgNumType w:fmt="numberInDash" w:start="23"/>
          <w:cols w:space="720"/>
          <w:docGrid w:type="linesAndChars" w:linePitch="291" w:charSpace="3135"/>
        </w:sectPr>
      </w:pPr>
      <w:r>
        <w:rPr>
          <w:rFonts w:hAnsi="宋体" w:hint="eastAsia"/>
          <w:bCs/>
          <w:sz w:val="28"/>
          <w:szCs w:val="28"/>
        </w:rPr>
        <w:t>1、投资建设运营公交充电站</w:t>
      </w:r>
    </w:p>
    <w:p w:rsidR="00337093" w:rsidP="00337093">
      <w:pPr>
        <w:ind w:firstLine="560" w:firstLineChars="200"/>
        <w:rPr>
          <w:rFonts w:hAnsi="宋体" w:hint="eastAsia"/>
          <w:bCs/>
          <w:sz w:val="28"/>
          <w:szCs w:val="28"/>
        </w:rPr>
      </w:pPr>
      <w:r>
        <w:rPr>
          <w:rFonts w:hAnsi="宋体" w:hint="eastAsia"/>
          <w:bCs/>
          <w:sz w:val="28"/>
          <w:szCs w:val="28"/>
        </w:rPr>
        <w:t>计划投资建设并运营XX市内及各县公交充电站，为公交车及物流、专用车辆提供充电服务。</w:t>
      </w:r>
    </w:p>
    <w:p w:rsidR="00337093" w:rsidP="00337093">
      <w:pPr>
        <w:ind w:firstLine="560" w:firstLineChars="200"/>
        <w:rPr>
          <w:rFonts w:hAnsi="宋体" w:hint="eastAsia"/>
          <w:bCs/>
          <w:sz w:val="28"/>
          <w:szCs w:val="28"/>
        </w:rPr>
      </w:pPr>
      <w:r>
        <w:rPr>
          <w:rFonts w:hAnsi="宋体" w:hint="eastAsia"/>
          <w:bCs/>
          <w:sz w:val="28"/>
          <w:szCs w:val="28"/>
        </w:rPr>
        <w:t>XX市目前有550辆公交车，7个专用停车场，还将建设每个占地十亩左右的专用停车场站22个，合计29个。按照国家有关规定，年更换电动汽车比例为30%。</w:t>
      </w:r>
    </w:p>
    <w:p w:rsidR="00337093" w:rsidP="00337093">
      <w:pPr>
        <w:ind w:firstLine="560" w:firstLineChars="200"/>
        <w:rPr>
          <w:rFonts w:hAnsi="宋体" w:hint="eastAsia"/>
          <w:bCs/>
          <w:sz w:val="28"/>
          <w:szCs w:val="28"/>
        </w:rPr>
      </w:pPr>
      <w:r>
        <w:rPr>
          <w:rFonts w:hAnsi="宋体" w:hint="eastAsia"/>
          <w:bCs/>
          <w:sz w:val="28"/>
          <w:szCs w:val="28"/>
        </w:rPr>
        <w:t>公交及物流、专用车辆具有电池容量大，运营里程、线路较固定，对快速充电要求较高的特性。因此大部分采用大功率直流充电桩。</w:t>
      </w:r>
    </w:p>
    <w:p w:rsidR="00337093" w:rsidP="00337093">
      <w:pPr>
        <w:ind w:firstLine="560" w:firstLineChars="200"/>
        <w:rPr>
          <w:rFonts w:hAnsi="宋体" w:hint="eastAsia"/>
          <w:bCs/>
          <w:sz w:val="28"/>
          <w:szCs w:val="28"/>
        </w:rPr>
      </w:pPr>
      <w:r>
        <w:rPr>
          <w:rFonts w:hAnsi="宋体" w:hint="eastAsia"/>
          <w:bCs/>
          <w:sz w:val="28"/>
          <w:szCs w:val="28"/>
        </w:rPr>
        <w:t>2、投资建设运营社会充电站和分散型充电桩。</w:t>
      </w:r>
    </w:p>
    <w:p w:rsidR="00337093" w:rsidP="00337093">
      <w:pPr>
        <w:ind w:firstLine="560" w:firstLineChars="200"/>
        <w:rPr>
          <w:rFonts w:hAnsi="宋体" w:hint="eastAsia"/>
          <w:bCs/>
          <w:sz w:val="28"/>
          <w:szCs w:val="28"/>
        </w:rPr>
      </w:pPr>
      <w:r>
        <w:rPr>
          <w:rFonts w:hAnsi="宋体" w:hint="eastAsia"/>
          <w:bCs/>
          <w:sz w:val="28"/>
          <w:szCs w:val="28"/>
        </w:rPr>
        <w:t>社会充电站主要满足各种乘用车辆快速充电要求，为保护车载动力电池并提供高效快捷充电服务，同时兼顾充电桩运行经济性，采用低于公交、物流等专用车辆充电桩功率产品。</w:t>
      </w:r>
    </w:p>
    <w:p w:rsidR="00337093" w:rsidP="00337093">
      <w:pPr>
        <w:ind w:firstLine="560" w:firstLineChars="200"/>
        <w:rPr>
          <w:rFonts w:hAnsi="宋体" w:hint="eastAsia"/>
          <w:bCs/>
          <w:sz w:val="28"/>
          <w:szCs w:val="28"/>
        </w:rPr>
      </w:pPr>
      <w:r>
        <w:rPr>
          <w:rFonts w:hAnsi="宋体" w:hint="eastAsia"/>
          <w:bCs/>
          <w:sz w:val="28"/>
          <w:szCs w:val="28"/>
        </w:rPr>
        <w:t>站内较多交流充电桩为满足各种乘用车临时较快速充电要求。</w:t>
      </w:r>
    </w:p>
    <w:p w:rsidR="00337093" w:rsidP="00337093">
      <w:pPr>
        <w:ind w:firstLine="560" w:firstLineChars="200"/>
        <w:rPr>
          <w:rFonts w:hAnsi="宋体" w:hint="eastAsia"/>
          <w:bCs/>
          <w:sz w:val="28"/>
          <w:szCs w:val="28"/>
        </w:rPr>
      </w:pPr>
      <w:r>
        <w:rPr>
          <w:rFonts w:hAnsi="宋体" w:hint="eastAsia"/>
          <w:bCs/>
          <w:sz w:val="28"/>
          <w:szCs w:val="28"/>
        </w:rPr>
        <w:t>分散型充电桩为满足各种乘用车日常行驶停靠过程中随机、临时补充电量服务。</w:t>
      </w:r>
    </w:p>
    <w:p w:rsidR="00337093" w:rsidP="00337093">
      <w:pPr>
        <w:ind w:firstLine="560" w:firstLineChars="200"/>
        <w:rPr>
          <w:rFonts w:hAnsi="宋体" w:hint="eastAsia"/>
          <w:bCs/>
          <w:sz w:val="28"/>
          <w:szCs w:val="28"/>
        </w:rPr>
      </w:pPr>
      <w:r>
        <w:rPr>
          <w:rFonts w:hAnsi="宋体" w:hint="eastAsia"/>
          <w:bCs/>
          <w:sz w:val="28"/>
          <w:szCs w:val="28"/>
        </w:rPr>
        <w:t>3、生产及销售充电桩。</w:t>
      </w:r>
    </w:p>
    <w:p w:rsidR="00337093" w:rsidP="00337093">
      <w:pPr>
        <w:ind w:firstLine="560" w:firstLineChars="200"/>
        <w:rPr>
          <w:rFonts w:hAnsi="宋体" w:hint="eastAsia"/>
          <w:bCs/>
          <w:sz w:val="28"/>
          <w:szCs w:val="28"/>
        </w:rPr>
      </w:pPr>
      <w:r>
        <w:rPr>
          <w:rFonts w:hAnsi="宋体" w:hint="eastAsia"/>
          <w:bCs/>
          <w:sz w:val="28"/>
          <w:szCs w:val="28"/>
        </w:rPr>
        <w:t>据国家有关发展规划要求，2020年将普及500万辆电动汽车，完成498万个充电桩布设。</w:t>
      </w:r>
    </w:p>
    <w:p w:rsidR="00337093" w:rsidP="00337093">
      <w:pPr>
        <w:ind w:firstLine="560" w:firstLineChars="200"/>
        <w:rPr>
          <w:rFonts w:hAnsi="宋体" w:hint="eastAsia"/>
          <w:bCs/>
          <w:sz w:val="28"/>
          <w:szCs w:val="28"/>
        </w:rPr>
      </w:pPr>
      <w:r>
        <w:rPr>
          <w:rFonts w:hAnsi="宋体" w:hint="eastAsia"/>
          <w:bCs/>
          <w:sz w:val="28"/>
          <w:szCs w:val="28"/>
        </w:rPr>
        <w:t>为满足这一市场需求，采用意大利进口先进生产设备，可以确保爱充公司产品质量及工艺处于业内领先水平，有利于爱充公司抢占市场。</w:t>
      </w:r>
    </w:p>
    <w:p w:rsidR="00337093" w:rsidP="00337093">
      <w:pPr>
        <w:ind w:firstLine="560" w:firstLineChars="200"/>
        <w:rPr>
          <w:rFonts w:hAnsi="宋体" w:hint="eastAsia"/>
          <w:bCs/>
          <w:sz w:val="28"/>
          <w:szCs w:val="28"/>
        </w:rPr>
      </w:pPr>
      <w:r>
        <w:rPr>
          <w:rFonts w:hAnsi="宋体" w:hint="eastAsia"/>
          <w:bCs/>
          <w:sz w:val="28"/>
          <w:szCs w:val="28"/>
        </w:rPr>
        <w:t>4、提供其他增值类服务。</w:t>
      </w:r>
    </w:p>
    <w:p w:rsidR="00337093" w:rsidP="00337093">
      <w:pPr>
        <w:ind w:firstLine="560" w:firstLineChars="200"/>
        <w:rPr>
          <w:rFonts w:hAnsi="宋体" w:hint="eastAsia"/>
          <w:bCs/>
          <w:sz w:val="28"/>
          <w:szCs w:val="28"/>
        </w:rPr>
        <w:sectPr>
          <w:headerReference w:type="default" r:id="rId104"/>
          <w:footerReference w:type="even" r:id="rId105"/>
          <w:footerReference w:type="default" r:id="rId106"/>
          <w:headerReference w:type="first" r:id="rId107"/>
          <w:type w:val="nextPage"/>
          <w:pgSz w:w="11906" w:h="16838"/>
          <w:pgMar w:top="1418" w:right="1418" w:bottom="1418" w:left="1701" w:header="964" w:footer="964" w:gutter="0"/>
          <w:pgNumType w:fmt="numberInDash" w:start="24"/>
          <w:cols w:space="720"/>
          <w:titlePg w:val="0"/>
          <w:docGrid w:type="linesAndChars" w:linePitch="291" w:charSpace="3135"/>
        </w:sectPr>
      </w:pPr>
    </w:p>
    <w:p w:rsidR="00337093" w:rsidP="00337093">
      <w:pPr>
        <w:ind w:firstLine="560" w:firstLineChars="200"/>
        <w:rPr>
          <w:rFonts w:hAnsi="宋体" w:hint="eastAsia"/>
          <w:bCs/>
          <w:sz w:val="28"/>
          <w:szCs w:val="28"/>
        </w:rPr>
      </w:pPr>
      <w:r>
        <w:rPr>
          <w:rFonts w:hAnsi="宋体" w:hint="eastAsia"/>
          <w:bCs/>
          <w:sz w:val="28"/>
          <w:szCs w:val="28"/>
        </w:rPr>
        <w:t>在布设及运营充电网络同时，叠加广告网络，同时提供车、桩、位一体化运营服务，形成站内超市、洗车、汽车美容、维护检测保养等连锁增值服务，将使爱充公司真正成为以生产、销售为基础，以运营、增值服务为导向，以先进软件管理系统为依托的现代化优秀企业。</w:t>
      </w:r>
    </w:p>
    <w:p w:rsidR="00337093">
      <w:pPr>
        <w:pStyle w:val="Heading2"/>
        <w:spacing w:before="120" w:after="120" w:line="240" w:lineRule="auto"/>
        <w:rPr>
          <w:rFonts w:ascii="Times New Roman" w:eastAsia="宋体" w:hAnsi="宋体" w:hint="eastAsia"/>
          <w:b/>
        </w:rPr>
      </w:pPr>
      <w:bookmarkStart w:id="364" w:name="_Toc449530784"/>
      <w:r>
        <w:rPr>
          <w:rFonts w:ascii="Times New Roman" w:eastAsia="宋体" w:hAnsi="宋体" w:hint="eastAsia"/>
          <w:b/>
        </w:rPr>
        <w:t>5.3</w:t>
      </w:r>
      <w:r>
        <w:rPr>
          <w:rFonts w:eastAsia="宋体" w:hint="eastAsia"/>
          <w:b/>
        </w:rPr>
        <w:t>充电站（桩）</w:t>
      </w:r>
      <w:r>
        <w:rPr>
          <w:rFonts w:ascii="Times New Roman" w:eastAsia="宋体" w:hAnsi="宋体" w:hint="eastAsia"/>
          <w:b/>
        </w:rPr>
        <w:t>建设方案</w:t>
      </w:r>
      <w:bookmarkEnd w:id="364"/>
    </w:p>
    <w:p w:rsidR="00337093" w:rsidP="00337093">
      <w:pPr>
        <w:ind w:firstLine="560" w:firstLineChars="200"/>
        <w:rPr>
          <w:rFonts w:hAnsi="宋体" w:hint="eastAsia"/>
          <w:bCs/>
          <w:sz w:val="28"/>
          <w:szCs w:val="28"/>
        </w:rPr>
      </w:pPr>
      <w:r>
        <w:rPr>
          <w:rFonts w:hAnsi="宋体" w:hint="eastAsia"/>
          <w:bCs/>
          <w:sz w:val="28"/>
          <w:szCs w:val="28"/>
        </w:rPr>
        <w:t>在中心城区公共停车场、大型商超、大型酒店、居民小区、机场、景区、新能源汽车专业销售4S店、具备条件的加油站等场所，共建造548个充电终端。</w:t>
      </w:r>
    </w:p>
    <w:p w:rsidR="00337093">
      <w:pPr>
        <w:pStyle w:val="Heading3"/>
        <w:spacing w:before="0" w:after="0" w:line="240" w:lineRule="auto"/>
        <w:rPr>
          <w:rFonts w:eastAsia="宋体" w:hint="eastAsia"/>
          <w:b/>
          <w:sz w:val="32"/>
        </w:rPr>
      </w:pPr>
      <w:smartTag w:uri="urn:schemas-microsoft-com:office:smarttags" w:element="chsdate">
        <w:smartTagPr>
          <w:attr w:name="Day" w:val="30"/>
          <w:attr w:name="IsLunarDate" w:val="False"/>
          <w:attr w:name="IsROCDate" w:val="False"/>
          <w:attr w:name="Month" w:val="12"/>
          <w:attr w:name="Year" w:val="1899"/>
        </w:smartTagPr>
        <w:r>
          <w:rPr>
            <w:rFonts w:eastAsia="宋体" w:hint="eastAsia"/>
            <w:b/>
            <w:sz w:val="32"/>
          </w:rPr>
          <w:t>5.3.1</w:t>
        </w:r>
      </w:smartTag>
      <w:r>
        <w:rPr>
          <w:rFonts w:eastAsia="宋体" w:hint="eastAsia"/>
          <w:b/>
          <w:sz w:val="32"/>
        </w:rPr>
        <w:t>公交车充电站</w:t>
      </w:r>
    </w:p>
    <w:p w:rsidR="00337093" w:rsidP="00337093">
      <w:pPr>
        <w:ind w:firstLine="560" w:firstLineChars="200"/>
        <w:rPr>
          <w:rFonts w:hAnsi="宋体" w:hint="eastAsia"/>
          <w:bCs/>
          <w:sz w:val="28"/>
          <w:szCs w:val="28"/>
        </w:rPr>
      </w:pPr>
      <w:r>
        <w:rPr>
          <w:rFonts w:hAnsi="宋体" w:hint="eastAsia"/>
          <w:bCs/>
          <w:sz w:val="28"/>
          <w:szCs w:val="28"/>
        </w:rPr>
        <w:t>在XX市区以及辖区十一县规划建设40座公交充电站。共配备800台直流充电桩、200台交流充电桩。满足XX市新能源公交车快速充电的需求。</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02"/>
        <w:gridCol w:w="1963"/>
        <w:gridCol w:w="1687"/>
        <w:gridCol w:w="2389"/>
        <w:gridCol w:w="1662"/>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270"/>
        </w:trPr>
        <w:tc>
          <w:tcPr>
            <w:tcW w:w="1302" w:type="dxa"/>
            <w:vMerge w:val="restart"/>
            <w:shd w:val="clear" w:color="auto" w:fill="339966"/>
            <w:noWrap/>
            <w:vAlign w:val="center"/>
          </w:tcPr>
          <w:p w:rsidR="00337093">
            <w:pPr>
              <w:widowControl/>
              <w:jc w:val="center"/>
              <w:rPr>
                <w:rFonts w:ascii="宋体" w:hAnsi="宋体" w:cs="宋体"/>
                <w:b/>
                <w:bCs/>
                <w:kern w:val="0"/>
                <w:sz w:val="20"/>
              </w:rPr>
            </w:pPr>
            <w:r>
              <w:rPr>
                <w:rFonts w:ascii="宋体" w:hAnsi="宋体" w:cs="宋体" w:hint="eastAsia"/>
                <w:b/>
                <w:bCs/>
                <w:kern w:val="0"/>
                <w:sz w:val="20"/>
              </w:rPr>
              <w:t>序号</w:t>
            </w:r>
          </w:p>
        </w:tc>
        <w:tc>
          <w:tcPr>
            <w:tcW w:w="1963" w:type="dxa"/>
            <w:vMerge w:val="restart"/>
            <w:shd w:val="clear" w:color="auto" w:fill="339966"/>
            <w:noWrap/>
            <w:vAlign w:val="center"/>
          </w:tcPr>
          <w:p w:rsidR="00337093">
            <w:pPr>
              <w:widowControl/>
              <w:jc w:val="center"/>
              <w:rPr>
                <w:rFonts w:ascii="宋体" w:hAnsi="宋体" w:cs="宋体"/>
                <w:b/>
                <w:bCs/>
                <w:kern w:val="0"/>
                <w:sz w:val="20"/>
              </w:rPr>
            </w:pPr>
            <w:r>
              <w:rPr>
                <w:rFonts w:ascii="宋体" w:hAnsi="宋体" w:cs="宋体" w:hint="eastAsia"/>
                <w:b/>
                <w:bCs/>
                <w:kern w:val="0"/>
                <w:sz w:val="20"/>
              </w:rPr>
              <w:t>充电站名称</w:t>
            </w:r>
          </w:p>
        </w:tc>
        <w:tc>
          <w:tcPr>
            <w:tcW w:w="1687" w:type="dxa"/>
            <w:vMerge w:val="restart"/>
            <w:shd w:val="clear" w:color="auto" w:fill="339966"/>
            <w:noWrap/>
            <w:vAlign w:val="center"/>
          </w:tcPr>
          <w:p w:rsidR="00337093">
            <w:pPr>
              <w:widowControl/>
              <w:jc w:val="center"/>
              <w:rPr>
                <w:rFonts w:ascii="宋体" w:hAnsi="宋体" w:cs="宋体"/>
                <w:b/>
                <w:bCs/>
                <w:kern w:val="0"/>
                <w:sz w:val="20"/>
              </w:rPr>
            </w:pPr>
            <w:r>
              <w:rPr>
                <w:rFonts w:ascii="宋体" w:hAnsi="宋体" w:cs="宋体" w:hint="eastAsia"/>
                <w:b/>
                <w:bCs/>
                <w:kern w:val="0"/>
                <w:sz w:val="20"/>
              </w:rPr>
              <w:t>充电站数量</w:t>
            </w:r>
          </w:p>
        </w:tc>
        <w:tc>
          <w:tcPr>
            <w:tcW w:w="4051" w:type="dxa"/>
            <w:gridSpan w:val="2"/>
            <w:shd w:val="clear" w:color="auto" w:fill="339966"/>
            <w:noWrap/>
            <w:vAlign w:val="center"/>
          </w:tcPr>
          <w:p w:rsidR="00337093">
            <w:pPr>
              <w:widowControl/>
              <w:jc w:val="center"/>
              <w:rPr>
                <w:rFonts w:ascii="宋体" w:hAnsi="宋体" w:cs="宋体"/>
                <w:b/>
                <w:bCs/>
                <w:kern w:val="0"/>
                <w:sz w:val="20"/>
              </w:rPr>
            </w:pPr>
            <w:r>
              <w:rPr>
                <w:rFonts w:ascii="宋体" w:hAnsi="宋体" w:cs="宋体" w:hint="eastAsia"/>
                <w:b/>
                <w:bCs/>
                <w:kern w:val="0"/>
                <w:sz w:val="20"/>
              </w:rPr>
              <w:t>充电桩规模</w:t>
            </w:r>
          </w:p>
        </w:tc>
      </w:tr>
      <w:tr>
        <w:tblPrEx>
          <w:tblW w:w="0" w:type="auto"/>
          <w:tblInd w:w="0" w:type="dxa"/>
          <w:tblLayout w:type="fixed"/>
          <w:tblLook w:val="0000"/>
        </w:tblPrEx>
        <w:trPr>
          <w:trHeight w:val="240"/>
        </w:trPr>
        <w:tc>
          <w:tcPr>
            <w:tcW w:w="1302" w:type="dxa"/>
            <w:vMerge/>
            <w:shd w:val="clear" w:color="auto" w:fill="auto"/>
            <w:vAlign w:val="center"/>
          </w:tcPr>
          <w:p w:rsidR="00337093">
            <w:pPr>
              <w:widowControl/>
              <w:jc w:val="center"/>
              <w:rPr>
                <w:rFonts w:ascii="宋体" w:hAnsi="宋体" w:cs="宋体"/>
                <w:b/>
                <w:bCs/>
                <w:kern w:val="0"/>
                <w:sz w:val="20"/>
              </w:rPr>
            </w:pPr>
          </w:p>
        </w:tc>
        <w:tc>
          <w:tcPr>
            <w:tcW w:w="1963" w:type="dxa"/>
            <w:vMerge/>
            <w:shd w:val="clear" w:color="auto" w:fill="auto"/>
            <w:vAlign w:val="center"/>
          </w:tcPr>
          <w:p w:rsidR="00337093">
            <w:pPr>
              <w:widowControl/>
              <w:jc w:val="center"/>
              <w:rPr>
                <w:rFonts w:ascii="宋体" w:hAnsi="宋体" w:cs="宋体"/>
                <w:b/>
                <w:bCs/>
                <w:kern w:val="0"/>
                <w:sz w:val="20"/>
              </w:rPr>
            </w:pPr>
          </w:p>
        </w:tc>
        <w:tc>
          <w:tcPr>
            <w:tcW w:w="1687" w:type="dxa"/>
            <w:vMerge/>
            <w:shd w:val="clear" w:color="auto" w:fill="auto"/>
            <w:vAlign w:val="center"/>
          </w:tcPr>
          <w:p w:rsidR="00337093">
            <w:pPr>
              <w:widowControl/>
              <w:jc w:val="center"/>
              <w:rPr>
                <w:rFonts w:ascii="宋体" w:hAnsi="宋体" w:cs="宋体"/>
                <w:b/>
                <w:bCs/>
                <w:kern w:val="0"/>
                <w:sz w:val="20"/>
              </w:rPr>
            </w:pPr>
          </w:p>
        </w:tc>
        <w:tc>
          <w:tcPr>
            <w:tcW w:w="2389" w:type="dxa"/>
            <w:shd w:val="clear" w:color="auto" w:fill="339966"/>
            <w:noWrap/>
            <w:vAlign w:val="center"/>
          </w:tcPr>
          <w:p w:rsidR="00337093">
            <w:pPr>
              <w:widowControl/>
              <w:jc w:val="center"/>
              <w:rPr>
                <w:rFonts w:ascii="宋体" w:hAnsi="宋体" w:cs="宋体"/>
                <w:b/>
                <w:bCs/>
                <w:kern w:val="0"/>
                <w:sz w:val="20"/>
              </w:rPr>
            </w:pPr>
            <w:r>
              <w:rPr>
                <w:rFonts w:ascii="宋体" w:hAnsi="宋体" w:cs="宋体" w:hint="eastAsia"/>
                <w:b/>
                <w:bCs/>
                <w:kern w:val="0"/>
                <w:sz w:val="20"/>
              </w:rPr>
              <w:t>直流（140kw）</w:t>
            </w:r>
          </w:p>
        </w:tc>
        <w:tc>
          <w:tcPr>
            <w:tcW w:w="1662" w:type="dxa"/>
            <w:shd w:val="clear" w:color="auto" w:fill="339966"/>
            <w:noWrap/>
            <w:vAlign w:val="center"/>
          </w:tcPr>
          <w:p w:rsidR="00337093">
            <w:pPr>
              <w:widowControl/>
              <w:jc w:val="center"/>
              <w:rPr>
                <w:rFonts w:ascii="宋体" w:hAnsi="宋体" w:cs="宋体"/>
                <w:b/>
                <w:bCs/>
                <w:kern w:val="0"/>
                <w:sz w:val="20"/>
              </w:rPr>
            </w:pPr>
            <w:r>
              <w:rPr>
                <w:rFonts w:ascii="宋体" w:hAnsi="宋体" w:cs="宋体" w:hint="eastAsia"/>
                <w:b/>
                <w:bCs/>
                <w:kern w:val="0"/>
                <w:sz w:val="20"/>
              </w:rPr>
              <w:t>交流(7kw)</w:t>
            </w:r>
          </w:p>
        </w:tc>
      </w:tr>
      <w:tr>
        <w:tblPrEx>
          <w:tblW w:w="0" w:type="auto"/>
          <w:tblInd w:w="0" w:type="dxa"/>
          <w:tblLayout w:type="fixed"/>
          <w:tblLook w:val="0000"/>
        </w:tblPrEx>
        <w:trPr>
          <w:trHeight w:val="270"/>
        </w:trPr>
        <w:tc>
          <w:tcPr>
            <w:tcW w:w="1302" w:type="dxa"/>
            <w:noWrap/>
            <w:vAlign w:val="center"/>
          </w:tcPr>
          <w:p w:rsidR="00337093">
            <w:pPr>
              <w:widowControl/>
              <w:jc w:val="center"/>
              <w:rPr>
                <w:rFonts w:ascii="宋体" w:hAnsi="宋体" w:cs="宋体"/>
                <w:kern w:val="0"/>
                <w:sz w:val="22"/>
                <w:szCs w:val="22"/>
              </w:rPr>
            </w:pPr>
            <w:r>
              <w:rPr>
                <w:rFonts w:ascii="宋体" w:hAnsi="宋体" w:cs="宋体" w:hint="eastAsia"/>
                <w:kern w:val="0"/>
                <w:sz w:val="22"/>
                <w:szCs w:val="22"/>
              </w:rPr>
              <w:t>1</w:t>
            </w:r>
          </w:p>
        </w:tc>
        <w:tc>
          <w:tcPr>
            <w:tcW w:w="1963" w:type="dxa"/>
            <w:noWrap/>
            <w:vAlign w:val="center"/>
          </w:tcPr>
          <w:p w:rsidR="00337093">
            <w:pPr>
              <w:widowControl/>
              <w:jc w:val="center"/>
              <w:rPr>
                <w:rFonts w:ascii="宋体" w:hAnsi="宋体" w:cs="宋体"/>
                <w:kern w:val="0"/>
                <w:sz w:val="22"/>
                <w:szCs w:val="22"/>
              </w:rPr>
            </w:pPr>
            <w:r>
              <w:rPr>
                <w:rFonts w:ascii="宋体" w:hAnsi="宋体" w:cs="宋体" w:hint="eastAsia"/>
                <w:kern w:val="0"/>
                <w:sz w:val="22"/>
                <w:szCs w:val="22"/>
              </w:rPr>
              <w:t>XX市充电站</w:t>
            </w:r>
          </w:p>
        </w:tc>
        <w:tc>
          <w:tcPr>
            <w:tcW w:w="1687" w:type="dxa"/>
            <w:noWrap/>
            <w:vAlign w:val="center"/>
          </w:tcPr>
          <w:p w:rsidR="00337093">
            <w:pPr>
              <w:widowControl/>
              <w:jc w:val="center"/>
              <w:rPr>
                <w:rFonts w:ascii="宋体" w:hAnsi="宋体" w:cs="宋体"/>
                <w:kern w:val="0"/>
                <w:sz w:val="22"/>
                <w:szCs w:val="22"/>
              </w:rPr>
            </w:pPr>
            <w:r>
              <w:rPr>
                <w:rFonts w:ascii="宋体" w:hAnsi="宋体" w:cs="宋体" w:hint="eastAsia"/>
                <w:kern w:val="0"/>
                <w:sz w:val="22"/>
                <w:szCs w:val="22"/>
              </w:rPr>
              <w:t>29</w:t>
            </w:r>
          </w:p>
        </w:tc>
        <w:tc>
          <w:tcPr>
            <w:tcW w:w="2389" w:type="dxa"/>
            <w:noWrap/>
            <w:vAlign w:val="center"/>
          </w:tcPr>
          <w:p w:rsidR="00337093">
            <w:pPr>
              <w:widowControl/>
              <w:jc w:val="center"/>
              <w:rPr>
                <w:rFonts w:ascii="宋体" w:hAnsi="宋体" w:cs="宋体"/>
                <w:kern w:val="0"/>
                <w:sz w:val="22"/>
                <w:szCs w:val="22"/>
              </w:rPr>
            </w:pPr>
            <w:r>
              <w:rPr>
                <w:rFonts w:ascii="宋体" w:hAnsi="宋体" w:cs="宋体" w:hint="eastAsia"/>
                <w:kern w:val="0"/>
                <w:sz w:val="22"/>
                <w:szCs w:val="22"/>
              </w:rPr>
              <w:t>580</w:t>
            </w:r>
          </w:p>
        </w:tc>
        <w:tc>
          <w:tcPr>
            <w:tcW w:w="1662" w:type="dxa"/>
            <w:noWrap/>
            <w:vAlign w:val="center"/>
          </w:tcPr>
          <w:p w:rsidR="00337093">
            <w:pPr>
              <w:widowControl/>
              <w:jc w:val="center"/>
              <w:rPr>
                <w:rFonts w:ascii="宋体" w:hAnsi="宋体" w:cs="宋体"/>
                <w:kern w:val="0"/>
                <w:sz w:val="22"/>
                <w:szCs w:val="22"/>
              </w:rPr>
            </w:pPr>
            <w:r>
              <w:rPr>
                <w:rFonts w:ascii="宋体" w:hAnsi="宋体" w:cs="宋体" w:hint="eastAsia"/>
                <w:kern w:val="0"/>
                <w:sz w:val="22"/>
                <w:szCs w:val="22"/>
              </w:rPr>
              <w:t>145</w:t>
            </w:r>
          </w:p>
        </w:tc>
      </w:tr>
      <w:tr>
        <w:tblPrEx>
          <w:tblW w:w="0" w:type="auto"/>
          <w:tblInd w:w="0" w:type="dxa"/>
          <w:tblLayout w:type="fixed"/>
          <w:tblLook w:val="0000"/>
        </w:tblPrEx>
        <w:trPr>
          <w:trHeight w:val="270"/>
        </w:trPr>
        <w:tc>
          <w:tcPr>
            <w:tcW w:w="1302" w:type="dxa"/>
            <w:noWrap/>
            <w:vAlign w:val="center"/>
          </w:tcPr>
          <w:p w:rsidR="00337093">
            <w:pPr>
              <w:widowControl/>
              <w:jc w:val="center"/>
              <w:rPr>
                <w:rFonts w:ascii="宋体" w:hAnsi="宋体" w:cs="宋体"/>
                <w:kern w:val="0"/>
                <w:sz w:val="22"/>
                <w:szCs w:val="22"/>
              </w:rPr>
            </w:pPr>
            <w:r>
              <w:rPr>
                <w:rFonts w:ascii="宋体" w:hAnsi="宋体" w:cs="宋体" w:hint="eastAsia"/>
                <w:kern w:val="0"/>
                <w:sz w:val="22"/>
                <w:szCs w:val="22"/>
              </w:rPr>
              <w:t>2</w:t>
            </w:r>
          </w:p>
        </w:tc>
        <w:tc>
          <w:tcPr>
            <w:tcW w:w="1963" w:type="dxa"/>
            <w:noWrap/>
            <w:vAlign w:val="center"/>
          </w:tcPr>
          <w:p w:rsidR="00337093">
            <w:pPr>
              <w:widowControl/>
              <w:jc w:val="center"/>
              <w:rPr>
                <w:rFonts w:ascii="宋体" w:hAnsi="宋体" w:cs="宋体"/>
                <w:kern w:val="0"/>
                <w:sz w:val="22"/>
                <w:szCs w:val="22"/>
              </w:rPr>
            </w:pPr>
            <w:r>
              <w:rPr>
                <w:rFonts w:ascii="宋体" w:hAnsi="宋体" w:cs="宋体" w:hint="eastAsia"/>
                <w:kern w:val="0"/>
                <w:sz w:val="22"/>
                <w:szCs w:val="22"/>
              </w:rPr>
              <w:t>十一县</w:t>
            </w:r>
          </w:p>
        </w:tc>
        <w:tc>
          <w:tcPr>
            <w:tcW w:w="1687" w:type="dxa"/>
            <w:noWrap/>
            <w:vAlign w:val="center"/>
          </w:tcPr>
          <w:p w:rsidR="00337093">
            <w:pPr>
              <w:widowControl/>
              <w:jc w:val="center"/>
              <w:rPr>
                <w:rFonts w:ascii="宋体" w:hAnsi="宋体" w:cs="宋体"/>
                <w:kern w:val="0"/>
                <w:sz w:val="22"/>
                <w:szCs w:val="22"/>
              </w:rPr>
            </w:pPr>
            <w:r>
              <w:rPr>
                <w:rFonts w:ascii="宋体" w:hAnsi="宋体" w:cs="宋体" w:hint="eastAsia"/>
                <w:kern w:val="0"/>
                <w:sz w:val="22"/>
                <w:szCs w:val="22"/>
              </w:rPr>
              <w:t>11</w:t>
            </w:r>
          </w:p>
        </w:tc>
        <w:tc>
          <w:tcPr>
            <w:tcW w:w="2389" w:type="dxa"/>
            <w:noWrap/>
            <w:vAlign w:val="center"/>
          </w:tcPr>
          <w:p w:rsidR="00337093">
            <w:pPr>
              <w:widowControl/>
              <w:jc w:val="center"/>
              <w:rPr>
                <w:rFonts w:ascii="宋体" w:hAnsi="宋体" w:cs="宋体"/>
                <w:kern w:val="0"/>
                <w:sz w:val="22"/>
                <w:szCs w:val="22"/>
              </w:rPr>
            </w:pPr>
            <w:r>
              <w:rPr>
                <w:rFonts w:ascii="宋体" w:hAnsi="宋体" w:cs="宋体" w:hint="eastAsia"/>
                <w:kern w:val="0"/>
                <w:sz w:val="22"/>
                <w:szCs w:val="22"/>
              </w:rPr>
              <w:t>220</w:t>
            </w:r>
          </w:p>
        </w:tc>
        <w:tc>
          <w:tcPr>
            <w:tcW w:w="1662" w:type="dxa"/>
            <w:noWrap/>
            <w:vAlign w:val="center"/>
          </w:tcPr>
          <w:p w:rsidR="00337093">
            <w:pPr>
              <w:widowControl/>
              <w:jc w:val="center"/>
              <w:rPr>
                <w:rFonts w:ascii="宋体" w:hAnsi="宋体" w:cs="宋体"/>
                <w:kern w:val="0"/>
                <w:sz w:val="22"/>
                <w:szCs w:val="22"/>
              </w:rPr>
            </w:pPr>
            <w:r>
              <w:rPr>
                <w:rFonts w:ascii="宋体" w:hAnsi="宋体" w:cs="宋体" w:hint="eastAsia"/>
                <w:kern w:val="0"/>
                <w:sz w:val="22"/>
                <w:szCs w:val="22"/>
              </w:rPr>
              <w:t>55</w:t>
            </w:r>
          </w:p>
        </w:tc>
      </w:tr>
      <w:tr>
        <w:tblPrEx>
          <w:tblW w:w="0" w:type="auto"/>
          <w:tblInd w:w="0" w:type="dxa"/>
          <w:tblLayout w:type="fixed"/>
          <w:tblLook w:val="0000"/>
        </w:tblPrEx>
        <w:trPr>
          <w:trHeight w:val="270"/>
        </w:trPr>
        <w:tc>
          <w:tcPr>
            <w:tcW w:w="1302" w:type="dxa"/>
            <w:noWrap/>
            <w:vAlign w:val="center"/>
          </w:tcPr>
          <w:p w:rsidR="00337093">
            <w:pPr>
              <w:widowControl/>
              <w:jc w:val="center"/>
              <w:rPr>
                <w:rFonts w:ascii="宋体" w:hAnsi="宋体" w:cs="宋体"/>
                <w:kern w:val="0"/>
                <w:sz w:val="22"/>
                <w:szCs w:val="22"/>
              </w:rPr>
            </w:pPr>
          </w:p>
        </w:tc>
        <w:tc>
          <w:tcPr>
            <w:tcW w:w="1963" w:type="dxa"/>
            <w:noWrap/>
            <w:vAlign w:val="center"/>
          </w:tcPr>
          <w:p w:rsidR="00337093">
            <w:pPr>
              <w:widowControl/>
              <w:jc w:val="center"/>
              <w:rPr>
                <w:rFonts w:ascii="宋体" w:hAnsi="宋体" w:cs="宋体"/>
                <w:kern w:val="0"/>
                <w:sz w:val="22"/>
                <w:szCs w:val="22"/>
              </w:rPr>
            </w:pPr>
            <w:r>
              <w:rPr>
                <w:rFonts w:ascii="宋体" w:hAnsi="宋体" w:cs="宋体" w:hint="eastAsia"/>
                <w:kern w:val="0"/>
                <w:sz w:val="22"/>
                <w:szCs w:val="22"/>
              </w:rPr>
              <w:t>合计</w:t>
            </w:r>
          </w:p>
        </w:tc>
        <w:tc>
          <w:tcPr>
            <w:tcW w:w="1687" w:type="dxa"/>
            <w:noWrap/>
            <w:vAlign w:val="center"/>
          </w:tcPr>
          <w:p w:rsidR="00337093">
            <w:pPr>
              <w:widowControl/>
              <w:jc w:val="center"/>
              <w:rPr>
                <w:rFonts w:ascii="宋体" w:hAnsi="宋体" w:cs="宋体"/>
                <w:kern w:val="0"/>
                <w:sz w:val="22"/>
                <w:szCs w:val="22"/>
              </w:rPr>
            </w:pPr>
            <w:r>
              <w:rPr>
                <w:rFonts w:ascii="宋体" w:hAnsi="宋体" w:cs="宋体" w:hint="eastAsia"/>
                <w:kern w:val="0"/>
                <w:sz w:val="22"/>
                <w:szCs w:val="22"/>
              </w:rPr>
              <w:t>40</w:t>
            </w:r>
          </w:p>
        </w:tc>
        <w:tc>
          <w:tcPr>
            <w:tcW w:w="2389" w:type="dxa"/>
            <w:noWrap/>
            <w:vAlign w:val="center"/>
          </w:tcPr>
          <w:p w:rsidR="00337093">
            <w:pPr>
              <w:widowControl/>
              <w:jc w:val="center"/>
              <w:rPr>
                <w:rFonts w:ascii="宋体" w:hAnsi="宋体" w:cs="宋体"/>
                <w:kern w:val="0"/>
                <w:sz w:val="22"/>
                <w:szCs w:val="22"/>
              </w:rPr>
            </w:pPr>
            <w:r>
              <w:rPr>
                <w:rFonts w:ascii="宋体" w:hAnsi="宋体" w:cs="宋体" w:hint="eastAsia"/>
                <w:kern w:val="0"/>
                <w:sz w:val="22"/>
                <w:szCs w:val="22"/>
              </w:rPr>
              <w:t>800</w:t>
            </w:r>
          </w:p>
        </w:tc>
        <w:tc>
          <w:tcPr>
            <w:tcW w:w="1662" w:type="dxa"/>
            <w:noWrap/>
            <w:vAlign w:val="center"/>
          </w:tcPr>
          <w:p w:rsidR="00337093">
            <w:pPr>
              <w:widowControl/>
              <w:jc w:val="center"/>
              <w:rPr>
                <w:rFonts w:ascii="宋体" w:hAnsi="宋体" w:cs="宋体"/>
                <w:kern w:val="0"/>
                <w:sz w:val="22"/>
                <w:szCs w:val="22"/>
              </w:rPr>
            </w:pPr>
            <w:r>
              <w:rPr>
                <w:rFonts w:ascii="宋体" w:hAnsi="宋体" w:cs="宋体" w:hint="eastAsia"/>
                <w:kern w:val="0"/>
                <w:sz w:val="22"/>
                <w:szCs w:val="22"/>
              </w:rPr>
              <w:t>200</w:t>
            </w:r>
          </w:p>
        </w:tc>
      </w:tr>
    </w:tbl>
    <w:p w:rsidR="00337093" w:rsidP="00337093">
      <w:pPr>
        <w:ind w:firstLine="560" w:firstLineChars="200"/>
        <w:rPr>
          <w:rFonts w:hAnsi="宋体" w:hint="eastAsia"/>
          <w:bCs/>
          <w:sz w:val="28"/>
          <w:szCs w:val="28"/>
        </w:rPr>
      </w:pPr>
    </w:p>
    <w:p w:rsidR="00337093">
      <w:pPr>
        <w:pStyle w:val="Heading3"/>
        <w:spacing w:before="0" w:after="0" w:line="240" w:lineRule="auto"/>
        <w:rPr>
          <w:rFonts w:eastAsia="宋体"/>
          <w:b/>
          <w:sz w:val="32"/>
        </w:rPr>
      </w:pPr>
      <w:smartTag w:uri="urn:schemas-microsoft-com:office:smarttags" w:element="chsdate">
        <w:smartTagPr>
          <w:attr w:name="Day" w:val="30"/>
          <w:attr w:name="IsLunarDate" w:val="False"/>
          <w:attr w:name="IsROCDate" w:val="False"/>
          <w:attr w:name="Month" w:val="12"/>
          <w:attr w:name="Year" w:val="1899"/>
        </w:smartTagPr>
        <w:r>
          <w:rPr>
            <w:rFonts w:eastAsia="宋体" w:hint="eastAsia"/>
            <w:b/>
            <w:sz w:val="32"/>
          </w:rPr>
          <w:t>5.3.2</w:t>
        </w:r>
      </w:smartTag>
      <w:r>
        <w:rPr>
          <w:rFonts w:eastAsia="宋体" w:hint="eastAsia"/>
          <w:b/>
          <w:sz w:val="32"/>
        </w:rPr>
        <w:t>干线充电站</w:t>
      </w:r>
    </w:p>
    <w:p w:rsidR="00337093" w:rsidP="00337093">
      <w:pPr>
        <w:ind w:firstLine="560" w:firstLineChars="200"/>
        <w:rPr>
          <w:rFonts w:hAnsi="宋体" w:hint="eastAsia"/>
          <w:bCs/>
          <w:sz w:val="28"/>
          <w:szCs w:val="28"/>
        </w:rPr>
      </w:pPr>
      <w:r>
        <w:rPr>
          <w:rFonts w:hAnsi="宋体" w:hint="eastAsia"/>
          <w:bCs/>
          <w:sz w:val="28"/>
          <w:szCs w:val="28"/>
        </w:rPr>
        <w:t>在XX主要出城口规划建设12座干线充电站。共配备72台直流充电桩、120台交流充电桩。满足XX市新能源汽车快速充电、行程覆盖周边县城的需求。</w:t>
      </w:r>
    </w:p>
    <w:tbl>
      <w:tblPr>
        <w:tblStyle w:val="TableNormal"/>
        <w:tblW w:w="0" w:type="auto"/>
        <w:tblInd w:w="0" w:type="dxa"/>
        <w:tblLayout w:type="fixed"/>
        <w:tblLook w:val="0000"/>
      </w:tblPr>
      <w:tblGrid>
        <w:gridCol w:w="614"/>
        <w:gridCol w:w="2194"/>
        <w:gridCol w:w="4369"/>
        <w:gridCol w:w="1111"/>
        <w:gridCol w:w="715"/>
      </w:tblGrid>
      <w:tr>
        <w:tblPrEx>
          <w:tblW w:w="0" w:type="auto"/>
          <w:tblInd w:w="0" w:type="dxa"/>
          <w:tblLayout w:type="fixed"/>
          <w:tblLook w:val="0000"/>
        </w:tblPrEx>
        <w:trPr>
          <w:trHeight w:val="270"/>
        </w:trPr>
        <w:tc>
          <w:tcPr>
            <w:tcW w:w="614" w:type="dxa"/>
            <w:vMerge w:val="restart"/>
            <w:tcBorders>
              <w:top w:val="single" w:sz="4" w:space="0" w:color="auto"/>
              <w:left w:val="single" w:sz="4" w:space="0" w:color="auto"/>
              <w:bottom w:val="single" w:sz="4" w:space="0" w:color="auto"/>
              <w:right w:val="single" w:sz="4" w:space="0" w:color="auto"/>
            </w:tcBorders>
            <w:shd w:val="clear" w:color="auto" w:fill="339966"/>
            <w:noWrap/>
            <w:vAlign w:val="center"/>
          </w:tcPr>
          <w:p w:rsidR="00337093">
            <w:pPr>
              <w:widowControl/>
              <w:jc w:val="center"/>
              <w:rPr>
                <w:rFonts w:ascii="宋体" w:hAnsi="宋体" w:cs="宋体"/>
                <w:b/>
                <w:bCs/>
                <w:kern w:val="0"/>
                <w:szCs w:val="21"/>
              </w:rPr>
            </w:pPr>
            <w:r>
              <w:rPr>
                <w:rFonts w:ascii="宋体" w:hAnsi="宋体" w:cs="宋体" w:hint="eastAsia"/>
                <w:b/>
                <w:bCs/>
                <w:kern w:val="0"/>
                <w:szCs w:val="21"/>
              </w:rPr>
              <w:t>序号</w:t>
            </w:r>
          </w:p>
        </w:tc>
        <w:tc>
          <w:tcPr>
            <w:tcW w:w="2194" w:type="dxa"/>
            <w:vMerge w:val="restart"/>
            <w:tcBorders>
              <w:top w:val="single" w:sz="4" w:space="0" w:color="auto"/>
              <w:left w:val="single" w:sz="4" w:space="0" w:color="auto"/>
              <w:bottom w:val="single" w:sz="4" w:space="0" w:color="000000"/>
              <w:right w:val="single" w:sz="4" w:space="0" w:color="auto"/>
            </w:tcBorders>
            <w:shd w:val="clear" w:color="auto" w:fill="339966"/>
            <w:noWrap/>
            <w:vAlign w:val="center"/>
          </w:tcPr>
          <w:p w:rsidR="00337093">
            <w:pPr>
              <w:widowControl/>
              <w:jc w:val="center"/>
              <w:rPr>
                <w:rFonts w:ascii="宋体" w:hAnsi="宋体" w:cs="宋体"/>
                <w:b/>
                <w:bCs/>
                <w:kern w:val="0"/>
                <w:szCs w:val="21"/>
              </w:rPr>
            </w:pPr>
            <w:r>
              <w:rPr>
                <w:rFonts w:ascii="宋体" w:hAnsi="宋体" w:cs="宋体" w:hint="eastAsia"/>
                <w:b/>
                <w:bCs/>
                <w:kern w:val="0"/>
                <w:szCs w:val="21"/>
              </w:rPr>
              <w:t>充电站名称</w:t>
            </w:r>
          </w:p>
        </w:tc>
        <w:tc>
          <w:tcPr>
            <w:tcW w:w="4369" w:type="dxa"/>
            <w:vMerge w:val="restart"/>
            <w:tcBorders>
              <w:top w:val="single" w:sz="4" w:space="0" w:color="auto"/>
              <w:left w:val="single" w:sz="4" w:space="0" w:color="auto"/>
              <w:bottom w:val="single" w:sz="4" w:space="0" w:color="auto"/>
              <w:right w:val="single" w:sz="4" w:space="0" w:color="auto"/>
            </w:tcBorders>
            <w:shd w:val="clear" w:color="auto" w:fill="339966"/>
            <w:noWrap/>
            <w:vAlign w:val="center"/>
          </w:tcPr>
          <w:p w:rsidR="00337093">
            <w:pPr>
              <w:widowControl/>
              <w:jc w:val="center"/>
              <w:rPr>
                <w:rFonts w:ascii="宋体" w:hAnsi="宋体" w:cs="宋体"/>
                <w:b/>
                <w:bCs/>
                <w:kern w:val="0"/>
                <w:szCs w:val="21"/>
              </w:rPr>
            </w:pPr>
            <w:r>
              <w:rPr>
                <w:rFonts w:ascii="宋体" w:hAnsi="宋体" w:cs="宋体" w:hint="eastAsia"/>
                <w:b/>
                <w:bCs/>
                <w:kern w:val="0"/>
                <w:szCs w:val="21"/>
              </w:rPr>
              <w:t>充电站位置</w:t>
            </w:r>
          </w:p>
        </w:tc>
        <w:tc>
          <w:tcPr>
            <w:tcW w:w="1826" w:type="dxa"/>
            <w:gridSpan w:val="2"/>
            <w:tcBorders>
              <w:top w:val="single" w:sz="4" w:space="0" w:color="auto"/>
              <w:left w:val="nil"/>
              <w:bottom w:val="single" w:sz="4" w:space="0" w:color="auto"/>
              <w:right w:val="single" w:sz="4" w:space="0" w:color="auto"/>
            </w:tcBorders>
            <w:shd w:val="clear" w:color="auto" w:fill="339966"/>
            <w:noWrap/>
            <w:vAlign w:val="center"/>
          </w:tcPr>
          <w:p w:rsidR="00337093">
            <w:pPr>
              <w:widowControl/>
              <w:jc w:val="center"/>
              <w:rPr>
                <w:rFonts w:ascii="宋体" w:hAnsi="宋体" w:cs="宋体"/>
                <w:b/>
                <w:bCs/>
                <w:kern w:val="0"/>
                <w:szCs w:val="21"/>
              </w:rPr>
            </w:pPr>
            <w:r>
              <w:rPr>
                <w:rFonts w:ascii="宋体" w:hAnsi="宋体" w:cs="宋体" w:hint="eastAsia"/>
                <w:b/>
                <w:bCs/>
                <w:kern w:val="0"/>
                <w:szCs w:val="21"/>
              </w:rPr>
              <w:t>充电桩规模</w:t>
            </w:r>
          </w:p>
        </w:tc>
      </w:tr>
      <w:tr>
        <w:tblPrEx>
          <w:tblW w:w="0" w:type="auto"/>
          <w:tblInd w:w="0" w:type="dxa"/>
          <w:tblLayout w:type="fixed"/>
          <w:tblLook w:val="0000"/>
        </w:tblPrEx>
        <w:trPr>
          <w:trHeight w:val="240"/>
        </w:trPr>
        <w:tc>
          <w:tcPr>
            <w:tcW w:w="614" w:type="dxa"/>
            <w:vMerge/>
            <w:tcBorders>
              <w:top w:val="single" w:sz="4" w:space="0" w:color="auto"/>
              <w:left w:val="single" w:sz="4" w:space="0" w:color="auto"/>
              <w:bottom w:val="single" w:sz="4" w:space="0" w:color="auto"/>
              <w:right w:val="single" w:sz="4" w:space="0" w:color="auto"/>
            </w:tcBorders>
            <w:shd w:val="clear" w:color="auto" w:fill="auto"/>
            <w:vAlign w:val="center"/>
          </w:tcPr>
          <w:p w:rsidR="00337093">
            <w:pPr>
              <w:widowControl/>
              <w:jc w:val="center"/>
              <w:rPr>
                <w:rFonts w:ascii="宋体" w:hAnsi="宋体" w:cs="宋体"/>
                <w:b/>
                <w:bCs/>
                <w:kern w:val="0"/>
                <w:szCs w:val="21"/>
              </w:rPr>
            </w:pPr>
          </w:p>
        </w:tc>
        <w:tc>
          <w:tcPr>
            <w:tcW w:w="2194" w:type="dxa"/>
            <w:vMerge/>
            <w:tcBorders>
              <w:top w:val="single" w:sz="4" w:space="0" w:color="auto"/>
              <w:left w:val="single" w:sz="4" w:space="0" w:color="auto"/>
              <w:bottom w:val="single" w:sz="4" w:space="0" w:color="000000"/>
              <w:right w:val="single" w:sz="4" w:space="0" w:color="auto"/>
            </w:tcBorders>
            <w:shd w:val="clear" w:color="auto" w:fill="auto"/>
            <w:vAlign w:val="center"/>
          </w:tcPr>
          <w:p w:rsidR="00337093">
            <w:pPr>
              <w:widowControl/>
              <w:jc w:val="center"/>
              <w:rPr>
                <w:rFonts w:ascii="宋体" w:hAnsi="宋体" w:cs="宋体"/>
                <w:b/>
                <w:bCs/>
                <w:kern w:val="0"/>
                <w:szCs w:val="21"/>
              </w:rPr>
            </w:pPr>
          </w:p>
        </w:tc>
        <w:tc>
          <w:tcPr>
            <w:tcW w:w="4369" w:type="dxa"/>
            <w:vMerge/>
            <w:tcBorders>
              <w:top w:val="single" w:sz="4" w:space="0" w:color="auto"/>
              <w:left w:val="single" w:sz="4" w:space="0" w:color="auto"/>
              <w:bottom w:val="single" w:sz="4" w:space="0" w:color="auto"/>
              <w:right w:val="single" w:sz="4" w:space="0" w:color="auto"/>
            </w:tcBorders>
            <w:shd w:val="clear" w:color="auto" w:fill="auto"/>
            <w:vAlign w:val="center"/>
          </w:tcPr>
          <w:p w:rsidR="00337093">
            <w:pPr>
              <w:widowControl/>
              <w:jc w:val="center"/>
              <w:rPr>
                <w:rFonts w:ascii="宋体" w:hAnsi="宋体" w:cs="宋体"/>
                <w:b/>
                <w:bCs/>
                <w:kern w:val="0"/>
                <w:szCs w:val="21"/>
              </w:rPr>
            </w:pPr>
          </w:p>
        </w:tc>
        <w:tc>
          <w:tcPr>
            <w:tcW w:w="1111" w:type="dxa"/>
            <w:tcBorders>
              <w:top w:val="nil"/>
              <w:left w:val="nil"/>
              <w:bottom w:val="single" w:sz="4" w:space="0" w:color="auto"/>
              <w:right w:val="single" w:sz="4" w:space="0" w:color="auto"/>
            </w:tcBorders>
            <w:shd w:val="clear" w:color="auto" w:fill="339966"/>
            <w:noWrap/>
            <w:vAlign w:val="center"/>
          </w:tcPr>
          <w:p w:rsidR="00337093">
            <w:pPr>
              <w:widowControl/>
              <w:jc w:val="center"/>
              <w:rPr>
                <w:rFonts w:ascii="宋体" w:hAnsi="宋体" w:cs="宋体" w:hint="eastAsia"/>
                <w:b/>
                <w:bCs/>
                <w:kern w:val="0"/>
                <w:szCs w:val="21"/>
              </w:rPr>
            </w:pPr>
            <w:r>
              <w:rPr>
                <w:rFonts w:ascii="宋体" w:hAnsi="宋体" w:cs="宋体" w:hint="eastAsia"/>
                <w:b/>
                <w:bCs/>
                <w:kern w:val="0"/>
                <w:szCs w:val="21"/>
              </w:rPr>
              <w:t>直流</w:t>
            </w:r>
          </w:p>
          <w:p w:rsidR="00337093">
            <w:pPr>
              <w:widowControl/>
              <w:jc w:val="center"/>
              <w:rPr>
                <w:rFonts w:ascii="宋体" w:hAnsi="宋体" w:cs="宋体"/>
                <w:b/>
                <w:bCs/>
                <w:kern w:val="0"/>
                <w:szCs w:val="21"/>
              </w:rPr>
            </w:pPr>
            <w:r>
              <w:rPr>
                <w:rFonts w:ascii="宋体" w:hAnsi="宋体" w:cs="宋体" w:hint="eastAsia"/>
                <w:b/>
                <w:bCs/>
                <w:kern w:val="0"/>
                <w:szCs w:val="21"/>
              </w:rPr>
              <w:t>（100kw）</w:t>
            </w:r>
          </w:p>
        </w:tc>
        <w:tc>
          <w:tcPr>
            <w:tcW w:w="715" w:type="dxa"/>
            <w:tcBorders>
              <w:top w:val="nil"/>
              <w:left w:val="nil"/>
              <w:bottom w:val="single" w:sz="4" w:space="0" w:color="auto"/>
              <w:right w:val="single" w:sz="4" w:space="0" w:color="auto"/>
            </w:tcBorders>
            <w:shd w:val="clear" w:color="auto" w:fill="339966"/>
            <w:noWrap/>
            <w:vAlign w:val="center"/>
          </w:tcPr>
          <w:p w:rsidR="00337093">
            <w:pPr>
              <w:widowControl/>
              <w:jc w:val="center"/>
              <w:rPr>
                <w:rFonts w:ascii="宋体" w:hAnsi="宋体" w:cs="宋体" w:hint="eastAsia"/>
                <w:b/>
                <w:bCs/>
                <w:kern w:val="0"/>
                <w:szCs w:val="21"/>
              </w:rPr>
            </w:pPr>
            <w:r>
              <w:rPr>
                <w:rFonts w:ascii="宋体" w:hAnsi="宋体" w:cs="宋体" w:hint="eastAsia"/>
                <w:b/>
                <w:bCs/>
                <w:kern w:val="0"/>
                <w:szCs w:val="21"/>
              </w:rPr>
              <w:t>交流</w:t>
            </w:r>
          </w:p>
          <w:p w:rsidR="00337093">
            <w:pPr>
              <w:widowControl/>
              <w:jc w:val="center"/>
              <w:rPr>
                <w:rFonts w:ascii="宋体" w:hAnsi="宋体" w:cs="宋体"/>
                <w:b/>
                <w:bCs/>
                <w:kern w:val="0"/>
                <w:szCs w:val="21"/>
              </w:rPr>
            </w:pPr>
            <w:r>
              <w:rPr>
                <w:rFonts w:ascii="宋体" w:hAnsi="宋体" w:cs="宋体" w:hint="eastAsia"/>
                <w:b/>
                <w:bCs/>
                <w:kern w:val="0"/>
                <w:szCs w:val="21"/>
              </w:rPr>
              <w:t>(7kw)</w:t>
            </w:r>
          </w:p>
        </w:tc>
      </w:tr>
      <w:tr>
        <w:tblPrEx>
          <w:tblW w:w="0" w:type="auto"/>
          <w:tblInd w:w="0" w:type="dxa"/>
          <w:tblLayout w:type="fixed"/>
          <w:tblLook w:val="0000"/>
        </w:tblPrEx>
        <w:trPr>
          <w:trHeight w:val="270"/>
        </w:trPr>
        <w:tc>
          <w:tcPr>
            <w:tcW w:w="614" w:type="dxa"/>
            <w:tcBorders>
              <w:top w:val="nil"/>
              <w:left w:val="single" w:sz="4" w:space="0" w:color="auto"/>
              <w:bottom w:val="single" w:sz="4" w:space="0" w:color="auto"/>
              <w:right w:val="nil"/>
            </w:tcBorders>
            <w:noWrap/>
            <w:vAlign w:val="center"/>
          </w:tcPr>
          <w:p w:rsidR="00337093">
            <w:pPr>
              <w:widowControl/>
              <w:jc w:val="center"/>
              <w:rPr>
                <w:rFonts w:ascii="宋体" w:hAnsi="宋体" w:cs="宋体"/>
                <w:kern w:val="0"/>
                <w:szCs w:val="21"/>
              </w:rPr>
            </w:pPr>
            <w:r>
              <w:rPr>
                <w:rFonts w:ascii="宋体" w:hAnsi="宋体" w:cs="宋体" w:hint="eastAsia"/>
                <w:kern w:val="0"/>
                <w:szCs w:val="21"/>
              </w:rPr>
              <w:t>1</w:t>
            </w:r>
          </w:p>
        </w:tc>
        <w:tc>
          <w:tcPr>
            <w:tcW w:w="2194" w:type="dxa"/>
            <w:tcBorders>
              <w:top w:val="nil"/>
              <w:left w:val="single" w:sz="4" w:space="0" w:color="auto"/>
              <w:bottom w:val="single" w:sz="4" w:space="0" w:color="auto"/>
              <w:right w:val="nil"/>
            </w:tcBorders>
            <w:noWrap/>
            <w:vAlign w:val="center"/>
          </w:tcPr>
          <w:p w:rsidR="00337093">
            <w:pPr>
              <w:widowControl/>
              <w:jc w:val="center"/>
              <w:rPr>
                <w:rFonts w:ascii="宋体" w:hAnsi="宋体" w:cs="宋体"/>
                <w:kern w:val="0"/>
                <w:szCs w:val="21"/>
              </w:rPr>
            </w:pPr>
            <w:r>
              <w:rPr>
                <w:rFonts w:ascii="宋体" w:hAnsi="宋体" w:cs="宋体" w:hint="eastAsia"/>
                <w:kern w:val="0"/>
                <w:szCs w:val="21"/>
              </w:rPr>
              <w:t>XX信臣东路充电站</w:t>
            </w:r>
          </w:p>
        </w:tc>
        <w:tc>
          <w:tcPr>
            <w:tcW w:w="436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Cs w:val="21"/>
              </w:rPr>
            </w:pPr>
            <w:r>
              <w:rPr>
                <w:rFonts w:ascii="宋体" w:hAnsi="宋体" w:cs="宋体" w:hint="eastAsia"/>
                <w:kern w:val="0"/>
                <w:szCs w:val="21"/>
              </w:rPr>
              <w:t>XX省XX市宛城区信臣东路</w:t>
            </w:r>
          </w:p>
        </w:tc>
        <w:tc>
          <w:tcPr>
            <w:tcW w:w="111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Cs w:val="21"/>
              </w:rPr>
            </w:pPr>
            <w:r>
              <w:rPr>
                <w:rFonts w:ascii="宋体" w:hAnsi="宋体" w:cs="宋体" w:hint="eastAsia"/>
                <w:kern w:val="0"/>
                <w:szCs w:val="21"/>
              </w:rPr>
              <w:t>6</w:t>
            </w:r>
          </w:p>
        </w:tc>
        <w:tc>
          <w:tcPr>
            <w:tcW w:w="715"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Cs w:val="21"/>
              </w:rPr>
            </w:pPr>
            <w:r>
              <w:rPr>
                <w:rFonts w:ascii="宋体" w:hAnsi="宋体" w:cs="宋体" w:hint="eastAsia"/>
                <w:kern w:val="0"/>
                <w:szCs w:val="21"/>
              </w:rPr>
              <w:t>10</w:t>
            </w:r>
          </w:p>
        </w:tc>
      </w:tr>
      <w:tr>
        <w:tblPrEx>
          <w:tblW w:w="0" w:type="auto"/>
          <w:tblInd w:w="0" w:type="dxa"/>
          <w:tblLayout w:type="fixed"/>
          <w:tblLook w:val="0000"/>
        </w:tblPrEx>
        <w:trPr>
          <w:trHeight w:val="240"/>
        </w:trPr>
        <w:tc>
          <w:tcPr>
            <w:tcW w:w="614" w:type="dxa"/>
            <w:tcBorders>
              <w:top w:val="nil"/>
              <w:left w:val="single" w:sz="4" w:space="0" w:color="auto"/>
              <w:bottom w:val="single" w:sz="4" w:space="0" w:color="auto"/>
              <w:right w:val="nil"/>
            </w:tcBorders>
            <w:noWrap/>
            <w:vAlign w:val="center"/>
          </w:tcPr>
          <w:p w:rsidR="00337093">
            <w:pPr>
              <w:widowControl/>
              <w:jc w:val="center"/>
              <w:rPr>
                <w:rFonts w:ascii="宋体" w:hAnsi="宋体" w:cs="宋体"/>
                <w:kern w:val="0"/>
                <w:szCs w:val="21"/>
              </w:rPr>
            </w:pPr>
            <w:r>
              <w:rPr>
                <w:rFonts w:ascii="宋体" w:hAnsi="宋体" w:cs="宋体" w:hint="eastAsia"/>
                <w:kern w:val="0"/>
                <w:szCs w:val="21"/>
              </w:rPr>
              <w:t>2</w:t>
            </w:r>
          </w:p>
        </w:tc>
        <w:tc>
          <w:tcPr>
            <w:tcW w:w="2194" w:type="dxa"/>
            <w:tcBorders>
              <w:top w:val="nil"/>
              <w:left w:val="single" w:sz="4" w:space="0" w:color="auto"/>
              <w:bottom w:val="single" w:sz="4" w:space="0" w:color="auto"/>
              <w:right w:val="nil"/>
            </w:tcBorders>
            <w:noWrap/>
            <w:vAlign w:val="center"/>
          </w:tcPr>
          <w:p w:rsidR="00337093">
            <w:pPr>
              <w:widowControl/>
              <w:jc w:val="center"/>
              <w:rPr>
                <w:rFonts w:ascii="宋体" w:hAnsi="宋体" w:cs="宋体"/>
                <w:kern w:val="0"/>
                <w:szCs w:val="21"/>
              </w:rPr>
            </w:pPr>
            <w:r>
              <w:rPr>
                <w:rFonts w:ascii="宋体" w:hAnsi="宋体" w:cs="宋体" w:hint="eastAsia"/>
                <w:kern w:val="0"/>
                <w:szCs w:val="21"/>
              </w:rPr>
              <w:t>XX北绕城高速充电站</w:t>
            </w:r>
          </w:p>
        </w:tc>
        <w:tc>
          <w:tcPr>
            <w:tcW w:w="436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Cs w:val="21"/>
              </w:rPr>
            </w:pPr>
            <w:r>
              <w:rPr>
                <w:rFonts w:ascii="宋体" w:hAnsi="宋体" w:cs="宋体" w:hint="eastAsia"/>
                <w:kern w:val="0"/>
                <w:szCs w:val="21"/>
              </w:rPr>
              <w:t>S8311XX北绕城高速龚河枢纽出口</w:t>
            </w:r>
          </w:p>
        </w:tc>
        <w:tc>
          <w:tcPr>
            <w:tcW w:w="111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Cs w:val="21"/>
              </w:rPr>
            </w:pPr>
            <w:r>
              <w:rPr>
                <w:rFonts w:ascii="宋体" w:hAnsi="宋体" w:cs="宋体" w:hint="eastAsia"/>
                <w:kern w:val="0"/>
                <w:szCs w:val="21"/>
              </w:rPr>
              <w:t>6</w:t>
            </w:r>
          </w:p>
        </w:tc>
        <w:tc>
          <w:tcPr>
            <w:tcW w:w="715"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Cs w:val="21"/>
              </w:rPr>
            </w:pPr>
            <w:r>
              <w:rPr>
                <w:rFonts w:ascii="宋体" w:hAnsi="宋体" w:cs="宋体" w:hint="eastAsia"/>
                <w:kern w:val="0"/>
                <w:szCs w:val="21"/>
              </w:rPr>
              <w:t>10</w:t>
            </w:r>
          </w:p>
        </w:tc>
      </w:tr>
      <w:tr>
        <w:tblPrEx>
          <w:tblW w:w="0" w:type="auto"/>
          <w:tblInd w:w="0" w:type="dxa"/>
          <w:tblLayout w:type="fixed"/>
          <w:tblLook w:val="0000"/>
        </w:tblPrEx>
        <w:trPr>
          <w:trHeight w:val="240"/>
        </w:trPr>
        <w:tc>
          <w:tcPr>
            <w:tcW w:w="614" w:type="dxa"/>
            <w:tcBorders>
              <w:top w:val="nil"/>
              <w:left w:val="single" w:sz="4" w:space="0" w:color="auto"/>
              <w:bottom w:val="single" w:sz="4" w:space="0" w:color="auto"/>
              <w:right w:val="nil"/>
            </w:tcBorders>
            <w:noWrap/>
            <w:vAlign w:val="center"/>
          </w:tcPr>
          <w:p w:rsidR="00337093">
            <w:pPr>
              <w:widowControl/>
              <w:jc w:val="center"/>
              <w:rPr>
                <w:rFonts w:ascii="宋体" w:hAnsi="宋体" w:cs="宋体"/>
                <w:kern w:val="0"/>
                <w:szCs w:val="21"/>
              </w:rPr>
            </w:pPr>
            <w:r>
              <w:rPr>
                <w:rFonts w:ascii="宋体" w:hAnsi="宋体" w:cs="宋体" w:hint="eastAsia"/>
                <w:kern w:val="0"/>
                <w:szCs w:val="21"/>
              </w:rPr>
              <w:t>3</w:t>
            </w:r>
          </w:p>
        </w:tc>
        <w:tc>
          <w:tcPr>
            <w:tcW w:w="2194" w:type="dxa"/>
            <w:tcBorders>
              <w:top w:val="nil"/>
              <w:left w:val="single" w:sz="4" w:space="0" w:color="auto"/>
              <w:bottom w:val="single" w:sz="4" w:space="0" w:color="auto"/>
              <w:right w:val="nil"/>
            </w:tcBorders>
            <w:noWrap/>
            <w:vAlign w:val="center"/>
          </w:tcPr>
          <w:p w:rsidR="00337093">
            <w:pPr>
              <w:widowControl/>
              <w:jc w:val="center"/>
              <w:rPr>
                <w:rFonts w:ascii="宋体" w:hAnsi="宋体" w:cs="宋体"/>
                <w:kern w:val="0"/>
                <w:szCs w:val="21"/>
              </w:rPr>
            </w:pPr>
            <w:r>
              <w:rPr>
                <w:rFonts w:ascii="宋体" w:hAnsi="宋体" w:cs="宋体" w:hint="eastAsia"/>
                <w:kern w:val="0"/>
                <w:szCs w:val="21"/>
              </w:rPr>
              <w:t>XX蒲山充电站</w:t>
            </w:r>
          </w:p>
        </w:tc>
        <w:tc>
          <w:tcPr>
            <w:tcW w:w="436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Cs w:val="21"/>
              </w:rPr>
            </w:pPr>
            <w:r>
              <w:rPr>
                <w:rFonts w:ascii="宋体" w:hAnsi="宋体" w:cs="宋体" w:hint="eastAsia"/>
                <w:kern w:val="0"/>
                <w:szCs w:val="21"/>
              </w:rPr>
              <w:t>仲景路靖宇路交叉口</w:t>
            </w:r>
          </w:p>
        </w:tc>
        <w:tc>
          <w:tcPr>
            <w:tcW w:w="111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Cs w:val="21"/>
              </w:rPr>
            </w:pPr>
            <w:r>
              <w:rPr>
                <w:rFonts w:ascii="宋体" w:hAnsi="宋体" w:cs="宋体" w:hint="eastAsia"/>
                <w:kern w:val="0"/>
                <w:szCs w:val="21"/>
              </w:rPr>
              <w:t>6</w:t>
            </w:r>
          </w:p>
        </w:tc>
        <w:tc>
          <w:tcPr>
            <w:tcW w:w="715"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Cs w:val="21"/>
              </w:rPr>
            </w:pPr>
            <w:r>
              <w:rPr>
                <w:rFonts w:ascii="宋体" w:hAnsi="宋体" w:cs="宋体" w:hint="eastAsia"/>
                <w:kern w:val="0"/>
                <w:szCs w:val="21"/>
              </w:rPr>
              <w:t>10</w:t>
            </w:r>
          </w:p>
        </w:tc>
      </w:tr>
      <w:tr>
        <w:tblPrEx>
          <w:tblW w:w="0" w:type="auto"/>
          <w:tblInd w:w="0" w:type="dxa"/>
          <w:tblLayout w:type="fixed"/>
          <w:tblLook w:val="0000"/>
        </w:tblPrEx>
        <w:trPr>
          <w:trHeight w:val="240"/>
        </w:trPr>
        <w:tc>
          <w:tcPr>
            <w:tcW w:w="614" w:type="dxa"/>
            <w:tcBorders>
              <w:top w:val="nil"/>
              <w:left w:val="single" w:sz="4" w:space="0" w:color="auto"/>
              <w:bottom w:val="single" w:sz="4" w:space="0" w:color="auto"/>
              <w:right w:val="nil"/>
            </w:tcBorders>
            <w:noWrap/>
            <w:vAlign w:val="center"/>
          </w:tcPr>
          <w:p w:rsidR="00337093">
            <w:pPr>
              <w:widowControl/>
              <w:jc w:val="center"/>
              <w:rPr>
                <w:rFonts w:ascii="宋体" w:hAnsi="宋体" w:cs="宋体"/>
                <w:kern w:val="0"/>
                <w:szCs w:val="21"/>
              </w:rPr>
            </w:pPr>
            <w:r>
              <w:rPr>
                <w:rFonts w:ascii="宋体" w:hAnsi="宋体" w:cs="宋体" w:hint="eastAsia"/>
                <w:kern w:val="0"/>
                <w:szCs w:val="21"/>
              </w:rPr>
              <w:t>4</w:t>
            </w:r>
          </w:p>
        </w:tc>
        <w:tc>
          <w:tcPr>
            <w:tcW w:w="2194" w:type="dxa"/>
            <w:tcBorders>
              <w:top w:val="nil"/>
              <w:left w:val="single" w:sz="4" w:space="0" w:color="auto"/>
              <w:bottom w:val="single" w:sz="4" w:space="0" w:color="auto"/>
              <w:right w:val="nil"/>
            </w:tcBorders>
            <w:noWrap/>
            <w:vAlign w:val="center"/>
          </w:tcPr>
          <w:p w:rsidR="00337093">
            <w:pPr>
              <w:widowControl/>
              <w:jc w:val="center"/>
              <w:rPr>
                <w:rFonts w:ascii="宋体" w:hAnsi="宋体" w:cs="宋体"/>
                <w:kern w:val="0"/>
                <w:szCs w:val="21"/>
              </w:rPr>
            </w:pPr>
            <w:r>
              <w:rPr>
                <w:rFonts w:ascii="宋体" w:hAnsi="宋体" w:cs="宋体" w:hint="eastAsia"/>
                <w:kern w:val="0"/>
                <w:szCs w:val="21"/>
              </w:rPr>
              <w:t>XX张衡充电站</w:t>
            </w:r>
          </w:p>
        </w:tc>
        <w:tc>
          <w:tcPr>
            <w:tcW w:w="436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Cs w:val="21"/>
              </w:rPr>
            </w:pPr>
            <w:r>
              <w:rPr>
                <w:rFonts w:ascii="宋体" w:hAnsi="宋体" w:cs="宋体" w:hint="eastAsia"/>
                <w:kern w:val="0"/>
                <w:szCs w:val="21"/>
              </w:rPr>
              <w:t>XX省XX市卧龙区张衡路与车铲路交叉口</w:t>
            </w:r>
          </w:p>
        </w:tc>
        <w:tc>
          <w:tcPr>
            <w:tcW w:w="111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Cs w:val="21"/>
              </w:rPr>
            </w:pPr>
            <w:r>
              <w:rPr>
                <w:rFonts w:ascii="宋体" w:hAnsi="宋体" w:cs="宋体" w:hint="eastAsia"/>
                <w:kern w:val="0"/>
                <w:szCs w:val="21"/>
              </w:rPr>
              <w:t>6</w:t>
            </w:r>
          </w:p>
        </w:tc>
        <w:tc>
          <w:tcPr>
            <w:tcW w:w="715"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Cs w:val="21"/>
              </w:rPr>
            </w:pPr>
            <w:r>
              <w:rPr>
                <w:rFonts w:ascii="宋体" w:hAnsi="宋体" w:cs="宋体" w:hint="eastAsia"/>
                <w:kern w:val="0"/>
                <w:szCs w:val="21"/>
              </w:rPr>
              <w:t>10</w:t>
            </w:r>
          </w:p>
        </w:tc>
      </w:tr>
      <w:tr>
        <w:tblPrEx>
          <w:tblW w:w="0" w:type="auto"/>
          <w:tblInd w:w="0" w:type="dxa"/>
          <w:tblLayout w:type="fixed"/>
          <w:tblLook w:val="0000"/>
        </w:tblPrEx>
        <w:trPr>
          <w:trHeight w:val="240"/>
        </w:trPr>
        <w:tc>
          <w:tcPr>
            <w:tcW w:w="614" w:type="dxa"/>
            <w:tcBorders>
              <w:top w:val="nil"/>
              <w:left w:val="single" w:sz="4" w:space="0" w:color="auto"/>
              <w:bottom w:val="single" w:sz="4" w:space="0" w:color="auto"/>
              <w:right w:val="nil"/>
            </w:tcBorders>
            <w:noWrap/>
            <w:vAlign w:val="center"/>
          </w:tcPr>
          <w:p w:rsidR="00337093">
            <w:pPr>
              <w:widowControl/>
              <w:jc w:val="center"/>
              <w:rPr>
                <w:rFonts w:ascii="宋体" w:hAnsi="宋体" w:cs="宋体"/>
                <w:kern w:val="0"/>
                <w:szCs w:val="21"/>
              </w:rPr>
            </w:pPr>
            <w:r>
              <w:rPr>
                <w:rFonts w:ascii="宋体" w:hAnsi="宋体" w:cs="宋体" w:hint="eastAsia"/>
                <w:kern w:val="0"/>
                <w:szCs w:val="21"/>
              </w:rPr>
              <w:t>5</w:t>
            </w:r>
          </w:p>
        </w:tc>
        <w:tc>
          <w:tcPr>
            <w:tcW w:w="2194" w:type="dxa"/>
            <w:tcBorders>
              <w:top w:val="nil"/>
              <w:left w:val="single" w:sz="4" w:space="0" w:color="auto"/>
              <w:bottom w:val="single" w:sz="4" w:space="0" w:color="auto"/>
              <w:right w:val="nil"/>
            </w:tcBorders>
            <w:noWrap/>
            <w:vAlign w:val="center"/>
          </w:tcPr>
          <w:p w:rsidR="00337093">
            <w:pPr>
              <w:widowControl/>
              <w:jc w:val="center"/>
              <w:rPr>
                <w:rFonts w:ascii="宋体" w:hAnsi="宋体" w:cs="宋体"/>
                <w:kern w:val="0"/>
                <w:szCs w:val="21"/>
              </w:rPr>
            </w:pPr>
            <w:r>
              <w:rPr>
                <w:rFonts w:ascii="宋体" w:hAnsi="宋体" w:cs="宋体" w:hint="eastAsia"/>
                <w:kern w:val="0"/>
                <w:szCs w:val="21"/>
              </w:rPr>
              <w:t>XX信臣西路充电站</w:t>
            </w:r>
          </w:p>
        </w:tc>
        <w:tc>
          <w:tcPr>
            <w:tcW w:w="4369" w:type="dxa"/>
            <w:tcBorders>
              <w:top w:val="nil"/>
              <w:left w:val="single" w:sz="4" w:space="0" w:color="auto"/>
              <w:bottom w:val="single" w:sz="4" w:space="0" w:color="auto"/>
              <w:right w:val="single" w:sz="4" w:space="0" w:color="auto"/>
            </w:tcBorders>
            <w:noWrap/>
            <w:vAlign w:val="center"/>
          </w:tcPr>
          <w:p w:rsidR="00337093">
            <w:pPr>
              <w:widowControl/>
              <w:spacing w:after="0"/>
              <w:jc w:val="center"/>
              <w:rPr>
                <w:rFonts w:ascii="宋体" w:hAnsi="宋体" w:cs="宋体"/>
                <w:kern w:val="0"/>
                <w:szCs w:val="21"/>
              </w:rPr>
            </w:pPr>
          </w:p>
        </w:tc>
        <w:tc>
          <w:tcPr>
            <w:tcW w:w="111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Cs w:val="21"/>
              </w:rPr>
            </w:pPr>
            <w:r>
              <w:rPr>
                <w:rFonts w:ascii="宋体" w:hAnsi="宋体" w:cs="宋体" w:hint="eastAsia"/>
                <w:kern w:val="0"/>
                <w:szCs w:val="21"/>
              </w:rPr>
              <w:t>6</w:t>
            </w:r>
          </w:p>
        </w:tc>
        <w:tc>
          <w:tcPr>
            <w:tcW w:w="715"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Cs w:val="21"/>
              </w:rPr>
            </w:pPr>
            <w:r>
              <w:rPr>
                <w:rFonts w:ascii="宋体" w:hAnsi="宋体" w:cs="宋体" w:hint="eastAsia"/>
                <w:kern w:val="0"/>
                <w:szCs w:val="21"/>
              </w:rPr>
              <w:t>10</w:t>
            </w:r>
          </w:p>
        </w:tc>
      </w:tr>
    </w:tbl>
    <w:p>
      <w:pPr>
        <w:sectPr>
          <w:headerReference w:type="default" r:id="rId108"/>
          <w:footerReference w:type="even" r:id="rId109"/>
          <w:footerReference w:type="default" r:id="rId110"/>
          <w:headerReference w:type="first" r:id="rId111"/>
          <w:type w:val="nextPage"/>
          <w:pgSz w:w="11906" w:h="16838"/>
          <w:pgMar w:top="1418" w:right="1418" w:bottom="1418" w:left="1701" w:header="964" w:footer="964" w:gutter="0"/>
          <w:pgNumType w:fmt="numberInDash" w:start="25"/>
          <w:cols w:space="720"/>
          <w:titlePg w:val="0"/>
          <w:docGrid w:type="linesAndChars" w:linePitch="291" w:charSpace="3135"/>
        </w:sectPr>
      </w:pPr>
    </w:p>
    <w:tbl>
      <w:tblPr>
        <w:tblStyle w:val="TableNormal"/>
        <w:tblW w:w="0" w:type="auto"/>
        <w:tblInd w:w="0" w:type="dxa"/>
        <w:tblLayout w:type="fixed"/>
        <w:tblLook w:val="0000"/>
      </w:tblPr>
      <w:tblGrid>
        <w:gridCol w:w="614"/>
        <w:gridCol w:w="2194"/>
        <w:gridCol w:w="4369"/>
        <w:gridCol w:w="1111"/>
        <w:gridCol w:w="715"/>
      </w:tblGrid>
      <w:tr>
        <w:tblPrEx>
          <w:tblW w:w="0" w:type="auto"/>
          <w:tblInd w:w="0" w:type="dxa"/>
          <w:tblLayout w:type="fixed"/>
          <w:tblLook w:val="0000"/>
        </w:tblPrEx>
        <w:trPr>
          <w:trHeight w:val="240"/>
        </w:trPr>
        <w:tc>
          <w:tcPr>
            <w:tcW w:w="614" w:type="dxa"/>
            <w:tcBorders>
              <w:top w:val="nil"/>
              <w:left w:val="single" w:sz="4" w:space="0" w:color="auto"/>
              <w:bottom w:val="single" w:sz="4" w:space="0" w:color="auto"/>
              <w:right w:val="nil"/>
            </w:tcBorders>
            <w:noWrap/>
            <w:vAlign w:val="center"/>
          </w:tcPr>
          <w:p/>
        </w:tc>
        <w:tc>
          <w:tcPr>
            <w:tcW w:w="2194" w:type="dxa"/>
            <w:tcBorders>
              <w:top w:val="nil"/>
              <w:left w:val="single" w:sz="4" w:space="0" w:color="auto"/>
              <w:bottom w:val="single" w:sz="4" w:space="0" w:color="auto"/>
              <w:right w:val="nil"/>
            </w:tcBorders>
            <w:noWrap/>
            <w:vAlign w:val="center"/>
          </w:tcPr>
          <w:p/>
        </w:tc>
        <w:tc>
          <w:tcPr>
            <w:tcW w:w="4369" w:type="dxa"/>
            <w:tcBorders>
              <w:top w:val="nil"/>
              <w:left w:val="single" w:sz="4" w:space="0" w:color="auto"/>
              <w:bottom w:val="single" w:sz="4" w:space="0" w:color="auto"/>
              <w:right w:val="single" w:sz="4" w:space="0" w:color="auto"/>
            </w:tcBorders>
            <w:noWrap/>
            <w:vAlign w:val="center"/>
          </w:tcPr>
          <w:p w:rsidR="00337093">
            <w:pPr>
              <w:widowControl/>
              <w:spacing w:before="0"/>
              <w:jc w:val="center"/>
              <w:rPr>
                <w:rFonts w:ascii="宋体" w:hAnsi="宋体" w:cs="宋体"/>
                <w:kern w:val="0"/>
                <w:szCs w:val="21"/>
              </w:rPr>
            </w:pPr>
            <w:r>
              <w:rPr>
                <w:rFonts w:ascii="宋体" w:hAnsi="宋体" w:cs="宋体" w:hint="eastAsia"/>
                <w:kern w:val="0"/>
                <w:szCs w:val="21"/>
              </w:rPr>
              <w:t>XX省XX市卧龙区信臣西路与北京大道交叉口</w:t>
            </w:r>
          </w:p>
        </w:tc>
        <w:tc>
          <w:tcPr>
            <w:tcW w:w="1111" w:type="dxa"/>
            <w:tcBorders>
              <w:top w:val="nil"/>
              <w:left w:val="nil"/>
              <w:bottom w:val="single" w:sz="4" w:space="0" w:color="auto"/>
              <w:right w:val="single" w:sz="4" w:space="0" w:color="auto"/>
            </w:tcBorders>
            <w:noWrap/>
            <w:vAlign w:val="center"/>
          </w:tcPr>
          <w:p/>
        </w:tc>
        <w:tc>
          <w:tcPr>
            <w:tcW w:w="715" w:type="dxa"/>
            <w:tcBorders>
              <w:top w:val="nil"/>
              <w:left w:val="nil"/>
              <w:bottom w:val="single" w:sz="4" w:space="0" w:color="auto"/>
              <w:right w:val="single" w:sz="4" w:space="0" w:color="auto"/>
            </w:tcBorders>
            <w:noWrap/>
            <w:vAlign w:val="center"/>
          </w:tcPr>
          <w:p/>
        </w:tc>
      </w:tr>
      <w:tr>
        <w:tblPrEx>
          <w:tblW w:w="0" w:type="auto"/>
          <w:tblInd w:w="0" w:type="dxa"/>
          <w:tblLayout w:type="fixed"/>
          <w:tblLook w:val="0000"/>
        </w:tblPrEx>
        <w:trPr>
          <w:trHeight w:val="240"/>
        </w:trPr>
        <w:tc>
          <w:tcPr>
            <w:tcW w:w="614" w:type="dxa"/>
            <w:tcBorders>
              <w:top w:val="nil"/>
              <w:left w:val="single" w:sz="4" w:space="0" w:color="auto"/>
              <w:bottom w:val="single" w:sz="4" w:space="0" w:color="auto"/>
              <w:right w:val="nil"/>
            </w:tcBorders>
            <w:noWrap/>
            <w:vAlign w:val="center"/>
          </w:tcPr>
          <w:p w:rsidR="00337093">
            <w:pPr>
              <w:widowControl/>
              <w:jc w:val="center"/>
              <w:rPr>
                <w:rFonts w:ascii="宋体" w:hAnsi="宋体" w:cs="宋体"/>
                <w:kern w:val="0"/>
                <w:szCs w:val="21"/>
              </w:rPr>
            </w:pPr>
            <w:r>
              <w:rPr>
                <w:rFonts w:ascii="宋体" w:hAnsi="宋体" w:cs="宋体" w:hint="eastAsia"/>
                <w:kern w:val="0"/>
                <w:szCs w:val="21"/>
              </w:rPr>
              <w:t>6</w:t>
            </w:r>
          </w:p>
        </w:tc>
        <w:tc>
          <w:tcPr>
            <w:tcW w:w="2194" w:type="dxa"/>
            <w:tcBorders>
              <w:top w:val="nil"/>
              <w:left w:val="single" w:sz="4" w:space="0" w:color="auto"/>
              <w:bottom w:val="single" w:sz="4" w:space="0" w:color="auto"/>
              <w:right w:val="nil"/>
            </w:tcBorders>
            <w:noWrap/>
            <w:vAlign w:val="center"/>
          </w:tcPr>
          <w:p w:rsidR="00337093">
            <w:pPr>
              <w:widowControl/>
              <w:jc w:val="center"/>
              <w:rPr>
                <w:rFonts w:ascii="宋体" w:hAnsi="宋体" w:cs="宋体"/>
                <w:kern w:val="0"/>
                <w:szCs w:val="21"/>
              </w:rPr>
            </w:pPr>
            <w:r>
              <w:rPr>
                <w:rFonts w:ascii="宋体" w:hAnsi="宋体" w:cs="宋体" w:hint="eastAsia"/>
                <w:kern w:val="0"/>
                <w:szCs w:val="21"/>
              </w:rPr>
              <w:t>XX玉雕博物馆充电站</w:t>
            </w:r>
          </w:p>
        </w:tc>
        <w:tc>
          <w:tcPr>
            <w:tcW w:w="436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Cs w:val="21"/>
              </w:rPr>
            </w:pPr>
            <w:r>
              <w:rPr>
                <w:rFonts w:ascii="宋体" w:hAnsi="宋体" w:cs="宋体" w:hint="eastAsia"/>
                <w:kern w:val="0"/>
                <w:szCs w:val="21"/>
              </w:rPr>
              <w:t>XX市信臣路与龙升大道交叉口</w:t>
            </w:r>
          </w:p>
        </w:tc>
        <w:tc>
          <w:tcPr>
            <w:tcW w:w="111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Cs w:val="21"/>
              </w:rPr>
            </w:pPr>
            <w:r>
              <w:rPr>
                <w:rFonts w:ascii="宋体" w:hAnsi="宋体" w:cs="宋体" w:hint="eastAsia"/>
                <w:kern w:val="0"/>
                <w:szCs w:val="21"/>
              </w:rPr>
              <w:t>6</w:t>
            </w:r>
          </w:p>
        </w:tc>
        <w:tc>
          <w:tcPr>
            <w:tcW w:w="715"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Cs w:val="21"/>
              </w:rPr>
            </w:pPr>
            <w:r>
              <w:rPr>
                <w:rFonts w:ascii="宋体" w:hAnsi="宋体" w:cs="宋体" w:hint="eastAsia"/>
                <w:kern w:val="0"/>
                <w:szCs w:val="21"/>
              </w:rPr>
              <w:t>10</w:t>
            </w:r>
          </w:p>
        </w:tc>
      </w:tr>
      <w:tr>
        <w:tblPrEx>
          <w:tblW w:w="0" w:type="auto"/>
          <w:tblInd w:w="0" w:type="dxa"/>
          <w:tblLayout w:type="fixed"/>
          <w:tblLook w:val="0000"/>
        </w:tblPrEx>
        <w:trPr>
          <w:trHeight w:val="240"/>
        </w:trPr>
        <w:tc>
          <w:tcPr>
            <w:tcW w:w="614" w:type="dxa"/>
            <w:tcBorders>
              <w:top w:val="nil"/>
              <w:left w:val="single" w:sz="4" w:space="0" w:color="auto"/>
              <w:bottom w:val="single" w:sz="4" w:space="0" w:color="auto"/>
              <w:right w:val="nil"/>
            </w:tcBorders>
            <w:noWrap/>
            <w:vAlign w:val="center"/>
          </w:tcPr>
          <w:p w:rsidR="00337093">
            <w:pPr>
              <w:widowControl/>
              <w:jc w:val="center"/>
              <w:rPr>
                <w:rFonts w:ascii="宋体" w:hAnsi="宋体" w:cs="宋体"/>
                <w:kern w:val="0"/>
                <w:szCs w:val="21"/>
              </w:rPr>
            </w:pPr>
            <w:r>
              <w:rPr>
                <w:rFonts w:ascii="宋体" w:hAnsi="宋体" w:cs="宋体" w:hint="eastAsia"/>
                <w:kern w:val="0"/>
                <w:szCs w:val="21"/>
              </w:rPr>
              <w:t>7</w:t>
            </w:r>
          </w:p>
        </w:tc>
        <w:tc>
          <w:tcPr>
            <w:tcW w:w="2194" w:type="dxa"/>
            <w:tcBorders>
              <w:top w:val="nil"/>
              <w:left w:val="single" w:sz="4" w:space="0" w:color="auto"/>
              <w:bottom w:val="single" w:sz="4" w:space="0" w:color="auto"/>
              <w:right w:val="nil"/>
            </w:tcBorders>
            <w:noWrap/>
            <w:vAlign w:val="center"/>
          </w:tcPr>
          <w:p w:rsidR="00337093">
            <w:pPr>
              <w:widowControl/>
              <w:jc w:val="center"/>
              <w:rPr>
                <w:rFonts w:ascii="宋体" w:hAnsi="宋体" w:cs="宋体"/>
                <w:kern w:val="0"/>
                <w:szCs w:val="21"/>
              </w:rPr>
            </w:pPr>
            <w:r>
              <w:rPr>
                <w:rFonts w:ascii="宋体" w:hAnsi="宋体" w:cs="宋体" w:hint="eastAsia"/>
                <w:kern w:val="0"/>
                <w:szCs w:val="21"/>
              </w:rPr>
              <w:t>XX卧龙充电站</w:t>
            </w:r>
          </w:p>
        </w:tc>
        <w:tc>
          <w:tcPr>
            <w:tcW w:w="436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Cs w:val="21"/>
              </w:rPr>
            </w:pPr>
            <w:r>
              <w:rPr>
                <w:rFonts w:ascii="宋体" w:hAnsi="宋体" w:cs="宋体" w:hint="eastAsia"/>
                <w:kern w:val="0"/>
                <w:szCs w:val="21"/>
              </w:rPr>
              <w:t>XX市卧龙路与雪枫路交叉口</w:t>
            </w:r>
          </w:p>
        </w:tc>
        <w:tc>
          <w:tcPr>
            <w:tcW w:w="111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Cs w:val="21"/>
              </w:rPr>
            </w:pPr>
            <w:r>
              <w:rPr>
                <w:rFonts w:ascii="宋体" w:hAnsi="宋体" w:cs="宋体" w:hint="eastAsia"/>
                <w:kern w:val="0"/>
                <w:szCs w:val="21"/>
              </w:rPr>
              <w:t>6</w:t>
            </w:r>
          </w:p>
        </w:tc>
        <w:tc>
          <w:tcPr>
            <w:tcW w:w="715"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Cs w:val="21"/>
              </w:rPr>
            </w:pPr>
            <w:r>
              <w:rPr>
                <w:rFonts w:ascii="宋体" w:hAnsi="宋体" w:cs="宋体" w:hint="eastAsia"/>
                <w:kern w:val="0"/>
                <w:szCs w:val="21"/>
              </w:rPr>
              <w:t>10</w:t>
            </w:r>
          </w:p>
        </w:tc>
      </w:tr>
      <w:tr>
        <w:tblPrEx>
          <w:tblW w:w="0" w:type="auto"/>
          <w:tblInd w:w="0" w:type="dxa"/>
          <w:tblLayout w:type="fixed"/>
          <w:tblLook w:val="0000"/>
        </w:tblPrEx>
        <w:trPr>
          <w:trHeight w:val="240"/>
        </w:trPr>
        <w:tc>
          <w:tcPr>
            <w:tcW w:w="614" w:type="dxa"/>
            <w:tcBorders>
              <w:top w:val="nil"/>
              <w:left w:val="single" w:sz="4" w:space="0" w:color="auto"/>
              <w:bottom w:val="single" w:sz="4" w:space="0" w:color="auto"/>
              <w:right w:val="nil"/>
            </w:tcBorders>
            <w:noWrap/>
            <w:vAlign w:val="center"/>
          </w:tcPr>
          <w:p w:rsidR="00337093">
            <w:pPr>
              <w:widowControl/>
              <w:jc w:val="center"/>
              <w:rPr>
                <w:rFonts w:ascii="宋体" w:hAnsi="宋体" w:cs="宋体"/>
                <w:kern w:val="0"/>
                <w:szCs w:val="21"/>
              </w:rPr>
            </w:pPr>
            <w:r>
              <w:rPr>
                <w:rFonts w:ascii="宋体" w:hAnsi="宋体" w:cs="宋体" w:hint="eastAsia"/>
                <w:kern w:val="0"/>
                <w:szCs w:val="21"/>
              </w:rPr>
              <w:t>8</w:t>
            </w:r>
          </w:p>
        </w:tc>
        <w:tc>
          <w:tcPr>
            <w:tcW w:w="2194" w:type="dxa"/>
            <w:tcBorders>
              <w:top w:val="nil"/>
              <w:left w:val="single" w:sz="4" w:space="0" w:color="auto"/>
              <w:bottom w:val="single" w:sz="4" w:space="0" w:color="auto"/>
              <w:right w:val="nil"/>
            </w:tcBorders>
            <w:noWrap/>
            <w:vAlign w:val="center"/>
          </w:tcPr>
          <w:p w:rsidR="00337093">
            <w:pPr>
              <w:widowControl/>
              <w:jc w:val="center"/>
              <w:rPr>
                <w:rFonts w:ascii="宋体" w:hAnsi="宋体" w:cs="宋体"/>
                <w:kern w:val="0"/>
                <w:szCs w:val="21"/>
              </w:rPr>
            </w:pPr>
            <w:r>
              <w:rPr>
                <w:rFonts w:ascii="宋体" w:hAnsi="宋体" w:cs="宋体" w:hint="eastAsia"/>
                <w:kern w:val="0"/>
                <w:szCs w:val="21"/>
              </w:rPr>
              <w:t>XX雪枫路充电站</w:t>
            </w:r>
          </w:p>
        </w:tc>
        <w:tc>
          <w:tcPr>
            <w:tcW w:w="436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Cs w:val="21"/>
              </w:rPr>
            </w:pPr>
            <w:r>
              <w:rPr>
                <w:rFonts w:ascii="宋体" w:hAnsi="宋体" w:cs="宋体" w:hint="eastAsia"/>
                <w:kern w:val="0"/>
                <w:szCs w:val="21"/>
              </w:rPr>
              <w:t>XX省XX市卧龙区车站南路与雪枫路交叉口</w:t>
            </w:r>
          </w:p>
        </w:tc>
        <w:tc>
          <w:tcPr>
            <w:tcW w:w="111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Cs w:val="21"/>
              </w:rPr>
            </w:pPr>
            <w:r>
              <w:rPr>
                <w:rFonts w:ascii="宋体" w:hAnsi="宋体" w:cs="宋体" w:hint="eastAsia"/>
                <w:kern w:val="0"/>
                <w:szCs w:val="21"/>
              </w:rPr>
              <w:t>6</w:t>
            </w:r>
          </w:p>
        </w:tc>
        <w:tc>
          <w:tcPr>
            <w:tcW w:w="715"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Cs w:val="21"/>
              </w:rPr>
            </w:pPr>
            <w:r>
              <w:rPr>
                <w:rFonts w:ascii="宋体" w:hAnsi="宋体" w:cs="宋体" w:hint="eastAsia"/>
                <w:kern w:val="0"/>
                <w:szCs w:val="21"/>
              </w:rPr>
              <w:t>10</w:t>
            </w:r>
          </w:p>
        </w:tc>
      </w:tr>
      <w:tr>
        <w:tblPrEx>
          <w:tblW w:w="0" w:type="auto"/>
          <w:tblInd w:w="0" w:type="dxa"/>
          <w:tblLayout w:type="fixed"/>
          <w:tblLook w:val="0000"/>
        </w:tblPrEx>
        <w:trPr>
          <w:trHeight w:val="240"/>
        </w:trPr>
        <w:tc>
          <w:tcPr>
            <w:tcW w:w="614" w:type="dxa"/>
            <w:tcBorders>
              <w:top w:val="nil"/>
              <w:left w:val="single" w:sz="4" w:space="0" w:color="auto"/>
              <w:bottom w:val="single" w:sz="4" w:space="0" w:color="auto"/>
              <w:right w:val="nil"/>
            </w:tcBorders>
            <w:noWrap/>
            <w:vAlign w:val="center"/>
          </w:tcPr>
          <w:p w:rsidR="00337093">
            <w:pPr>
              <w:widowControl/>
              <w:jc w:val="center"/>
              <w:rPr>
                <w:rFonts w:ascii="宋体" w:hAnsi="宋体" w:cs="宋体"/>
                <w:kern w:val="0"/>
                <w:szCs w:val="21"/>
              </w:rPr>
            </w:pPr>
            <w:r>
              <w:rPr>
                <w:rFonts w:ascii="宋体" w:hAnsi="宋体" w:cs="宋体" w:hint="eastAsia"/>
                <w:kern w:val="0"/>
                <w:szCs w:val="21"/>
              </w:rPr>
              <w:t>9</w:t>
            </w:r>
          </w:p>
        </w:tc>
        <w:tc>
          <w:tcPr>
            <w:tcW w:w="2194" w:type="dxa"/>
            <w:tcBorders>
              <w:top w:val="nil"/>
              <w:left w:val="single" w:sz="4" w:space="0" w:color="auto"/>
              <w:bottom w:val="single" w:sz="4" w:space="0" w:color="auto"/>
              <w:right w:val="nil"/>
            </w:tcBorders>
            <w:noWrap/>
            <w:vAlign w:val="center"/>
          </w:tcPr>
          <w:p w:rsidR="00337093">
            <w:pPr>
              <w:widowControl/>
              <w:jc w:val="center"/>
              <w:rPr>
                <w:rFonts w:ascii="宋体" w:hAnsi="宋体" w:cs="宋体"/>
                <w:kern w:val="0"/>
                <w:szCs w:val="21"/>
              </w:rPr>
            </w:pPr>
            <w:r>
              <w:rPr>
                <w:rFonts w:ascii="宋体" w:hAnsi="宋体" w:cs="宋体" w:hint="eastAsia"/>
                <w:kern w:val="0"/>
                <w:szCs w:val="21"/>
              </w:rPr>
              <w:t>XX长江路充电站</w:t>
            </w:r>
          </w:p>
        </w:tc>
        <w:tc>
          <w:tcPr>
            <w:tcW w:w="436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Cs w:val="21"/>
              </w:rPr>
            </w:pPr>
            <w:r>
              <w:rPr>
                <w:rFonts w:ascii="宋体" w:hAnsi="宋体" w:cs="宋体" w:hint="eastAsia"/>
                <w:kern w:val="0"/>
                <w:szCs w:val="21"/>
              </w:rPr>
              <w:t>伏牛路与长江路交叉口</w:t>
            </w:r>
          </w:p>
        </w:tc>
        <w:tc>
          <w:tcPr>
            <w:tcW w:w="111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Cs w:val="21"/>
              </w:rPr>
            </w:pPr>
            <w:r>
              <w:rPr>
                <w:rFonts w:ascii="宋体" w:hAnsi="宋体" w:cs="宋体" w:hint="eastAsia"/>
                <w:kern w:val="0"/>
                <w:szCs w:val="21"/>
              </w:rPr>
              <w:t>6</w:t>
            </w:r>
          </w:p>
        </w:tc>
        <w:tc>
          <w:tcPr>
            <w:tcW w:w="715"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Cs w:val="21"/>
              </w:rPr>
            </w:pPr>
            <w:r>
              <w:rPr>
                <w:rFonts w:ascii="宋体" w:hAnsi="宋体" w:cs="宋体" w:hint="eastAsia"/>
                <w:kern w:val="0"/>
                <w:szCs w:val="21"/>
              </w:rPr>
              <w:t>10</w:t>
            </w:r>
          </w:p>
        </w:tc>
      </w:tr>
      <w:tr>
        <w:tblPrEx>
          <w:tblW w:w="0" w:type="auto"/>
          <w:tblInd w:w="0" w:type="dxa"/>
          <w:tblLayout w:type="fixed"/>
          <w:tblLook w:val="0000"/>
        </w:tblPrEx>
        <w:trPr>
          <w:trHeight w:val="240"/>
        </w:trPr>
        <w:tc>
          <w:tcPr>
            <w:tcW w:w="614" w:type="dxa"/>
            <w:tcBorders>
              <w:top w:val="nil"/>
              <w:left w:val="single" w:sz="4" w:space="0" w:color="auto"/>
              <w:bottom w:val="single" w:sz="4" w:space="0" w:color="auto"/>
              <w:right w:val="nil"/>
            </w:tcBorders>
            <w:noWrap/>
            <w:vAlign w:val="center"/>
          </w:tcPr>
          <w:p w:rsidR="00337093">
            <w:pPr>
              <w:widowControl/>
              <w:jc w:val="center"/>
              <w:rPr>
                <w:rFonts w:ascii="宋体" w:hAnsi="宋体" w:cs="宋体"/>
                <w:kern w:val="0"/>
                <w:szCs w:val="21"/>
              </w:rPr>
            </w:pPr>
            <w:r>
              <w:rPr>
                <w:rFonts w:ascii="宋体" w:hAnsi="宋体" w:cs="宋体" w:hint="eastAsia"/>
                <w:kern w:val="0"/>
                <w:szCs w:val="21"/>
              </w:rPr>
              <w:t>10</w:t>
            </w:r>
          </w:p>
        </w:tc>
        <w:tc>
          <w:tcPr>
            <w:tcW w:w="2194" w:type="dxa"/>
            <w:tcBorders>
              <w:top w:val="nil"/>
              <w:left w:val="single" w:sz="4" w:space="0" w:color="auto"/>
              <w:bottom w:val="single" w:sz="4" w:space="0" w:color="auto"/>
              <w:right w:val="nil"/>
            </w:tcBorders>
            <w:noWrap/>
            <w:vAlign w:val="center"/>
          </w:tcPr>
          <w:p w:rsidR="00337093">
            <w:pPr>
              <w:widowControl/>
              <w:jc w:val="center"/>
              <w:rPr>
                <w:rFonts w:ascii="宋体" w:hAnsi="宋体" w:cs="宋体"/>
                <w:kern w:val="0"/>
                <w:szCs w:val="21"/>
              </w:rPr>
            </w:pPr>
            <w:r>
              <w:rPr>
                <w:rFonts w:ascii="宋体" w:hAnsi="宋体" w:cs="宋体" w:hint="eastAsia"/>
                <w:kern w:val="0"/>
                <w:szCs w:val="21"/>
              </w:rPr>
              <w:t>XX翟庄充电站</w:t>
            </w:r>
          </w:p>
        </w:tc>
        <w:tc>
          <w:tcPr>
            <w:tcW w:w="436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Cs w:val="21"/>
              </w:rPr>
            </w:pPr>
            <w:r>
              <w:rPr>
                <w:rFonts w:ascii="宋体" w:hAnsi="宋体" w:cs="宋体" w:hint="eastAsia"/>
                <w:kern w:val="0"/>
                <w:szCs w:val="21"/>
              </w:rPr>
              <w:t>XX省XX市宛城区翟庄高速口</w:t>
            </w:r>
          </w:p>
        </w:tc>
        <w:tc>
          <w:tcPr>
            <w:tcW w:w="111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Cs w:val="21"/>
              </w:rPr>
            </w:pPr>
            <w:r>
              <w:rPr>
                <w:rFonts w:ascii="宋体" w:hAnsi="宋体" w:cs="宋体" w:hint="eastAsia"/>
                <w:kern w:val="0"/>
                <w:szCs w:val="21"/>
              </w:rPr>
              <w:t>6</w:t>
            </w:r>
          </w:p>
        </w:tc>
        <w:tc>
          <w:tcPr>
            <w:tcW w:w="715"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Cs w:val="21"/>
              </w:rPr>
            </w:pPr>
            <w:r>
              <w:rPr>
                <w:rFonts w:ascii="宋体" w:hAnsi="宋体" w:cs="宋体" w:hint="eastAsia"/>
                <w:kern w:val="0"/>
                <w:szCs w:val="21"/>
              </w:rPr>
              <w:t>10</w:t>
            </w:r>
          </w:p>
        </w:tc>
      </w:tr>
      <w:tr>
        <w:tblPrEx>
          <w:tblW w:w="0" w:type="auto"/>
          <w:tblInd w:w="0" w:type="dxa"/>
          <w:tblLayout w:type="fixed"/>
          <w:tblLook w:val="0000"/>
        </w:tblPrEx>
        <w:trPr>
          <w:trHeight w:val="240"/>
        </w:trPr>
        <w:tc>
          <w:tcPr>
            <w:tcW w:w="614" w:type="dxa"/>
            <w:tcBorders>
              <w:top w:val="nil"/>
              <w:left w:val="single" w:sz="4" w:space="0" w:color="auto"/>
              <w:bottom w:val="single" w:sz="4" w:space="0" w:color="auto"/>
              <w:right w:val="nil"/>
            </w:tcBorders>
            <w:noWrap/>
            <w:vAlign w:val="center"/>
          </w:tcPr>
          <w:p w:rsidR="00337093">
            <w:pPr>
              <w:widowControl/>
              <w:jc w:val="center"/>
              <w:rPr>
                <w:rFonts w:ascii="宋体" w:hAnsi="宋体" w:cs="宋体"/>
                <w:kern w:val="0"/>
                <w:szCs w:val="21"/>
              </w:rPr>
            </w:pPr>
            <w:r>
              <w:rPr>
                <w:rFonts w:ascii="宋体" w:hAnsi="宋体" w:cs="宋体" w:hint="eastAsia"/>
                <w:kern w:val="0"/>
                <w:szCs w:val="21"/>
              </w:rPr>
              <w:t>11</w:t>
            </w:r>
          </w:p>
        </w:tc>
        <w:tc>
          <w:tcPr>
            <w:tcW w:w="2194" w:type="dxa"/>
            <w:tcBorders>
              <w:top w:val="nil"/>
              <w:left w:val="single" w:sz="4" w:space="0" w:color="auto"/>
              <w:bottom w:val="single" w:sz="4" w:space="0" w:color="auto"/>
              <w:right w:val="nil"/>
            </w:tcBorders>
            <w:noWrap/>
            <w:vAlign w:val="center"/>
          </w:tcPr>
          <w:p w:rsidR="00337093">
            <w:pPr>
              <w:widowControl/>
              <w:jc w:val="center"/>
              <w:rPr>
                <w:rFonts w:ascii="宋体" w:hAnsi="宋体" w:cs="宋体"/>
                <w:kern w:val="0"/>
                <w:szCs w:val="21"/>
              </w:rPr>
            </w:pPr>
            <w:r>
              <w:rPr>
                <w:rFonts w:ascii="宋体" w:hAnsi="宋体" w:cs="宋体" w:hint="eastAsia"/>
                <w:kern w:val="0"/>
                <w:szCs w:val="21"/>
              </w:rPr>
              <w:t>XX双铺充电站</w:t>
            </w:r>
          </w:p>
        </w:tc>
        <w:tc>
          <w:tcPr>
            <w:tcW w:w="436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Cs w:val="21"/>
              </w:rPr>
            </w:pPr>
            <w:r>
              <w:rPr>
                <w:rFonts w:ascii="宋体" w:hAnsi="宋体" w:cs="宋体" w:hint="eastAsia"/>
                <w:kern w:val="0"/>
                <w:szCs w:val="21"/>
              </w:rPr>
              <w:t>旧312国道与雪枫东路交叉口</w:t>
            </w:r>
          </w:p>
        </w:tc>
        <w:tc>
          <w:tcPr>
            <w:tcW w:w="111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Cs w:val="21"/>
              </w:rPr>
            </w:pPr>
            <w:r>
              <w:rPr>
                <w:rFonts w:ascii="宋体" w:hAnsi="宋体" w:cs="宋体" w:hint="eastAsia"/>
                <w:kern w:val="0"/>
                <w:szCs w:val="21"/>
              </w:rPr>
              <w:t>6</w:t>
            </w:r>
          </w:p>
        </w:tc>
        <w:tc>
          <w:tcPr>
            <w:tcW w:w="715"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Cs w:val="21"/>
              </w:rPr>
            </w:pPr>
            <w:r>
              <w:rPr>
                <w:rFonts w:ascii="宋体" w:hAnsi="宋体" w:cs="宋体" w:hint="eastAsia"/>
                <w:kern w:val="0"/>
                <w:szCs w:val="21"/>
              </w:rPr>
              <w:t>10</w:t>
            </w:r>
          </w:p>
        </w:tc>
      </w:tr>
      <w:tr>
        <w:tblPrEx>
          <w:tblW w:w="0" w:type="auto"/>
          <w:tblInd w:w="0" w:type="dxa"/>
          <w:tblLayout w:type="fixed"/>
          <w:tblLook w:val="0000"/>
        </w:tblPrEx>
        <w:trPr>
          <w:trHeight w:val="240"/>
        </w:trPr>
        <w:tc>
          <w:tcPr>
            <w:tcW w:w="614" w:type="dxa"/>
            <w:tcBorders>
              <w:top w:val="nil"/>
              <w:left w:val="single" w:sz="4" w:space="0" w:color="auto"/>
              <w:bottom w:val="single" w:sz="4" w:space="0" w:color="auto"/>
              <w:right w:val="nil"/>
            </w:tcBorders>
            <w:noWrap/>
            <w:vAlign w:val="center"/>
          </w:tcPr>
          <w:p w:rsidR="00337093">
            <w:pPr>
              <w:widowControl/>
              <w:jc w:val="center"/>
              <w:rPr>
                <w:rFonts w:ascii="宋体" w:hAnsi="宋体" w:cs="宋体"/>
                <w:kern w:val="0"/>
                <w:szCs w:val="21"/>
              </w:rPr>
            </w:pPr>
            <w:r>
              <w:rPr>
                <w:rFonts w:ascii="宋体" w:hAnsi="宋体" w:cs="宋体" w:hint="eastAsia"/>
                <w:kern w:val="0"/>
                <w:szCs w:val="21"/>
              </w:rPr>
              <w:t>12</w:t>
            </w:r>
          </w:p>
        </w:tc>
        <w:tc>
          <w:tcPr>
            <w:tcW w:w="2194" w:type="dxa"/>
            <w:tcBorders>
              <w:top w:val="nil"/>
              <w:left w:val="nil"/>
              <w:bottom w:val="single" w:sz="4" w:space="0" w:color="auto"/>
              <w:right w:val="nil"/>
            </w:tcBorders>
            <w:noWrap/>
            <w:vAlign w:val="center"/>
          </w:tcPr>
          <w:p w:rsidR="00337093">
            <w:pPr>
              <w:widowControl/>
              <w:jc w:val="center"/>
              <w:rPr>
                <w:rFonts w:ascii="宋体" w:hAnsi="宋体" w:cs="宋体"/>
                <w:kern w:val="0"/>
                <w:szCs w:val="21"/>
              </w:rPr>
            </w:pPr>
            <w:r>
              <w:rPr>
                <w:rFonts w:ascii="宋体" w:hAnsi="宋体" w:cs="宋体" w:hint="eastAsia"/>
                <w:kern w:val="0"/>
                <w:szCs w:val="21"/>
              </w:rPr>
              <w:t>XX金冠充电站</w:t>
            </w:r>
          </w:p>
        </w:tc>
        <w:tc>
          <w:tcPr>
            <w:tcW w:w="4369"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Cs w:val="21"/>
              </w:rPr>
            </w:pPr>
            <w:r>
              <w:rPr>
                <w:rFonts w:ascii="宋体" w:hAnsi="宋体" w:cs="宋体" w:hint="eastAsia"/>
                <w:kern w:val="0"/>
                <w:szCs w:val="21"/>
              </w:rPr>
              <w:t>XX市信臣路88号</w:t>
            </w:r>
          </w:p>
        </w:tc>
        <w:tc>
          <w:tcPr>
            <w:tcW w:w="111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Cs w:val="21"/>
              </w:rPr>
            </w:pPr>
            <w:r>
              <w:rPr>
                <w:rFonts w:ascii="宋体" w:hAnsi="宋体" w:cs="宋体" w:hint="eastAsia"/>
                <w:kern w:val="0"/>
                <w:szCs w:val="21"/>
              </w:rPr>
              <w:t>6</w:t>
            </w:r>
          </w:p>
        </w:tc>
        <w:tc>
          <w:tcPr>
            <w:tcW w:w="715"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Cs w:val="21"/>
              </w:rPr>
            </w:pPr>
            <w:r>
              <w:rPr>
                <w:rFonts w:ascii="宋体" w:hAnsi="宋体" w:cs="宋体" w:hint="eastAsia"/>
                <w:kern w:val="0"/>
                <w:szCs w:val="21"/>
              </w:rPr>
              <w:t>10</w:t>
            </w:r>
          </w:p>
        </w:tc>
      </w:tr>
      <w:tr>
        <w:tblPrEx>
          <w:tblW w:w="0" w:type="auto"/>
          <w:tblInd w:w="0" w:type="dxa"/>
          <w:tblLayout w:type="fixed"/>
          <w:tblLook w:val="0000"/>
        </w:tblPrEx>
        <w:trPr>
          <w:trHeight w:val="240"/>
        </w:trPr>
        <w:tc>
          <w:tcPr>
            <w:tcW w:w="7177" w:type="dxa"/>
            <w:gridSpan w:val="3"/>
            <w:tcBorders>
              <w:top w:val="single" w:sz="4" w:space="0" w:color="auto"/>
              <w:left w:val="single" w:sz="4" w:space="0" w:color="auto"/>
              <w:bottom w:val="single" w:sz="4" w:space="0" w:color="auto"/>
              <w:right w:val="single" w:sz="4" w:space="0" w:color="000000"/>
            </w:tcBorders>
            <w:noWrap/>
            <w:vAlign w:val="center"/>
          </w:tcPr>
          <w:p w:rsidR="00337093">
            <w:pPr>
              <w:widowControl/>
              <w:jc w:val="center"/>
              <w:rPr>
                <w:rFonts w:ascii="宋体" w:hAnsi="宋体" w:cs="宋体"/>
                <w:kern w:val="0"/>
                <w:szCs w:val="21"/>
              </w:rPr>
            </w:pPr>
            <w:r>
              <w:rPr>
                <w:rFonts w:ascii="宋体" w:hAnsi="宋体" w:cs="宋体" w:hint="eastAsia"/>
                <w:kern w:val="0"/>
                <w:szCs w:val="21"/>
              </w:rPr>
              <w:t>合计</w:t>
            </w:r>
          </w:p>
        </w:tc>
        <w:tc>
          <w:tcPr>
            <w:tcW w:w="111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Cs w:val="21"/>
              </w:rPr>
            </w:pPr>
            <w:r>
              <w:rPr>
                <w:rFonts w:ascii="宋体" w:hAnsi="宋体" w:cs="宋体" w:hint="eastAsia"/>
                <w:kern w:val="0"/>
                <w:szCs w:val="21"/>
              </w:rPr>
              <w:t>72</w:t>
            </w:r>
          </w:p>
        </w:tc>
        <w:tc>
          <w:tcPr>
            <w:tcW w:w="715"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Cs w:val="21"/>
              </w:rPr>
            </w:pPr>
            <w:r>
              <w:rPr>
                <w:rFonts w:ascii="宋体" w:hAnsi="宋体" w:cs="宋体" w:hint="eastAsia"/>
                <w:kern w:val="0"/>
                <w:szCs w:val="21"/>
              </w:rPr>
              <w:t>120</w:t>
            </w:r>
          </w:p>
        </w:tc>
      </w:tr>
    </w:tbl>
    <w:p w:rsidR="00337093">
      <w:pPr>
        <w:rPr>
          <w:rFonts w:hAnsi="宋体" w:hint="eastAsia"/>
          <w:bCs/>
          <w:sz w:val="28"/>
          <w:szCs w:val="28"/>
        </w:rPr>
      </w:pPr>
      <w:r>
        <w:rPr>
          <w:rFonts w:hAnsi="宋体"/>
          <w:bCs/>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441pt;height:339.15pt;mso-position-horizontal-relative:char;mso-position-vertical-relative:line" o:preferrelative="t" filled="f" stroked="f">
            <v:imagedata r:id="rId112" o:title="" croptop="15409f" cropbottom="7290f" cropleft="16189f" cropright="18813f"/>
            <v:path arrowok="t" o:extrusionok="f"/>
            <o:lock v:ext="edit" aspectratio="t"/>
            <w10:wrap type="none"/>
            <w10:anchorlock/>
          </v:shape>
        </w:pict>
      </w:r>
    </w:p>
    <w:p w:rsidR="00337093">
      <w:pPr>
        <w:pStyle w:val="Heading3"/>
        <w:spacing w:before="0" w:after="0" w:line="240" w:lineRule="auto"/>
        <w:rPr>
          <w:rFonts w:eastAsia="宋体" w:hint="eastAsia"/>
          <w:b/>
          <w:sz w:val="32"/>
        </w:rPr>
      </w:pPr>
      <w:smartTag w:uri="urn:schemas-microsoft-com:office:smarttags" w:element="chsdate">
        <w:smartTagPr>
          <w:attr w:name="Day" w:val="30"/>
          <w:attr w:name="IsLunarDate" w:val="False"/>
          <w:attr w:name="IsROCDate" w:val="False"/>
          <w:attr w:name="Month" w:val="12"/>
          <w:attr w:name="Year" w:val="1899"/>
        </w:smartTagPr>
        <w:r>
          <w:rPr>
            <w:rFonts w:eastAsia="宋体" w:hint="eastAsia"/>
            <w:b/>
            <w:sz w:val="32"/>
          </w:rPr>
          <w:t>5.3.3</w:t>
        </w:r>
      </w:smartTag>
      <w:r>
        <w:rPr>
          <w:rFonts w:eastAsia="宋体" w:hint="eastAsia"/>
          <w:b/>
          <w:sz w:val="32"/>
        </w:rPr>
        <w:t>县城充电站</w:t>
      </w:r>
    </w:p>
    <w:p w:rsidR="00337093" w:rsidP="00337093">
      <w:pPr>
        <w:ind w:firstLine="560" w:firstLineChars="200"/>
        <w:rPr>
          <w:rFonts w:hAnsi="宋体" w:hint="eastAsia"/>
          <w:bCs/>
          <w:sz w:val="28"/>
          <w:szCs w:val="28"/>
        </w:rPr>
      </w:pPr>
      <w:r>
        <w:rPr>
          <w:rFonts w:hAnsi="宋体" w:hint="eastAsia"/>
          <w:bCs/>
          <w:sz w:val="28"/>
          <w:szCs w:val="28"/>
        </w:rPr>
        <w:t>在XX各县规划建设41座充电站。共配备164台直流充电桩、246台交流充电桩。</w:t>
      </w:r>
    </w:p>
    <w:tbl>
      <w:tblPr>
        <w:tblStyle w:val="TableNormal"/>
        <w:tblW w:w="0" w:type="auto"/>
        <w:tblInd w:w="0" w:type="dxa"/>
        <w:tblLayout w:type="fixed"/>
        <w:tblLook w:val="0000"/>
      </w:tblPr>
      <w:tblGrid>
        <w:gridCol w:w="603"/>
        <w:gridCol w:w="2918"/>
        <w:gridCol w:w="3689"/>
        <w:gridCol w:w="1090"/>
        <w:gridCol w:w="703"/>
      </w:tblGrid>
      <w:tr>
        <w:tblPrEx>
          <w:tblW w:w="0" w:type="auto"/>
          <w:tblInd w:w="0" w:type="dxa"/>
          <w:tblLayout w:type="fixed"/>
          <w:tblLook w:val="0000"/>
        </w:tblPrEx>
        <w:trPr>
          <w:trHeight w:val="289"/>
        </w:trPr>
        <w:tc>
          <w:tcPr>
            <w:tcW w:w="603" w:type="dxa"/>
            <w:vMerge w:val="restart"/>
            <w:tcBorders>
              <w:top w:val="single" w:sz="4" w:space="0" w:color="auto"/>
              <w:left w:val="single" w:sz="4" w:space="0" w:color="auto"/>
              <w:bottom w:val="single" w:sz="4" w:space="0" w:color="auto"/>
              <w:right w:val="single" w:sz="4" w:space="0" w:color="auto"/>
            </w:tcBorders>
            <w:shd w:val="clear" w:color="auto" w:fill="339966"/>
            <w:noWrap/>
            <w:vAlign w:val="center"/>
          </w:tcPr>
          <w:p w:rsidR="00337093">
            <w:pPr>
              <w:widowControl/>
              <w:jc w:val="center"/>
              <w:rPr>
                <w:rFonts w:ascii="宋体" w:hAnsi="宋体" w:cs="宋体"/>
                <w:b/>
                <w:bCs/>
                <w:kern w:val="0"/>
                <w:sz w:val="20"/>
              </w:rPr>
            </w:pPr>
            <w:r>
              <w:rPr>
                <w:rFonts w:ascii="宋体" w:hAnsi="宋体" w:cs="宋体" w:hint="eastAsia"/>
                <w:b/>
                <w:bCs/>
                <w:kern w:val="0"/>
                <w:sz w:val="20"/>
              </w:rPr>
              <w:t>序号</w:t>
            </w:r>
          </w:p>
        </w:tc>
        <w:tc>
          <w:tcPr>
            <w:tcW w:w="2918" w:type="dxa"/>
            <w:vMerge w:val="restart"/>
            <w:tcBorders>
              <w:top w:val="single" w:sz="4" w:space="0" w:color="auto"/>
              <w:left w:val="single" w:sz="4" w:space="0" w:color="auto"/>
              <w:bottom w:val="single" w:sz="4" w:space="0" w:color="auto"/>
              <w:right w:val="single" w:sz="4" w:space="0" w:color="auto"/>
            </w:tcBorders>
            <w:shd w:val="clear" w:color="auto" w:fill="339966"/>
            <w:noWrap/>
            <w:vAlign w:val="center"/>
          </w:tcPr>
          <w:p w:rsidR="00337093">
            <w:pPr>
              <w:widowControl/>
              <w:jc w:val="center"/>
              <w:rPr>
                <w:rFonts w:ascii="宋体" w:hAnsi="宋体" w:cs="宋体"/>
                <w:b/>
                <w:bCs/>
                <w:kern w:val="0"/>
                <w:sz w:val="20"/>
              </w:rPr>
            </w:pPr>
            <w:r>
              <w:rPr>
                <w:rFonts w:ascii="宋体" w:hAnsi="宋体" w:cs="宋体" w:hint="eastAsia"/>
                <w:b/>
                <w:bCs/>
                <w:kern w:val="0"/>
                <w:sz w:val="20"/>
              </w:rPr>
              <w:t>充电站名称</w:t>
            </w:r>
          </w:p>
        </w:tc>
        <w:tc>
          <w:tcPr>
            <w:tcW w:w="3689" w:type="dxa"/>
            <w:vMerge w:val="restart"/>
            <w:tcBorders>
              <w:top w:val="single" w:sz="4" w:space="0" w:color="auto"/>
              <w:left w:val="single" w:sz="4" w:space="0" w:color="auto"/>
              <w:bottom w:val="single" w:sz="4" w:space="0" w:color="000000"/>
              <w:right w:val="single" w:sz="4" w:space="0" w:color="auto"/>
            </w:tcBorders>
            <w:shd w:val="clear" w:color="auto" w:fill="339966"/>
            <w:noWrap/>
            <w:vAlign w:val="center"/>
          </w:tcPr>
          <w:p w:rsidR="00337093">
            <w:pPr>
              <w:widowControl/>
              <w:jc w:val="center"/>
              <w:rPr>
                <w:rFonts w:ascii="宋体" w:hAnsi="宋体" w:cs="宋体"/>
                <w:b/>
                <w:bCs/>
                <w:kern w:val="0"/>
                <w:sz w:val="20"/>
              </w:rPr>
            </w:pPr>
            <w:r>
              <w:rPr>
                <w:rFonts w:ascii="宋体" w:hAnsi="宋体" w:cs="宋体" w:hint="eastAsia"/>
                <w:b/>
                <w:bCs/>
                <w:kern w:val="0"/>
                <w:sz w:val="20"/>
              </w:rPr>
              <w:t>充电站位置</w:t>
            </w:r>
          </w:p>
        </w:tc>
        <w:tc>
          <w:tcPr>
            <w:tcW w:w="1793" w:type="dxa"/>
            <w:gridSpan w:val="2"/>
            <w:tcBorders>
              <w:top w:val="single" w:sz="4" w:space="0" w:color="auto"/>
              <w:left w:val="nil"/>
              <w:bottom w:val="single" w:sz="4" w:space="0" w:color="auto"/>
              <w:right w:val="single" w:sz="4" w:space="0" w:color="auto"/>
            </w:tcBorders>
            <w:shd w:val="clear" w:color="auto" w:fill="339966"/>
            <w:noWrap/>
            <w:vAlign w:val="center"/>
          </w:tcPr>
          <w:p w:rsidR="00337093">
            <w:pPr>
              <w:widowControl/>
              <w:jc w:val="center"/>
              <w:rPr>
                <w:rFonts w:ascii="宋体" w:hAnsi="宋体" w:cs="宋体"/>
                <w:b/>
                <w:bCs/>
                <w:kern w:val="0"/>
                <w:sz w:val="20"/>
              </w:rPr>
            </w:pPr>
            <w:r>
              <w:rPr>
                <w:rFonts w:ascii="宋体" w:hAnsi="宋体" w:cs="宋体" w:hint="eastAsia"/>
                <w:b/>
                <w:bCs/>
                <w:kern w:val="0"/>
                <w:sz w:val="20"/>
              </w:rPr>
              <w:t>充电桩规模</w:t>
            </w:r>
          </w:p>
        </w:tc>
      </w:tr>
      <w:tr>
        <w:tblPrEx>
          <w:tblW w:w="0" w:type="auto"/>
          <w:tblInd w:w="0" w:type="dxa"/>
          <w:tblLayout w:type="fixed"/>
          <w:tblLook w:val="0000"/>
        </w:tblPrEx>
        <w:trPr>
          <w:trHeight w:val="240"/>
        </w:trPr>
        <w:tc>
          <w:tcPr>
            <w:tcW w:w="603" w:type="dxa"/>
            <w:vMerge/>
            <w:tcBorders>
              <w:top w:val="single" w:sz="4" w:space="0" w:color="auto"/>
              <w:left w:val="single" w:sz="4" w:space="0" w:color="auto"/>
              <w:bottom w:val="single" w:sz="4" w:space="0" w:color="auto"/>
              <w:right w:val="single" w:sz="4" w:space="0" w:color="auto"/>
            </w:tcBorders>
            <w:shd w:val="clear" w:color="auto" w:fill="auto"/>
            <w:vAlign w:val="center"/>
          </w:tcPr>
          <w:p w:rsidR="00337093">
            <w:pPr>
              <w:widowControl/>
              <w:jc w:val="left"/>
              <w:rPr>
                <w:rFonts w:ascii="宋体" w:hAnsi="宋体" w:cs="宋体"/>
                <w:b/>
                <w:bCs/>
                <w:kern w:val="0"/>
                <w:sz w:val="20"/>
              </w:rPr>
            </w:pPr>
          </w:p>
        </w:tc>
        <w:tc>
          <w:tcPr>
            <w:tcW w:w="2918" w:type="dxa"/>
            <w:vMerge/>
            <w:tcBorders>
              <w:top w:val="single" w:sz="4" w:space="0" w:color="auto"/>
              <w:left w:val="single" w:sz="4" w:space="0" w:color="auto"/>
              <w:bottom w:val="single" w:sz="4" w:space="0" w:color="auto"/>
              <w:right w:val="single" w:sz="4" w:space="0" w:color="auto"/>
            </w:tcBorders>
            <w:shd w:val="clear" w:color="auto" w:fill="auto"/>
            <w:vAlign w:val="center"/>
          </w:tcPr>
          <w:p w:rsidR="00337093">
            <w:pPr>
              <w:widowControl/>
              <w:jc w:val="left"/>
              <w:rPr>
                <w:rFonts w:ascii="宋体" w:hAnsi="宋体" w:cs="宋体"/>
                <w:b/>
                <w:bCs/>
                <w:kern w:val="0"/>
                <w:sz w:val="20"/>
              </w:rPr>
            </w:pPr>
          </w:p>
        </w:tc>
        <w:tc>
          <w:tcPr>
            <w:tcW w:w="3689" w:type="dxa"/>
            <w:vMerge/>
            <w:tcBorders>
              <w:top w:val="single" w:sz="4" w:space="0" w:color="auto"/>
              <w:left w:val="single" w:sz="4" w:space="0" w:color="auto"/>
              <w:bottom w:val="single" w:sz="4" w:space="0" w:color="000000"/>
              <w:right w:val="single" w:sz="4" w:space="0" w:color="auto"/>
            </w:tcBorders>
            <w:shd w:val="clear" w:color="auto" w:fill="auto"/>
            <w:vAlign w:val="center"/>
          </w:tcPr>
          <w:p w:rsidR="00337093">
            <w:pPr>
              <w:widowControl/>
              <w:jc w:val="left"/>
              <w:rPr>
                <w:rFonts w:ascii="宋体" w:hAnsi="宋体" w:cs="宋体"/>
                <w:b/>
                <w:bCs/>
                <w:kern w:val="0"/>
                <w:sz w:val="20"/>
              </w:rPr>
            </w:pPr>
          </w:p>
        </w:tc>
        <w:tc>
          <w:tcPr>
            <w:tcW w:w="1090" w:type="dxa"/>
            <w:tcBorders>
              <w:top w:val="nil"/>
              <w:left w:val="nil"/>
              <w:bottom w:val="single" w:sz="4" w:space="0" w:color="auto"/>
              <w:right w:val="single" w:sz="4" w:space="0" w:color="auto"/>
            </w:tcBorders>
            <w:shd w:val="clear" w:color="auto" w:fill="339966"/>
            <w:noWrap/>
            <w:vAlign w:val="center"/>
          </w:tcPr>
          <w:p w:rsidR="00337093">
            <w:pPr>
              <w:widowControl/>
              <w:jc w:val="center"/>
              <w:rPr>
                <w:rFonts w:ascii="宋体" w:hAnsi="宋体" w:cs="宋体" w:hint="eastAsia"/>
                <w:b/>
                <w:bCs/>
                <w:kern w:val="0"/>
                <w:sz w:val="20"/>
              </w:rPr>
            </w:pPr>
            <w:r>
              <w:rPr>
                <w:rFonts w:ascii="宋体" w:hAnsi="宋体" w:cs="宋体" w:hint="eastAsia"/>
                <w:b/>
                <w:bCs/>
                <w:kern w:val="0"/>
                <w:sz w:val="20"/>
              </w:rPr>
              <w:t>直流</w:t>
            </w:r>
          </w:p>
          <w:p w:rsidR="00337093">
            <w:pPr>
              <w:widowControl/>
              <w:jc w:val="center"/>
              <w:rPr>
                <w:rFonts w:ascii="宋体" w:hAnsi="宋体" w:cs="宋体"/>
                <w:b/>
                <w:bCs/>
                <w:kern w:val="0"/>
                <w:sz w:val="20"/>
              </w:rPr>
            </w:pPr>
            <w:r>
              <w:rPr>
                <w:rFonts w:ascii="宋体" w:hAnsi="宋体" w:cs="宋体" w:hint="eastAsia"/>
                <w:b/>
                <w:bCs/>
                <w:kern w:val="0"/>
                <w:sz w:val="20"/>
              </w:rPr>
              <w:t>（100kw）</w:t>
            </w:r>
          </w:p>
        </w:tc>
        <w:tc>
          <w:tcPr>
            <w:tcW w:w="703" w:type="dxa"/>
            <w:tcBorders>
              <w:top w:val="nil"/>
              <w:left w:val="nil"/>
              <w:bottom w:val="single" w:sz="4" w:space="0" w:color="auto"/>
              <w:right w:val="single" w:sz="4" w:space="0" w:color="auto"/>
            </w:tcBorders>
            <w:shd w:val="clear" w:color="auto" w:fill="339966"/>
            <w:noWrap/>
            <w:vAlign w:val="center"/>
          </w:tcPr>
          <w:p w:rsidR="00337093">
            <w:pPr>
              <w:widowControl/>
              <w:jc w:val="center"/>
              <w:rPr>
                <w:rFonts w:ascii="宋体" w:hAnsi="宋体" w:cs="宋体" w:hint="eastAsia"/>
                <w:b/>
                <w:bCs/>
                <w:kern w:val="0"/>
                <w:sz w:val="20"/>
              </w:rPr>
            </w:pPr>
            <w:r>
              <w:rPr>
                <w:rFonts w:ascii="宋体" w:hAnsi="宋体" w:cs="宋体" w:hint="eastAsia"/>
                <w:b/>
                <w:bCs/>
                <w:kern w:val="0"/>
                <w:sz w:val="20"/>
              </w:rPr>
              <w:t>交流</w:t>
            </w:r>
          </w:p>
          <w:p w:rsidR="00337093">
            <w:pPr>
              <w:widowControl/>
              <w:jc w:val="center"/>
              <w:rPr>
                <w:rFonts w:ascii="宋体" w:hAnsi="宋体" w:cs="宋体"/>
                <w:b/>
                <w:bCs/>
                <w:kern w:val="0"/>
                <w:sz w:val="20"/>
              </w:rPr>
            </w:pPr>
            <w:r>
              <w:rPr>
                <w:rFonts w:ascii="宋体" w:hAnsi="宋体" w:cs="宋体" w:hint="eastAsia"/>
                <w:b/>
                <w:bCs/>
                <w:kern w:val="0"/>
                <w:sz w:val="20"/>
              </w:rPr>
              <w:t>(7kw)</w:t>
            </w:r>
          </w:p>
        </w:tc>
      </w:tr>
      <w:tr>
        <w:tblPrEx>
          <w:tblW w:w="0" w:type="auto"/>
          <w:tblInd w:w="0" w:type="dxa"/>
          <w:tblLayout w:type="fixed"/>
          <w:tblLook w:val="0000"/>
        </w:tblPrEx>
        <w:trPr>
          <w:trHeight w:val="240"/>
        </w:trPr>
        <w:tc>
          <w:tcPr>
            <w:tcW w:w="603" w:type="dxa"/>
            <w:tcBorders>
              <w:top w:val="nil"/>
              <w:left w:val="single" w:sz="4" w:space="0" w:color="auto"/>
              <w:bottom w:val="single" w:sz="4" w:space="0" w:color="auto"/>
              <w:right w:val="nil"/>
            </w:tcBorders>
            <w:noWrap/>
            <w:vAlign w:val="bottom"/>
          </w:tcPr>
          <w:p w:rsidR="00337093">
            <w:pPr>
              <w:widowControl/>
              <w:jc w:val="right"/>
              <w:rPr>
                <w:rFonts w:ascii="宋体" w:hAnsi="宋体" w:cs="宋体"/>
                <w:kern w:val="0"/>
                <w:sz w:val="20"/>
              </w:rPr>
            </w:pPr>
            <w:r>
              <w:rPr>
                <w:rFonts w:ascii="宋体" w:hAnsi="宋体" w:cs="宋体" w:hint="eastAsia"/>
                <w:kern w:val="0"/>
                <w:sz w:val="20"/>
              </w:rPr>
              <w:t>1</w:t>
            </w:r>
          </w:p>
        </w:tc>
        <w:tc>
          <w:tcPr>
            <w:tcW w:w="2918" w:type="dxa"/>
            <w:tcBorders>
              <w:top w:val="nil"/>
              <w:left w:val="single" w:sz="4" w:space="0" w:color="auto"/>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南召县云阳充电站</w:t>
            </w:r>
          </w:p>
        </w:tc>
        <w:tc>
          <w:tcPr>
            <w:tcW w:w="3689"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省道S331与S231交叉口</w:t>
            </w:r>
          </w:p>
        </w:tc>
        <w:tc>
          <w:tcPr>
            <w:tcW w:w="1090"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c>
          <w:tcPr>
            <w:tcW w:w="70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r>
    </w:tbl>
    <w:p>
      <w:pPr>
        <w:sectPr>
          <w:headerReference w:type="default" r:id="rId113"/>
          <w:footerReference w:type="even" r:id="rId114"/>
          <w:footerReference w:type="default" r:id="rId115"/>
          <w:headerReference w:type="first" r:id="rId116"/>
          <w:type w:val="nextPage"/>
          <w:pgSz w:w="11906" w:h="16838"/>
          <w:pgMar w:top="1418" w:right="1418" w:bottom="1418" w:left="1701" w:header="964" w:footer="964" w:gutter="0"/>
          <w:pgNumType w:fmt="numberInDash" w:start="26"/>
          <w:cols w:space="720"/>
          <w:titlePg w:val="0"/>
          <w:docGrid w:type="linesAndChars" w:linePitch="291" w:charSpace="3135"/>
        </w:sectPr>
      </w:pPr>
    </w:p>
    <w:tbl>
      <w:tblPr>
        <w:tblStyle w:val="TableNormal"/>
        <w:tblW w:w="0" w:type="auto"/>
        <w:tblInd w:w="0" w:type="dxa"/>
        <w:tblLayout w:type="fixed"/>
        <w:tblLook w:val="0000"/>
      </w:tblPr>
      <w:tblGrid>
        <w:gridCol w:w="603"/>
        <w:gridCol w:w="2918"/>
        <w:gridCol w:w="3689"/>
        <w:gridCol w:w="1090"/>
        <w:gridCol w:w="703"/>
      </w:tblGrid>
      <w:tr>
        <w:tblPrEx>
          <w:tblW w:w="0" w:type="auto"/>
          <w:tblInd w:w="0" w:type="dxa"/>
          <w:tblLayout w:type="fixed"/>
          <w:tblLook w:val="0000"/>
        </w:tblPrEx>
        <w:trPr>
          <w:trHeight w:val="240"/>
        </w:trPr>
        <w:tc>
          <w:tcPr>
            <w:tcW w:w="603" w:type="dxa"/>
            <w:tcBorders>
              <w:top w:val="nil"/>
              <w:left w:val="single" w:sz="4" w:space="0" w:color="auto"/>
              <w:bottom w:val="single" w:sz="4" w:space="0" w:color="auto"/>
              <w:right w:val="nil"/>
            </w:tcBorders>
            <w:noWrap/>
            <w:vAlign w:val="bottom"/>
          </w:tcPr>
          <w:p w:rsidR="00337093">
            <w:pPr>
              <w:widowControl/>
              <w:jc w:val="right"/>
              <w:rPr>
                <w:rFonts w:ascii="宋体" w:hAnsi="宋体" w:cs="宋体"/>
                <w:kern w:val="0"/>
                <w:sz w:val="20"/>
              </w:rPr>
            </w:pPr>
            <w:r>
              <w:rPr>
                <w:rFonts w:ascii="宋体" w:hAnsi="宋体" w:cs="宋体" w:hint="eastAsia"/>
                <w:kern w:val="0"/>
                <w:sz w:val="20"/>
              </w:rPr>
              <w:t>2</w:t>
            </w:r>
          </w:p>
        </w:tc>
        <w:tc>
          <w:tcPr>
            <w:tcW w:w="2918" w:type="dxa"/>
            <w:tcBorders>
              <w:top w:val="nil"/>
              <w:left w:val="single" w:sz="4" w:space="0" w:color="auto"/>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南召县皇路店充电站</w:t>
            </w:r>
          </w:p>
        </w:tc>
        <w:tc>
          <w:tcPr>
            <w:tcW w:w="3689"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省道S333与S231交叉口</w:t>
            </w:r>
          </w:p>
        </w:tc>
        <w:tc>
          <w:tcPr>
            <w:tcW w:w="1090"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c>
          <w:tcPr>
            <w:tcW w:w="70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r>
      <w:tr>
        <w:tblPrEx>
          <w:tblW w:w="0" w:type="auto"/>
          <w:tblInd w:w="0" w:type="dxa"/>
          <w:tblLayout w:type="fixed"/>
          <w:tblLook w:val="0000"/>
        </w:tblPrEx>
        <w:trPr>
          <w:trHeight w:val="240"/>
        </w:trPr>
        <w:tc>
          <w:tcPr>
            <w:tcW w:w="603" w:type="dxa"/>
            <w:tcBorders>
              <w:top w:val="nil"/>
              <w:left w:val="single" w:sz="4" w:space="0" w:color="auto"/>
              <w:bottom w:val="single" w:sz="4" w:space="0" w:color="auto"/>
              <w:right w:val="nil"/>
            </w:tcBorders>
            <w:noWrap/>
            <w:vAlign w:val="bottom"/>
          </w:tcPr>
          <w:p w:rsidR="00337093">
            <w:pPr>
              <w:widowControl/>
              <w:jc w:val="right"/>
              <w:rPr>
                <w:rFonts w:ascii="宋体" w:hAnsi="宋体" w:cs="宋体"/>
                <w:kern w:val="0"/>
                <w:sz w:val="20"/>
              </w:rPr>
            </w:pPr>
            <w:r>
              <w:rPr>
                <w:rFonts w:ascii="宋体" w:hAnsi="宋体" w:cs="宋体" w:hint="eastAsia"/>
                <w:kern w:val="0"/>
                <w:sz w:val="20"/>
              </w:rPr>
              <w:t>3</w:t>
            </w:r>
          </w:p>
        </w:tc>
        <w:tc>
          <w:tcPr>
            <w:tcW w:w="2918" w:type="dxa"/>
            <w:tcBorders>
              <w:top w:val="nil"/>
              <w:left w:val="single" w:sz="4" w:space="0" w:color="auto"/>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南召县四棵树充电站</w:t>
            </w:r>
          </w:p>
        </w:tc>
        <w:tc>
          <w:tcPr>
            <w:tcW w:w="3689"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南召县四棵树派出所附近</w:t>
            </w:r>
          </w:p>
        </w:tc>
        <w:tc>
          <w:tcPr>
            <w:tcW w:w="1090"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c>
          <w:tcPr>
            <w:tcW w:w="70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r>
      <w:tr>
        <w:tblPrEx>
          <w:tblW w:w="0" w:type="auto"/>
          <w:tblInd w:w="0" w:type="dxa"/>
          <w:tblLayout w:type="fixed"/>
          <w:tblLook w:val="0000"/>
        </w:tblPrEx>
        <w:trPr>
          <w:trHeight w:val="240"/>
        </w:trPr>
        <w:tc>
          <w:tcPr>
            <w:tcW w:w="603" w:type="dxa"/>
            <w:tcBorders>
              <w:top w:val="nil"/>
              <w:left w:val="single" w:sz="4" w:space="0" w:color="auto"/>
              <w:bottom w:val="single" w:sz="4" w:space="0" w:color="auto"/>
              <w:right w:val="nil"/>
            </w:tcBorders>
            <w:noWrap/>
            <w:vAlign w:val="bottom"/>
          </w:tcPr>
          <w:p w:rsidR="00337093">
            <w:pPr>
              <w:widowControl/>
              <w:jc w:val="right"/>
              <w:rPr>
                <w:rFonts w:ascii="宋体" w:hAnsi="宋体" w:cs="宋体"/>
                <w:kern w:val="0"/>
                <w:sz w:val="20"/>
              </w:rPr>
            </w:pPr>
            <w:r>
              <w:rPr>
                <w:rFonts w:ascii="宋体" w:hAnsi="宋体" w:cs="宋体" w:hint="eastAsia"/>
                <w:kern w:val="0"/>
                <w:sz w:val="20"/>
              </w:rPr>
              <w:t>4</w:t>
            </w:r>
          </w:p>
        </w:tc>
        <w:tc>
          <w:tcPr>
            <w:tcW w:w="2918" w:type="dxa"/>
            <w:tcBorders>
              <w:top w:val="nil"/>
              <w:left w:val="single" w:sz="4" w:space="0" w:color="auto"/>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南召县伏牛路世纪大道充电站</w:t>
            </w:r>
          </w:p>
        </w:tc>
        <w:tc>
          <w:tcPr>
            <w:tcW w:w="3689"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南召县伏牛路与世纪大道交叉口</w:t>
            </w:r>
          </w:p>
        </w:tc>
        <w:tc>
          <w:tcPr>
            <w:tcW w:w="1090"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c>
          <w:tcPr>
            <w:tcW w:w="70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r>
      <w:tr>
        <w:tblPrEx>
          <w:tblW w:w="0" w:type="auto"/>
          <w:tblInd w:w="0" w:type="dxa"/>
          <w:tblLayout w:type="fixed"/>
          <w:tblLook w:val="0000"/>
        </w:tblPrEx>
        <w:trPr>
          <w:trHeight w:val="240"/>
        </w:trPr>
        <w:tc>
          <w:tcPr>
            <w:tcW w:w="603" w:type="dxa"/>
            <w:tcBorders>
              <w:top w:val="nil"/>
              <w:left w:val="single" w:sz="4" w:space="0" w:color="auto"/>
              <w:bottom w:val="single" w:sz="4" w:space="0" w:color="auto"/>
              <w:right w:val="nil"/>
            </w:tcBorders>
            <w:noWrap/>
            <w:vAlign w:val="bottom"/>
          </w:tcPr>
          <w:p w:rsidR="00337093">
            <w:pPr>
              <w:widowControl/>
              <w:jc w:val="right"/>
              <w:rPr>
                <w:rFonts w:ascii="宋体" w:hAnsi="宋体" w:cs="宋体"/>
                <w:kern w:val="0"/>
                <w:sz w:val="20"/>
              </w:rPr>
            </w:pPr>
            <w:r>
              <w:rPr>
                <w:rFonts w:ascii="宋体" w:hAnsi="宋体" w:cs="宋体" w:hint="eastAsia"/>
                <w:kern w:val="0"/>
                <w:sz w:val="20"/>
              </w:rPr>
              <w:t>5</w:t>
            </w:r>
          </w:p>
        </w:tc>
        <w:tc>
          <w:tcPr>
            <w:tcW w:w="2918" w:type="dxa"/>
            <w:tcBorders>
              <w:top w:val="nil"/>
              <w:left w:val="single" w:sz="4" w:space="0" w:color="auto"/>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镇平县312国道航天路充电站</w:t>
            </w:r>
          </w:p>
        </w:tc>
        <w:tc>
          <w:tcPr>
            <w:tcW w:w="3689"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镇平县G312国道与航天路交叉口</w:t>
            </w:r>
          </w:p>
        </w:tc>
        <w:tc>
          <w:tcPr>
            <w:tcW w:w="1090"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c>
          <w:tcPr>
            <w:tcW w:w="70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r>
      <w:tr>
        <w:tblPrEx>
          <w:tblW w:w="0" w:type="auto"/>
          <w:tblInd w:w="0" w:type="dxa"/>
          <w:tblLayout w:type="fixed"/>
          <w:tblLook w:val="0000"/>
        </w:tblPrEx>
        <w:trPr>
          <w:trHeight w:val="240"/>
        </w:trPr>
        <w:tc>
          <w:tcPr>
            <w:tcW w:w="603" w:type="dxa"/>
            <w:tcBorders>
              <w:top w:val="nil"/>
              <w:left w:val="single" w:sz="4" w:space="0" w:color="auto"/>
              <w:bottom w:val="single" w:sz="4" w:space="0" w:color="auto"/>
              <w:right w:val="nil"/>
            </w:tcBorders>
            <w:noWrap/>
            <w:vAlign w:val="bottom"/>
          </w:tcPr>
          <w:p w:rsidR="00337093">
            <w:pPr>
              <w:widowControl/>
              <w:jc w:val="right"/>
              <w:rPr>
                <w:rFonts w:ascii="宋体" w:hAnsi="宋体" w:cs="宋体"/>
                <w:kern w:val="0"/>
                <w:sz w:val="20"/>
              </w:rPr>
            </w:pPr>
            <w:r>
              <w:rPr>
                <w:rFonts w:ascii="宋体" w:hAnsi="宋体" w:cs="宋体" w:hint="eastAsia"/>
                <w:kern w:val="0"/>
                <w:sz w:val="20"/>
              </w:rPr>
              <w:t>6</w:t>
            </w:r>
          </w:p>
        </w:tc>
        <w:tc>
          <w:tcPr>
            <w:tcW w:w="2918" w:type="dxa"/>
            <w:tcBorders>
              <w:top w:val="nil"/>
              <w:left w:val="single" w:sz="4" w:space="0" w:color="auto"/>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镇平县黑龙集充电站</w:t>
            </w:r>
          </w:p>
        </w:tc>
        <w:tc>
          <w:tcPr>
            <w:tcW w:w="3689"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镇平县张林乡第二初级中学附近</w:t>
            </w:r>
          </w:p>
        </w:tc>
        <w:tc>
          <w:tcPr>
            <w:tcW w:w="1090"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c>
          <w:tcPr>
            <w:tcW w:w="70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r>
      <w:tr>
        <w:tblPrEx>
          <w:tblW w:w="0" w:type="auto"/>
          <w:tblInd w:w="0" w:type="dxa"/>
          <w:tblLayout w:type="fixed"/>
          <w:tblLook w:val="0000"/>
        </w:tblPrEx>
        <w:trPr>
          <w:trHeight w:val="240"/>
        </w:trPr>
        <w:tc>
          <w:tcPr>
            <w:tcW w:w="603" w:type="dxa"/>
            <w:tcBorders>
              <w:top w:val="nil"/>
              <w:left w:val="single" w:sz="4" w:space="0" w:color="auto"/>
              <w:bottom w:val="single" w:sz="4" w:space="0" w:color="auto"/>
              <w:right w:val="nil"/>
            </w:tcBorders>
            <w:noWrap/>
            <w:vAlign w:val="bottom"/>
          </w:tcPr>
          <w:p w:rsidR="00337093">
            <w:pPr>
              <w:widowControl/>
              <w:jc w:val="right"/>
              <w:rPr>
                <w:rFonts w:ascii="宋体" w:hAnsi="宋体" w:cs="宋体"/>
                <w:kern w:val="0"/>
                <w:sz w:val="20"/>
              </w:rPr>
            </w:pPr>
            <w:r>
              <w:rPr>
                <w:rFonts w:ascii="宋体" w:hAnsi="宋体" w:cs="宋体" w:hint="eastAsia"/>
                <w:kern w:val="0"/>
                <w:sz w:val="20"/>
              </w:rPr>
              <w:t>7</w:t>
            </w:r>
          </w:p>
        </w:tc>
        <w:tc>
          <w:tcPr>
            <w:tcW w:w="2918" w:type="dxa"/>
            <w:tcBorders>
              <w:top w:val="nil"/>
              <w:left w:val="single" w:sz="4" w:space="0" w:color="auto"/>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内乡县渚阳大道充电站</w:t>
            </w:r>
          </w:p>
        </w:tc>
        <w:tc>
          <w:tcPr>
            <w:tcW w:w="3689"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内乡县渚阳大道与G312国道交叉口</w:t>
            </w:r>
          </w:p>
        </w:tc>
        <w:tc>
          <w:tcPr>
            <w:tcW w:w="1090"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c>
          <w:tcPr>
            <w:tcW w:w="70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r>
      <w:tr>
        <w:tblPrEx>
          <w:tblW w:w="0" w:type="auto"/>
          <w:tblInd w:w="0" w:type="dxa"/>
          <w:tblLayout w:type="fixed"/>
          <w:tblLook w:val="0000"/>
        </w:tblPrEx>
        <w:trPr>
          <w:trHeight w:val="240"/>
        </w:trPr>
        <w:tc>
          <w:tcPr>
            <w:tcW w:w="603" w:type="dxa"/>
            <w:tcBorders>
              <w:top w:val="nil"/>
              <w:left w:val="single" w:sz="4" w:space="0" w:color="auto"/>
              <w:bottom w:val="single" w:sz="4" w:space="0" w:color="auto"/>
              <w:right w:val="nil"/>
            </w:tcBorders>
            <w:noWrap/>
            <w:vAlign w:val="bottom"/>
          </w:tcPr>
          <w:p w:rsidR="00337093">
            <w:pPr>
              <w:widowControl/>
              <w:jc w:val="right"/>
              <w:rPr>
                <w:rFonts w:ascii="宋体" w:hAnsi="宋体" w:cs="宋体"/>
                <w:kern w:val="0"/>
                <w:sz w:val="20"/>
              </w:rPr>
            </w:pPr>
            <w:r>
              <w:rPr>
                <w:rFonts w:ascii="宋体" w:hAnsi="宋体" w:cs="宋体" w:hint="eastAsia"/>
                <w:kern w:val="0"/>
                <w:sz w:val="20"/>
              </w:rPr>
              <w:t>8</w:t>
            </w:r>
          </w:p>
        </w:tc>
        <w:tc>
          <w:tcPr>
            <w:tcW w:w="2918" w:type="dxa"/>
            <w:tcBorders>
              <w:top w:val="nil"/>
              <w:left w:val="single" w:sz="4" w:space="0" w:color="auto"/>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内乡县飞龙大道充电站</w:t>
            </w:r>
          </w:p>
        </w:tc>
        <w:tc>
          <w:tcPr>
            <w:tcW w:w="3689"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内乡县飞龙大道与G312国道交叉口</w:t>
            </w:r>
          </w:p>
        </w:tc>
        <w:tc>
          <w:tcPr>
            <w:tcW w:w="1090"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c>
          <w:tcPr>
            <w:tcW w:w="70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r>
      <w:tr>
        <w:tblPrEx>
          <w:tblW w:w="0" w:type="auto"/>
          <w:tblInd w:w="0" w:type="dxa"/>
          <w:tblLayout w:type="fixed"/>
          <w:tblLook w:val="0000"/>
        </w:tblPrEx>
        <w:trPr>
          <w:trHeight w:val="240"/>
        </w:trPr>
        <w:tc>
          <w:tcPr>
            <w:tcW w:w="603" w:type="dxa"/>
            <w:tcBorders>
              <w:top w:val="nil"/>
              <w:left w:val="single" w:sz="4" w:space="0" w:color="auto"/>
              <w:bottom w:val="single" w:sz="4" w:space="0" w:color="auto"/>
              <w:right w:val="nil"/>
            </w:tcBorders>
            <w:noWrap/>
            <w:vAlign w:val="bottom"/>
          </w:tcPr>
          <w:p w:rsidR="00337093">
            <w:pPr>
              <w:widowControl/>
              <w:jc w:val="right"/>
              <w:rPr>
                <w:rFonts w:ascii="宋体" w:hAnsi="宋体" w:cs="宋体"/>
                <w:kern w:val="0"/>
                <w:sz w:val="20"/>
              </w:rPr>
            </w:pPr>
            <w:r>
              <w:rPr>
                <w:rFonts w:ascii="宋体" w:hAnsi="宋体" w:cs="宋体" w:hint="eastAsia"/>
                <w:kern w:val="0"/>
                <w:sz w:val="20"/>
              </w:rPr>
              <w:t>9</w:t>
            </w:r>
          </w:p>
        </w:tc>
        <w:tc>
          <w:tcPr>
            <w:tcW w:w="2918" w:type="dxa"/>
            <w:tcBorders>
              <w:top w:val="nil"/>
              <w:left w:val="single" w:sz="4" w:space="0" w:color="auto"/>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淅川县九重镇充电站</w:t>
            </w:r>
          </w:p>
        </w:tc>
        <w:tc>
          <w:tcPr>
            <w:tcW w:w="3689"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淅川县九重镇政府附近</w:t>
            </w:r>
          </w:p>
        </w:tc>
        <w:tc>
          <w:tcPr>
            <w:tcW w:w="1090"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c>
          <w:tcPr>
            <w:tcW w:w="70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r>
      <w:tr>
        <w:tblPrEx>
          <w:tblW w:w="0" w:type="auto"/>
          <w:tblInd w:w="0" w:type="dxa"/>
          <w:tblLayout w:type="fixed"/>
          <w:tblLook w:val="0000"/>
        </w:tblPrEx>
        <w:trPr>
          <w:trHeight w:val="240"/>
        </w:trPr>
        <w:tc>
          <w:tcPr>
            <w:tcW w:w="603" w:type="dxa"/>
            <w:tcBorders>
              <w:top w:val="nil"/>
              <w:left w:val="single" w:sz="4" w:space="0" w:color="auto"/>
              <w:bottom w:val="single" w:sz="4" w:space="0" w:color="auto"/>
              <w:right w:val="nil"/>
            </w:tcBorders>
            <w:noWrap/>
            <w:vAlign w:val="bottom"/>
          </w:tcPr>
          <w:p w:rsidR="00337093">
            <w:pPr>
              <w:widowControl/>
              <w:jc w:val="right"/>
              <w:rPr>
                <w:rFonts w:ascii="宋体" w:hAnsi="宋体" w:cs="宋体"/>
                <w:kern w:val="0"/>
                <w:sz w:val="20"/>
              </w:rPr>
            </w:pPr>
            <w:r>
              <w:rPr>
                <w:rFonts w:ascii="宋体" w:hAnsi="宋体" w:cs="宋体" w:hint="eastAsia"/>
                <w:kern w:val="0"/>
                <w:sz w:val="20"/>
              </w:rPr>
              <w:t>10</w:t>
            </w:r>
          </w:p>
        </w:tc>
        <w:tc>
          <w:tcPr>
            <w:tcW w:w="2918" w:type="dxa"/>
            <w:tcBorders>
              <w:top w:val="nil"/>
              <w:left w:val="single" w:sz="4" w:space="0" w:color="auto"/>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淅川县马镫镇充电站</w:t>
            </w:r>
          </w:p>
        </w:tc>
        <w:tc>
          <w:tcPr>
            <w:tcW w:w="3689"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淅川县马蹬镇汽车站附近</w:t>
            </w:r>
          </w:p>
        </w:tc>
        <w:tc>
          <w:tcPr>
            <w:tcW w:w="1090"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c>
          <w:tcPr>
            <w:tcW w:w="70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r>
      <w:tr>
        <w:tblPrEx>
          <w:tblW w:w="0" w:type="auto"/>
          <w:tblInd w:w="0" w:type="dxa"/>
          <w:tblLayout w:type="fixed"/>
          <w:tblLook w:val="0000"/>
        </w:tblPrEx>
        <w:trPr>
          <w:trHeight w:val="240"/>
        </w:trPr>
        <w:tc>
          <w:tcPr>
            <w:tcW w:w="603" w:type="dxa"/>
            <w:tcBorders>
              <w:top w:val="nil"/>
              <w:left w:val="single" w:sz="4" w:space="0" w:color="auto"/>
              <w:bottom w:val="single" w:sz="4" w:space="0" w:color="auto"/>
              <w:right w:val="nil"/>
            </w:tcBorders>
            <w:noWrap/>
            <w:vAlign w:val="bottom"/>
          </w:tcPr>
          <w:p w:rsidR="00337093">
            <w:pPr>
              <w:widowControl/>
              <w:jc w:val="right"/>
              <w:rPr>
                <w:rFonts w:ascii="宋体" w:hAnsi="宋体" w:cs="宋体"/>
                <w:kern w:val="0"/>
                <w:sz w:val="20"/>
              </w:rPr>
            </w:pPr>
            <w:r>
              <w:rPr>
                <w:rFonts w:ascii="宋体" w:hAnsi="宋体" w:cs="宋体" w:hint="eastAsia"/>
                <w:kern w:val="0"/>
                <w:sz w:val="20"/>
              </w:rPr>
              <w:t>11</w:t>
            </w:r>
          </w:p>
        </w:tc>
        <w:tc>
          <w:tcPr>
            <w:tcW w:w="2918" w:type="dxa"/>
            <w:tcBorders>
              <w:top w:val="nil"/>
              <w:left w:val="single" w:sz="4" w:space="0" w:color="auto"/>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淅川县上集镇充电站</w:t>
            </w:r>
          </w:p>
        </w:tc>
        <w:tc>
          <w:tcPr>
            <w:tcW w:w="3689"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省道S332与S335交叉口</w:t>
            </w:r>
          </w:p>
        </w:tc>
        <w:tc>
          <w:tcPr>
            <w:tcW w:w="1090"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c>
          <w:tcPr>
            <w:tcW w:w="70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r>
      <w:tr>
        <w:tblPrEx>
          <w:tblW w:w="0" w:type="auto"/>
          <w:tblInd w:w="0" w:type="dxa"/>
          <w:tblLayout w:type="fixed"/>
          <w:tblLook w:val="0000"/>
        </w:tblPrEx>
        <w:trPr>
          <w:trHeight w:val="240"/>
        </w:trPr>
        <w:tc>
          <w:tcPr>
            <w:tcW w:w="603" w:type="dxa"/>
            <w:tcBorders>
              <w:top w:val="nil"/>
              <w:left w:val="single" w:sz="4" w:space="0" w:color="auto"/>
              <w:bottom w:val="single" w:sz="4" w:space="0" w:color="auto"/>
              <w:right w:val="nil"/>
            </w:tcBorders>
            <w:noWrap/>
            <w:vAlign w:val="bottom"/>
          </w:tcPr>
          <w:p w:rsidR="00337093">
            <w:pPr>
              <w:widowControl/>
              <w:jc w:val="right"/>
              <w:rPr>
                <w:rFonts w:ascii="宋体" w:hAnsi="宋体" w:cs="宋体"/>
                <w:kern w:val="0"/>
                <w:sz w:val="20"/>
              </w:rPr>
            </w:pPr>
            <w:r>
              <w:rPr>
                <w:rFonts w:ascii="宋体" w:hAnsi="宋体" w:cs="宋体" w:hint="eastAsia"/>
                <w:kern w:val="0"/>
                <w:sz w:val="20"/>
              </w:rPr>
              <w:t>12</w:t>
            </w:r>
          </w:p>
        </w:tc>
        <w:tc>
          <w:tcPr>
            <w:tcW w:w="2918" w:type="dxa"/>
            <w:tcBorders>
              <w:top w:val="nil"/>
              <w:left w:val="single" w:sz="4" w:space="0" w:color="auto"/>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淅川县东环路灌河路充电站</w:t>
            </w:r>
          </w:p>
        </w:tc>
        <w:tc>
          <w:tcPr>
            <w:tcW w:w="3689"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淅川县东环路灌河路交叉口</w:t>
            </w:r>
          </w:p>
        </w:tc>
        <w:tc>
          <w:tcPr>
            <w:tcW w:w="1090"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c>
          <w:tcPr>
            <w:tcW w:w="70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r>
      <w:tr>
        <w:tblPrEx>
          <w:tblW w:w="0" w:type="auto"/>
          <w:tblInd w:w="0" w:type="dxa"/>
          <w:tblLayout w:type="fixed"/>
          <w:tblLook w:val="0000"/>
        </w:tblPrEx>
        <w:trPr>
          <w:trHeight w:val="240"/>
        </w:trPr>
        <w:tc>
          <w:tcPr>
            <w:tcW w:w="603" w:type="dxa"/>
            <w:tcBorders>
              <w:top w:val="nil"/>
              <w:left w:val="single" w:sz="4" w:space="0" w:color="auto"/>
              <w:bottom w:val="single" w:sz="4" w:space="0" w:color="auto"/>
              <w:right w:val="nil"/>
            </w:tcBorders>
            <w:noWrap/>
            <w:vAlign w:val="bottom"/>
          </w:tcPr>
          <w:p w:rsidR="00337093">
            <w:pPr>
              <w:widowControl/>
              <w:jc w:val="right"/>
              <w:rPr>
                <w:rFonts w:ascii="宋体" w:hAnsi="宋体" w:cs="宋体"/>
                <w:kern w:val="0"/>
                <w:sz w:val="20"/>
              </w:rPr>
            </w:pPr>
            <w:r>
              <w:rPr>
                <w:rFonts w:ascii="宋体" w:hAnsi="宋体" w:cs="宋体" w:hint="eastAsia"/>
                <w:kern w:val="0"/>
                <w:sz w:val="20"/>
              </w:rPr>
              <w:t>13</w:t>
            </w:r>
          </w:p>
        </w:tc>
        <w:tc>
          <w:tcPr>
            <w:tcW w:w="2918" w:type="dxa"/>
            <w:tcBorders>
              <w:top w:val="nil"/>
              <w:left w:val="single" w:sz="4" w:space="0" w:color="auto"/>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新野县新野大道充电站</w:t>
            </w:r>
          </w:p>
        </w:tc>
        <w:tc>
          <w:tcPr>
            <w:tcW w:w="3689"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新野县南邓高速与新野大道交界处</w:t>
            </w:r>
          </w:p>
        </w:tc>
        <w:tc>
          <w:tcPr>
            <w:tcW w:w="1090"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c>
          <w:tcPr>
            <w:tcW w:w="70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r>
      <w:tr>
        <w:tblPrEx>
          <w:tblW w:w="0" w:type="auto"/>
          <w:tblInd w:w="0" w:type="dxa"/>
          <w:tblLayout w:type="fixed"/>
          <w:tblLook w:val="0000"/>
        </w:tblPrEx>
        <w:trPr>
          <w:trHeight w:val="240"/>
        </w:trPr>
        <w:tc>
          <w:tcPr>
            <w:tcW w:w="603" w:type="dxa"/>
            <w:tcBorders>
              <w:top w:val="nil"/>
              <w:left w:val="single" w:sz="4" w:space="0" w:color="auto"/>
              <w:bottom w:val="single" w:sz="4" w:space="0" w:color="auto"/>
              <w:right w:val="nil"/>
            </w:tcBorders>
            <w:noWrap/>
            <w:vAlign w:val="bottom"/>
          </w:tcPr>
          <w:p w:rsidR="00337093">
            <w:pPr>
              <w:widowControl/>
              <w:jc w:val="right"/>
              <w:rPr>
                <w:rFonts w:ascii="宋体" w:hAnsi="宋体" w:cs="宋体"/>
                <w:kern w:val="0"/>
                <w:sz w:val="20"/>
              </w:rPr>
            </w:pPr>
            <w:r>
              <w:rPr>
                <w:rFonts w:ascii="宋体" w:hAnsi="宋体" w:cs="宋体" w:hint="eastAsia"/>
                <w:kern w:val="0"/>
                <w:sz w:val="20"/>
              </w:rPr>
              <w:t>14</w:t>
            </w:r>
          </w:p>
        </w:tc>
        <w:tc>
          <w:tcPr>
            <w:tcW w:w="2918" w:type="dxa"/>
            <w:tcBorders>
              <w:top w:val="nil"/>
              <w:left w:val="single" w:sz="4" w:space="0" w:color="auto"/>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新野县桐树店充电站</w:t>
            </w:r>
          </w:p>
        </w:tc>
        <w:tc>
          <w:tcPr>
            <w:tcW w:w="3689"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新野县省道S103与Y002交叉口</w:t>
            </w:r>
          </w:p>
        </w:tc>
        <w:tc>
          <w:tcPr>
            <w:tcW w:w="1090"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c>
          <w:tcPr>
            <w:tcW w:w="70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r>
      <w:tr>
        <w:tblPrEx>
          <w:tblW w:w="0" w:type="auto"/>
          <w:tblInd w:w="0" w:type="dxa"/>
          <w:tblLayout w:type="fixed"/>
          <w:tblLook w:val="0000"/>
        </w:tblPrEx>
        <w:trPr>
          <w:trHeight w:val="240"/>
        </w:trPr>
        <w:tc>
          <w:tcPr>
            <w:tcW w:w="603" w:type="dxa"/>
            <w:tcBorders>
              <w:top w:val="nil"/>
              <w:left w:val="single" w:sz="4" w:space="0" w:color="auto"/>
              <w:bottom w:val="single" w:sz="4" w:space="0" w:color="auto"/>
              <w:right w:val="nil"/>
            </w:tcBorders>
            <w:noWrap/>
            <w:vAlign w:val="bottom"/>
          </w:tcPr>
          <w:p w:rsidR="00337093">
            <w:pPr>
              <w:widowControl/>
              <w:jc w:val="right"/>
              <w:rPr>
                <w:rFonts w:ascii="宋体" w:hAnsi="宋体" w:cs="宋体"/>
                <w:kern w:val="0"/>
                <w:sz w:val="20"/>
              </w:rPr>
            </w:pPr>
            <w:r>
              <w:rPr>
                <w:rFonts w:ascii="宋体" w:hAnsi="宋体" w:cs="宋体" w:hint="eastAsia"/>
                <w:kern w:val="0"/>
                <w:sz w:val="20"/>
              </w:rPr>
              <w:t>15</w:t>
            </w:r>
          </w:p>
        </w:tc>
        <w:tc>
          <w:tcPr>
            <w:tcW w:w="2918" w:type="dxa"/>
            <w:tcBorders>
              <w:top w:val="nil"/>
              <w:left w:val="single" w:sz="4" w:space="0" w:color="auto"/>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新野县上港乡充电站</w:t>
            </w:r>
          </w:p>
        </w:tc>
        <w:tc>
          <w:tcPr>
            <w:tcW w:w="3689"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新野县省道S335与S103交叉口</w:t>
            </w:r>
          </w:p>
        </w:tc>
        <w:tc>
          <w:tcPr>
            <w:tcW w:w="1090"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c>
          <w:tcPr>
            <w:tcW w:w="70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r>
      <w:tr>
        <w:tblPrEx>
          <w:tblW w:w="0" w:type="auto"/>
          <w:tblInd w:w="0" w:type="dxa"/>
          <w:tblLayout w:type="fixed"/>
          <w:tblLook w:val="0000"/>
        </w:tblPrEx>
        <w:trPr>
          <w:trHeight w:val="240"/>
        </w:trPr>
        <w:tc>
          <w:tcPr>
            <w:tcW w:w="603" w:type="dxa"/>
            <w:tcBorders>
              <w:top w:val="nil"/>
              <w:left w:val="single" w:sz="4" w:space="0" w:color="auto"/>
              <w:bottom w:val="single" w:sz="4" w:space="0" w:color="auto"/>
              <w:right w:val="nil"/>
            </w:tcBorders>
            <w:noWrap/>
            <w:vAlign w:val="bottom"/>
          </w:tcPr>
          <w:p w:rsidR="00337093">
            <w:pPr>
              <w:widowControl/>
              <w:jc w:val="right"/>
              <w:rPr>
                <w:rFonts w:ascii="宋体" w:hAnsi="宋体" w:cs="宋体"/>
                <w:kern w:val="0"/>
                <w:sz w:val="20"/>
              </w:rPr>
            </w:pPr>
            <w:r>
              <w:rPr>
                <w:rFonts w:ascii="宋体" w:hAnsi="宋体" w:cs="宋体" w:hint="eastAsia"/>
                <w:kern w:val="0"/>
                <w:sz w:val="20"/>
              </w:rPr>
              <w:t>16</w:t>
            </w:r>
          </w:p>
        </w:tc>
        <w:tc>
          <w:tcPr>
            <w:tcW w:w="2918" w:type="dxa"/>
            <w:tcBorders>
              <w:top w:val="nil"/>
              <w:left w:val="single" w:sz="4" w:space="0" w:color="auto"/>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新野县103省道中兴路充电站</w:t>
            </w:r>
          </w:p>
        </w:tc>
        <w:tc>
          <w:tcPr>
            <w:tcW w:w="3689"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新野县S103省道与中兴路交叉口</w:t>
            </w:r>
          </w:p>
        </w:tc>
        <w:tc>
          <w:tcPr>
            <w:tcW w:w="1090"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c>
          <w:tcPr>
            <w:tcW w:w="70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r>
      <w:tr>
        <w:tblPrEx>
          <w:tblW w:w="0" w:type="auto"/>
          <w:tblInd w:w="0" w:type="dxa"/>
          <w:tblLayout w:type="fixed"/>
          <w:tblLook w:val="0000"/>
        </w:tblPrEx>
        <w:trPr>
          <w:trHeight w:val="240"/>
        </w:trPr>
        <w:tc>
          <w:tcPr>
            <w:tcW w:w="603" w:type="dxa"/>
            <w:tcBorders>
              <w:top w:val="nil"/>
              <w:left w:val="single" w:sz="4" w:space="0" w:color="auto"/>
              <w:bottom w:val="single" w:sz="4" w:space="0" w:color="auto"/>
              <w:right w:val="nil"/>
            </w:tcBorders>
            <w:noWrap/>
            <w:vAlign w:val="bottom"/>
          </w:tcPr>
          <w:p w:rsidR="00337093">
            <w:pPr>
              <w:widowControl/>
              <w:jc w:val="right"/>
              <w:rPr>
                <w:rFonts w:ascii="宋体" w:hAnsi="宋体" w:cs="宋体"/>
                <w:kern w:val="0"/>
                <w:sz w:val="20"/>
              </w:rPr>
            </w:pPr>
            <w:r>
              <w:rPr>
                <w:rFonts w:ascii="宋体" w:hAnsi="宋体" w:cs="宋体" w:hint="eastAsia"/>
                <w:kern w:val="0"/>
                <w:sz w:val="20"/>
              </w:rPr>
              <w:t>17</w:t>
            </w:r>
          </w:p>
        </w:tc>
        <w:tc>
          <w:tcPr>
            <w:tcW w:w="2918" w:type="dxa"/>
            <w:tcBorders>
              <w:top w:val="nil"/>
              <w:left w:val="single" w:sz="4" w:space="0" w:color="auto"/>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唐河县城关城郊充电站</w:t>
            </w:r>
          </w:p>
        </w:tc>
        <w:tc>
          <w:tcPr>
            <w:tcW w:w="3689"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唐河县城关城郊客运站附近</w:t>
            </w:r>
          </w:p>
        </w:tc>
        <w:tc>
          <w:tcPr>
            <w:tcW w:w="1090"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c>
          <w:tcPr>
            <w:tcW w:w="70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r>
      <w:tr>
        <w:tblPrEx>
          <w:tblW w:w="0" w:type="auto"/>
          <w:tblInd w:w="0" w:type="dxa"/>
          <w:tblLayout w:type="fixed"/>
          <w:tblLook w:val="0000"/>
        </w:tblPrEx>
        <w:trPr>
          <w:trHeight w:val="240"/>
        </w:trPr>
        <w:tc>
          <w:tcPr>
            <w:tcW w:w="603" w:type="dxa"/>
            <w:tcBorders>
              <w:top w:val="nil"/>
              <w:left w:val="single" w:sz="4" w:space="0" w:color="auto"/>
              <w:bottom w:val="single" w:sz="4" w:space="0" w:color="auto"/>
              <w:right w:val="nil"/>
            </w:tcBorders>
            <w:noWrap/>
            <w:vAlign w:val="bottom"/>
          </w:tcPr>
          <w:p w:rsidR="00337093">
            <w:pPr>
              <w:widowControl/>
              <w:jc w:val="right"/>
              <w:rPr>
                <w:rFonts w:ascii="宋体" w:hAnsi="宋体" w:cs="宋体"/>
                <w:kern w:val="0"/>
                <w:sz w:val="20"/>
              </w:rPr>
            </w:pPr>
            <w:r>
              <w:rPr>
                <w:rFonts w:ascii="宋体" w:hAnsi="宋体" w:cs="宋体" w:hint="eastAsia"/>
                <w:kern w:val="0"/>
                <w:sz w:val="20"/>
              </w:rPr>
              <w:t>18</w:t>
            </w:r>
          </w:p>
        </w:tc>
        <w:tc>
          <w:tcPr>
            <w:tcW w:w="2918" w:type="dxa"/>
            <w:tcBorders>
              <w:top w:val="nil"/>
              <w:left w:val="single" w:sz="4" w:space="0" w:color="auto"/>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唐河县桶寨铺充电站</w:t>
            </w:r>
          </w:p>
        </w:tc>
        <w:tc>
          <w:tcPr>
            <w:tcW w:w="3689"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唐河县张苍线与G312交叉口附近</w:t>
            </w:r>
          </w:p>
        </w:tc>
        <w:tc>
          <w:tcPr>
            <w:tcW w:w="1090"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c>
          <w:tcPr>
            <w:tcW w:w="70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r>
      <w:tr>
        <w:tblPrEx>
          <w:tblW w:w="0" w:type="auto"/>
          <w:tblInd w:w="0" w:type="dxa"/>
          <w:tblLayout w:type="fixed"/>
          <w:tblLook w:val="0000"/>
        </w:tblPrEx>
        <w:trPr>
          <w:trHeight w:val="240"/>
        </w:trPr>
        <w:tc>
          <w:tcPr>
            <w:tcW w:w="603" w:type="dxa"/>
            <w:tcBorders>
              <w:top w:val="nil"/>
              <w:left w:val="single" w:sz="4" w:space="0" w:color="auto"/>
              <w:bottom w:val="single" w:sz="4" w:space="0" w:color="auto"/>
              <w:right w:val="nil"/>
            </w:tcBorders>
            <w:noWrap/>
            <w:vAlign w:val="bottom"/>
          </w:tcPr>
          <w:p w:rsidR="00337093">
            <w:pPr>
              <w:widowControl/>
              <w:jc w:val="right"/>
              <w:rPr>
                <w:rFonts w:ascii="宋体" w:hAnsi="宋体" w:cs="宋体"/>
                <w:kern w:val="0"/>
                <w:sz w:val="20"/>
              </w:rPr>
            </w:pPr>
            <w:r>
              <w:rPr>
                <w:rFonts w:ascii="宋体" w:hAnsi="宋体" w:cs="宋体" w:hint="eastAsia"/>
                <w:kern w:val="0"/>
                <w:sz w:val="20"/>
              </w:rPr>
              <w:t>19</w:t>
            </w:r>
          </w:p>
        </w:tc>
        <w:tc>
          <w:tcPr>
            <w:tcW w:w="2918" w:type="dxa"/>
            <w:tcBorders>
              <w:top w:val="nil"/>
              <w:left w:val="single" w:sz="4" w:space="0" w:color="auto"/>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唐河县上海大道友兰大道充电站</w:t>
            </w:r>
          </w:p>
        </w:tc>
        <w:tc>
          <w:tcPr>
            <w:tcW w:w="3689"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唐河县上海大道与友兰大道交叉口附近</w:t>
            </w:r>
          </w:p>
        </w:tc>
        <w:tc>
          <w:tcPr>
            <w:tcW w:w="1090"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c>
          <w:tcPr>
            <w:tcW w:w="70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r>
      <w:tr>
        <w:tblPrEx>
          <w:tblW w:w="0" w:type="auto"/>
          <w:tblInd w:w="0" w:type="dxa"/>
          <w:tblLayout w:type="fixed"/>
          <w:tblLook w:val="0000"/>
        </w:tblPrEx>
        <w:trPr>
          <w:trHeight w:val="240"/>
        </w:trPr>
        <w:tc>
          <w:tcPr>
            <w:tcW w:w="603" w:type="dxa"/>
            <w:tcBorders>
              <w:top w:val="nil"/>
              <w:left w:val="single" w:sz="4" w:space="0" w:color="auto"/>
              <w:bottom w:val="single" w:sz="4" w:space="0" w:color="auto"/>
              <w:right w:val="nil"/>
            </w:tcBorders>
            <w:noWrap/>
            <w:vAlign w:val="bottom"/>
          </w:tcPr>
          <w:p w:rsidR="00337093">
            <w:pPr>
              <w:widowControl/>
              <w:jc w:val="right"/>
              <w:rPr>
                <w:rFonts w:ascii="宋体" w:hAnsi="宋体" w:cs="宋体"/>
                <w:kern w:val="0"/>
                <w:sz w:val="20"/>
              </w:rPr>
            </w:pPr>
            <w:r>
              <w:rPr>
                <w:rFonts w:ascii="宋体" w:hAnsi="宋体" w:cs="宋体" w:hint="eastAsia"/>
                <w:kern w:val="0"/>
                <w:sz w:val="20"/>
              </w:rPr>
              <w:t>20</w:t>
            </w:r>
          </w:p>
        </w:tc>
        <w:tc>
          <w:tcPr>
            <w:tcW w:w="2918" w:type="dxa"/>
            <w:tcBorders>
              <w:top w:val="nil"/>
              <w:left w:val="single" w:sz="4" w:space="0" w:color="auto"/>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桐柏县东十里桥充电站</w:t>
            </w:r>
          </w:p>
        </w:tc>
        <w:tc>
          <w:tcPr>
            <w:tcW w:w="3689"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桐柏县国道G312与盘古大道交叉口附近</w:t>
            </w:r>
          </w:p>
        </w:tc>
        <w:tc>
          <w:tcPr>
            <w:tcW w:w="1090"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c>
          <w:tcPr>
            <w:tcW w:w="70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r>
      <w:tr>
        <w:tblPrEx>
          <w:tblW w:w="0" w:type="auto"/>
          <w:tblInd w:w="0" w:type="dxa"/>
          <w:tblLayout w:type="fixed"/>
          <w:tblLook w:val="0000"/>
        </w:tblPrEx>
        <w:trPr>
          <w:trHeight w:val="240"/>
        </w:trPr>
        <w:tc>
          <w:tcPr>
            <w:tcW w:w="603" w:type="dxa"/>
            <w:tcBorders>
              <w:top w:val="nil"/>
              <w:left w:val="single" w:sz="4" w:space="0" w:color="auto"/>
              <w:bottom w:val="single" w:sz="4" w:space="0" w:color="auto"/>
              <w:right w:val="nil"/>
            </w:tcBorders>
            <w:noWrap/>
            <w:vAlign w:val="bottom"/>
          </w:tcPr>
          <w:p w:rsidR="00337093">
            <w:pPr>
              <w:widowControl/>
              <w:jc w:val="right"/>
              <w:rPr>
                <w:rFonts w:ascii="宋体" w:hAnsi="宋体" w:cs="宋体"/>
                <w:kern w:val="0"/>
                <w:sz w:val="20"/>
              </w:rPr>
            </w:pPr>
            <w:r>
              <w:rPr>
                <w:rFonts w:ascii="宋体" w:hAnsi="宋体" w:cs="宋体" w:hint="eastAsia"/>
                <w:kern w:val="0"/>
                <w:sz w:val="20"/>
              </w:rPr>
              <w:t>21</w:t>
            </w:r>
          </w:p>
        </w:tc>
        <w:tc>
          <w:tcPr>
            <w:tcW w:w="2918" w:type="dxa"/>
            <w:tcBorders>
              <w:top w:val="nil"/>
              <w:left w:val="single" w:sz="4" w:space="0" w:color="auto"/>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桐柏县樊庄充电站</w:t>
            </w:r>
          </w:p>
        </w:tc>
        <w:tc>
          <w:tcPr>
            <w:tcW w:w="3689"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国道312与省道S239交叉口附近</w:t>
            </w:r>
          </w:p>
        </w:tc>
        <w:tc>
          <w:tcPr>
            <w:tcW w:w="1090"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c>
          <w:tcPr>
            <w:tcW w:w="70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r>
      <w:tr>
        <w:tblPrEx>
          <w:tblW w:w="0" w:type="auto"/>
          <w:tblInd w:w="0" w:type="dxa"/>
          <w:tblLayout w:type="fixed"/>
          <w:tblLook w:val="0000"/>
        </w:tblPrEx>
        <w:trPr>
          <w:trHeight w:val="240"/>
        </w:trPr>
        <w:tc>
          <w:tcPr>
            <w:tcW w:w="603" w:type="dxa"/>
            <w:tcBorders>
              <w:top w:val="nil"/>
              <w:left w:val="single" w:sz="4" w:space="0" w:color="auto"/>
              <w:bottom w:val="single" w:sz="4" w:space="0" w:color="auto"/>
              <w:right w:val="nil"/>
            </w:tcBorders>
            <w:noWrap/>
            <w:vAlign w:val="bottom"/>
          </w:tcPr>
          <w:p w:rsidR="00337093">
            <w:pPr>
              <w:widowControl/>
              <w:jc w:val="right"/>
              <w:rPr>
                <w:rFonts w:ascii="宋体" w:hAnsi="宋体" w:cs="宋体"/>
                <w:kern w:val="0"/>
                <w:sz w:val="20"/>
              </w:rPr>
            </w:pPr>
            <w:r>
              <w:rPr>
                <w:rFonts w:ascii="宋体" w:hAnsi="宋体" w:cs="宋体" w:hint="eastAsia"/>
                <w:kern w:val="0"/>
                <w:sz w:val="20"/>
              </w:rPr>
              <w:t>22</w:t>
            </w:r>
          </w:p>
        </w:tc>
        <w:tc>
          <w:tcPr>
            <w:tcW w:w="2918" w:type="dxa"/>
            <w:tcBorders>
              <w:top w:val="nil"/>
              <w:left w:val="single" w:sz="4" w:space="0" w:color="auto"/>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桐柏县申铺村充电站</w:t>
            </w:r>
          </w:p>
        </w:tc>
        <w:tc>
          <w:tcPr>
            <w:tcW w:w="3689"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桐柏县三源大道与焦桐高速交界口附近</w:t>
            </w:r>
          </w:p>
        </w:tc>
        <w:tc>
          <w:tcPr>
            <w:tcW w:w="1090"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c>
          <w:tcPr>
            <w:tcW w:w="70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r>
      <w:tr>
        <w:tblPrEx>
          <w:tblW w:w="0" w:type="auto"/>
          <w:tblInd w:w="0" w:type="dxa"/>
          <w:tblLayout w:type="fixed"/>
          <w:tblLook w:val="0000"/>
        </w:tblPrEx>
        <w:trPr>
          <w:trHeight w:val="240"/>
        </w:trPr>
        <w:tc>
          <w:tcPr>
            <w:tcW w:w="603" w:type="dxa"/>
            <w:tcBorders>
              <w:top w:val="nil"/>
              <w:left w:val="single" w:sz="4" w:space="0" w:color="auto"/>
              <w:bottom w:val="single" w:sz="4" w:space="0" w:color="auto"/>
              <w:right w:val="nil"/>
            </w:tcBorders>
            <w:noWrap/>
            <w:vAlign w:val="bottom"/>
          </w:tcPr>
          <w:p w:rsidR="00337093">
            <w:pPr>
              <w:widowControl/>
              <w:jc w:val="right"/>
              <w:rPr>
                <w:rFonts w:ascii="宋体" w:hAnsi="宋体" w:cs="宋体"/>
                <w:kern w:val="0"/>
                <w:sz w:val="20"/>
              </w:rPr>
            </w:pPr>
            <w:r>
              <w:rPr>
                <w:rFonts w:ascii="宋体" w:hAnsi="宋体" w:cs="宋体" w:hint="eastAsia"/>
                <w:kern w:val="0"/>
                <w:sz w:val="20"/>
              </w:rPr>
              <w:t>23</w:t>
            </w:r>
          </w:p>
        </w:tc>
        <w:tc>
          <w:tcPr>
            <w:tcW w:w="2918" w:type="dxa"/>
            <w:tcBorders>
              <w:top w:val="nil"/>
              <w:left w:val="single" w:sz="4" w:space="0" w:color="auto"/>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桐柏县英雄路三源大道充电站</w:t>
            </w:r>
          </w:p>
        </w:tc>
        <w:tc>
          <w:tcPr>
            <w:tcW w:w="3689"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桐柏县英雄路与三源大道交叉口附近</w:t>
            </w:r>
          </w:p>
        </w:tc>
        <w:tc>
          <w:tcPr>
            <w:tcW w:w="1090"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c>
          <w:tcPr>
            <w:tcW w:w="70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r>
      <w:tr>
        <w:tblPrEx>
          <w:tblW w:w="0" w:type="auto"/>
          <w:tblInd w:w="0" w:type="dxa"/>
          <w:tblLayout w:type="fixed"/>
          <w:tblLook w:val="0000"/>
        </w:tblPrEx>
        <w:trPr>
          <w:trHeight w:val="240"/>
        </w:trPr>
        <w:tc>
          <w:tcPr>
            <w:tcW w:w="603" w:type="dxa"/>
            <w:tcBorders>
              <w:top w:val="nil"/>
              <w:left w:val="single" w:sz="4" w:space="0" w:color="auto"/>
              <w:bottom w:val="single" w:sz="4" w:space="0" w:color="auto"/>
              <w:right w:val="nil"/>
            </w:tcBorders>
            <w:noWrap/>
            <w:vAlign w:val="bottom"/>
          </w:tcPr>
          <w:p w:rsidR="00337093">
            <w:pPr>
              <w:widowControl/>
              <w:jc w:val="right"/>
              <w:rPr>
                <w:rFonts w:ascii="宋体" w:hAnsi="宋体" w:cs="宋体"/>
                <w:kern w:val="0"/>
                <w:sz w:val="20"/>
              </w:rPr>
            </w:pPr>
            <w:r>
              <w:rPr>
                <w:rFonts w:ascii="宋体" w:hAnsi="宋体" w:cs="宋体" w:hint="eastAsia"/>
                <w:kern w:val="0"/>
                <w:sz w:val="20"/>
              </w:rPr>
              <w:t>24</w:t>
            </w:r>
          </w:p>
        </w:tc>
        <w:tc>
          <w:tcPr>
            <w:tcW w:w="2918" w:type="dxa"/>
            <w:tcBorders>
              <w:top w:val="nil"/>
              <w:left w:val="single" w:sz="4" w:space="0" w:color="auto"/>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西峡县丹水镇充电站</w:t>
            </w:r>
          </w:p>
        </w:tc>
        <w:tc>
          <w:tcPr>
            <w:tcW w:w="3689"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西峡县丹水桥与国道G312交叉口附近</w:t>
            </w:r>
          </w:p>
        </w:tc>
        <w:tc>
          <w:tcPr>
            <w:tcW w:w="1090"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c>
          <w:tcPr>
            <w:tcW w:w="70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r>
      <w:tr>
        <w:tblPrEx>
          <w:tblW w:w="0" w:type="auto"/>
          <w:tblInd w:w="0" w:type="dxa"/>
          <w:tblLayout w:type="fixed"/>
          <w:tblLook w:val="0000"/>
        </w:tblPrEx>
        <w:trPr>
          <w:trHeight w:val="240"/>
        </w:trPr>
        <w:tc>
          <w:tcPr>
            <w:tcW w:w="603" w:type="dxa"/>
            <w:tcBorders>
              <w:top w:val="nil"/>
              <w:left w:val="single" w:sz="4" w:space="0" w:color="auto"/>
              <w:bottom w:val="single" w:sz="4" w:space="0" w:color="auto"/>
              <w:right w:val="nil"/>
            </w:tcBorders>
            <w:noWrap/>
            <w:vAlign w:val="bottom"/>
          </w:tcPr>
          <w:p w:rsidR="00337093">
            <w:pPr>
              <w:widowControl/>
              <w:jc w:val="right"/>
              <w:rPr>
                <w:rFonts w:ascii="宋体" w:hAnsi="宋体" w:cs="宋体"/>
                <w:kern w:val="0"/>
                <w:sz w:val="20"/>
              </w:rPr>
            </w:pPr>
            <w:r>
              <w:rPr>
                <w:rFonts w:ascii="宋体" w:hAnsi="宋体" w:cs="宋体" w:hint="eastAsia"/>
                <w:kern w:val="0"/>
                <w:sz w:val="20"/>
              </w:rPr>
              <w:t>25</w:t>
            </w:r>
          </w:p>
        </w:tc>
        <w:tc>
          <w:tcPr>
            <w:tcW w:w="2918" w:type="dxa"/>
            <w:tcBorders>
              <w:top w:val="nil"/>
              <w:left w:val="single" w:sz="4" w:space="0" w:color="auto"/>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西峡县西坪镇充电站</w:t>
            </w:r>
          </w:p>
        </w:tc>
        <w:tc>
          <w:tcPr>
            <w:tcW w:w="3689"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西峡县G312与G209交叉口附近</w:t>
            </w:r>
          </w:p>
        </w:tc>
        <w:tc>
          <w:tcPr>
            <w:tcW w:w="1090"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c>
          <w:tcPr>
            <w:tcW w:w="70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r>
      <w:tr>
        <w:tblPrEx>
          <w:tblW w:w="0" w:type="auto"/>
          <w:tblInd w:w="0" w:type="dxa"/>
          <w:tblLayout w:type="fixed"/>
          <w:tblLook w:val="0000"/>
        </w:tblPrEx>
        <w:trPr>
          <w:trHeight w:val="240"/>
        </w:trPr>
        <w:tc>
          <w:tcPr>
            <w:tcW w:w="603" w:type="dxa"/>
            <w:tcBorders>
              <w:top w:val="nil"/>
              <w:left w:val="single" w:sz="4" w:space="0" w:color="auto"/>
              <w:bottom w:val="single" w:sz="4" w:space="0" w:color="auto"/>
              <w:right w:val="nil"/>
            </w:tcBorders>
            <w:noWrap/>
            <w:vAlign w:val="bottom"/>
          </w:tcPr>
          <w:p w:rsidR="00337093">
            <w:pPr>
              <w:widowControl/>
              <w:jc w:val="right"/>
              <w:rPr>
                <w:rFonts w:ascii="宋体" w:hAnsi="宋体" w:cs="宋体"/>
                <w:kern w:val="0"/>
                <w:sz w:val="20"/>
              </w:rPr>
            </w:pPr>
            <w:r>
              <w:rPr>
                <w:rFonts w:ascii="宋体" w:hAnsi="宋体" w:cs="宋体" w:hint="eastAsia"/>
                <w:kern w:val="0"/>
                <w:sz w:val="20"/>
              </w:rPr>
              <w:t>26</w:t>
            </w:r>
          </w:p>
        </w:tc>
        <w:tc>
          <w:tcPr>
            <w:tcW w:w="2918" w:type="dxa"/>
            <w:tcBorders>
              <w:top w:val="nil"/>
              <w:left w:val="single" w:sz="4" w:space="0" w:color="auto"/>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西峡县仲景大道充电站</w:t>
            </w:r>
          </w:p>
        </w:tc>
        <w:tc>
          <w:tcPr>
            <w:tcW w:w="3689"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西峡县仲景大道与国道G311交叉口附近</w:t>
            </w:r>
          </w:p>
        </w:tc>
        <w:tc>
          <w:tcPr>
            <w:tcW w:w="1090"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c>
          <w:tcPr>
            <w:tcW w:w="70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r>
      <w:tr>
        <w:tblPrEx>
          <w:tblW w:w="0" w:type="auto"/>
          <w:tblInd w:w="0" w:type="dxa"/>
          <w:tblLayout w:type="fixed"/>
          <w:tblLook w:val="0000"/>
        </w:tblPrEx>
        <w:trPr>
          <w:trHeight w:val="240"/>
        </w:trPr>
        <w:tc>
          <w:tcPr>
            <w:tcW w:w="603" w:type="dxa"/>
            <w:tcBorders>
              <w:top w:val="nil"/>
              <w:left w:val="single" w:sz="4" w:space="0" w:color="auto"/>
              <w:bottom w:val="single" w:sz="4" w:space="0" w:color="auto"/>
              <w:right w:val="nil"/>
            </w:tcBorders>
            <w:noWrap/>
            <w:vAlign w:val="bottom"/>
          </w:tcPr>
          <w:p w:rsidR="00337093">
            <w:pPr>
              <w:widowControl/>
              <w:jc w:val="right"/>
              <w:rPr>
                <w:rFonts w:ascii="宋体" w:hAnsi="宋体" w:cs="宋体"/>
                <w:kern w:val="0"/>
                <w:sz w:val="20"/>
              </w:rPr>
            </w:pPr>
            <w:r>
              <w:rPr>
                <w:rFonts w:ascii="宋体" w:hAnsi="宋体" w:cs="宋体" w:hint="eastAsia"/>
                <w:kern w:val="0"/>
                <w:sz w:val="20"/>
              </w:rPr>
              <w:t>27</w:t>
            </w:r>
          </w:p>
        </w:tc>
        <w:tc>
          <w:tcPr>
            <w:tcW w:w="2918" w:type="dxa"/>
            <w:tcBorders>
              <w:top w:val="nil"/>
              <w:left w:val="single" w:sz="4" w:space="0" w:color="auto"/>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西峡县双龙镇充电站</w:t>
            </w:r>
          </w:p>
        </w:tc>
        <w:tc>
          <w:tcPr>
            <w:tcW w:w="3689"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西峡县省道S331与国道G311交叉口附近</w:t>
            </w:r>
          </w:p>
        </w:tc>
        <w:tc>
          <w:tcPr>
            <w:tcW w:w="1090"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c>
          <w:tcPr>
            <w:tcW w:w="70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r>
      <w:tr>
        <w:tblPrEx>
          <w:tblW w:w="0" w:type="auto"/>
          <w:tblInd w:w="0" w:type="dxa"/>
          <w:tblLayout w:type="fixed"/>
          <w:tblLook w:val="0000"/>
        </w:tblPrEx>
        <w:trPr>
          <w:trHeight w:val="240"/>
        </w:trPr>
        <w:tc>
          <w:tcPr>
            <w:tcW w:w="603" w:type="dxa"/>
            <w:tcBorders>
              <w:top w:val="nil"/>
              <w:left w:val="single" w:sz="4" w:space="0" w:color="auto"/>
              <w:bottom w:val="single" w:sz="4" w:space="0" w:color="auto"/>
              <w:right w:val="nil"/>
            </w:tcBorders>
            <w:noWrap/>
            <w:vAlign w:val="bottom"/>
          </w:tcPr>
          <w:p w:rsidR="00337093">
            <w:pPr>
              <w:widowControl/>
              <w:jc w:val="right"/>
              <w:rPr>
                <w:rFonts w:ascii="宋体" w:hAnsi="宋体" w:cs="宋体"/>
                <w:kern w:val="0"/>
                <w:sz w:val="20"/>
              </w:rPr>
            </w:pPr>
            <w:r>
              <w:rPr>
                <w:rFonts w:ascii="宋体" w:hAnsi="宋体" w:cs="宋体" w:hint="eastAsia"/>
                <w:kern w:val="0"/>
                <w:sz w:val="20"/>
              </w:rPr>
              <w:t>28</w:t>
            </w:r>
          </w:p>
        </w:tc>
        <w:tc>
          <w:tcPr>
            <w:tcW w:w="2918" w:type="dxa"/>
            <w:tcBorders>
              <w:top w:val="nil"/>
              <w:left w:val="single" w:sz="4" w:space="0" w:color="auto"/>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西峡县灌河充电站</w:t>
            </w:r>
          </w:p>
        </w:tc>
        <w:tc>
          <w:tcPr>
            <w:tcW w:w="3689"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西峡县沪陕高速与国道G311交界处附近</w:t>
            </w:r>
          </w:p>
        </w:tc>
        <w:tc>
          <w:tcPr>
            <w:tcW w:w="1090"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c>
          <w:tcPr>
            <w:tcW w:w="70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r>
      <w:tr>
        <w:tblPrEx>
          <w:tblW w:w="0" w:type="auto"/>
          <w:tblInd w:w="0" w:type="dxa"/>
          <w:tblLayout w:type="fixed"/>
          <w:tblLook w:val="0000"/>
        </w:tblPrEx>
        <w:trPr>
          <w:trHeight w:val="240"/>
        </w:trPr>
        <w:tc>
          <w:tcPr>
            <w:tcW w:w="603" w:type="dxa"/>
            <w:tcBorders>
              <w:top w:val="nil"/>
              <w:left w:val="single" w:sz="4" w:space="0" w:color="auto"/>
              <w:bottom w:val="single" w:sz="4" w:space="0" w:color="auto"/>
              <w:right w:val="nil"/>
            </w:tcBorders>
            <w:noWrap/>
            <w:vAlign w:val="bottom"/>
          </w:tcPr>
          <w:p w:rsidR="00337093">
            <w:pPr>
              <w:widowControl/>
              <w:jc w:val="right"/>
              <w:rPr>
                <w:rFonts w:ascii="宋体" w:hAnsi="宋体" w:cs="宋体"/>
                <w:kern w:val="0"/>
                <w:sz w:val="20"/>
              </w:rPr>
            </w:pPr>
            <w:r>
              <w:rPr>
                <w:rFonts w:ascii="宋体" w:hAnsi="宋体" w:cs="宋体" w:hint="eastAsia"/>
                <w:kern w:val="0"/>
                <w:sz w:val="20"/>
              </w:rPr>
              <w:t>29</w:t>
            </w:r>
          </w:p>
        </w:tc>
        <w:tc>
          <w:tcPr>
            <w:tcW w:w="2918" w:type="dxa"/>
            <w:tcBorders>
              <w:top w:val="nil"/>
              <w:left w:val="single" w:sz="4" w:space="0" w:color="auto"/>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西峡县工业大道充电站</w:t>
            </w:r>
          </w:p>
        </w:tc>
        <w:tc>
          <w:tcPr>
            <w:tcW w:w="3689"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西峡县工业大道与仲景大道交叉口附近</w:t>
            </w:r>
          </w:p>
        </w:tc>
        <w:tc>
          <w:tcPr>
            <w:tcW w:w="1090"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c>
          <w:tcPr>
            <w:tcW w:w="70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r>
      <w:tr>
        <w:tblPrEx>
          <w:tblW w:w="0" w:type="auto"/>
          <w:tblInd w:w="0" w:type="dxa"/>
          <w:tblLayout w:type="fixed"/>
          <w:tblLook w:val="0000"/>
        </w:tblPrEx>
        <w:trPr>
          <w:trHeight w:val="240"/>
        </w:trPr>
        <w:tc>
          <w:tcPr>
            <w:tcW w:w="603" w:type="dxa"/>
            <w:tcBorders>
              <w:top w:val="nil"/>
              <w:left w:val="single" w:sz="4" w:space="0" w:color="auto"/>
              <w:bottom w:val="single" w:sz="4" w:space="0" w:color="auto"/>
              <w:right w:val="nil"/>
            </w:tcBorders>
            <w:noWrap/>
            <w:vAlign w:val="bottom"/>
          </w:tcPr>
          <w:p w:rsidR="00337093">
            <w:pPr>
              <w:widowControl/>
              <w:jc w:val="right"/>
              <w:rPr>
                <w:rFonts w:ascii="宋体" w:hAnsi="宋体" w:cs="宋体"/>
                <w:kern w:val="0"/>
                <w:sz w:val="20"/>
              </w:rPr>
            </w:pPr>
            <w:r>
              <w:rPr>
                <w:rFonts w:ascii="宋体" w:hAnsi="宋体" w:cs="宋体" w:hint="eastAsia"/>
                <w:kern w:val="0"/>
                <w:sz w:val="20"/>
              </w:rPr>
              <w:t>30</w:t>
            </w:r>
          </w:p>
        </w:tc>
        <w:tc>
          <w:tcPr>
            <w:tcW w:w="2918" w:type="dxa"/>
            <w:tcBorders>
              <w:top w:val="nil"/>
              <w:left w:val="single" w:sz="4" w:space="0" w:color="auto"/>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社旗县333省道充电站</w:t>
            </w:r>
          </w:p>
        </w:tc>
        <w:tc>
          <w:tcPr>
            <w:tcW w:w="3689"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社旗县S333省道与长江路交叉口附近</w:t>
            </w:r>
          </w:p>
        </w:tc>
        <w:tc>
          <w:tcPr>
            <w:tcW w:w="1090"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c>
          <w:tcPr>
            <w:tcW w:w="70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r>
      <w:tr>
        <w:tblPrEx>
          <w:tblW w:w="0" w:type="auto"/>
          <w:tblInd w:w="0" w:type="dxa"/>
          <w:tblLayout w:type="fixed"/>
          <w:tblLook w:val="0000"/>
        </w:tblPrEx>
        <w:trPr>
          <w:trHeight w:val="240"/>
        </w:trPr>
        <w:tc>
          <w:tcPr>
            <w:tcW w:w="603" w:type="dxa"/>
            <w:tcBorders>
              <w:top w:val="nil"/>
              <w:left w:val="single" w:sz="4" w:space="0" w:color="auto"/>
              <w:bottom w:val="single" w:sz="4" w:space="0" w:color="auto"/>
              <w:right w:val="nil"/>
            </w:tcBorders>
            <w:noWrap/>
            <w:vAlign w:val="bottom"/>
          </w:tcPr>
          <w:p w:rsidR="00337093">
            <w:pPr>
              <w:widowControl/>
              <w:jc w:val="right"/>
              <w:rPr>
                <w:rFonts w:ascii="宋体" w:hAnsi="宋体" w:cs="宋体"/>
                <w:kern w:val="0"/>
                <w:sz w:val="20"/>
              </w:rPr>
            </w:pPr>
            <w:r>
              <w:rPr>
                <w:rFonts w:ascii="宋体" w:hAnsi="宋体" w:cs="宋体" w:hint="eastAsia"/>
                <w:kern w:val="0"/>
                <w:sz w:val="20"/>
              </w:rPr>
              <w:t>31</w:t>
            </w:r>
          </w:p>
        </w:tc>
        <w:tc>
          <w:tcPr>
            <w:tcW w:w="2918" w:type="dxa"/>
            <w:tcBorders>
              <w:top w:val="nil"/>
              <w:left w:val="single" w:sz="4" w:space="0" w:color="auto"/>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社旗县唐庄充电站</w:t>
            </w:r>
          </w:p>
        </w:tc>
        <w:tc>
          <w:tcPr>
            <w:tcW w:w="3689"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社旗县唐庄王府大酒店附近</w:t>
            </w:r>
          </w:p>
        </w:tc>
        <w:tc>
          <w:tcPr>
            <w:tcW w:w="1090"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c>
          <w:tcPr>
            <w:tcW w:w="70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r>
      <w:tr>
        <w:tblPrEx>
          <w:tblW w:w="0" w:type="auto"/>
          <w:tblInd w:w="0" w:type="dxa"/>
          <w:tblLayout w:type="fixed"/>
          <w:tblLook w:val="0000"/>
        </w:tblPrEx>
        <w:trPr>
          <w:trHeight w:val="240"/>
        </w:trPr>
        <w:tc>
          <w:tcPr>
            <w:tcW w:w="603" w:type="dxa"/>
            <w:tcBorders>
              <w:top w:val="nil"/>
              <w:left w:val="single" w:sz="4" w:space="0" w:color="auto"/>
              <w:bottom w:val="single" w:sz="4" w:space="0" w:color="auto"/>
              <w:right w:val="nil"/>
            </w:tcBorders>
            <w:noWrap/>
            <w:vAlign w:val="bottom"/>
          </w:tcPr>
          <w:p w:rsidR="00337093">
            <w:pPr>
              <w:widowControl/>
              <w:jc w:val="right"/>
              <w:rPr>
                <w:rFonts w:ascii="宋体" w:hAnsi="宋体" w:cs="宋体"/>
                <w:kern w:val="0"/>
                <w:sz w:val="20"/>
              </w:rPr>
            </w:pPr>
            <w:r>
              <w:rPr>
                <w:rFonts w:ascii="宋体" w:hAnsi="宋体" w:cs="宋体" w:hint="eastAsia"/>
                <w:kern w:val="0"/>
                <w:sz w:val="20"/>
              </w:rPr>
              <w:t>32</w:t>
            </w:r>
          </w:p>
        </w:tc>
        <w:tc>
          <w:tcPr>
            <w:tcW w:w="2918" w:type="dxa"/>
            <w:tcBorders>
              <w:top w:val="nil"/>
              <w:left w:val="single" w:sz="4" w:space="0" w:color="auto"/>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社旗县长江路酒业大道充电站</w:t>
            </w:r>
          </w:p>
        </w:tc>
        <w:tc>
          <w:tcPr>
            <w:tcW w:w="3689"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社旗县长江路与酒业大道交叉口附近</w:t>
            </w:r>
          </w:p>
        </w:tc>
        <w:tc>
          <w:tcPr>
            <w:tcW w:w="1090"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c>
          <w:tcPr>
            <w:tcW w:w="70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r>
    </w:tbl>
    <w:p>
      <w:pPr>
        <w:sectPr>
          <w:headerReference w:type="default" r:id="rId117"/>
          <w:footerReference w:type="even" r:id="rId118"/>
          <w:footerReference w:type="default" r:id="rId119"/>
          <w:headerReference w:type="first" r:id="rId120"/>
          <w:type w:val="nextPage"/>
          <w:pgSz w:w="11906" w:h="16838"/>
          <w:pgMar w:top="1418" w:right="1418" w:bottom="1418" w:left="1701" w:header="964" w:footer="964" w:gutter="0"/>
          <w:pgNumType w:fmt="numberInDash" w:start="27"/>
          <w:cols w:space="720"/>
          <w:titlePg w:val="0"/>
          <w:docGrid w:type="linesAndChars" w:linePitch="291" w:charSpace="3135"/>
        </w:sectPr>
      </w:pPr>
    </w:p>
    <w:tbl>
      <w:tblPr>
        <w:tblStyle w:val="TableNormal"/>
        <w:tblW w:w="0" w:type="auto"/>
        <w:tblInd w:w="0" w:type="dxa"/>
        <w:tblLayout w:type="fixed"/>
        <w:tblLook w:val="0000"/>
      </w:tblPr>
      <w:tblGrid>
        <w:gridCol w:w="603"/>
        <w:gridCol w:w="2918"/>
        <w:gridCol w:w="3689"/>
        <w:gridCol w:w="1090"/>
        <w:gridCol w:w="703"/>
      </w:tblGrid>
      <w:tr>
        <w:tblPrEx>
          <w:tblW w:w="0" w:type="auto"/>
          <w:tblInd w:w="0" w:type="dxa"/>
          <w:tblLayout w:type="fixed"/>
          <w:tblLook w:val="0000"/>
        </w:tblPrEx>
        <w:trPr>
          <w:trHeight w:val="240"/>
        </w:trPr>
        <w:tc>
          <w:tcPr>
            <w:tcW w:w="603" w:type="dxa"/>
            <w:tcBorders>
              <w:top w:val="nil"/>
              <w:left w:val="single" w:sz="4" w:space="0" w:color="auto"/>
              <w:bottom w:val="single" w:sz="4" w:space="0" w:color="auto"/>
              <w:right w:val="nil"/>
            </w:tcBorders>
            <w:noWrap/>
            <w:vAlign w:val="bottom"/>
          </w:tcPr>
          <w:p w:rsidR="00337093">
            <w:pPr>
              <w:widowControl/>
              <w:jc w:val="right"/>
              <w:rPr>
                <w:rFonts w:ascii="宋体" w:hAnsi="宋体" w:cs="宋体"/>
                <w:kern w:val="0"/>
                <w:sz w:val="20"/>
              </w:rPr>
            </w:pPr>
            <w:r>
              <w:rPr>
                <w:rFonts w:ascii="宋体" w:hAnsi="宋体" w:cs="宋体" w:hint="eastAsia"/>
                <w:kern w:val="0"/>
                <w:sz w:val="20"/>
              </w:rPr>
              <w:t>33</w:t>
            </w:r>
          </w:p>
        </w:tc>
        <w:tc>
          <w:tcPr>
            <w:tcW w:w="2918" w:type="dxa"/>
            <w:tcBorders>
              <w:top w:val="nil"/>
              <w:left w:val="single" w:sz="4" w:space="0" w:color="auto"/>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邓州市穰东镇充电站</w:t>
            </w:r>
          </w:p>
        </w:tc>
        <w:tc>
          <w:tcPr>
            <w:tcW w:w="3689"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邓州市穰东镇太子家具广场附近</w:t>
            </w:r>
          </w:p>
        </w:tc>
        <w:tc>
          <w:tcPr>
            <w:tcW w:w="1090"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c>
          <w:tcPr>
            <w:tcW w:w="70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r>
      <w:tr>
        <w:tblPrEx>
          <w:tblW w:w="0" w:type="auto"/>
          <w:tblInd w:w="0" w:type="dxa"/>
          <w:tblLayout w:type="fixed"/>
          <w:tblLook w:val="0000"/>
        </w:tblPrEx>
        <w:trPr>
          <w:trHeight w:val="240"/>
        </w:trPr>
        <w:tc>
          <w:tcPr>
            <w:tcW w:w="603" w:type="dxa"/>
            <w:tcBorders>
              <w:top w:val="nil"/>
              <w:left w:val="single" w:sz="4" w:space="0" w:color="auto"/>
              <w:bottom w:val="single" w:sz="4" w:space="0" w:color="auto"/>
              <w:right w:val="nil"/>
            </w:tcBorders>
            <w:noWrap/>
            <w:vAlign w:val="bottom"/>
          </w:tcPr>
          <w:p w:rsidR="00337093">
            <w:pPr>
              <w:widowControl/>
              <w:jc w:val="right"/>
              <w:rPr>
                <w:rFonts w:ascii="宋体" w:hAnsi="宋体" w:cs="宋体"/>
                <w:kern w:val="0"/>
                <w:sz w:val="20"/>
              </w:rPr>
            </w:pPr>
            <w:r>
              <w:rPr>
                <w:rFonts w:ascii="宋体" w:hAnsi="宋体" w:cs="宋体" w:hint="eastAsia"/>
                <w:kern w:val="0"/>
                <w:sz w:val="20"/>
              </w:rPr>
              <w:t>34</w:t>
            </w:r>
          </w:p>
        </w:tc>
        <w:tc>
          <w:tcPr>
            <w:tcW w:w="2918" w:type="dxa"/>
            <w:tcBorders>
              <w:top w:val="nil"/>
              <w:left w:val="single" w:sz="4" w:space="0" w:color="auto"/>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邓州市龙堰乡充电站</w:t>
            </w:r>
          </w:p>
        </w:tc>
        <w:tc>
          <w:tcPr>
            <w:tcW w:w="3689"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邓州市龙堰乡客运站附近</w:t>
            </w:r>
          </w:p>
        </w:tc>
        <w:tc>
          <w:tcPr>
            <w:tcW w:w="1090"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c>
          <w:tcPr>
            <w:tcW w:w="70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r>
      <w:tr>
        <w:tblPrEx>
          <w:tblW w:w="0" w:type="auto"/>
          <w:tblInd w:w="0" w:type="dxa"/>
          <w:tblLayout w:type="fixed"/>
          <w:tblLook w:val="0000"/>
        </w:tblPrEx>
        <w:trPr>
          <w:trHeight w:val="240"/>
        </w:trPr>
        <w:tc>
          <w:tcPr>
            <w:tcW w:w="603" w:type="dxa"/>
            <w:tcBorders>
              <w:top w:val="nil"/>
              <w:left w:val="single" w:sz="4" w:space="0" w:color="auto"/>
              <w:bottom w:val="single" w:sz="4" w:space="0" w:color="auto"/>
              <w:right w:val="nil"/>
            </w:tcBorders>
            <w:noWrap/>
            <w:vAlign w:val="bottom"/>
          </w:tcPr>
          <w:p w:rsidR="00337093">
            <w:pPr>
              <w:widowControl/>
              <w:jc w:val="right"/>
              <w:rPr>
                <w:rFonts w:ascii="宋体" w:hAnsi="宋体" w:cs="宋体"/>
                <w:kern w:val="0"/>
                <w:sz w:val="20"/>
              </w:rPr>
            </w:pPr>
            <w:r>
              <w:rPr>
                <w:rFonts w:ascii="宋体" w:hAnsi="宋体" w:cs="宋体" w:hint="eastAsia"/>
                <w:kern w:val="0"/>
                <w:sz w:val="20"/>
              </w:rPr>
              <w:t>35</w:t>
            </w:r>
          </w:p>
        </w:tc>
        <w:tc>
          <w:tcPr>
            <w:tcW w:w="2918" w:type="dxa"/>
            <w:tcBorders>
              <w:top w:val="nil"/>
              <w:left w:val="single" w:sz="4" w:space="0" w:color="auto"/>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邓州市渠首大道充电站</w:t>
            </w:r>
          </w:p>
        </w:tc>
        <w:tc>
          <w:tcPr>
            <w:tcW w:w="3689"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邓州市渠首大道与丁庄交界附近</w:t>
            </w:r>
          </w:p>
        </w:tc>
        <w:tc>
          <w:tcPr>
            <w:tcW w:w="1090"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c>
          <w:tcPr>
            <w:tcW w:w="70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r>
      <w:tr>
        <w:tblPrEx>
          <w:tblW w:w="0" w:type="auto"/>
          <w:tblInd w:w="0" w:type="dxa"/>
          <w:tblLayout w:type="fixed"/>
          <w:tblLook w:val="0000"/>
        </w:tblPrEx>
        <w:trPr>
          <w:trHeight w:val="240"/>
        </w:trPr>
        <w:tc>
          <w:tcPr>
            <w:tcW w:w="603" w:type="dxa"/>
            <w:tcBorders>
              <w:top w:val="nil"/>
              <w:left w:val="single" w:sz="4" w:space="0" w:color="auto"/>
              <w:bottom w:val="single" w:sz="4" w:space="0" w:color="auto"/>
              <w:right w:val="nil"/>
            </w:tcBorders>
            <w:noWrap/>
            <w:vAlign w:val="bottom"/>
          </w:tcPr>
          <w:p w:rsidR="00337093">
            <w:pPr>
              <w:widowControl/>
              <w:jc w:val="right"/>
              <w:rPr>
                <w:rFonts w:ascii="宋体" w:hAnsi="宋体" w:cs="宋体"/>
                <w:kern w:val="0"/>
                <w:sz w:val="20"/>
              </w:rPr>
            </w:pPr>
            <w:r>
              <w:rPr>
                <w:rFonts w:ascii="宋体" w:hAnsi="宋体" w:cs="宋体" w:hint="eastAsia"/>
                <w:kern w:val="0"/>
                <w:sz w:val="20"/>
              </w:rPr>
              <w:t>36</w:t>
            </w:r>
          </w:p>
        </w:tc>
        <w:tc>
          <w:tcPr>
            <w:tcW w:w="2918" w:type="dxa"/>
            <w:tcBorders>
              <w:top w:val="nil"/>
              <w:left w:val="single" w:sz="4" w:space="0" w:color="auto"/>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邓州市张村充电站</w:t>
            </w:r>
          </w:p>
        </w:tc>
        <w:tc>
          <w:tcPr>
            <w:tcW w:w="3689"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邓州市张村客运站附近</w:t>
            </w:r>
          </w:p>
        </w:tc>
        <w:tc>
          <w:tcPr>
            <w:tcW w:w="1090"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c>
          <w:tcPr>
            <w:tcW w:w="70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r>
      <w:tr>
        <w:tblPrEx>
          <w:tblW w:w="0" w:type="auto"/>
          <w:tblInd w:w="0" w:type="dxa"/>
          <w:tblLayout w:type="fixed"/>
          <w:tblLook w:val="0000"/>
        </w:tblPrEx>
        <w:trPr>
          <w:trHeight w:val="240"/>
        </w:trPr>
        <w:tc>
          <w:tcPr>
            <w:tcW w:w="603" w:type="dxa"/>
            <w:tcBorders>
              <w:top w:val="nil"/>
              <w:left w:val="single" w:sz="4" w:space="0" w:color="auto"/>
              <w:bottom w:val="single" w:sz="4" w:space="0" w:color="auto"/>
              <w:right w:val="nil"/>
            </w:tcBorders>
            <w:noWrap/>
            <w:vAlign w:val="bottom"/>
          </w:tcPr>
          <w:p w:rsidR="00337093">
            <w:pPr>
              <w:widowControl/>
              <w:jc w:val="right"/>
              <w:rPr>
                <w:rFonts w:ascii="宋体" w:hAnsi="宋体" w:cs="宋体"/>
                <w:kern w:val="0"/>
                <w:sz w:val="20"/>
              </w:rPr>
            </w:pPr>
            <w:r>
              <w:rPr>
                <w:rFonts w:ascii="宋体" w:hAnsi="宋体" w:cs="宋体" w:hint="eastAsia"/>
                <w:kern w:val="0"/>
                <w:sz w:val="20"/>
              </w:rPr>
              <w:t>37</w:t>
            </w:r>
          </w:p>
        </w:tc>
        <w:tc>
          <w:tcPr>
            <w:tcW w:w="2918" w:type="dxa"/>
            <w:tcBorders>
              <w:top w:val="nil"/>
              <w:left w:val="single" w:sz="4" w:space="0" w:color="auto"/>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邓州市人民路北京大道充电站</w:t>
            </w:r>
          </w:p>
        </w:tc>
        <w:tc>
          <w:tcPr>
            <w:tcW w:w="3689"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邓州市人民路与北京大道交叉口附近</w:t>
            </w:r>
          </w:p>
        </w:tc>
        <w:tc>
          <w:tcPr>
            <w:tcW w:w="1090"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c>
          <w:tcPr>
            <w:tcW w:w="70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r>
      <w:tr>
        <w:tblPrEx>
          <w:tblW w:w="0" w:type="auto"/>
          <w:tblInd w:w="0" w:type="dxa"/>
          <w:tblLayout w:type="fixed"/>
          <w:tblLook w:val="0000"/>
        </w:tblPrEx>
        <w:trPr>
          <w:trHeight w:val="240"/>
        </w:trPr>
        <w:tc>
          <w:tcPr>
            <w:tcW w:w="603" w:type="dxa"/>
            <w:tcBorders>
              <w:top w:val="nil"/>
              <w:left w:val="single" w:sz="4" w:space="0" w:color="auto"/>
              <w:bottom w:val="single" w:sz="4" w:space="0" w:color="auto"/>
              <w:right w:val="nil"/>
            </w:tcBorders>
            <w:noWrap/>
            <w:vAlign w:val="bottom"/>
          </w:tcPr>
          <w:p w:rsidR="00337093">
            <w:pPr>
              <w:widowControl/>
              <w:jc w:val="right"/>
              <w:rPr>
                <w:rFonts w:ascii="宋体" w:hAnsi="宋体" w:cs="宋体"/>
                <w:kern w:val="0"/>
                <w:sz w:val="20"/>
              </w:rPr>
            </w:pPr>
            <w:r>
              <w:rPr>
                <w:rFonts w:ascii="宋体" w:hAnsi="宋体" w:cs="宋体" w:hint="eastAsia"/>
                <w:kern w:val="0"/>
                <w:sz w:val="20"/>
              </w:rPr>
              <w:t>38</w:t>
            </w:r>
          </w:p>
        </w:tc>
        <w:tc>
          <w:tcPr>
            <w:tcW w:w="2918" w:type="dxa"/>
            <w:tcBorders>
              <w:top w:val="nil"/>
              <w:left w:val="single" w:sz="4" w:space="0" w:color="auto"/>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方城县刘寺充电站</w:t>
            </w:r>
          </w:p>
        </w:tc>
        <w:tc>
          <w:tcPr>
            <w:tcW w:w="3689"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方城县刘寺村附近</w:t>
            </w:r>
          </w:p>
        </w:tc>
        <w:tc>
          <w:tcPr>
            <w:tcW w:w="1090"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c>
          <w:tcPr>
            <w:tcW w:w="70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r>
      <w:tr>
        <w:tblPrEx>
          <w:tblW w:w="0" w:type="auto"/>
          <w:tblInd w:w="0" w:type="dxa"/>
          <w:tblLayout w:type="fixed"/>
          <w:tblLook w:val="0000"/>
        </w:tblPrEx>
        <w:trPr>
          <w:trHeight w:val="240"/>
        </w:trPr>
        <w:tc>
          <w:tcPr>
            <w:tcW w:w="603" w:type="dxa"/>
            <w:tcBorders>
              <w:top w:val="nil"/>
              <w:left w:val="single" w:sz="4" w:space="0" w:color="auto"/>
              <w:bottom w:val="single" w:sz="4" w:space="0" w:color="auto"/>
              <w:right w:val="nil"/>
            </w:tcBorders>
            <w:noWrap/>
            <w:vAlign w:val="bottom"/>
          </w:tcPr>
          <w:p w:rsidR="00337093">
            <w:pPr>
              <w:widowControl/>
              <w:jc w:val="right"/>
              <w:rPr>
                <w:rFonts w:ascii="宋体" w:hAnsi="宋体" w:cs="宋体"/>
                <w:kern w:val="0"/>
                <w:sz w:val="20"/>
              </w:rPr>
            </w:pPr>
            <w:r>
              <w:rPr>
                <w:rFonts w:ascii="宋体" w:hAnsi="宋体" w:cs="宋体" w:hint="eastAsia"/>
                <w:kern w:val="0"/>
                <w:sz w:val="20"/>
              </w:rPr>
              <w:t>39</w:t>
            </w:r>
          </w:p>
        </w:tc>
        <w:tc>
          <w:tcPr>
            <w:tcW w:w="2918" w:type="dxa"/>
            <w:tcBorders>
              <w:top w:val="nil"/>
              <w:left w:val="single" w:sz="4" w:space="0" w:color="auto"/>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方城县张骞广场充电站</w:t>
            </w:r>
          </w:p>
        </w:tc>
        <w:tc>
          <w:tcPr>
            <w:tcW w:w="3689"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方城县省道S240与S103交叉口附近</w:t>
            </w:r>
          </w:p>
        </w:tc>
        <w:tc>
          <w:tcPr>
            <w:tcW w:w="1090"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c>
          <w:tcPr>
            <w:tcW w:w="70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r>
      <w:tr>
        <w:tblPrEx>
          <w:tblW w:w="0" w:type="auto"/>
          <w:tblInd w:w="0" w:type="dxa"/>
          <w:tblLayout w:type="fixed"/>
          <w:tblLook w:val="0000"/>
        </w:tblPrEx>
        <w:trPr>
          <w:trHeight w:val="240"/>
        </w:trPr>
        <w:tc>
          <w:tcPr>
            <w:tcW w:w="603" w:type="dxa"/>
            <w:tcBorders>
              <w:top w:val="nil"/>
              <w:left w:val="single" w:sz="4" w:space="0" w:color="auto"/>
              <w:bottom w:val="single" w:sz="4" w:space="0" w:color="auto"/>
              <w:right w:val="nil"/>
            </w:tcBorders>
            <w:noWrap/>
            <w:vAlign w:val="bottom"/>
          </w:tcPr>
          <w:p w:rsidR="00337093">
            <w:pPr>
              <w:widowControl/>
              <w:jc w:val="right"/>
              <w:rPr>
                <w:rFonts w:ascii="宋体" w:hAnsi="宋体" w:cs="宋体"/>
                <w:kern w:val="0"/>
                <w:sz w:val="20"/>
              </w:rPr>
            </w:pPr>
            <w:r>
              <w:rPr>
                <w:rFonts w:ascii="宋体" w:hAnsi="宋体" w:cs="宋体" w:hint="eastAsia"/>
                <w:kern w:val="0"/>
                <w:sz w:val="20"/>
              </w:rPr>
              <w:t>40</w:t>
            </w:r>
          </w:p>
        </w:tc>
        <w:tc>
          <w:tcPr>
            <w:tcW w:w="2918" w:type="dxa"/>
            <w:tcBorders>
              <w:top w:val="nil"/>
              <w:left w:val="single" w:sz="4" w:space="0" w:color="auto"/>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方城县三里河充电站</w:t>
            </w:r>
          </w:p>
        </w:tc>
        <w:tc>
          <w:tcPr>
            <w:tcW w:w="3689"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方城县省道S239与S331交叉口附近</w:t>
            </w:r>
          </w:p>
        </w:tc>
        <w:tc>
          <w:tcPr>
            <w:tcW w:w="1090"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c>
          <w:tcPr>
            <w:tcW w:w="70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r>
      <w:tr>
        <w:tblPrEx>
          <w:tblW w:w="0" w:type="auto"/>
          <w:tblInd w:w="0" w:type="dxa"/>
          <w:tblLayout w:type="fixed"/>
          <w:tblLook w:val="0000"/>
        </w:tblPrEx>
        <w:trPr>
          <w:trHeight w:val="240"/>
        </w:trPr>
        <w:tc>
          <w:tcPr>
            <w:tcW w:w="603" w:type="dxa"/>
            <w:tcBorders>
              <w:top w:val="nil"/>
              <w:left w:val="single" w:sz="4" w:space="0" w:color="auto"/>
              <w:bottom w:val="single" w:sz="4" w:space="0" w:color="auto"/>
              <w:right w:val="nil"/>
            </w:tcBorders>
            <w:noWrap/>
            <w:vAlign w:val="bottom"/>
          </w:tcPr>
          <w:p w:rsidR="00337093">
            <w:pPr>
              <w:widowControl/>
              <w:jc w:val="right"/>
              <w:rPr>
                <w:rFonts w:ascii="宋体" w:hAnsi="宋体" w:cs="宋体"/>
                <w:kern w:val="0"/>
                <w:sz w:val="20"/>
              </w:rPr>
            </w:pPr>
            <w:r>
              <w:rPr>
                <w:rFonts w:ascii="宋体" w:hAnsi="宋体" w:cs="宋体" w:hint="eastAsia"/>
                <w:kern w:val="0"/>
                <w:sz w:val="20"/>
              </w:rPr>
              <w:t>41</w:t>
            </w:r>
          </w:p>
        </w:tc>
        <w:tc>
          <w:tcPr>
            <w:tcW w:w="2918" w:type="dxa"/>
            <w:tcBorders>
              <w:top w:val="nil"/>
              <w:left w:val="single" w:sz="4" w:space="0" w:color="auto"/>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方城县张骞大道七峰大道充电站</w:t>
            </w:r>
          </w:p>
        </w:tc>
        <w:tc>
          <w:tcPr>
            <w:tcW w:w="3689" w:type="dxa"/>
            <w:tcBorders>
              <w:top w:val="nil"/>
              <w:left w:val="nil"/>
              <w:bottom w:val="single" w:sz="4" w:space="0" w:color="auto"/>
              <w:right w:val="single" w:sz="4" w:space="0" w:color="auto"/>
            </w:tcBorders>
            <w:noWrap/>
            <w:vAlign w:val="bottom"/>
          </w:tcPr>
          <w:p w:rsidR="00337093">
            <w:pPr>
              <w:widowControl/>
              <w:jc w:val="left"/>
              <w:rPr>
                <w:rFonts w:ascii="宋体" w:hAnsi="宋体" w:cs="宋体"/>
                <w:kern w:val="0"/>
                <w:sz w:val="20"/>
              </w:rPr>
            </w:pPr>
            <w:r>
              <w:rPr>
                <w:rFonts w:ascii="宋体" w:hAnsi="宋体" w:cs="宋体" w:hint="eastAsia"/>
                <w:kern w:val="0"/>
                <w:sz w:val="20"/>
              </w:rPr>
              <w:t>方城县张骞大道与七峰大道交叉口附近</w:t>
            </w:r>
          </w:p>
        </w:tc>
        <w:tc>
          <w:tcPr>
            <w:tcW w:w="1090"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c>
          <w:tcPr>
            <w:tcW w:w="70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r>
      <w:tr>
        <w:tblPrEx>
          <w:tblW w:w="0" w:type="auto"/>
          <w:tblInd w:w="0" w:type="dxa"/>
          <w:tblLayout w:type="fixed"/>
          <w:tblLook w:val="0000"/>
        </w:tblPrEx>
        <w:trPr>
          <w:trHeight w:val="240"/>
        </w:trPr>
        <w:tc>
          <w:tcPr>
            <w:tcW w:w="3521" w:type="dxa"/>
            <w:gridSpan w:val="2"/>
            <w:tcBorders>
              <w:top w:val="single" w:sz="4" w:space="0" w:color="auto"/>
              <w:left w:val="single" w:sz="4" w:space="0" w:color="auto"/>
              <w:bottom w:val="single" w:sz="4" w:space="0" w:color="auto"/>
              <w:right w:val="single" w:sz="4" w:space="0" w:color="auto"/>
            </w:tcBorders>
            <w:noWrap/>
            <w:vAlign w:val="bottom"/>
          </w:tcPr>
          <w:p w:rsidR="00337093">
            <w:pPr>
              <w:widowControl/>
              <w:jc w:val="center"/>
              <w:rPr>
                <w:rFonts w:ascii="宋体" w:hAnsi="宋体" w:cs="宋体"/>
                <w:kern w:val="0"/>
                <w:sz w:val="20"/>
              </w:rPr>
            </w:pPr>
            <w:r>
              <w:rPr>
                <w:rFonts w:ascii="宋体" w:hAnsi="宋体" w:cs="宋体" w:hint="eastAsia"/>
                <w:kern w:val="0"/>
                <w:sz w:val="20"/>
              </w:rPr>
              <w:t>合计</w:t>
            </w:r>
          </w:p>
        </w:tc>
        <w:tc>
          <w:tcPr>
            <w:tcW w:w="3689" w:type="dxa"/>
            <w:tcBorders>
              <w:top w:val="nil"/>
              <w:left w:val="nil"/>
              <w:bottom w:val="single" w:sz="4" w:space="0" w:color="auto"/>
              <w:right w:val="single" w:sz="4" w:space="0" w:color="auto"/>
            </w:tcBorders>
            <w:noWrap/>
            <w:vAlign w:val="bottom"/>
          </w:tcPr>
          <w:p w:rsidR="00337093">
            <w:pPr>
              <w:widowControl/>
              <w:jc w:val="center"/>
              <w:rPr>
                <w:rFonts w:ascii="宋体" w:hAnsi="宋体" w:cs="宋体"/>
                <w:kern w:val="0"/>
                <w:sz w:val="20"/>
              </w:rPr>
            </w:pPr>
            <w:r>
              <w:rPr>
                <w:rFonts w:ascii="宋体" w:hAnsi="宋体" w:cs="宋体" w:hint="eastAsia"/>
                <w:kern w:val="0"/>
                <w:sz w:val="20"/>
              </w:rPr>
              <w:t>　</w:t>
            </w:r>
          </w:p>
        </w:tc>
        <w:tc>
          <w:tcPr>
            <w:tcW w:w="1090"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164</w:t>
            </w:r>
          </w:p>
        </w:tc>
        <w:tc>
          <w:tcPr>
            <w:tcW w:w="70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246</w:t>
            </w:r>
          </w:p>
        </w:tc>
      </w:tr>
    </w:tbl>
    <w:p w:rsidR="00337093" w:rsidP="00337093">
      <w:pPr>
        <w:ind w:firstLine="560" w:firstLineChars="200"/>
        <w:rPr>
          <w:rFonts w:hAnsi="宋体" w:hint="eastAsia"/>
          <w:bCs/>
          <w:sz w:val="28"/>
          <w:szCs w:val="28"/>
        </w:rPr>
      </w:pPr>
    </w:p>
    <w:p w:rsidR="00337093">
      <w:pPr>
        <w:pStyle w:val="Heading3"/>
        <w:spacing w:before="0" w:after="0" w:line="240" w:lineRule="auto"/>
        <w:rPr>
          <w:rFonts w:eastAsia="宋体"/>
          <w:b/>
          <w:sz w:val="32"/>
        </w:rPr>
      </w:pPr>
      <w:smartTag w:uri="urn:schemas-microsoft-com:office:smarttags" w:element="chsdate">
        <w:smartTagPr>
          <w:attr w:name="Day" w:val="30"/>
          <w:attr w:name="IsLunarDate" w:val="False"/>
          <w:attr w:name="IsROCDate" w:val="False"/>
          <w:attr w:name="Month" w:val="12"/>
          <w:attr w:name="Year" w:val="1899"/>
        </w:smartTagPr>
        <w:r>
          <w:rPr>
            <w:rFonts w:eastAsia="宋体" w:hint="eastAsia"/>
            <w:b/>
            <w:sz w:val="32"/>
          </w:rPr>
          <w:t>5.3.4</w:t>
        </w:r>
      </w:smartTag>
      <w:r>
        <w:rPr>
          <w:rFonts w:eastAsia="宋体" w:hint="eastAsia"/>
          <w:b/>
          <w:sz w:val="32"/>
        </w:rPr>
        <w:t>酒店充电桩</w:t>
      </w:r>
    </w:p>
    <w:p w:rsidR="00337093" w:rsidP="00337093">
      <w:pPr>
        <w:ind w:firstLine="560" w:firstLineChars="200"/>
        <w:rPr>
          <w:rFonts w:hAnsi="宋体" w:hint="eastAsia"/>
          <w:bCs/>
          <w:sz w:val="28"/>
          <w:szCs w:val="28"/>
        </w:rPr>
      </w:pPr>
      <w:r>
        <w:rPr>
          <w:rFonts w:hAnsi="宋体" w:hint="eastAsia"/>
          <w:bCs/>
          <w:sz w:val="28"/>
          <w:szCs w:val="28"/>
        </w:rPr>
        <w:t>在市区33家主要的大型酒店、饭店，安装直流桩142台、交流桩1014台。</w:t>
      </w:r>
    </w:p>
    <w:tbl>
      <w:tblPr>
        <w:tblStyle w:val="TableNormal"/>
        <w:tblW w:w="0" w:type="auto"/>
        <w:tblInd w:w="103" w:type="dxa"/>
        <w:tblLayout w:type="fixed"/>
        <w:tblLook w:val="0000"/>
      </w:tblPr>
      <w:tblGrid>
        <w:gridCol w:w="474"/>
        <w:gridCol w:w="2596"/>
        <w:gridCol w:w="3046"/>
        <w:gridCol w:w="1057"/>
        <w:gridCol w:w="799"/>
        <w:gridCol w:w="928"/>
      </w:tblGrid>
      <w:tr>
        <w:tblPrEx>
          <w:tblW w:w="0" w:type="auto"/>
          <w:tblInd w:w="103" w:type="dxa"/>
          <w:tblLayout w:type="fixed"/>
          <w:tblLook w:val="0000"/>
        </w:tblPrEx>
        <w:trPr>
          <w:trHeight w:val="289"/>
        </w:trPr>
        <w:tc>
          <w:tcPr>
            <w:tcW w:w="474" w:type="dxa"/>
            <w:vMerge w:val="restart"/>
            <w:tcBorders>
              <w:top w:val="single" w:sz="4" w:space="0" w:color="auto"/>
              <w:left w:val="single" w:sz="4" w:space="0" w:color="auto"/>
              <w:bottom w:val="single" w:sz="4" w:space="0" w:color="auto"/>
              <w:right w:val="single" w:sz="4" w:space="0" w:color="auto"/>
            </w:tcBorders>
            <w:shd w:val="clear" w:color="auto" w:fill="339966"/>
            <w:noWrap/>
            <w:vAlign w:val="center"/>
          </w:tcPr>
          <w:p w:rsidR="00337093">
            <w:pPr>
              <w:widowControl/>
              <w:jc w:val="center"/>
              <w:rPr>
                <w:rFonts w:ascii="宋体" w:hAnsi="宋体" w:cs="宋体"/>
                <w:b/>
                <w:bCs/>
                <w:kern w:val="0"/>
                <w:sz w:val="20"/>
              </w:rPr>
            </w:pPr>
            <w:r>
              <w:rPr>
                <w:rFonts w:ascii="宋体" w:hAnsi="宋体" w:cs="宋体" w:hint="eastAsia"/>
                <w:b/>
                <w:bCs/>
                <w:kern w:val="0"/>
                <w:sz w:val="20"/>
              </w:rPr>
              <w:t>序号</w:t>
            </w:r>
          </w:p>
        </w:tc>
        <w:tc>
          <w:tcPr>
            <w:tcW w:w="2596" w:type="dxa"/>
            <w:vMerge w:val="restart"/>
            <w:tcBorders>
              <w:top w:val="single" w:sz="4" w:space="0" w:color="auto"/>
              <w:left w:val="single" w:sz="4" w:space="0" w:color="auto"/>
              <w:bottom w:val="single" w:sz="4" w:space="0" w:color="auto"/>
              <w:right w:val="single" w:sz="4" w:space="0" w:color="auto"/>
            </w:tcBorders>
            <w:shd w:val="clear" w:color="auto" w:fill="339966"/>
            <w:noWrap/>
            <w:vAlign w:val="center"/>
          </w:tcPr>
          <w:p w:rsidR="00337093">
            <w:pPr>
              <w:widowControl/>
              <w:jc w:val="center"/>
              <w:rPr>
                <w:rFonts w:ascii="宋体" w:hAnsi="宋体" w:cs="宋体"/>
                <w:b/>
                <w:bCs/>
                <w:kern w:val="0"/>
                <w:sz w:val="20"/>
              </w:rPr>
            </w:pPr>
            <w:r>
              <w:rPr>
                <w:rFonts w:ascii="宋体" w:hAnsi="宋体" w:cs="宋体" w:hint="eastAsia"/>
                <w:b/>
                <w:bCs/>
                <w:kern w:val="0"/>
                <w:sz w:val="20"/>
              </w:rPr>
              <w:t>充电站名称</w:t>
            </w:r>
          </w:p>
        </w:tc>
        <w:tc>
          <w:tcPr>
            <w:tcW w:w="3046" w:type="dxa"/>
            <w:vMerge w:val="restart"/>
            <w:tcBorders>
              <w:top w:val="single" w:sz="4" w:space="0" w:color="auto"/>
              <w:left w:val="single" w:sz="4" w:space="0" w:color="auto"/>
              <w:bottom w:val="single" w:sz="4" w:space="0" w:color="000000"/>
              <w:right w:val="single" w:sz="4" w:space="0" w:color="auto"/>
            </w:tcBorders>
            <w:shd w:val="clear" w:color="auto" w:fill="339966"/>
            <w:noWrap/>
            <w:vAlign w:val="center"/>
          </w:tcPr>
          <w:p w:rsidR="00337093">
            <w:pPr>
              <w:widowControl/>
              <w:jc w:val="center"/>
              <w:rPr>
                <w:rFonts w:ascii="宋体" w:hAnsi="宋体" w:cs="宋体"/>
                <w:b/>
                <w:bCs/>
                <w:kern w:val="0"/>
                <w:sz w:val="20"/>
              </w:rPr>
            </w:pPr>
            <w:r>
              <w:rPr>
                <w:rFonts w:ascii="宋体" w:hAnsi="宋体" w:cs="宋体" w:hint="eastAsia"/>
                <w:b/>
                <w:bCs/>
                <w:kern w:val="0"/>
                <w:sz w:val="20"/>
              </w:rPr>
              <w:t>充电站位置</w:t>
            </w:r>
          </w:p>
        </w:tc>
        <w:tc>
          <w:tcPr>
            <w:tcW w:w="2784" w:type="dxa"/>
            <w:gridSpan w:val="3"/>
            <w:tcBorders>
              <w:top w:val="single" w:sz="4" w:space="0" w:color="auto"/>
              <w:left w:val="nil"/>
              <w:bottom w:val="single" w:sz="4" w:space="0" w:color="auto"/>
              <w:right w:val="single" w:sz="4" w:space="0" w:color="000000"/>
            </w:tcBorders>
            <w:shd w:val="clear" w:color="auto" w:fill="339966"/>
            <w:noWrap/>
            <w:vAlign w:val="center"/>
          </w:tcPr>
          <w:p w:rsidR="00337093">
            <w:pPr>
              <w:widowControl/>
              <w:jc w:val="center"/>
              <w:rPr>
                <w:rFonts w:ascii="宋体" w:hAnsi="宋体" w:cs="宋体"/>
                <w:b/>
                <w:bCs/>
                <w:kern w:val="0"/>
                <w:sz w:val="20"/>
              </w:rPr>
            </w:pPr>
            <w:r>
              <w:rPr>
                <w:rFonts w:ascii="宋体" w:hAnsi="宋体" w:cs="宋体" w:hint="eastAsia"/>
                <w:b/>
                <w:bCs/>
                <w:kern w:val="0"/>
                <w:sz w:val="20"/>
              </w:rPr>
              <w:t>充电桩规模</w:t>
            </w:r>
          </w:p>
        </w:tc>
      </w:tr>
      <w:tr>
        <w:tblPrEx>
          <w:tblW w:w="0" w:type="auto"/>
          <w:tblInd w:w="103" w:type="dxa"/>
          <w:tblLayout w:type="fixed"/>
          <w:tblLook w:val="0000"/>
        </w:tblPrEx>
        <w:trPr>
          <w:trHeight w:val="240"/>
        </w:trPr>
        <w:tc>
          <w:tcPr>
            <w:tcW w:w="474" w:type="dxa"/>
            <w:vMerge/>
            <w:tcBorders>
              <w:top w:val="single" w:sz="4" w:space="0" w:color="auto"/>
              <w:left w:val="single" w:sz="4" w:space="0" w:color="auto"/>
              <w:bottom w:val="single" w:sz="4" w:space="0" w:color="auto"/>
              <w:right w:val="single" w:sz="4" w:space="0" w:color="auto"/>
            </w:tcBorders>
            <w:shd w:val="clear" w:color="auto" w:fill="auto"/>
            <w:vAlign w:val="center"/>
          </w:tcPr>
          <w:p w:rsidR="00337093">
            <w:pPr>
              <w:widowControl/>
              <w:jc w:val="center"/>
              <w:rPr>
                <w:rFonts w:ascii="宋体" w:hAnsi="宋体" w:cs="宋体"/>
                <w:b/>
                <w:bCs/>
                <w:kern w:val="0"/>
                <w:sz w:val="20"/>
              </w:rPr>
            </w:pPr>
          </w:p>
        </w:tc>
        <w:tc>
          <w:tcPr>
            <w:tcW w:w="2596" w:type="dxa"/>
            <w:vMerge/>
            <w:tcBorders>
              <w:top w:val="single" w:sz="4" w:space="0" w:color="auto"/>
              <w:left w:val="single" w:sz="4" w:space="0" w:color="auto"/>
              <w:bottom w:val="single" w:sz="4" w:space="0" w:color="auto"/>
              <w:right w:val="single" w:sz="4" w:space="0" w:color="auto"/>
            </w:tcBorders>
            <w:shd w:val="clear" w:color="auto" w:fill="auto"/>
            <w:vAlign w:val="center"/>
          </w:tcPr>
          <w:p w:rsidR="00337093">
            <w:pPr>
              <w:widowControl/>
              <w:jc w:val="center"/>
              <w:rPr>
                <w:rFonts w:ascii="宋体" w:hAnsi="宋体" w:cs="宋体"/>
                <w:b/>
                <w:bCs/>
                <w:kern w:val="0"/>
                <w:sz w:val="20"/>
              </w:rPr>
            </w:pPr>
          </w:p>
        </w:tc>
        <w:tc>
          <w:tcPr>
            <w:tcW w:w="3046" w:type="dxa"/>
            <w:vMerge/>
            <w:tcBorders>
              <w:top w:val="single" w:sz="4" w:space="0" w:color="auto"/>
              <w:left w:val="single" w:sz="4" w:space="0" w:color="auto"/>
              <w:bottom w:val="single" w:sz="4" w:space="0" w:color="000000"/>
              <w:right w:val="single" w:sz="4" w:space="0" w:color="auto"/>
            </w:tcBorders>
            <w:shd w:val="clear" w:color="auto" w:fill="auto"/>
            <w:vAlign w:val="center"/>
          </w:tcPr>
          <w:p w:rsidR="00337093">
            <w:pPr>
              <w:widowControl/>
              <w:jc w:val="center"/>
              <w:rPr>
                <w:rFonts w:ascii="宋体" w:hAnsi="宋体" w:cs="宋体"/>
                <w:b/>
                <w:bCs/>
                <w:kern w:val="0"/>
                <w:sz w:val="20"/>
              </w:rPr>
            </w:pPr>
          </w:p>
        </w:tc>
        <w:tc>
          <w:tcPr>
            <w:tcW w:w="1057" w:type="dxa"/>
            <w:tcBorders>
              <w:top w:val="nil"/>
              <w:left w:val="nil"/>
              <w:bottom w:val="single" w:sz="4" w:space="0" w:color="auto"/>
              <w:right w:val="single" w:sz="4" w:space="0" w:color="auto"/>
            </w:tcBorders>
            <w:shd w:val="clear" w:color="auto" w:fill="339966"/>
            <w:noWrap/>
            <w:vAlign w:val="center"/>
          </w:tcPr>
          <w:p w:rsidR="00337093">
            <w:pPr>
              <w:widowControl/>
              <w:jc w:val="center"/>
              <w:rPr>
                <w:rFonts w:ascii="宋体" w:hAnsi="宋体" w:cs="宋体"/>
                <w:b/>
                <w:bCs/>
                <w:kern w:val="0"/>
                <w:sz w:val="20"/>
              </w:rPr>
            </w:pPr>
            <w:r>
              <w:rPr>
                <w:rFonts w:ascii="宋体" w:hAnsi="宋体" w:cs="宋体" w:hint="eastAsia"/>
                <w:b/>
                <w:bCs/>
                <w:kern w:val="0"/>
                <w:sz w:val="20"/>
              </w:rPr>
              <w:t>直流（100kw）</w:t>
            </w:r>
          </w:p>
        </w:tc>
        <w:tc>
          <w:tcPr>
            <w:tcW w:w="799"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b/>
                <w:bCs/>
                <w:kern w:val="0"/>
                <w:sz w:val="20"/>
              </w:rPr>
            </w:pPr>
            <w:r>
              <w:rPr>
                <w:rFonts w:ascii="宋体" w:hAnsi="宋体" w:cs="宋体" w:hint="eastAsia"/>
                <w:b/>
                <w:bCs/>
                <w:kern w:val="0"/>
                <w:sz w:val="20"/>
              </w:rPr>
              <w:t>交流(7kw)</w:t>
            </w:r>
          </w:p>
        </w:tc>
        <w:tc>
          <w:tcPr>
            <w:tcW w:w="928"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b/>
                <w:bCs/>
                <w:kern w:val="0"/>
                <w:sz w:val="20"/>
              </w:rPr>
            </w:pPr>
            <w:r>
              <w:rPr>
                <w:rFonts w:ascii="宋体" w:hAnsi="宋体" w:cs="宋体" w:hint="eastAsia"/>
                <w:b/>
                <w:bCs/>
                <w:kern w:val="0"/>
                <w:sz w:val="20"/>
              </w:rPr>
              <w:t>媒体型(7kw)</w:t>
            </w:r>
          </w:p>
        </w:tc>
      </w:tr>
      <w:tr>
        <w:tblPrEx>
          <w:tblW w:w="0" w:type="auto"/>
          <w:tblInd w:w="103" w:type="dxa"/>
          <w:tblLayout w:type="fixed"/>
          <w:tblLook w:val="0000"/>
        </w:tblPrEx>
        <w:trPr>
          <w:trHeight w:val="270"/>
        </w:trPr>
        <w:tc>
          <w:tcPr>
            <w:tcW w:w="474"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259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XX建业森林半岛假日酒店</w:t>
            </w:r>
          </w:p>
        </w:tc>
        <w:tc>
          <w:tcPr>
            <w:tcW w:w="304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XX市宛城区信臣东路2000号</w:t>
            </w:r>
          </w:p>
        </w:tc>
        <w:tc>
          <w:tcPr>
            <w:tcW w:w="1057"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799"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c>
          <w:tcPr>
            <w:tcW w:w="928"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r>
      <w:tr>
        <w:tblPrEx>
          <w:tblW w:w="0" w:type="auto"/>
          <w:tblInd w:w="103" w:type="dxa"/>
          <w:tblLayout w:type="fixed"/>
          <w:tblLook w:val="0000"/>
        </w:tblPrEx>
        <w:trPr>
          <w:trHeight w:val="240"/>
        </w:trPr>
        <w:tc>
          <w:tcPr>
            <w:tcW w:w="474"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c>
          <w:tcPr>
            <w:tcW w:w="259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中泰豪生大酒店</w:t>
            </w:r>
          </w:p>
        </w:tc>
        <w:tc>
          <w:tcPr>
            <w:tcW w:w="304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XX市宛城区张衡东路666号</w:t>
            </w:r>
          </w:p>
        </w:tc>
        <w:tc>
          <w:tcPr>
            <w:tcW w:w="1057"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799"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c>
          <w:tcPr>
            <w:tcW w:w="928"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r>
      <w:tr>
        <w:tblPrEx>
          <w:tblW w:w="0" w:type="auto"/>
          <w:tblInd w:w="103" w:type="dxa"/>
          <w:tblLayout w:type="fixed"/>
          <w:tblLook w:val="0000"/>
        </w:tblPrEx>
        <w:trPr>
          <w:trHeight w:val="240"/>
        </w:trPr>
        <w:tc>
          <w:tcPr>
            <w:tcW w:w="474"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3</w:t>
            </w:r>
          </w:p>
        </w:tc>
        <w:tc>
          <w:tcPr>
            <w:tcW w:w="259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龙鑫国际大酒店</w:t>
            </w:r>
          </w:p>
        </w:tc>
        <w:tc>
          <w:tcPr>
            <w:tcW w:w="304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XX市宛城区独山大道与滨河路交汇处</w:t>
            </w:r>
          </w:p>
        </w:tc>
        <w:tc>
          <w:tcPr>
            <w:tcW w:w="1057"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799"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c>
          <w:tcPr>
            <w:tcW w:w="928"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r>
      <w:tr>
        <w:tblPrEx>
          <w:tblW w:w="0" w:type="auto"/>
          <w:tblInd w:w="103" w:type="dxa"/>
          <w:tblLayout w:type="fixed"/>
          <w:tblLook w:val="0000"/>
        </w:tblPrEx>
        <w:trPr>
          <w:trHeight w:val="240"/>
        </w:trPr>
        <w:tc>
          <w:tcPr>
            <w:tcW w:w="474"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c>
          <w:tcPr>
            <w:tcW w:w="259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嘉鑫花园酒店</w:t>
            </w:r>
          </w:p>
        </w:tc>
        <w:tc>
          <w:tcPr>
            <w:tcW w:w="304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XX市卧龙区仲景北路1188号</w:t>
            </w:r>
          </w:p>
        </w:tc>
        <w:tc>
          <w:tcPr>
            <w:tcW w:w="1057"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799"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c>
          <w:tcPr>
            <w:tcW w:w="928"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r>
      <w:tr>
        <w:tblPrEx>
          <w:tblW w:w="0" w:type="auto"/>
          <w:tblInd w:w="103" w:type="dxa"/>
          <w:tblLayout w:type="fixed"/>
          <w:tblLook w:val="0000"/>
        </w:tblPrEx>
        <w:trPr>
          <w:trHeight w:val="240"/>
        </w:trPr>
        <w:tc>
          <w:tcPr>
            <w:tcW w:w="474"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5</w:t>
            </w:r>
          </w:p>
        </w:tc>
        <w:tc>
          <w:tcPr>
            <w:tcW w:w="259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富唐</w:t>
            </w:r>
            <w:r>
              <w:rPr>
                <w:rFonts w:ascii="宋体" w:hAnsi="宋体" w:cs="宋体" w:hint="eastAsia"/>
                <w:kern w:val="0"/>
                <w:sz w:val="20"/>
              </w:rPr>
              <w:t>·</w:t>
            </w:r>
            <w:r>
              <w:rPr>
                <w:rFonts w:ascii="宋体" w:hAnsi="宋体" w:cs="宋体" w:hint="eastAsia"/>
                <w:kern w:val="0"/>
                <w:sz w:val="20"/>
              </w:rPr>
              <w:t>中州国际饭店</w:t>
            </w:r>
          </w:p>
        </w:tc>
        <w:tc>
          <w:tcPr>
            <w:tcW w:w="304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XX市卧龙区信臣路与独山大道交汇处</w:t>
            </w:r>
          </w:p>
        </w:tc>
        <w:tc>
          <w:tcPr>
            <w:tcW w:w="1057"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799"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30</w:t>
            </w:r>
          </w:p>
        </w:tc>
        <w:tc>
          <w:tcPr>
            <w:tcW w:w="928"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r>
      <w:tr>
        <w:tblPrEx>
          <w:tblW w:w="0" w:type="auto"/>
          <w:tblInd w:w="103" w:type="dxa"/>
          <w:tblLayout w:type="fixed"/>
          <w:tblLook w:val="0000"/>
        </w:tblPrEx>
        <w:trPr>
          <w:trHeight w:val="240"/>
        </w:trPr>
        <w:tc>
          <w:tcPr>
            <w:tcW w:w="474"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c>
          <w:tcPr>
            <w:tcW w:w="259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永安曼福特酒店</w:t>
            </w:r>
          </w:p>
        </w:tc>
        <w:tc>
          <w:tcPr>
            <w:tcW w:w="304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仲景北路657号</w:t>
            </w:r>
          </w:p>
        </w:tc>
        <w:tc>
          <w:tcPr>
            <w:tcW w:w="1057"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799"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c>
          <w:tcPr>
            <w:tcW w:w="928"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r>
      <w:tr>
        <w:tblPrEx>
          <w:tblW w:w="0" w:type="auto"/>
          <w:tblInd w:w="103" w:type="dxa"/>
          <w:tblLayout w:type="fixed"/>
          <w:tblLook w:val="0000"/>
        </w:tblPrEx>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7</w:t>
            </w:r>
          </w:p>
        </w:tc>
        <w:tc>
          <w:tcPr>
            <w:tcW w:w="259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金凯悦东方酒店</w:t>
            </w:r>
          </w:p>
        </w:tc>
        <w:tc>
          <w:tcPr>
            <w:tcW w:w="304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XX市宛城区张衡路</w:t>
            </w:r>
            <w:r>
              <w:rPr>
                <w:rFonts w:ascii="Arial" w:hAnsi="Arial" w:cs="Arial"/>
                <w:kern w:val="0"/>
                <w:sz w:val="20"/>
              </w:rPr>
              <w:t>6</w:t>
            </w:r>
            <w:r>
              <w:rPr>
                <w:rFonts w:ascii="宋体" w:hAnsi="宋体" w:cs="宋体" w:hint="eastAsia"/>
                <w:kern w:val="0"/>
                <w:sz w:val="20"/>
              </w:rPr>
              <w:t>号</w:t>
            </w:r>
          </w:p>
        </w:tc>
        <w:tc>
          <w:tcPr>
            <w:tcW w:w="1057"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799"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30</w:t>
            </w:r>
          </w:p>
        </w:tc>
        <w:tc>
          <w:tcPr>
            <w:tcW w:w="928"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r>
      <w:tr>
        <w:tblPrEx>
          <w:tblW w:w="0" w:type="auto"/>
          <w:tblInd w:w="103" w:type="dxa"/>
          <w:tblLayout w:type="fixed"/>
          <w:tblLook w:val="0000"/>
        </w:tblPrEx>
        <w:trPr>
          <w:trHeight w:val="240"/>
        </w:trPr>
        <w:tc>
          <w:tcPr>
            <w:tcW w:w="474"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8</w:t>
            </w:r>
          </w:p>
        </w:tc>
        <w:tc>
          <w:tcPr>
            <w:tcW w:w="259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银都建国酒店</w:t>
            </w:r>
          </w:p>
        </w:tc>
        <w:tc>
          <w:tcPr>
            <w:tcW w:w="304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XX市卧龙区中州路268号</w:t>
            </w:r>
          </w:p>
        </w:tc>
        <w:tc>
          <w:tcPr>
            <w:tcW w:w="1057"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799"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10</w:t>
            </w:r>
          </w:p>
        </w:tc>
        <w:tc>
          <w:tcPr>
            <w:tcW w:w="928"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r>
      <w:tr>
        <w:tblPrEx>
          <w:tblW w:w="0" w:type="auto"/>
          <w:tblInd w:w="103" w:type="dxa"/>
          <w:tblLayout w:type="fixed"/>
          <w:tblLook w:val="0000"/>
        </w:tblPrEx>
        <w:trPr>
          <w:trHeight w:val="240"/>
        </w:trPr>
        <w:tc>
          <w:tcPr>
            <w:tcW w:w="474"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9</w:t>
            </w:r>
          </w:p>
        </w:tc>
        <w:tc>
          <w:tcPr>
            <w:tcW w:w="259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XX宾馆</w:t>
            </w:r>
          </w:p>
        </w:tc>
        <w:tc>
          <w:tcPr>
            <w:tcW w:w="304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XX市卧龙区滨河中路1420号</w:t>
            </w:r>
          </w:p>
        </w:tc>
        <w:tc>
          <w:tcPr>
            <w:tcW w:w="1057"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799"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c>
          <w:tcPr>
            <w:tcW w:w="928"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r>
      <w:tr>
        <w:tblPrEx>
          <w:tblW w:w="0" w:type="auto"/>
          <w:tblInd w:w="103" w:type="dxa"/>
          <w:tblLayout w:type="fixed"/>
          <w:tblLook w:val="0000"/>
        </w:tblPrEx>
        <w:trPr>
          <w:trHeight w:val="240"/>
        </w:trPr>
        <w:tc>
          <w:tcPr>
            <w:tcW w:w="474"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10</w:t>
            </w:r>
          </w:p>
        </w:tc>
        <w:tc>
          <w:tcPr>
            <w:tcW w:w="259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格林国际大酒店(新华路店)</w:t>
            </w:r>
          </w:p>
        </w:tc>
        <w:tc>
          <w:tcPr>
            <w:tcW w:w="304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XX市新华路与工业路交叉口</w:t>
            </w:r>
          </w:p>
        </w:tc>
        <w:tc>
          <w:tcPr>
            <w:tcW w:w="1057"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799"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c>
          <w:tcPr>
            <w:tcW w:w="928"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r>
      <w:tr>
        <w:tblPrEx>
          <w:tblW w:w="0" w:type="auto"/>
          <w:tblInd w:w="103" w:type="dxa"/>
          <w:tblLayout w:type="fixed"/>
          <w:tblLook w:val="0000"/>
        </w:tblPrEx>
        <w:trPr>
          <w:trHeight w:val="240"/>
        </w:trPr>
        <w:tc>
          <w:tcPr>
            <w:tcW w:w="474"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11</w:t>
            </w:r>
          </w:p>
        </w:tc>
        <w:tc>
          <w:tcPr>
            <w:tcW w:w="259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维也纳酒店</w:t>
            </w:r>
          </w:p>
        </w:tc>
        <w:tc>
          <w:tcPr>
            <w:tcW w:w="304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XX市卧龙区人民北路1008号</w:t>
            </w:r>
          </w:p>
        </w:tc>
        <w:tc>
          <w:tcPr>
            <w:tcW w:w="1057"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799"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c>
          <w:tcPr>
            <w:tcW w:w="928"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r>
      <w:tr>
        <w:tblPrEx>
          <w:tblW w:w="0" w:type="auto"/>
          <w:tblInd w:w="103" w:type="dxa"/>
          <w:tblLayout w:type="fixed"/>
          <w:tblLook w:val="0000"/>
        </w:tblPrEx>
        <w:trPr>
          <w:trHeight w:val="240"/>
        </w:trPr>
        <w:tc>
          <w:tcPr>
            <w:tcW w:w="474"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12</w:t>
            </w:r>
          </w:p>
        </w:tc>
        <w:tc>
          <w:tcPr>
            <w:tcW w:w="259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铭座主题酒店</w:t>
            </w:r>
          </w:p>
        </w:tc>
        <w:tc>
          <w:tcPr>
            <w:tcW w:w="304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XX市宛城区仲景路防爆口北</w:t>
            </w:r>
            <w:smartTag w:uri="urn:schemas-microsoft-com:office:smarttags" w:element="chmetcnv">
              <w:smartTagPr>
                <w:attr w:name="HasSpace" w:val="False"/>
                <w:attr w:name="Negative" w:val="False"/>
                <w:attr w:name="NumberType" w:val="1"/>
                <w:attr w:name="SourceValue" w:val="200"/>
                <w:attr w:name="TCSC" w:val="0"/>
                <w:attr w:name="UnitName" w:val="米"/>
              </w:smartTagPr>
              <w:r>
                <w:rPr>
                  <w:rFonts w:ascii="宋体" w:hAnsi="宋体" w:cs="宋体" w:hint="eastAsia"/>
                  <w:kern w:val="0"/>
                  <w:sz w:val="20"/>
                </w:rPr>
                <w:t>200米</w:t>
              </w:r>
            </w:smartTag>
            <w:r>
              <w:rPr>
                <w:rFonts w:ascii="宋体" w:hAnsi="宋体" w:cs="宋体" w:hint="eastAsia"/>
                <w:kern w:val="0"/>
                <w:sz w:val="20"/>
              </w:rPr>
              <w:t>路西</w:t>
            </w:r>
          </w:p>
        </w:tc>
        <w:tc>
          <w:tcPr>
            <w:tcW w:w="1057"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799"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10</w:t>
            </w:r>
          </w:p>
        </w:tc>
        <w:tc>
          <w:tcPr>
            <w:tcW w:w="928"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r>
      <w:tr>
        <w:tblPrEx>
          <w:tblW w:w="0" w:type="auto"/>
          <w:tblInd w:w="103" w:type="dxa"/>
          <w:tblLayout w:type="fixed"/>
          <w:tblLook w:val="0000"/>
        </w:tblPrEx>
        <w:trPr>
          <w:trHeight w:val="240"/>
        </w:trPr>
        <w:tc>
          <w:tcPr>
            <w:tcW w:w="474"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13</w:t>
            </w:r>
          </w:p>
        </w:tc>
        <w:tc>
          <w:tcPr>
            <w:tcW w:w="259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丽都花园民族饭店</w:t>
            </w:r>
          </w:p>
        </w:tc>
        <w:tc>
          <w:tcPr>
            <w:tcW w:w="304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XX市宛城区人民路319号</w:t>
            </w:r>
          </w:p>
        </w:tc>
        <w:tc>
          <w:tcPr>
            <w:tcW w:w="1057"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799"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10</w:t>
            </w:r>
          </w:p>
        </w:tc>
        <w:tc>
          <w:tcPr>
            <w:tcW w:w="928"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r>
      <w:tr>
        <w:tblPrEx>
          <w:tblW w:w="0" w:type="auto"/>
          <w:tblInd w:w="103" w:type="dxa"/>
          <w:tblLayout w:type="fixed"/>
          <w:tblLook w:val="0000"/>
        </w:tblPrEx>
        <w:trPr>
          <w:trHeight w:val="240"/>
        </w:trPr>
        <w:tc>
          <w:tcPr>
            <w:tcW w:w="474"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14</w:t>
            </w:r>
          </w:p>
        </w:tc>
        <w:tc>
          <w:tcPr>
            <w:tcW w:w="259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豫宛宾馆</w:t>
            </w:r>
          </w:p>
        </w:tc>
        <w:tc>
          <w:tcPr>
            <w:tcW w:w="304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XX市卧龙区中州中路25号</w:t>
            </w:r>
          </w:p>
        </w:tc>
        <w:tc>
          <w:tcPr>
            <w:tcW w:w="1057"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799"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c>
          <w:tcPr>
            <w:tcW w:w="928"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r>
      <w:tr>
        <w:tblPrEx>
          <w:tblW w:w="0" w:type="auto"/>
          <w:tblInd w:w="103" w:type="dxa"/>
          <w:tblLayout w:type="fixed"/>
          <w:tblLook w:val="0000"/>
        </w:tblPrEx>
        <w:trPr>
          <w:trHeight w:val="240"/>
        </w:trPr>
        <w:tc>
          <w:tcPr>
            <w:tcW w:w="474"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15</w:t>
            </w:r>
          </w:p>
        </w:tc>
        <w:tc>
          <w:tcPr>
            <w:tcW w:w="259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盛世开元商务酒店</w:t>
            </w:r>
          </w:p>
        </w:tc>
        <w:tc>
          <w:tcPr>
            <w:tcW w:w="304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XX市卧龙区人民北路1363号</w:t>
            </w:r>
          </w:p>
        </w:tc>
        <w:tc>
          <w:tcPr>
            <w:tcW w:w="1057"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799"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c>
          <w:tcPr>
            <w:tcW w:w="928"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r>
      <w:tr>
        <w:tblPrEx>
          <w:tblW w:w="0" w:type="auto"/>
          <w:tblInd w:w="103" w:type="dxa"/>
          <w:tblLayout w:type="fixed"/>
          <w:tblLook w:val="0000"/>
        </w:tblPrEx>
        <w:trPr>
          <w:trHeight w:val="240"/>
        </w:trPr>
        <w:tc>
          <w:tcPr>
            <w:tcW w:w="474"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16</w:t>
            </w:r>
          </w:p>
        </w:tc>
        <w:tc>
          <w:tcPr>
            <w:tcW w:w="259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昆仑乐居商务酒店(信臣路店)</w:t>
            </w:r>
          </w:p>
        </w:tc>
        <w:tc>
          <w:tcPr>
            <w:tcW w:w="304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XX市卧龙区信臣中路与粮校路口</w:t>
            </w:r>
          </w:p>
        </w:tc>
        <w:tc>
          <w:tcPr>
            <w:tcW w:w="1057"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799"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10</w:t>
            </w:r>
          </w:p>
        </w:tc>
        <w:tc>
          <w:tcPr>
            <w:tcW w:w="928"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r>
    </w:tbl>
    <w:p>
      <w:pPr>
        <w:sectPr>
          <w:headerReference w:type="default" r:id="rId121"/>
          <w:footerReference w:type="even" r:id="rId122"/>
          <w:footerReference w:type="default" r:id="rId123"/>
          <w:headerReference w:type="first" r:id="rId124"/>
          <w:type w:val="nextPage"/>
          <w:pgSz w:w="11906" w:h="16838"/>
          <w:pgMar w:top="1418" w:right="1418" w:bottom="1418" w:left="1701" w:header="964" w:footer="964" w:gutter="0"/>
          <w:pgNumType w:fmt="numberInDash" w:start="28"/>
          <w:cols w:space="720"/>
          <w:titlePg w:val="0"/>
          <w:docGrid w:type="linesAndChars" w:linePitch="291" w:charSpace="3135"/>
        </w:sectPr>
      </w:pPr>
    </w:p>
    <w:tbl>
      <w:tblPr>
        <w:tblStyle w:val="TableNormal"/>
        <w:tblW w:w="0" w:type="auto"/>
        <w:tblInd w:w="103" w:type="dxa"/>
        <w:tblLayout w:type="fixed"/>
        <w:tblLook w:val="0000"/>
      </w:tblPr>
      <w:tblGrid>
        <w:gridCol w:w="474"/>
        <w:gridCol w:w="2596"/>
        <w:gridCol w:w="3046"/>
        <w:gridCol w:w="1057"/>
        <w:gridCol w:w="799"/>
        <w:gridCol w:w="928"/>
      </w:tblGrid>
      <w:tr>
        <w:tblPrEx>
          <w:tblW w:w="0" w:type="auto"/>
          <w:tblInd w:w="103" w:type="dxa"/>
          <w:tblLayout w:type="fixed"/>
          <w:tblLook w:val="0000"/>
        </w:tblPrEx>
        <w:trPr>
          <w:trHeight w:val="240"/>
        </w:trPr>
        <w:tc>
          <w:tcPr>
            <w:tcW w:w="474"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17</w:t>
            </w:r>
          </w:p>
        </w:tc>
        <w:tc>
          <w:tcPr>
            <w:tcW w:w="259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大浪淘沙酒店</w:t>
            </w:r>
          </w:p>
        </w:tc>
        <w:tc>
          <w:tcPr>
            <w:tcW w:w="304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XX市高新区人民路与张衡路交叉口</w:t>
            </w:r>
          </w:p>
        </w:tc>
        <w:tc>
          <w:tcPr>
            <w:tcW w:w="1057"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799"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10</w:t>
            </w:r>
          </w:p>
        </w:tc>
        <w:tc>
          <w:tcPr>
            <w:tcW w:w="928"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r>
      <w:tr>
        <w:tblPrEx>
          <w:tblW w:w="0" w:type="auto"/>
          <w:tblInd w:w="103" w:type="dxa"/>
          <w:tblLayout w:type="fixed"/>
          <w:tblLook w:val="0000"/>
        </w:tblPrEx>
        <w:trPr>
          <w:trHeight w:val="240"/>
        </w:trPr>
        <w:tc>
          <w:tcPr>
            <w:tcW w:w="474"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18</w:t>
            </w:r>
          </w:p>
        </w:tc>
        <w:tc>
          <w:tcPr>
            <w:tcW w:w="259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圣泰假日酒店</w:t>
            </w:r>
          </w:p>
        </w:tc>
        <w:tc>
          <w:tcPr>
            <w:tcW w:w="304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XX市宛城区滨河路东段2396号</w:t>
            </w:r>
          </w:p>
        </w:tc>
        <w:tc>
          <w:tcPr>
            <w:tcW w:w="1057"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799"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c>
          <w:tcPr>
            <w:tcW w:w="928"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r>
      <w:tr>
        <w:tblPrEx>
          <w:tblW w:w="0" w:type="auto"/>
          <w:tblInd w:w="103" w:type="dxa"/>
          <w:tblLayout w:type="fixed"/>
          <w:tblLook w:val="0000"/>
        </w:tblPrEx>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19</w:t>
            </w:r>
          </w:p>
        </w:tc>
        <w:tc>
          <w:tcPr>
            <w:tcW w:w="259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世纪星假日酒店</w:t>
            </w:r>
          </w:p>
        </w:tc>
        <w:tc>
          <w:tcPr>
            <w:tcW w:w="304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XX市卧龙区北京路中段</w:t>
            </w:r>
            <w:r>
              <w:rPr>
                <w:rFonts w:ascii="Arial" w:hAnsi="Arial" w:cs="Arial"/>
                <w:kern w:val="0"/>
                <w:sz w:val="20"/>
              </w:rPr>
              <w:t>1798</w:t>
            </w:r>
            <w:r>
              <w:rPr>
                <w:rFonts w:ascii="宋体" w:hAnsi="宋体" w:cs="宋体" w:hint="eastAsia"/>
                <w:kern w:val="0"/>
                <w:sz w:val="20"/>
              </w:rPr>
              <w:t>号</w:t>
            </w:r>
          </w:p>
        </w:tc>
        <w:tc>
          <w:tcPr>
            <w:tcW w:w="1057"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799"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10</w:t>
            </w:r>
          </w:p>
        </w:tc>
        <w:tc>
          <w:tcPr>
            <w:tcW w:w="928"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r>
      <w:tr>
        <w:tblPrEx>
          <w:tblW w:w="0" w:type="auto"/>
          <w:tblInd w:w="103" w:type="dxa"/>
          <w:tblLayout w:type="fixed"/>
          <w:tblLook w:val="0000"/>
        </w:tblPrEx>
        <w:trPr>
          <w:trHeight w:val="240"/>
        </w:trPr>
        <w:tc>
          <w:tcPr>
            <w:tcW w:w="474"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c>
          <w:tcPr>
            <w:tcW w:w="259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王府饭店</w:t>
            </w:r>
          </w:p>
        </w:tc>
        <w:tc>
          <w:tcPr>
            <w:tcW w:w="304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XX市宛城区新华东路196号</w:t>
            </w:r>
          </w:p>
        </w:tc>
        <w:tc>
          <w:tcPr>
            <w:tcW w:w="1057"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799"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c>
          <w:tcPr>
            <w:tcW w:w="928"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r>
      <w:tr>
        <w:tblPrEx>
          <w:tblW w:w="0" w:type="auto"/>
          <w:tblInd w:w="103" w:type="dxa"/>
          <w:tblLayout w:type="fixed"/>
          <w:tblLook w:val="0000"/>
        </w:tblPrEx>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21</w:t>
            </w:r>
          </w:p>
        </w:tc>
        <w:tc>
          <w:tcPr>
            <w:tcW w:w="259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草原兴发</w:t>
            </w:r>
          </w:p>
        </w:tc>
        <w:tc>
          <w:tcPr>
            <w:tcW w:w="304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XX市卧龙区建设中路</w:t>
            </w:r>
            <w:r>
              <w:rPr>
                <w:rFonts w:ascii="Arial" w:hAnsi="Arial" w:cs="Arial"/>
                <w:kern w:val="0"/>
                <w:sz w:val="20"/>
              </w:rPr>
              <w:t>1359</w:t>
            </w:r>
            <w:r>
              <w:rPr>
                <w:rFonts w:ascii="宋体" w:hAnsi="宋体" w:cs="宋体" w:hint="eastAsia"/>
                <w:kern w:val="0"/>
                <w:sz w:val="20"/>
              </w:rPr>
              <w:t>号</w:t>
            </w:r>
          </w:p>
        </w:tc>
        <w:tc>
          <w:tcPr>
            <w:tcW w:w="1057"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799"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c>
          <w:tcPr>
            <w:tcW w:w="928"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r>
      <w:tr>
        <w:tblPrEx>
          <w:tblW w:w="0" w:type="auto"/>
          <w:tblInd w:w="103" w:type="dxa"/>
          <w:tblLayout w:type="fixed"/>
          <w:tblLook w:val="0000"/>
        </w:tblPrEx>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22</w:t>
            </w:r>
          </w:p>
        </w:tc>
        <w:tc>
          <w:tcPr>
            <w:tcW w:w="259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同胜祥 人民北路店</w:t>
            </w:r>
          </w:p>
        </w:tc>
        <w:tc>
          <w:tcPr>
            <w:tcW w:w="304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XX市人民路与杜岭街北</w:t>
            </w:r>
            <w:smartTag w:uri="urn:schemas-microsoft-com:office:smarttags" w:element="chmetcnv">
              <w:smartTagPr>
                <w:attr w:name="HasSpace" w:val="False"/>
                <w:attr w:name="Negative" w:val="False"/>
                <w:attr w:name="NumberType" w:val="1"/>
                <w:attr w:name="SourceValue" w:val="50"/>
                <w:attr w:name="TCSC" w:val="0"/>
                <w:attr w:name="UnitName" w:val="米"/>
              </w:smartTagPr>
              <w:r>
                <w:rPr>
                  <w:rFonts w:ascii="Arial" w:hAnsi="Arial" w:cs="Arial"/>
                  <w:kern w:val="0"/>
                  <w:sz w:val="20"/>
                </w:rPr>
                <w:t>50</w:t>
              </w:r>
              <w:r>
                <w:rPr>
                  <w:rFonts w:ascii="宋体" w:hAnsi="宋体" w:cs="宋体" w:hint="eastAsia"/>
                  <w:kern w:val="0"/>
                  <w:sz w:val="20"/>
                </w:rPr>
                <w:t>米</w:t>
              </w:r>
            </w:smartTag>
            <w:r>
              <w:rPr>
                <w:rFonts w:ascii="宋体" w:hAnsi="宋体" w:cs="宋体" w:hint="eastAsia"/>
                <w:kern w:val="0"/>
                <w:sz w:val="20"/>
              </w:rPr>
              <w:t>路西</w:t>
            </w:r>
          </w:p>
        </w:tc>
        <w:tc>
          <w:tcPr>
            <w:tcW w:w="1057"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799"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c>
          <w:tcPr>
            <w:tcW w:w="928"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r>
      <w:tr>
        <w:tblPrEx>
          <w:tblW w:w="0" w:type="auto"/>
          <w:tblInd w:w="103" w:type="dxa"/>
          <w:tblLayout w:type="fixed"/>
          <w:tblLook w:val="0000"/>
        </w:tblPrEx>
        <w:trPr>
          <w:trHeight w:val="240"/>
        </w:trPr>
        <w:tc>
          <w:tcPr>
            <w:tcW w:w="474"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23</w:t>
            </w:r>
          </w:p>
        </w:tc>
        <w:tc>
          <w:tcPr>
            <w:tcW w:w="259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德庄火锅 独山大道与范蠡路交叉口</w:t>
            </w:r>
          </w:p>
        </w:tc>
        <w:tc>
          <w:tcPr>
            <w:tcW w:w="304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XX市独山大道与范蠡路交叉口</w:t>
            </w:r>
          </w:p>
        </w:tc>
        <w:tc>
          <w:tcPr>
            <w:tcW w:w="1057"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799"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10</w:t>
            </w:r>
          </w:p>
        </w:tc>
        <w:tc>
          <w:tcPr>
            <w:tcW w:w="928"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r>
      <w:tr>
        <w:tblPrEx>
          <w:tblW w:w="0" w:type="auto"/>
          <w:tblInd w:w="103" w:type="dxa"/>
          <w:tblLayout w:type="fixed"/>
          <w:tblLook w:val="0000"/>
        </w:tblPrEx>
        <w:trPr>
          <w:trHeight w:val="240"/>
        </w:trPr>
        <w:tc>
          <w:tcPr>
            <w:tcW w:w="474"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24</w:t>
            </w:r>
          </w:p>
        </w:tc>
        <w:tc>
          <w:tcPr>
            <w:tcW w:w="259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hyperlink r:id="rId125" w:history="1">
              <w:r>
                <w:rPr>
                  <w:rFonts w:ascii="宋体" w:hAnsi="宋体" w:cs="宋体" w:hint="eastAsia"/>
                  <w:kern w:val="0"/>
                  <w:sz w:val="20"/>
                </w:rPr>
                <w:t>麦田地锅村 张衡中路与仲景北路交叉口西</w:t>
              </w:r>
            </w:hyperlink>
          </w:p>
        </w:tc>
        <w:tc>
          <w:tcPr>
            <w:tcW w:w="304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XX市张衡中路与仲景北路交叉口西南角</w:t>
            </w:r>
          </w:p>
        </w:tc>
        <w:tc>
          <w:tcPr>
            <w:tcW w:w="1057"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799"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10</w:t>
            </w:r>
          </w:p>
        </w:tc>
        <w:tc>
          <w:tcPr>
            <w:tcW w:w="928"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r>
      <w:tr>
        <w:tblPrEx>
          <w:tblW w:w="0" w:type="auto"/>
          <w:tblInd w:w="103" w:type="dxa"/>
          <w:tblLayout w:type="fixed"/>
          <w:tblLook w:val="0000"/>
        </w:tblPrEx>
        <w:trPr>
          <w:trHeight w:val="240"/>
        </w:trPr>
        <w:tc>
          <w:tcPr>
            <w:tcW w:w="474"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25</w:t>
            </w:r>
          </w:p>
        </w:tc>
        <w:tc>
          <w:tcPr>
            <w:tcW w:w="259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龙湾温泉</w:t>
            </w:r>
          </w:p>
        </w:tc>
        <w:tc>
          <w:tcPr>
            <w:tcW w:w="304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XX市宛城区长江路中段县乡公路管理处南</w:t>
            </w:r>
            <w:smartTag w:uri="urn:schemas-microsoft-com:office:smarttags" w:element="chmetcnv">
              <w:smartTagPr>
                <w:attr w:name="HasSpace" w:val="False"/>
                <w:attr w:name="Negative" w:val="False"/>
                <w:attr w:name="NumberType" w:val="1"/>
                <w:attr w:name="SourceValue" w:val="1000"/>
                <w:attr w:name="TCSC" w:val="1"/>
                <w:attr w:name="UnitName" w:val="米"/>
              </w:smartTagPr>
              <w:r>
                <w:rPr>
                  <w:rFonts w:ascii="宋体" w:hAnsi="宋体" w:cs="宋体" w:hint="eastAsia"/>
                  <w:kern w:val="0"/>
                  <w:sz w:val="20"/>
                </w:rPr>
                <w:t>1千米</w:t>
              </w:r>
            </w:smartTag>
          </w:p>
        </w:tc>
        <w:tc>
          <w:tcPr>
            <w:tcW w:w="1057"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799"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c>
          <w:tcPr>
            <w:tcW w:w="928"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r>
      <w:tr>
        <w:tblPrEx>
          <w:tblW w:w="0" w:type="auto"/>
          <w:tblInd w:w="103" w:type="dxa"/>
          <w:tblLayout w:type="fixed"/>
          <w:tblLook w:val="0000"/>
        </w:tblPrEx>
        <w:trPr>
          <w:trHeight w:val="240"/>
        </w:trPr>
        <w:tc>
          <w:tcPr>
            <w:tcW w:w="474"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26</w:t>
            </w:r>
          </w:p>
        </w:tc>
        <w:tc>
          <w:tcPr>
            <w:tcW w:w="259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国际饭店</w:t>
            </w:r>
          </w:p>
        </w:tc>
        <w:tc>
          <w:tcPr>
            <w:tcW w:w="304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XX市卧龙区新华西路796</w:t>
            </w:r>
          </w:p>
        </w:tc>
        <w:tc>
          <w:tcPr>
            <w:tcW w:w="1057"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799"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c>
          <w:tcPr>
            <w:tcW w:w="928"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r>
      <w:tr>
        <w:tblPrEx>
          <w:tblW w:w="0" w:type="auto"/>
          <w:tblInd w:w="103" w:type="dxa"/>
          <w:tblLayout w:type="fixed"/>
          <w:tblLook w:val="0000"/>
        </w:tblPrEx>
        <w:trPr>
          <w:trHeight w:val="240"/>
        </w:trPr>
        <w:tc>
          <w:tcPr>
            <w:tcW w:w="474"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27</w:t>
            </w:r>
          </w:p>
        </w:tc>
        <w:tc>
          <w:tcPr>
            <w:tcW w:w="259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坤记饭店</w:t>
            </w:r>
          </w:p>
        </w:tc>
        <w:tc>
          <w:tcPr>
            <w:tcW w:w="304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XX市宛城区仲景路与范蠡路交叉口向东</w:t>
            </w:r>
            <w:smartTag w:uri="urn:schemas-microsoft-com:office:smarttags" w:element="chmetcnv">
              <w:smartTagPr>
                <w:attr w:name="HasSpace" w:val="False"/>
                <w:attr w:name="Negative" w:val="False"/>
                <w:attr w:name="NumberType" w:val="1"/>
                <w:attr w:name="SourceValue" w:val="200"/>
                <w:attr w:name="TCSC" w:val="0"/>
                <w:attr w:name="UnitName" w:val="米"/>
              </w:smartTagPr>
              <w:r>
                <w:rPr>
                  <w:rFonts w:ascii="宋体" w:hAnsi="宋体" w:cs="宋体" w:hint="eastAsia"/>
                  <w:kern w:val="0"/>
                  <w:sz w:val="20"/>
                </w:rPr>
                <w:t>200米</w:t>
              </w:r>
            </w:smartTag>
          </w:p>
        </w:tc>
        <w:tc>
          <w:tcPr>
            <w:tcW w:w="1057"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799"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c>
          <w:tcPr>
            <w:tcW w:w="928"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r>
      <w:tr>
        <w:tblPrEx>
          <w:tblW w:w="0" w:type="auto"/>
          <w:tblInd w:w="103" w:type="dxa"/>
          <w:tblLayout w:type="fixed"/>
          <w:tblLook w:val="0000"/>
        </w:tblPrEx>
        <w:trPr>
          <w:trHeight w:val="240"/>
        </w:trPr>
        <w:tc>
          <w:tcPr>
            <w:tcW w:w="474"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28</w:t>
            </w:r>
          </w:p>
        </w:tc>
        <w:tc>
          <w:tcPr>
            <w:tcW w:w="259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华光宾馆</w:t>
            </w:r>
          </w:p>
        </w:tc>
        <w:tc>
          <w:tcPr>
            <w:tcW w:w="304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XX市卧龙区武侯路189</w:t>
            </w:r>
          </w:p>
        </w:tc>
        <w:tc>
          <w:tcPr>
            <w:tcW w:w="1057"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799"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10</w:t>
            </w:r>
          </w:p>
        </w:tc>
        <w:tc>
          <w:tcPr>
            <w:tcW w:w="928"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r>
      <w:tr>
        <w:tblPrEx>
          <w:tblW w:w="0" w:type="auto"/>
          <w:tblInd w:w="103" w:type="dxa"/>
          <w:tblLayout w:type="fixed"/>
          <w:tblLook w:val="0000"/>
        </w:tblPrEx>
        <w:trPr>
          <w:trHeight w:val="240"/>
        </w:trPr>
        <w:tc>
          <w:tcPr>
            <w:tcW w:w="474"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29</w:t>
            </w:r>
          </w:p>
        </w:tc>
        <w:tc>
          <w:tcPr>
            <w:tcW w:w="259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经纬国际</w:t>
            </w:r>
          </w:p>
        </w:tc>
        <w:tc>
          <w:tcPr>
            <w:tcW w:w="304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XX市卧龙区卧龙路XX师院西区对面</w:t>
            </w:r>
          </w:p>
        </w:tc>
        <w:tc>
          <w:tcPr>
            <w:tcW w:w="1057"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799"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c>
          <w:tcPr>
            <w:tcW w:w="928"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r>
      <w:tr>
        <w:tblPrEx>
          <w:tblW w:w="0" w:type="auto"/>
          <w:tblInd w:w="103" w:type="dxa"/>
          <w:tblLayout w:type="fixed"/>
          <w:tblLook w:val="0000"/>
        </w:tblPrEx>
        <w:trPr>
          <w:trHeight w:val="240"/>
        </w:trPr>
        <w:tc>
          <w:tcPr>
            <w:tcW w:w="474"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30</w:t>
            </w:r>
          </w:p>
        </w:tc>
        <w:tc>
          <w:tcPr>
            <w:tcW w:w="259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新天地歌德咖啡  滨河西路231号</w:t>
            </w:r>
          </w:p>
        </w:tc>
        <w:tc>
          <w:tcPr>
            <w:tcW w:w="304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XX市滨河西路231号</w:t>
            </w:r>
          </w:p>
        </w:tc>
        <w:tc>
          <w:tcPr>
            <w:tcW w:w="1057"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799"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c>
          <w:tcPr>
            <w:tcW w:w="928"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r>
      <w:tr>
        <w:tblPrEx>
          <w:tblW w:w="0" w:type="auto"/>
          <w:tblInd w:w="103" w:type="dxa"/>
          <w:tblLayout w:type="fixed"/>
          <w:tblLook w:val="0000"/>
        </w:tblPrEx>
        <w:trPr>
          <w:trHeight w:val="240"/>
        </w:trPr>
        <w:tc>
          <w:tcPr>
            <w:tcW w:w="474"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31</w:t>
            </w:r>
          </w:p>
        </w:tc>
        <w:tc>
          <w:tcPr>
            <w:tcW w:w="259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梅溪宾馆</w:t>
            </w:r>
          </w:p>
        </w:tc>
        <w:tc>
          <w:tcPr>
            <w:tcW w:w="304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XX市卧龙区中州路307号</w:t>
            </w:r>
          </w:p>
        </w:tc>
        <w:tc>
          <w:tcPr>
            <w:tcW w:w="1057"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799"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c>
          <w:tcPr>
            <w:tcW w:w="928"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r>
      <w:tr>
        <w:tblPrEx>
          <w:tblW w:w="0" w:type="auto"/>
          <w:tblInd w:w="103" w:type="dxa"/>
          <w:tblLayout w:type="fixed"/>
          <w:tblLook w:val="0000"/>
        </w:tblPrEx>
        <w:trPr>
          <w:trHeight w:val="240"/>
        </w:trPr>
        <w:tc>
          <w:tcPr>
            <w:tcW w:w="474"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32</w:t>
            </w:r>
          </w:p>
        </w:tc>
        <w:tc>
          <w:tcPr>
            <w:tcW w:w="259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王府海鲜城</w:t>
            </w:r>
          </w:p>
        </w:tc>
        <w:tc>
          <w:tcPr>
            <w:tcW w:w="304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独山大道(北段)与张衡路交叉口东</w:t>
            </w:r>
            <w:smartTag w:uri="urn:schemas-microsoft-com:office:smarttags" w:element="chmetcnv">
              <w:smartTagPr>
                <w:attr w:name="HasSpace" w:val="False"/>
                <w:attr w:name="Negative" w:val="False"/>
                <w:attr w:name="NumberType" w:val="1"/>
                <w:attr w:name="SourceValue" w:val="200"/>
                <w:attr w:name="TCSC" w:val="0"/>
                <w:attr w:name="UnitName" w:val="米"/>
              </w:smartTagPr>
              <w:r>
                <w:rPr>
                  <w:rFonts w:ascii="宋体" w:hAnsi="宋体" w:cs="宋体" w:hint="eastAsia"/>
                  <w:kern w:val="0"/>
                  <w:sz w:val="20"/>
                </w:rPr>
                <w:t>200米</w:t>
              </w:r>
            </w:smartTag>
          </w:p>
        </w:tc>
        <w:tc>
          <w:tcPr>
            <w:tcW w:w="1057"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799"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c>
          <w:tcPr>
            <w:tcW w:w="928"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r>
      <w:tr>
        <w:tblPrEx>
          <w:tblW w:w="0" w:type="auto"/>
          <w:tblInd w:w="103" w:type="dxa"/>
          <w:tblLayout w:type="fixed"/>
          <w:tblLook w:val="0000"/>
        </w:tblPrEx>
        <w:trPr>
          <w:trHeight w:val="240"/>
        </w:trPr>
        <w:tc>
          <w:tcPr>
            <w:tcW w:w="474" w:type="dxa"/>
            <w:tcBorders>
              <w:top w:val="nil"/>
              <w:left w:val="single" w:sz="4" w:space="0" w:color="auto"/>
              <w:bottom w:val="single" w:sz="4" w:space="0" w:color="auto"/>
              <w:right w:val="nil"/>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33</w:t>
            </w:r>
          </w:p>
        </w:tc>
        <w:tc>
          <w:tcPr>
            <w:tcW w:w="2596" w:type="dxa"/>
            <w:tcBorders>
              <w:top w:val="nil"/>
              <w:left w:val="nil"/>
              <w:bottom w:val="single" w:sz="4" w:space="0" w:color="auto"/>
              <w:right w:val="nil"/>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其他酒店</w:t>
            </w:r>
          </w:p>
        </w:tc>
        <w:tc>
          <w:tcPr>
            <w:tcW w:w="3046"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110</w:t>
            </w:r>
          </w:p>
        </w:tc>
        <w:tc>
          <w:tcPr>
            <w:tcW w:w="1057"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110</w:t>
            </w:r>
          </w:p>
        </w:tc>
        <w:tc>
          <w:tcPr>
            <w:tcW w:w="799"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220</w:t>
            </w:r>
          </w:p>
        </w:tc>
        <w:tc>
          <w:tcPr>
            <w:tcW w:w="928"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110</w:t>
            </w:r>
          </w:p>
        </w:tc>
      </w:tr>
      <w:tr>
        <w:tblPrEx>
          <w:tblW w:w="0" w:type="auto"/>
          <w:tblInd w:w="103" w:type="dxa"/>
          <w:tblLayout w:type="fixed"/>
          <w:tblLook w:val="0000"/>
        </w:tblPrEx>
        <w:trPr>
          <w:trHeight w:val="240"/>
        </w:trPr>
        <w:tc>
          <w:tcPr>
            <w:tcW w:w="6116" w:type="dxa"/>
            <w:gridSpan w:val="3"/>
            <w:tcBorders>
              <w:top w:val="single" w:sz="4" w:space="0" w:color="auto"/>
              <w:left w:val="single" w:sz="4" w:space="0" w:color="auto"/>
              <w:bottom w:val="single" w:sz="4" w:space="0" w:color="auto"/>
              <w:right w:val="single" w:sz="4" w:space="0" w:color="000000"/>
            </w:tcBorders>
            <w:noWrap/>
            <w:vAlign w:val="center"/>
          </w:tcPr>
          <w:p w:rsidR="00337093">
            <w:pPr>
              <w:widowControl/>
              <w:jc w:val="center"/>
              <w:rPr>
                <w:rFonts w:ascii="宋体" w:hAnsi="宋体" w:cs="宋体"/>
                <w:kern w:val="0"/>
                <w:sz w:val="20"/>
              </w:rPr>
            </w:pPr>
            <w:r>
              <w:rPr>
                <w:rFonts w:ascii="宋体" w:hAnsi="宋体" w:cs="宋体" w:hint="eastAsia"/>
                <w:kern w:val="0"/>
                <w:sz w:val="20"/>
              </w:rPr>
              <w:t>总计</w:t>
            </w:r>
          </w:p>
        </w:tc>
        <w:tc>
          <w:tcPr>
            <w:tcW w:w="1057"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142</w:t>
            </w:r>
          </w:p>
        </w:tc>
        <w:tc>
          <w:tcPr>
            <w:tcW w:w="799"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790</w:t>
            </w:r>
          </w:p>
        </w:tc>
        <w:tc>
          <w:tcPr>
            <w:tcW w:w="928"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224</w:t>
            </w:r>
          </w:p>
        </w:tc>
      </w:tr>
    </w:tbl>
    <w:p w:rsidR="00337093" w:rsidP="00337093">
      <w:pPr>
        <w:ind w:firstLine="596" w:firstLineChars="213"/>
        <w:jc w:val="center"/>
        <w:rPr>
          <w:rFonts w:ascii="宋体" w:hAnsi="宋体" w:cs="宋体" w:hint="eastAsia"/>
          <w:sz w:val="28"/>
          <w:szCs w:val="28"/>
        </w:rPr>
      </w:pPr>
    </w:p>
    <w:p w:rsidR="00337093">
      <w:pPr>
        <w:pStyle w:val="Heading3"/>
        <w:spacing w:before="0" w:after="0" w:line="240" w:lineRule="auto"/>
        <w:rPr>
          <w:rFonts w:eastAsia="宋体" w:hint="eastAsia"/>
          <w:b/>
          <w:sz w:val="32"/>
        </w:rPr>
      </w:pPr>
      <w:smartTag w:uri="urn:schemas-microsoft-com:office:smarttags" w:element="chsdate">
        <w:smartTagPr>
          <w:attr w:name="Day" w:val="30"/>
          <w:attr w:name="IsLunarDate" w:val="False"/>
          <w:attr w:name="IsROCDate" w:val="False"/>
          <w:attr w:name="Month" w:val="12"/>
          <w:attr w:name="Year" w:val="1899"/>
        </w:smartTagPr>
        <w:r>
          <w:rPr>
            <w:rFonts w:eastAsia="宋体" w:hint="eastAsia"/>
            <w:b/>
            <w:sz w:val="32"/>
          </w:rPr>
          <w:t>5.3.5</w:t>
        </w:r>
      </w:smartTag>
      <w:r>
        <w:rPr>
          <w:rFonts w:eastAsia="宋体" w:hint="eastAsia"/>
          <w:b/>
          <w:sz w:val="32"/>
        </w:rPr>
        <w:t>商场、市政充电桩</w:t>
      </w:r>
    </w:p>
    <w:p w:rsidR="00337093" w:rsidP="00337093">
      <w:pPr>
        <w:ind w:firstLine="560" w:firstLineChars="200"/>
        <w:rPr>
          <w:rFonts w:hAnsi="宋体" w:hint="eastAsia"/>
          <w:bCs/>
          <w:sz w:val="28"/>
          <w:szCs w:val="28"/>
        </w:rPr>
      </w:pPr>
      <w:r>
        <w:rPr>
          <w:rFonts w:hAnsi="宋体" w:hint="eastAsia"/>
          <w:bCs/>
          <w:sz w:val="28"/>
          <w:szCs w:val="28"/>
        </w:rPr>
        <w:t>在市政部门、大型商场等48处，配备直流桩81台、交流桩1820台。</w:t>
      </w:r>
    </w:p>
    <w:tbl>
      <w:tblPr>
        <w:tblStyle w:val="TableNormal"/>
        <w:tblW w:w="0" w:type="auto"/>
        <w:tblInd w:w="103" w:type="dxa"/>
        <w:tblLayout w:type="fixed"/>
        <w:tblLook w:val="0000"/>
      </w:tblPr>
      <w:tblGrid>
        <w:gridCol w:w="506"/>
        <w:gridCol w:w="2094"/>
        <w:gridCol w:w="3252"/>
        <w:gridCol w:w="1161"/>
        <w:gridCol w:w="871"/>
        <w:gridCol w:w="1016"/>
      </w:tblGrid>
      <w:tr>
        <w:tblPrEx>
          <w:tblW w:w="0" w:type="auto"/>
          <w:tblInd w:w="103" w:type="dxa"/>
          <w:tblLayout w:type="fixed"/>
          <w:tblLook w:val="0000"/>
        </w:tblPrEx>
        <w:trPr>
          <w:trHeight w:val="270"/>
        </w:trPr>
        <w:tc>
          <w:tcPr>
            <w:tcW w:w="506" w:type="dxa"/>
            <w:vMerge w:val="restart"/>
            <w:tcBorders>
              <w:top w:val="single" w:sz="4" w:space="0" w:color="auto"/>
              <w:left w:val="single" w:sz="4" w:space="0" w:color="auto"/>
              <w:bottom w:val="single" w:sz="4" w:space="0" w:color="auto"/>
              <w:right w:val="single" w:sz="4" w:space="0" w:color="auto"/>
            </w:tcBorders>
            <w:shd w:val="clear" w:color="auto" w:fill="339966"/>
            <w:noWrap/>
            <w:vAlign w:val="center"/>
          </w:tcPr>
          <w:p w:rsidR="00337093">
            <w:pPr>
              <w:widowControl/>
              <w:jc w:val="center"/>
              <w:rPr>
                <w:rFonts w:ascii="宋体" w:hAnsi="宋体" w:cs="宋体"/>
                <w:b/>
                <w:bCs/>
                <w:kern w:val="0"/>
                <w:sz w:val="20"/>
              </w:rPr>
            </w:pPr>
            <w:r>
              <w:rPr>
                <w:rFonts w:ascii="宋体" w:hAnsi="宋体" w:cs="宋体" w:hint="eastAsia"/>
                <w:b/>
                <w:bCs/>
                <w:kern w:val="0"/>
                <w:sz w:val="20"/>
              </w:rPr>
              <w:t>序号</w:t>
            </w:r>
          </w:p>
        </w:tc>
        <w:tc>
          <w:tcPr>
            <w:tcW w:w="2094" w:type="dxa"/>
            <w:vMerge w:val="restart"/>
            <w:tcBorders>
              <w:top w:val="single" w:sz="4" w:space="0" w:color="auto"/>
              <w:left w:val="single" w:sz="4" w:space="0" w:color="auto"/>
              <w:bottom w:val="single" w:sz="4" w:space="0" w:color="auto"/>
              <w:right w:val="single" w:sz="4" w:space="0" w:color="auto"/>
            </w:tcBorders>
            <w:shd w:val="clear" w:color="auto" w:fill="339966"/>
            <w:noWrap/>
            <w:vAlign w:val="center"/>
          </w:tcPr>
          <w:p w:rsidR="00337093">
            <w:pPr>
              <w:widowControl/>
              <w:jc w:val="center"/>
              <w:rPr>
                <w:rFonts w:ascii="宋体" w:hAnsi="宋体" w:cs="宋体"/>
                <w:b/>
                <w:bCs/>
                <w:kern w:val="0"/>
                <w:sz w:val="20"/>
              </w:rPr>
            </w:pPr>
            <w:r>
              <w:rPr>
                <w:rFonts w:ascii="宋体" w:hAnsi="宋体" w:cs="宋体" w:hint="eastAsia"/>
                <w:b/>
                <w:bCs/>
                <w:kern w:val="0"/>
                <w:sz w:val="20"/>
              </w:rPr>
              <w:t>充电站位置</w:t>
            </w:r>
          </w:p>
        </w:tc>
        <w:tc>
          <w:tcPr>
            <w:tcW w:w="3252" w:type="dxa"/>
            <w:vMerge w:val="restart"/>
            <w:tcBorders>
              <w:top w:val="single" w:sz="4" w:space="0" w:color="auto"/>
              <w:left w:val="single" w:sz="4" w:space="0" w:color="auto"/>
              <w:bottom w:val="single" w:sz="4" w:space="0" w:color="auto"/>
              <w:right w:val="single" w:sz="4" w:space="0" w:color="auto"/>
            </w:tcBorders>
            <w:shd w:val="clear" w:color="auto" w:fill="339966"/>
            <w:noWrap/>
            <w:vAlign w:val="center"/>
          </w:tcPr>
          <w:p w:rsidR="00337093">
            <w:pPr>
              <w:widowControl/>
              <w:jc w:val="center"/>
              <w:rPr>
                <w:rFonts w:ascii="宋体" w:hAnsi="宋体" w:cs="宋体"/>
                <w:b/>
                <w:bCs/>
                <w:kern w:val="0"/>
                <w:sz w:val="20"/>
              </w:rPr>
            </w:pPr>
            <w:r>
              <w:rPr>
                <w:rFonts w:ascii="宋体" w:hAnsi="宋体" w:cs="宋体" w:hint="eastAsia"/>
                <w:b/>
                <w:bCs/>
                <w:kern w:val="0"/>
                <w:sz w:val="20"/>
              </w:rPr>
              <w:t>地址</w:t>
            </w:r>
          </w:p>
        </w:tc>
        <w:tc>
          <w:tcPr>
            <w:tcW w:w="3048" w:type="dxa"/>
            <w:gridSpan w:val="3"/>
            <w:tcBorders>
              <w:top w:val="single" w:sz="4" w:space="0" w:color="auto"/>
              <w:left w:val="nil"/>
              <w:bottom w:val="single" w:sz="4" w:space="0" w:color="auto"/>
              <w:right w:val="single" w:sz="4" w:space="0" w:color="000000"/>
            </w:tcBorders>
            <w:shd w:val="clear" w:color="auto" w:fill="339966"/>
            <w:noWrap/>
            <w:vAlign w:val="center"/>
          </w:tcPr>
          <w:p w:rsidR="00337093">
            <w:pPr>
              <w:widowControl/>
              <w:jc w:val="center"/>
              <w:rPr>
                <w:rFonts w:ascii="宋体" w:hAnsi="宋体" w:cs="宋体"/>
                <w:b/>
                <w:bCs/>
                <w:kern w:val="0"/>
                <w:sz w:val="20"/>
              </w:rPr>
            </w:pPr>
            <w:r>
              <w:rPr>
                <w:rFonts w:ascii="宋体" w:hAnsi="宋体" w:cs="宋体" w:hint="eastAsia"/>
                <w:b/>
                <w:bCs/>
                <w:kern w:val="0"/>
                <w:sz w:val="20"/>
              </w:rPr>
              <w:t>充电桩规模</w:t>
            </w:r>
          </w:p>
        </w:tc>
      </w:tr>
      <w:tr>
        <w:tblPrEx>
          <w:tblW w:w="0" w:type="auto"/>
          <w:tblInd w:w="103" w:type="dxa"/>
          <w:tblLayout w:type="fixed"/>
          <w:tblLook w:val="0000"/>
        </w:tblPrEx>
        <w:trPr>
          <w:trHeight w:val="240"/>
        </w:trPr>
        <w:tc>
          <w:tcPr>
            <w:tcW w:w="506" w:type="dxa"/>
            <w:vMerge/>
            <w:tcBorders>
              <w:top w:val="single" w:sz="4" w:space="0" w:color="auto"/>
              <w:left w:val="single" w:sz="4" w:space="0" w:color="auto"/>
              <w:bottom w:val="single" w:sz="4" w:space="0" w:color="auto"/>
              <w:right w:val="single" w:sz="4" w:space="0" w:color="auto"/>
            </w:tcBorders>
            <w:shd w:val="clear" w:color="auto" w:fill="auto"/>
            <w:vAlign w:val="center"/>
          </w:tcPr>
          <w:p w:rsidR="00337093">
            <w:pPr>
              <w:widowControl/>
              <w:jc w:val="center"/>
              <w:rPr>
                <w:rFonts w:ascii="宋体" w:hAnsi="宋体" w:cs="宋体"/>
                <w:b/>
                <w:bCs/>
                <w:kern w:val="0"/>
                <w:sz w:val="20"/>
              </w:rPr>
            </w:pPr>
          </w:p>
        </w:tc>
        <w:tc>
          <w:tcPr>
            <w:tcW w:w="2094" w:type="dxa"/>
            <w:vMerge/>
            <w:tcBorders>
              <w:top w:val="single" w:sz="4" w:space="0" w:color="auto"/>
              <w:left w:val="single" w:sz="4" w:space="0" w:color="auto"/>
              <w:bottom w:val="single" w:sz="4" w:space="0" w:color="auto"/>
              <w:right w:val="single" w:sz="4" w:space="0" w:color="auto"/>
            </w:tcBorders>
            <w:shd w:val="clear" w:color="auto" w:fill="auto"/>
            <w:vAlign w:val="center"/>
          </w:tcPr>
          <w:p w:rsidR="00337093">
            <w:pPr>
              <w:widowControl/>
              <w:jc w:val="center"/>
              <w:rPr>
                <w:rFonts w:ascii="宋体" w:hAnsi="宋体" w:cs="宋体"/>
                <w:b/>
                <w:bCs/>
                <w:kern w:val="0"/>
                <w:sz w:val="20"/>
              </w:rPr>
            </w:pPr>
          </w:p>
        </w:tc>
        <w:tc>
          <w:tcPr>
            <w:tcW w:w="3252" w:type="dxa"/>
            <w:vMerge/>
            <w:tcBorders>
              <w:top w:val="single" w:sz="4" w:space="0" w:color="auto"/>
              <w:left w:val="single" w:sz="4" w:space="0" w:color="auto"/>
              <w:bottom w:val="single" w:sz="4" w:space="0" w:color="auto"/>
              <w:right w:val="single" w:sz="4" w:space="0" w:color="auto"/>
            </w:tcBorders>
            <w:shd w:val="clear" w:color="auto" w:fill="auto"/>
            <w:vAlign w:val="center"/>
          </w:tcPr>
          <w:p w:rsidR="00337093">
            <w:pPr>
              <w:widowControl/>
              <w:jc w:val="center"/>
              <w:rPr>
                <w:rFonts w:ascii="宋体" w:hAnsi="宋体" w:cs="宋体"/>
                <w:b/>
                <w:bCs/>
                <w:kern w:val="0"/>
                <w:sz w:val="20"/>
              </w:rPr>
            </w:pPr>
          </w:p>
        </w:tc>
        <w:tc>
          <w:tcPr>
            <w:tcW w:w="1161" w:type="dxa"/>
            <w:tcBorders>
              <w:top w:val="nil"/>
              <w:left w:val="nil"/>
              <w:bottom w:val="single" w:sz="4" w:space="0" w:color="auto"/>
              <w:right w:val="single" w:sz="4" w:space="0" w:color="auto"/>
            </w:tcBorders>
            <w:shd w:val="clear" w:color="auto" w:fill="339966"/>
            <w:noWrap/>
            <w:vAlign w:val="center"/>
          </w:tcPr>
          <w:p w:rsidR="00337093">
            <w:pPr>
              <w:widowControl/>
              <w:jc w:val="center"/>
              <w:rPr>
                <w:rFonts w:ascii="宋体" w:hAnsi="宋体" w:cs="宋体"/>
                <w:b/>
                <w:bCs/>
                <w:kern w:val="0"/>
                <w:sz w:val="20"/>
              </w:rPr>
            </w:pPr>
            <w:r>
              <w:rPr>
                <w:rFonts w:ascii="宋体" w:hAnsi="宋体" w:cs="宋体" w:hint="eastAsia"/>
                <w:b/>
                <w:bCs/>
                <w:kern w:val="0"/>
                <w:sz w:val="20"/>
              </w:rPr>
              <w:t>直流（100kw）</w:t>
            </w:r>
          </w:p>
        </w:tc>
        <w:tc>
          <w:tcPr>
            <w:tcW w:w="871" w:type="dxa"/>
            <w:tcBorders>
              <w:top w:val="nil"/>
              <w:left w:val="nil"/>
              <w:bottom w:val="single" w:sz="4" w:space="0" w:color="auto"/>
              <w:right w:val="single" w:sz="4" w:space="0" w:color="auto"/>
            </w:tcBorders>
            <w:shd w:val="clear" w:color="auto" w:fill="339966"/>
            <w:noWrap/>
            <w:vAlign w:val="center"/>
          </w:tcPr>
          <w:p w:rsidR="00337093">
            <w:pPr>
              <w:widowControl/>
              <w:jc w:val="center"/>
              <w:rPr>
                <w:rFonts w:ascii="宋体" w:hAnsi="宋体" w:cs="宋体"/>
                <w:b/>
                <w:bCs/>
                <w:kern w:val="0"/>
                <w:sz w:val="20"/>
              </w:rPr>
            </w:pPr>
            <w:r>
              <w:rPr>
                <w:rFonts w:ascii="宋体" w:hAnsi="宋体" w:cs="宋体" w:hint="eastAsia"/>
                <w:b/>
                <w:bCs/>
                <w:kern w:val="0"/>
                <w:sz w:val="20"/>
              </w:rPr>
              <w:t>交流(7kw)</w:t>
            </w:r>
          </w:p>
        </w:tc>
        <w:tc>
          <w:tcPr>
            <w:tcW w:w="1016" w:type="dxa"/>
            <w:tcBorders>
              <w:top w:val="nil"/>
              <w:left w:val="nil"/>
              <w:bottom w:val="single" w:sz="4" w:space="0" w:color="auto"/>
              <w:right w:val="single" w:sz="4" w:space="0" w:color="auto"/>
            </w:tcBorders>
            <w:shd w:val="clear" w:color="auto" w:fill="339966"/>
            <w:noWrap/>
            <w:vAlign w:val="center"/>
          </w:tcPr>
          <w:p w:rsidR="00337093">
            <w:pPr>
              <w:widowControl/>
              <w:jc w:val="center"/>
              <w:rPr>
                <w:rFonts w:ascii="宋体" w:hAnsi="宋体" w:cs="宋体"/>
                <w:b/>
                <w:bCs/>
                <w:kern w:val="0"/>
                <w:sz w:val="20"/>
              </w:rPr>
            </w:pPr>
            <w:r>
              <w:rPr>
                <w:rFonts w:ascii="宋体" w:hAnsi="宋体" w:cs="宋体" w:hint="eastAsia"/>
                <w:b/>
                <w:bCs/>
                <w:kern w:val="0"/>
                <w:sz w:val="20"/>
              </w:rPr>
              <w:t>媒体型(7kw)</w:t>
            </w:r>
          </w:p>
        </w:tc>
      </w:tr>
      <w:tr>
        <w:tblPrEx>
          <w:tblW w:w="0" w:type="auto"/>
          <w:tblInd w:w="103" w:type="dxa"/>
          <w:tblLayout w:type="fixed"/>
          <w:tblLook w:val="0000"/>
        </w:tblPrEx>
        <w:trPr>
          <w:trHeight w:val="270"/>
        </w:trPr>
        <w:tc>
          <w:tcPr>
            <w:tcW w:w="506"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2094"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金玛特工厂店</w:t>
            </w:r>
          </w:p>
        </w:tc>
        <w:tc>
          <w:tcPr>
            <w:tcW w:w="3252"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工业路</w:t>
            </w:r>
          </w:p>
        </w:tc>
        <w:tc>
          <w:tcPr>
            <w:tcW w:w="116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87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30</w:t>
            </w:r>
          </w:p>
        </w:tc>
        <w:tc>
          <w:tcPr>
            <w:tcW w:w="1016"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r>
      <w:tr>
        <w:tblPrEx>
          <w:tblW w:w="0" w:type="auto"/>
          <w:tblInd w:w="103" w:type="dxa"/>
          <w:tblLayout w:type="fixed"/>
          <w:tblLook w:val="0000"/>
        </w:tblPrEx>
        <w:trPr>
          <w:trHeight w:val="240"/>
        </w:trPr>
        <w:tc>
          <w:tcPr>
            <w:tcW w:w="506"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c>
          <w:tcPr>
            <w:tcW w:w="2094"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万德隆购物广场（凤凰城店）</w:t>
            </w:r>
          </w:p>
        </w:tc>
        <w:tc>
          <w:tcPr>
            <w:tcW w:w="3252"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独山大道张衡东路口</w:t>
            </w:r>
          </w:p>
        </w:tc>
        <w:tc>
          <w:tcPr>
            <w:tcW w:w="116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87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c>
          <w:tcPr>
            <w:tcW w:w="1016"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r>
      <w:tr>
        <w:tblPrEx>
          <w:tblW w:w="0" w:type="auto"/>
          <w:tblInd w:w="103" w:type="dxa"/>
          <w:tblLayout w:type="fixed"/>
          <w:tblLook w:val="0000"/>
        </w:tblPrEx>
        <w:trPr>
          <w:trHeight w:val="240"/>
        </w:trPr>
        <w:tc>
          <w:tcPr>
            <w:tcW w:w="506"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3</w:t>
            </w:r>
          </w:p>
        </w:tc>
        <w:tc>
          <w:tcPr>
            <w:tcW w:w="2094"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万德隆购物广场</w:t>
            </w:r>
          </w:p>
        </w:tc>
        <w:tc>
          <w:tcPr>
            <w:tcW w:w="3252"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仲景北路范蠡东路口</w:t>
            </w:r>
          </w:p>
        </w:tc>
        <w:tc>
          <w:tcPr>
            <w:tcW w:w="116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87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c>
          <w:tcPr>
            <w:tcW w:w="1016"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r>
      <w:tr>
        <w:tblPrEx>
          <w:tblW w:w="0" w:type="auto"/>
          <w:tblInd w:w="103" w:type="dxa"/>
          <w:tblLayout w:type="fixed"/>
          <w:tblLook w:val="0000"/>
        </w:tblPrEx>
        <w:trPr>
          <w:trHeight w:val="240"/>
        </w:trPr>
        <w:tc>
          <w:tcPr>
            <w:tcW w:w="506"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c>
          <w:tcPr>
            <w:tcW w:w="2094" w:type="dxa"/>
            <w:tcBorders>
              <w:top w:val="nil"/>
              <w:left w:val="nil"/>
              <w:bottom w:val="single" w:sz="4" w:space="0" w:color="auto"/>
              <w:right w:val="single" w:sz="4" w:space="0" w:color="auto"/>
            </w:tcBorders>
            <w:shd w:val="clear" w:color="auto" w:fill="auto"/>
            <w:noWrap/>
            <w:vAlign w:val="center"/>
          </w:tcPr>
          <w:p w:rsidR="00337093">
            <w:pPr>
              <w:widowControl/>
              <w:spacing w:after="0"/>
              <w:jc w:val="center"/>
              <w:rPr>
                <w:rFonts w:ascii="宋体" w:hAnsi="宋体" w:cs="宋体"/>
                <w:kern w:val="0"/>
                <w:sz w:val="20"/>
              </w:rPr>
            </w:pPr>
          </w:p>
        </w:tc>
        <w:tc>
          <w:tcPr>
            <w:tcW w:w="3252"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人民路南航</w:t>
            </w:r>
          </w:p>
        </w:tc>
        <w:tc>
          <w:tcPr>
            <w:tcW w:w="116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87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c>
          <w:tcPr>
            <w:tcW w:w="1016"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r>
    </w:tbl>
    <w:p>
      <w:pPr>
        <w:sectPr>
          <w:headerReference w:type="default" r:id="rId126"/>
          <w:footerReference w:type="even" r:id="rId127"/>
          <w:footerReference w:type="default" r:id="rId128"/>
          <w:headerReference w:type="first" r:id="rId129"/>
          <w:type w:val="nextPage"/>
          <w:pgSz w:w="11906" w:h="16838"/>
          <w:pgMar w:top="1418" w:right="1418" w:bottom="1418" w:left="1701" w:header="964" w:footer="964" w:gutter="0"/>
          <w:pgNumType w:fmt="numberInDash" w:start="29"/>
          <w:cols w:space="720"/>
          <w:titlePg w:val="0"/>
          <w:docGrid w:type="linesAndChars" w:linePitch="291" w:charSpace="3135"/>
        </w:sectPr>
      </w:pPr>
    </w:p>
    <w:tbl>
      <w:tblPr>
        <w:tblStyle w:val="TableNormal"/>
        <w:tblW w:w="0" w:type="auto"/>
        <w:tblInd w:w="103" w:type="dxa"/>
        <w:tblLayout w:type="fixed"/>
        <w:tblLook w:val="0000"/>
      </w:tblPr>
      <w:tblGrid>
        <w:gridCol w:w="506"/>
        <w:gridCol w:w="2094"/>
        <w:gridCol w:w="3252"/>
        <w:gridCol w:w="1161"/>
        <w:gridCol w:w="871"/>
        <w:gridCol w:w="1016"/>
      </w:tblGrid>
      <w:tr>
        <w:tblPrEx>
          <w:tblW w:w="0" w:type="auto"/>
          <w:tblInd w:w="103" w:type="dxa"/>
          <w:tblLayout w:type="fixed"/>
          <w:tblLook w:val="0000"/>
        </w:tblPrEx>
        <w:trPr>
          <w:trHeight w:val="240"/>
        </w:trPr>
        <w:tc>
          <w:tcPr>
            <w:tcW w:w="506" w:type="dxa"/>
            <w:tcBorders>
              <w:top w:val="nil"/>
              <w:left w:val="single" w:sz="4" w:space="0" w:color="auto"/>
              <w:bottom w:val="single" w:sz="4" w:space="0" w:color="auto"/>
              <w:right w:val="single" w:sz="4" w:space="0" w:color="auto"/>
            </w:tcBorders>
            <w:shd w:val="clear" w:color="auto" w:fill="auto"/>
            <w:noWrap/>
            <w:vAlign w:val="center"/>
          </w:tcPr>
          <w:p/>
        </w:tc>
        <w:tc>
          <w:tcPr>
            <w:tcW w:w="2094" w:type="dxa"/>
            <w:tcBorders>
              <w:top w:val="nil"/>
              <w:left w:val="nil"/>
              <w:bottom w:val="single" w:sz="4" w:space="0" w:color="auto"/>
              <w:right w:val="single" w:sz="4" w:space="0" w:color="auto"/>
            </w:tcBorders>
            <w:shd w:val="clear" w:color="auto" w:fill="auto"/>
            <w:noWrap/>
            <w:vAlign w:val="center"/>
          </w:tcPr>
          <w:p w:rsidR="00337093">
            <w:pPr>
              <w:widowControl/>
              <w:spacing w:before="0"/>
              <w:jc w:val="center"/>
              <w:rPr>
                <w:rFonts w:ascii="宋体" w:hAnsi="宋体" w:cs="宋体"/>
                <w:kern w:val="0"/>
                <w:sz w:val="20"/>
              </w:rPr>
            </w:pPr>
            <w:r>
              <w:rPr>
                <w:rFonts w:ascii="宋体" w:hAnsi="宋体" w:cs="宋体" w:hint="eastAsia"/>
                <w:kern w:val="0"/>
                <w:sz w:val="20"/>
              </w:rPr>
              <w:t>万德隆服饰电气广场</w:t>
            </w:r>
          </w:p>
        </w:tc>
        <w:tc>
          <w:tcPr>
            <w:tcW w:w="3252" w:type="dxa"/>
            <w:tcBorders>
              <w:top w:val="nil"/>
              <w:left w:val="nil"/>
              <w:bottom w:val="single" w:sz="4" w:space="0" w:color="auto"/>
              <w:right w:val="single" w:sz="4" w:space="0" w:color="auto"/>
            </w:tcBorders>
            <w:shd w:val="clear" w:color="auto" w:fill="auto"/>
            <w:noWrap/>
            <w:vAlign w:val="center"/>
          </w:tcPr>
          <w:p/>
        </w:tc>
        <w:tc>
          <w:tcPr>
            <w:tcW w:w="1161" w:type="dxa"/>
            <w:tcBorders>
              <w:top w:val="nil"/>
              <w:left w:val="nil"/>
              <w:bottom w:val="single" w:sz="4" w:space="0" w:color="auto"/>
              <w:right w:val="single" w:sz="4" w:space="0" w:color="auto"/>
            </w:tcBorders>
            <w:shd w:val="clear" w:color="auto" w:fill="auto"/>
            <w:noWrap/>
            <w:vAlign w:val="center"/>
          </w:tcPr>
          <w:p/>
        </w:tc>
        <w:tc>
          <w:tcPr>
            <w:tcW w:w="871" w:type="dxa"/>
            <w:tcBorders>
              <w:top w:val="nil"/>
              <w:left w:val="nil"/>
              <w:bottom w:val="single" w:sz="4" w:space="0" w:color="auto"/>
              <w:right w:val="single" w:sz="4" w:space="0" w:color="auto"/>
            </w:tcBorders>
            <w:shd w:val="clear" w:color="auto" w:fill="auto"/>
            <w:noWrap/>
            <w:vAlign w:val="center"/>
          </w:tcPr>
          <w:p/>
        </w:tc>
        <w:tc>
          <w:tcPr>
            <w:tcW w:w="1016" w:type="dxa"/>
            <w:tcBorders>
              <w:top w:val="nil"/>
              <w:left w:val="nil"/>
              <w:bottom w:val="single" w:sz="4" w:space="0" w:color="auto"/>
              <w:right w:val="single" w:sz="4" w:space="0" w:color="auto"/>
            </w:tcBorders>
            <w:shd w:val="clear" w:color="auto" w:fill="CCFFCC"/>
            <w:noWrap/>
            <w:vAlign w:val="center"/>
          </w:tcPr>
          <w:p/>
        </w:tc>
      </w:tr>
      <w:tr>
        <w:tblPrEx>
          <w:tblW w:w="0" w:type="auto"/>
          <w:tblInd w:w="103" w:type="dxa"/>
          <w:tblLayout w:type="fixed"/>
          <w:tblLook w:val="0000"/>
        </w:tblPrEx>
        <w:trPr>
          <w:trHeight w:val="240"/>
        </w:trPr>
        <w:tc>
          <w:tcPr>
            <w:tcW w:w="506"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5</w:t>
            </w:r>
          </w:p>
        </w:tc>
        <w:tc>
          <w:tcPr>
            <w:tcW w:w="2094"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万德隆生活广场（文化路店）</w:t>
            </w:r>
          </w:p>
        </w:tc>
        <w:tc>
          <w:tcPr>
            <w:tcW w:w="3252"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文化路1036号</w:t>
            </w:r>
          </w:p>
        </w:tc>
        <w:tc>
          <w:tcPr>
            <w:tcW w:w="116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87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c>
          <w:tcPr>
            <w:tcW w:w="1016"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r>
      <w:tr>
        <w:tblPrEx>
          <w:tblW w:w="0" w:type="auto"/>
          <w:tblInd w:w="103" w:type="dxa"/>
          <w:tblLayout w:type="fixed"/>
          <w:tblLook w:val="0000"/>
        </w:tblPrEx>
        <w:trPr>
          <w:trHeight w:val="240"/>
        </w:trPr>
        <w:tc>
          <w:tcPr>
            <w:tcW w:w="506"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c>
          <w:tcPr>
            <w:tcW w:w="2094"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万德隆（南师店）</w:t>
            </w:r>
          </w:p>
        </w:tc>
        <w:tc>
          <w:tcPr>
            <w:tcW w:w="3252"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卧龙路1856号</w:t>
            </w:r>
          </w:p>
        </w:tc>
        <w:tc>
          <w:tcPr>
            <w:tcW w:w="116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87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10</w:t>
            </w:r>
          </w:p>
        </w:tc>
        <w:tc>
          <w:tcPr>
            <w:tcW w:w="1016"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r>
      <w:tr>
        <w:tblPrEx>
          <w:tblW w:w="0" w:type="auto"/>
          <w:tblInd w:w="103" w:type="dxa"/>
          <w:tblLayout w:type="fixed"/>
          <w:tblLook w:val="0000"/>
        </w:tblPrEx>
        <w:trPr>
          <w:trHeight w:val="240"/>
        </w:trPr>
        <w:tc>
          <w:tcPr>
            <w:tcW w:w="506"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7</w:t>
            </w:r>
          </w:p>
        </w:tc>
        <w:tc>
          <w:tcPr>
            <w:tcW w:w="2094"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万德隆超市（理工店）</w:t>
            </w:r>
          </w:p>
        </w:tc>
        <w:tc>
          <w:tcPr>
            <w:tcW w:w="3252"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长江中路</w:t>
            </w:r>
          </w:p>
        </w:tc>
        <w:tc>
          <w:tcPr>
            <w:tcW w:w="116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87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10</w:t>
            </w:r>
          </w:p>
        </w:tc>
        <w:tc>
          <w:tcPr>
            <w:tcW w:w="1016"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r>
      <w:tr>
        <w:tblPrEx>
          <w:tblW w:w="0" w:type="auto"/>
          <w:tblInd w:w="103" w:type="dxa"/>
          <w:tblLayout w:type="fixed"/>
          <w:tblLook w:val="0000"/>
        </w:tblPrEx>
        <w:trPr>
          <w:trHeight w:val="240"/>
        </w:trPr>
        <w:tc>
          <w:tcPr>
            <w:tcW w:w="506"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8</w:t>
            </w:r>
          </w:p>
        </w:tc>
        <w:tc>
          <w:tcPr>
            <w:tcW w:w="2094"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盛德美（南航店）</w:t>
            </w:r>
          </w:p>
        </w:tc>
        <w:tc>
          <w:tcPr>
            <w:tcW w:w="3252"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人民路南航大厦</w:t>
            </w:r>
          </w:p>
        </w:tc>
        <w:tc>
          <w:tcPr>
            <w:tcW w:w="116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87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c>
          <w:tcPr>
            <w:tcW w:w="1016"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r>
      <w:tr>
        <w:tblPrEx>
          <w:tblW w:w="0" w:type="auto"/>
          <w:tblInd w:w="103" w:type="dxa"/>
          <w:tblLayout w:type="fixed"/>
          <w:tblLook w:val="0000"/>
        </w:tblPrEx>
        <w:trPr>
          <w:trHeight w:val="240"/>
        </w:trPr>
        <w:tc>
          <w:tcPr>
            <w:tcW w:w="506"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9</w:t>
            </w:r>
          </w:p>
        </w:tc>
        <w:tc>
          <w:tcPr>
            <w:tcW w:w="2094"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盛德美购物广场（高新店）</w:t>
            </w:r>
          </w:p>
        </w:tc>
        <w:tc>
          <w:tcPr>
            <w:tcW w:w="3252"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人民路两厢路口</w:t>
            </w:r>
          </w:p>
        </w:tc>
        <w:tc>
          <w:tcPr>
            <w:tcW w:w="116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87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10</w:t>
            </w:r>
          </w:p>
        </w:tc>
        <w:tc>
          <w:tcPr>
            <w:tcW w:w="1016"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r>
      <w:tr>
        <w:tblPrEx>
          <w:tblW w:w="0" w:type="auto"/>
          <w:tblInd w:w="103" w:type="dxa"/>
          <w:tblLayout w:type="fixed"/>
          <w:tblLook w:val="0000"/>
        </w:tblPrEx>
        <w:trPr>
          <w:trHeight w:val="240"/>
        </w:trPr>
        <w:tc>
          <w:tcPr>
            <w:tcW w:w="506"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10</w:t>
            </w:r>
          </w:p>
        </w:tc>
        <w:tc>
          <w:tcPr>
            <w:tcW w:w="2094"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盛德美（裕华店）</w:t>
            </w:r>
          </w:p>
        </w:tc>
        <w:tc>
          <w:tcPr>
            <w:tcW w:w="3252"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卧龙路1856号</w:t>
            </w:r>
          </w:p>
        </w:tc>
        <w:tc>
          <w:tcPr>
            <w:tcW w:w="116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87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30</w:t>
            </w:r>
          </w:p>
        </w:tc>
        <w:tc>
          <w:tcPr>
            <w:tcW w:w="1016"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r>
      <w:tr>
        <w:tblPrEx>
          <w:tblW w:w="0" w:type="auto"/>
          <w:tblInd w:w="103" w:type="dxa"/>
          <w:tblLayout w:type="fixed"/>
          <w:tblLook w:val="0000"/>
        </w:tblPrEx>
        <w:trPr>
          <w:trHeight w:val="240"/>
        </w:trPr>
        <w:tc>
          <w:tcPr>
            <w:tcW w:w="506"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11</w:t>
            </w:r>
          </w:p>
        </w:tc>
        <w:tc>
          <w:tcPr>
            <w:tcW w:w="2094"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丹尼斯百货(滨河店）</w:t>
            </w:r>
          </w:p>
        </w:tc>
        <w:tc>
          <w:tcPr>
            <w:tcW w:w="3252"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XX市滨河路与解放路交叉口</w:t>
            </w:r>
          </w:p>
        </w:tc>
        <w:tc>
          <w:tcPr>
            <w:tcW w:w="116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87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c>
          <w:tcPr>
            <w:tcW w:w="1016"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r>
      <w:tr>
        <w:tblPrEx>
          <w:tblW w:w="0" w:type="auto"/>
          <w:tblInd w:w="103" w:type="dxa"/>
          <w:tblLayout w:type="fixed"/>
          <w:tblLook w:val="0000"/>
        </w:tblPrEx>
        <w:trPr>
          <w:trHeight w:val="240"/>
        </w:trPr>
        <w:tc>
          <w:tcPr>
            <w:tcW w:w="506"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12</w:t>
            </w:r>
          </w:p>
        </w:tc>
        <w:tc>
          <w:tcPr>
            <w:tcW w:w="2094"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新华城市广场/丹尼斯</w:t>
            </w:r>
          </w:p>
        </w:tc>
        <w:tc>
          <w:tcPr>
            <w:tcW w:w="3252"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新华路工业路口</w:t>
            </w:r>
          </w:p>
        </w:tc>
        <w:tc>
          <w:tcPr>
            <w:tcW w:w="116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87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40</w:t>
            </w:r>
          </w:p>
        </w:tc>
        <w:tc>
          <w:tcPr>
            <w:tcW w:w="1016"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8</w:t>
            </w:r>
          </w:p>
        </w:tc>
      </w:tr>
      <w:tr>
        <w:tblPrEx>
          <w:tblW w:w="0" w:type="auto"/>
          <w:tblInd w:w="103" w:type="dxa"/>
          <w:tblLayout w:type="fixed"/>
          <w:tblLook w:val="0000"/>
        </w:tblPrEx>
        <w:trPr>
          <w:trHeight w:val="240"/>
        </w:trPr>
        <w:tc>
          <w:tcPr>
            <w:tcW w:w="506"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13</w:t>
            </w:r>
          </w:p>
        </w:tc>
        <w:tc>
          <w:tcPr>
            <w:tcW w:w="2094"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银基购物中心</w:t>
            </w:r>
          </w:p>
        </w:tc>
        <w:tc>
          <w:tcPr>
            <w:tcW w:w="3252"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文化路与八一路交汇处</w:t>
            </w:r>
          </w:p>
        </w:tc>
        <w:tc>
          <w:tcPr>
            <w:tcW w:w="116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87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40</w:t>
            </w:r>
          </w:p>
        </w:tc>
        <w:tc>
          <w:tcPr>
            <w:tcW w:w="1016"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8</w:t>
            </w:r>
          </w:p>
        </w:tc>
      </w:tr>
      <w:tr>
        <w:tblPrEx>
          <w:tblW w:w="0" w:type="auto"/>
          <w:tblInd w:w="103" w:type="dxa"/>
          <w:tblLayout w:type="fixed"/>
          <w:tblLook w:val="0000"/>
        </w:tblPrEx>
        <w:trPr>
          <w:trHeight w:val="240"/>
        </w:trPr>
        <w:tc>
          <w:tcPr>
            <w:tcW w:w="506"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14</w:t>
            </w:r>
          </w:p>
        </w:tc>
        <w:tc>
          <w:tcPr>
            <w:tcW w:w="2094"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大统百货</w:t>
            </w:r>
          </w:p>
        </w:tc>
        <w:tc>
          <w:tcPr>
            <w:tcW w:w="3252"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人民路与中州中路交叉口</w:t>
            </w:r>
          </w:p>
        </w:tc>
        <w:tc>
          <w:tcPr>
            <w:tcW w:w="116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87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30</w:t>
            </w:r>
          </w:p>
        </w:tc>
        <w:tc>
          <w:tcPr>
            <w:tcW w:w="1016"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r>
      <w:tr>
        <w:tblPrEx>
          <w:tblW w:w="0" w:type="auto"/>
          <w:tblInd w:w="103" w:type="dxa"/>
          <w:tblLayout w:type="fixed"/>
          <w:tblLook w:val="0000"/>
        </w:tblPrEx>
        <w:trPr>
          <w:trHeight w:val="240"/>
        </w:trPr>
        <w:tc>
          <w:tcPr>
            <w:tcW w:w="506"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15</w:t>
            </w:r>
          </w:p>
        </w:tc>
        <w:tc>
          <w:tcPr>
            <w:tcW w:w="2094"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凯旋时代购物广场</w:t>
            </w:r>
          </w:p>
        </w:tc>
        <w:tc>
          <w:tcPr>
            <w:tcW w:w="3252"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建设路与明山路交汇处</w:t>
            </w:r>
          </w:p>
        </w:tc>
        <w:tc>
          <w:tcPr>
            <w:tcW w:w="116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87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30</w:t>
            </w:r>
          </w:p>
        </w:tc>
        <w:tc>
          <w:tcPr>
            <w:tcW w:w="1016"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r>
      <w:tr>
        <w:tblPrEx>
          <w:tblW w:w="0" w:type="auto"/>
          <w:tblInd w:w="103" w:type="dxa"/>
          <w:tblLayout w:type="fixed"/>
          <w:tblLook w:val="0000"/>
        </w:tblPrEx>
        <w:trPr>
          <w:trHeight w:val="240"/>
        </w:trPr>
        <w:tc>
          <w:tcPr>
            <w:tcW w:w="506"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16</w:t>
            </w:r>
          </w:p>
        </w:tc>
        <w:tc>
          <w:tcPr>
            <w:tcW w:w="2094"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盛世龙源 （苏宁电器）</w:t>
            </w:r>
          </w:p>
        </w:tc>
        <w:tc>
          <w:tcPr>
            <w:tcW w:w="3252"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XX市卧龙区建设中路与文化路交汇处</w:t>
            </w:r>
          </w:p>
        </w:tc>
        <w:tc>
          <w:tcPr>
            <w:tcW w:w="116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87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c>
          <w:tcPr>
            <w:tcW w:w="1016"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r>
      <w:tr>
        <w:tblPrEx>
          <w:tblW w:w="0" w:type="auto"/>
          <w:tblInd w:w="103" w:type="dxa"/>
          <w:tblLayout w:type="fixed"/>
          <w:tblLook w:val="0000"/>
        </w:tblPrEx>
        <w:trPr>
          <w:trHeight w:val="240"/>
        </w:trPr>
        <w:tc>
          <w:tcPr>
            <w:tcW w:w="506"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17</w:t>
            </w:r>
          </w:p>
        </w:tc>
        <w:tc>
          <w:tcPr>
            <w:tcW w:w="2094"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育阳.新都汇国际广场</w:t>
            </w:r>
          </w:p>
        </w:tc>
        <w:tc>
          <w:tcPr>
            <w:tcW w:w="3252"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XX市宛城区人民南路与光武中路交叉口西北角</w:t>
            </w:r>
          </w:p>
        </w:tc>
        <w:tc>
          <w:tcPr>
            <w:tcW w:w="116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87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c>
          <w:tcPr>
            <w:tcW w:w="1016"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r>
      <w:tr>
        <w:tblPrEx>
          <w:tblW w:w="0" w:type="auto"/>
          <w:tblInd w:w="103" w:type="dxa"/>
          <w:tblLayout w:type="fixed"/>
          <w:tblLook w:val="0000"/>
        </w:tblPrEx>
        <w:trPr>
          <w:trHeight w:val="255"/>
        </w:trPr>
        <w:tc>
          <w:tcPr>
            <w:tcW w:w="506"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18</w:t>
            </w:r>
          </w:p>
        </w:tc>
        <w:tc>
          <w:tcPr>
            <w:tcW w:w="2094"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XX行政服务大厅</w:t>
            </w:r>
          </w:p>
        </w:tc>
        <w:tc>
          <w:tcPr>
            <w:tcW w:w="3252"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XX市南都路和范蠡路交叉口南</w:t>
            </w:r>
            <w:smartTag w:uri="urn:schemas-microsoft-com:office:smarttags" w:element="chmetcnv">
              <w:smartTagPr>
                <w:attr w:name="HasSpace" w:val="False"/>
                <w:attr w:name="Negative" w:val="False"/>
                <w:attr w:name="NumberType" w:val="1"/>
                <w:attr w:name="SourceValue" w:val="200"/>
                <w:attr w:name="TCSC" w:val="0"/>
                <w:attr w:name="UnitName" w:val="米"/>
              </w:smartTagPr>
              <w:r>
                <w:rPr>
                  <w:rFonts w:ascii="Arial" w:hAnsi="Arial" w:cs="Arial"/>
                  <w:kern w:val="0"/>
                  <w:sz w:val="20"/>
                </w:rPr>
                <w:t>200</w:t>
              </w:r>
              <w:r>
                <w:rPr>
                  <w:rFonts w:ascii="宋体" w:hAnsi="宋体" w:cs="宋体" w:hint="eastAsia"/>
                  <w:kern w:val="0"/>
                  <w:sz w:val="20"/>
                </w:rPr>
                <w:t>米</w:t>
              </w:r>
            </w:smartTag>
            <w:r>
              <w:rPr>
                <w:rFonts w:ascii="宋体" w:hAnsi="宋体" w:cs="宋体" w:hint="eastAsia"/>
                <w:kern w:val="0"/>
                <w:sz w:val="20"/>
              </w:rPr>
              <w:t>路东</w:t>
            </w:r>
          </w:p>
        </w:tc>
        <w:tc>
          <w:tcPr>
            <w:tcW w:w="116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c>
          <w:tcPr>
            <w:tcW w:w="87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50</w:t>
            </w:r>
          </w:p>
        </w:tc>
        <w:tc>
          <w:tcPr>
            <w:tcW w:w="1016"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10</w:t>
            </w:r>
          </w:p>
        </w:tc>
      </w:tr>
      <w:tr>
        <w:tblPrEx>
          <w:tblW w:w="0" w:type="auto"/>
          <w:tblInd w:w="103" w:type="dxa"/>
          <w:tblLayout w:type="fixed"/>
          <w:tblLook w:val="0000"/>
        </w:tblPrEx>
        <w:trPr>
          <w:trHeight w:val="255"/>
        </w:trPr>
        <w:tc>
          <w:tcPr>
            <w:tcW w:w="506"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19</w:t>
            </w:r>
          </w:p>
        </w:tc>
        <w:tc>
          <w:tcPr>
            <w:tcW w:w="2094"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XX市公安局</w:t>
            </w:r>
          </w:p>
        </w:tc>
        <w:tc>
          <w:tcPr>
            <w:tcW w:w="3252"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XX市张衡路</w:t>
            </w:r>
            <w:r>
              <w:rPr>
                <w:rFonts w:ascii="Arial" w:hAnsi="Arial" w:cs="Arial"/>
                <w:kern w:val="0"/>
                <w:sz w:val="20"/>
              </w:rPr>
              <w:t>1</w:t>
            </w:r>
            <w:r>
              <w:rPr>
                <w:rFonts w:ascii="宋体" w:hAnsi="宋体" w:cs="宋体" w:hint="eastAsia"/>
                <w:kern w:val="0"/>
                <w:sz w:val="20"/>
              </w:rPr>
              <w:t>号</w:t>
            </w:r>
          </w:p>
        </w:tc>
        <w:tc>
          <w:tcPr>
            <w:tcW w:w="116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c>
          <w:tcPr>
            <w:tcW w:w="87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30</w:t>
            </w:r>
          </w:p>
        </w:tc>
        <w:tc>
          <w:tcPr>
            <w:tcW w:w="1016"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r>
      <w:tr>
        <w:tblPrEx>
          <w:tblW w:w="0" w:type="auto"/>
          <w:tblInd w:w="103" w:type="dxa"/>
          <w:tblLayout w:type="fixed"/>
          <w:tblLook w:val="0000"/>
        </w:tblPrEx>
        <w:trPr>
          <w:trHeight w:val="240"/>
        </w:trPr>
        <w:tc>
          <w:tcPr>
            <w:tcW w:w="506"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c>
          <w:tcPr>
            <w:tcW w:w="2094"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XX市法院</w:t>
            </w:r>
          </w:p>
        </w:tc>
        <w:tc>
          <w:tcPr>
            <w:tcW w:w="3252"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XX市新华东路1428号</w:t>
            </w:r>
          </w:p>
        </w:tc>
        <w:tc>
          <w:tcPr>
            <w:tcW w:w="116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87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c>
          <w:tcPr>
            <w:tcW w:w="1016"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r>
      <w:tr>
        <w:tblPrEx>
          <w:tblW w:w="0" w:type="auto"/>
          <w:tblInd w:w="103" w:type="dxa"/>
          <w:tblLayout w:type="fixed"/>
          <w:tblLook w:val="0000"/>
        </w:tblPrEx>
        <w:trPr>
          <w:trHeight w:val="240"/>
        </w:trPr>
        <w:tc>
          <w:tcPr>
            <w:tcW w:w="506"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21</w:t>
            </w:r>
          </w:p>
        </w:tc>
        <w:tc>
          <w:tcPr>
            <w:tcW w:w="2094"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XX检察院</w:t>
            </w:r>
          </w:p>
        </w:tc>
        <w:tc>
          <w:tcPr>
            <w:tcW w:w="3252"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XX市信臣东路与孔明北路交叉口</w:t>
            </w:r>
          </w:p>
        </w:tc>
        <w:tc>
          <w:tcPr>
            <w:tcW w:w="116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87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c>
          <w:tcPr>
            <w:tcW w:w="1016"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r>
      <w:tr>
        <w:tblPrEx>
          <w:tblW w:w="0" w:type="auto"/>
          <w:tblInd w:w="103" w:type="dxa"/>
          <w:tblLayout w:type="fixed"/>
          <w:tblLook w:val="0000"/>
        </w:tblPrEx>
        <w:trPr>
          <w:trHeight w:val="240"/>
        </w:trPr>
        <w:tc>
          <w:tcPr>
            <w:tcW w:w="506"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22</w:t>
            </w:r>
          </w:p>
        </w:tc>
        <w:tc>
          <w:tcPr>
            <w:tcW w:w="2094"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高新区政府</w:t>
            </w:r>
          </w:p>
        </w:tc>
        <w:tc>
          <w:tcPr>
            <w:tcW w:w="3252"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XX市两相路与明山路交叉口</w:t>
            </w:r>
          </w:p>
        </w:tc>
        <w:tc>
          <w:tcPr>
            <w:tcW w:w="116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87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c>
          <w:tcPr>
            <w:tcW w:w="1016"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r>
      <w:tr>
        <w:tblPrEx>
          <w:tblW w:w="0" w:type="auto"/>
          <w:tblInd w:w="103" w:type="dxa"/>
          <w:tblLayout w:type="fixed"/>
          <w:tblLook w:val="0000"/>
        </w:tblPrEx>
        <w:trPr>
          <w:trHeight w:val="240"/>
        </w:trPr>
        <w:tc>
          <w:tcPr>
            <w:tcW w:w="506"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23</w:t>
            </w:r>
          </w:p>
        </w:tc>
        <w:tc>
          <w:tcPr>
            <w:tcW w:w="2094"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宛城区政府</w:t>
            </w:r>
          </w:p>
        </w:tc>
        <w:tc>
          <w:tcPr>
            <w:tcW w:w="3252"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XX市建设中路666号</w:t>
            </w:r>
          </w:p>
        </w:tc>
        <w:tc>
          <w:tcPr>
            <w:tcW w:w="116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87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c>
          <w:tcPr>
            <w:tcW w:w="1016"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r>
      <w:tr>
        <w:tblPrEx>
          <w:tblW w:w="0" w:type="auto"/>
          <w:tblInd w:w="103" w:type="dxa"/>
          <w:tblLayout w:type="fixed"/>
          <w:tblLook w:val="0000"/>
        </w:tblPrEx>
        <w:trPr>
          <w:trHeight w:val="240"/>
        </w:trPr>
        <w:tc>
          <w:tcPr>
            <w:tcW w:w="506"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24</w:t>
            </w:r>
          </w:p>
        </w:tc>
        <w:tc>
          <w:tcPr>
            <w:tcW w:w="2094"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卧龙区政府</w:t>
            </w:r>
          </w:p>
        </w:tc>
        <w:tc>
          <w:tcPr>
            <w:tcW w:w="3252"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XX市七一路161号</w:t>
            </w:r>
          </w:p>
        </w:tc>
        <w:tc>
          <w:tcPr>
            <w:tcW w:w="116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87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c>
          <w:tcPr>
            <w:tcW w:w="1016"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r>
      <w:tr>
        <w:tblPrEx>
          <w:tblW w:w="0" w:type="auto"/>
          <w:tblInd w:w="103" w:type="dxa"/>
          <w:tblLayout w:type="fixed"/>
          <w:tblLook w:val="0000"/>
        </w:tblPrEx>
        <w:trPr>
          <w:trHeight w:val="240"/>
        </w:trPr>
        <w:tc>
          <w:tcPr>
            <w:tcW w:w="506"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25</w:t>
            </w:r>
          </w:p>
        </w:tc>
        <w:tc>
          <w:tcPr>
            <w:tcW w:w="2094"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XX市政协</w:t>
            </w:r>
          </w:p>
        </w:tc>
        <w:tc>
          <w:tcPr>
            <w:tcW w:w="3252"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XX市人民北路428号</w:t>
            </w:r>
          </w:p>
        </w:tc>
        <w:tc>
          <w:tcPr>
            <w:tcW w:w="116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87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30</w:t>
            </w:r>
          </w:p>
        </w:tc>
        <w:tc>
          <w:tcPr>
            <w:tcW w:w="1016"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r>
      <w:tr>
        <w:tblPrEx>
          <w:tblW w:w="0" w:type="auto"/>
          <w:tblInd w:w="103" w:type="dxa"/>
          <w:tblLayout w:type="fixed"/>
          <w:tblLook w:val="0000"/>
        </w:tblPrEx>
        <w:trPr>
          <w:trHeight w:val="240"/>
        </w:trPr>
        <w:tc>
          <w:tcPr>
            <w:tcW w:w="506"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26</w:t>
            </w:r>
          </w:p>
        </w:tc>
        <w:tc>
          <w:tcPr>
            <w:tcW w:w="2094"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XX市人大</w:t>
            </w:r>
          </w:p>
        </w:tc>
        <w:tc>
          <w:tcPr>
            <w:tcW w:w="3252"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XX市人民北路388号</w:t>
            </w:r>
          </w:p>
        </w:tc>
        <w:tc>
          <w:tcPr>
            <w:tcW w:w="116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87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30</w:t>
            </w:r>
          </w:p>
        </w:tc>
        <w:tc>
          <w:tcPr>
            <w:tcW w:w="1016"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r>
      <w:tr>
        <w:tblPrEx>
          <w:tblW w:w="0" w:type="auto"/>
          <w:tblInd w:w="103" w:type="dxa"/>
          <w:tblLayout w:type="fixed"/>
          <w:tblLook w:val="0000"/>
        </w:tblPrEx>
        <w:trPr>
          <w:trHeight w:val="240"/>
        </w:trPr>
        <w:tc>
          <w:tcPr>
            <w:tcW w:w="506"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27</w:t>
            </w:r>
          </w:p>
        </w:tc>
        <w:tc>
          <w:tcPr>
            <w:tcW w:w="2094"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XX市政府</w:t>
            </w:r>
          </w:p>
        </w:tc>
        <w:tc>
          <w:tcPr>
            <w:tcW w:w="3252"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XX市中州中路291号</w:t>
            </w:r>
          </w:p>
        </w:tc>
        <w:tc>
          <w:tcPr>
            <w:tcW w:w="116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c>
          <w:tcPr>
            <w:tcW w:w="87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30</w:t>
            </w:r>
          </w:p>
        </w:tc>
        <w:tc>
          <w:tcPr>
            <w:tcW w:w="1016"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r>
      <w:tr>
        <w:tblPrEx>
          <w:tblW w:w="0" w:type="auto"/>
          <w:tblInd w:w="103" w:type="dxa"/>
          <w:tblLayout w:type="fixed"/>
          <w:tblLook w:val="0000"/>
        </w:tblPrEx>
        <w:trPr>
          <w:trHeight w:val="240"/>
        </w:trPr>
        <w:tc>
          <w:tcPr>
            <w:tcW w:w="506"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28</w:t>
            </w:r>
          </w:p>
        </w:tc>
        <w:tc>
          <w:tcPr>
            <w:tcW w:w="2094"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XX市委</w:t>
            </w:r>
          </w:p>
        </w:tc>
        <w:tc>
          <w:tcPr>
            <w:tcW w:w="3252"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XX市七一路53号</w:t>
            </w:r>
          </w:p>
        </w:tc>
        <w:tc>
          <w:tcPr>
            <w:tcW w:w="116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87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30</w:t>
            </w:r>
          </w:p>
        </w:tc>
        <w:tc>
          <w:tcPr>
            <w:tcW w:w="1016"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r>
      <w:tr>
        <w:tblPrEx>
          <w:tblW w:w="0" w:type="auto"/>
          <w:tblInd w:w="103" w:type="dxa"/>
          <w:tblLayout w:type="fixed"/>
          <w:tblLook w:val="0000"/>
        </w:tblPrEx>
        <w:trPr>
          <w:trHeight w:val="240"/>
        </w:trPr>
        <w:tc>
          <w:tcPr>
            <w:tcW w:w="506"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29</w:t>
            </w:r>
          </w:p>
        </w:tc>
        <w:tc>
          <w:tcPr>
            <w:tcW w:w="2094"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XX市工商局</w:t>
            </w:r>
          </w:p>
        </w:tc>
        <w:tc>
          <w:tcPr>
            <w:tcW w:w="3252"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XX市张衡东路296号</w:t>
            </w:r>
          </w:p>
        </w:tc>
        <w:tc>
          <w:tcPr>
            <w:tcW w:w="116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87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c>
          <w:tcPr>
            <w:tcW w:w="1016"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r>
      <w:tr>
        <w:tblPrEx>
          <w:tblW w:w="0" w:type="auto"/>
          <w:tblInd w:w="103" w:type="dxa"/>
          <w:tblLayout w:type="fixed"/>
          <w:tblLook w:val="0000"/>
        </w:tblPrEx>
        <w:trPr>
          <w:trHeight w:val="240"/>
        </w:trPr>
        <w:tc>
          <w:tcPr>
            <w:tcW w:w="506"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30</w:t>
            </w:r>
          </w:p>
        </w:tc>
        <w:tc>
          <w:tcPr>
            <w:tcW w:w="2094"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XX市税务局</w:t>
            </w:r>
          </w:p>
        </w:tc>
        <w:tc>
          <w:tcPr>
            <w:tcW w:w="3252"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XX市工业南路568号</w:t>
            </w:r>
          </w:p>
        </w:tc>
        <w:tc>
          <w:tcPr>
            <w:tcW w:w="116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87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c>
          <w:tcPr>
            <w:tcW w:w="1016"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r>
      <w:tr>
        <w:tblPrEx>
          <w:tblW w:w="0" w:type="auto"/>
          <w:tblInd w:w="103" w:type="dxa"/>
          <w:tblLayout w:type="fixed"/>
          <w:tblLook w:val="0000"/>
        </w:tblPrEx>
        <w:trPr>
          <w:trHeight w:val="240"/>
        </w:trPr>
        <w:tc>
          <w:tcPr>
            <w:tcW w:w="506"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31</w:t>
            </w:r>
          </w:p>
        </w:tc>
        <w:tc>
          <w:tcPr>
            <w:tcW w:w="2094"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XX市教体局</w:t>
            </w:r>
          </w:p>
        </w:tc>
        <w:tc>
          <w:tcPr>
            <w:tcW w:w="3252"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XX市工业北路119号</w:t>
            </w:r>
          </w:p>
        </w:tc>
        <w:tc>
          <w:tcPr>
            <w:tcW w:w="116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87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c>
          <w:tcPr>
            <w:tcW w:w="1016"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r>
      <w:tr>
        <w:tblPrEx>
          <w:tblW w:w="0" w:type="auto"/>
          <w:tblInd w:w="103" w:type="dxa"/>
          <w:tblLayout w:type="fixed"/>
          <w:tblLook w:val="0000"/>
        </w:tblPrEx>
        <w:trPr>
          <w:trHeight w:val="240"/>
        </w:trPr>
        <w:tc>
          <w:tcPr>
            <w:tcW w:w="506"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32</w:t>
            </w:r>
          </w:p>
        </w:tc>
        <w:tc>
          <w:tcPr>
            <w:tcW w:w="2094"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XX市国土资源局</w:t>
            </w:r>
          </w:p>
        </w:tc>
        <w:tc>
          <w:tcPr>
            <w:tcW w:w="3252"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XX市兴隆路与清风路交叉口东北</w:t>
            </w:r>
            <w:smartTag w:uri="urn:schemas-microsoft-com:office:smarttags" w:element="chmetcnv">
              <w:smartTagPr>
                <w:attr w:name="HasSpace" w:val="False"/>
                <w:attr w:name="Negative" w:val="False"/>
                <w:attr w:name="NumberType" w:val="1"/>
                <w:attr w:name="SourceValue" w:val="150"/>
                <w:attr w:name="TCSC" w:val="0"/>
                <w:attr w:name="UnitName" w:val="米"/>
              </w:smartTagPr>
              <w:r>
                <w:rPr>
                  <w:rFonts w:ascii="宋体" w:hAnsi="宋体" w:cs="宋体" w:hint="eastAsia"/>
                  <w:kern w:val="0"/>
                  <w:sz w:val="20"/>
                </w:rPr>
                <w:t>150米</w:t>
              </w:r>
            </w:smartTag>
          </w:p>
        </w:tc>
        <w:tc>
          <w:tcPr>
            <w:tcW w:w="116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87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c>
          <w:tcPr>
            <w:tcW w:w="1016"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r>
      <w:tr>
        <w:tblPrEx>
          <w:tblW w:w="0" w:type="auto"/>
          <w:tblInd w:w="103" w:type="dxa"/>
          <w:tblLayout w:type="fixed"/>
          <w:tblLook w:val="0000"/>
        </w:tblPrEx>
        <w:trPr>
          <w:trHeight w:val="240"/>
        </w:trPr>
        <w:tc>
          <w:tcPr>
            <w:tcW w:w="506"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33</w:t>
            </w:r>
          </w:p>
        </w:tc>
        <w:tc>
          <w:tcPr>
            <w:tcW w:w="2094"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XX市财政局</w:t>
            </w:r>
          </w:p>
        </w:tc>
        <w:tc>
          <w:tcPr>
            <w:tcW w:w="3252"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XX市张衡东路396号</w:t>
            </w:r>
          </w:p>
        </w:tc>
        <w:tc>
          <w:tcPr>
            <w:tcW w:w="116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87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c>
          <w:tcPr>
            <w:tcW w:w="1016"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r>
      <w:tr>
        <w:tblPrEx>
          <w:tblW w:w="0" w:type="auto"/>
          <w:tblInd w:w="103" w:type="dxa"/>
          <w:tblLayout w:type="fixed"/>
          <w:tblLook w:val="0000"/>
        </w:tblPrEx>
        <w:trPr>
          <w:trHeight w:val="240"/>
        </w:trPr>
        <w:tc>
          <w:tcPr>
            <w:tcW w:w="506"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34</w:t>
            </w:r>
          </w:p>
        </w:tc>
        <w:tc>
          <w:tcPr>
            <w:tcW w:w="2094"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XX市规划局</w:t>
            </w:r>
          </w:p>
        </w:tc>
        <w:tc>
          <w:tcPr>
            <w:tcW w:w="3252"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XX市南都路与范蠡东路路口向南</w:t>
            </w:r>
            <w:smartTag w:uri="urn:schemas-microsoft-com:office:smarttags" w:element="chmetcnv">
              <w:smartTagPr>
                <w:attr w:name="HasSpace" w:val="False"/>
                <w:attr w:name="Negative" w:val="False"/>
                <w:attr w:name="NumberType" w:val="1"/>
                <w:attr w:name="SourceValue" w:val="200"/>
                <w:attr w:name="TCSC" w:val="0"/>
                <w:attr w:name="UnitName" w:val="米"/>
              </w:smartTagPr>
              <w:r>
                <w:rPr>
                  <w:rFonts w:ascii="宋体" w:hAnsi="宋体" w:cs="宋体" w:hint="eastAsia"/>
                  <w:kern w:val="0"/>
                  <w:sz w:val="20"/>
                </w:rPr>
                <w:t>200米</w:t>
              </w:r>
            </w:smartTag>
          </w:p>
        </w:tc>
        <w:tc>
          <w:tcPr>
            <w:tcW w:w="116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87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c>
          <w:tcPr>
            <w:tcW w:w="1016"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r>
      <w:tr>
        <w:tblPrEx>
          <w:tblW w:w="0" w:type="auto"/>
          <w:tblInd w:w="103" w:type="dxa"/>
          <w:tblLayout w:type="fixed"/>
          <w:tblLook w:val="0000"/>
        </w:tblPrEx>
        <w:trPr>
          <w:trHeight w:val="240"/>
        </w:trPr>
        <w:tc>
          <w:tcPr>
            <w:tcW w:w="506"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35</w:t>
            </w:r>
          </w:p>
        </w:tc>
        <w:tc>
          <w:tcPr>
            <w:tcW w:w="2094"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XX市审计局</w:t>
            </w:r>
          </w:p>
        </w:tc>
        <w:tc>
          <w:tcPr>
            <w:tcW w:w="3252"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XX市滨河东路776巷266号</w:t>
            </w:r>
          </w:p>
        </w:tc>
        <w:tc>
          <w:tcPr>
            <w:tcW w:w="116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87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c>
          <w:tcPr>
            <w:tcW w:w="1016"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r>
      <w:tr>
        <w:tblPrEx>
          <w:tblW w:w="0" w:type="auto"/>
          <w:tblInd w:w="103" w:type="dxa"/>
          <w:tblLayout w:type="fixed"/>
          <w:tblLook w:val="0000"/>
        </w:tblPrEx>
        <w:trPr>
          <w:trHeight w:val="240"/>
        </w:trPr>
        <w:tc>
          <w:tcPr>
            <w:tcW w:w="506"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36</w:t>
            </w:r>
          </w:p>
        </w:tc>
        <w:tc>
          <w:tcPr>
            <w:tcW w:w="2094"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XX市环保局</w:t>
            </w:r>
          </w:p>
        </w:tc>
        <w:tc>
          <w:tcPr>
            <w:tcW w:w="3252"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XX市文化路488号</w:t>
            </w:r>
          </w:p>
        </w:tc>
        <w:tc>
          <w:tcPr>
            <w:tcW w:w="116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87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c>
          <w:tcPr>
            <w:tcW w:w="1016"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r>
      <w:tr>
        <w:tblPrEx>
          <w:tblW w:w="0" w:type="auto"/>
          <w:tblInd w:w="103" w:type="dxa"/>
          <w:tblLayout w:type="fixed"/>
          <w:tblLook w:val="0000"/>
        </w:tblPrEx>
        <w:trPr>
          <w:trHeight w:val="240"/>
        </w:trPr>
        <w:tc>
          <w:tcPr>
            <w:tcW w:w="506"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37</w:t>
            </w:r>
          </w:p>
        </w:tc>
        <w:tc>
          <w:tcPr>
            <w:tcW w:w="2094"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明思克家居-停车场</w:t>
            </w:r>
          </w:p>
        </w:tc>
        <w:tc>
          <w:tcPr>
            <w:tcW w:w="3252"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信臣路与人民路路口西北角</w:t>
            </w:r>
          </w:p>
        </w:tc>
        <w:tc>
          <w:tcPr>
            <w:tcW w:w="116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87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c>
          <w:tcPr>
            <w:tcW w:w="1016"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r>
      <w:tr>
        <w:tblPrEx>
          <w:tblW w:w="0" w:type="auto"/>
          <w:tblInd w:w="103" w:type="dxa"/>
          <w:tblLayout w:type="fixed"/>
          <w:tblLook w:val="0000"/>
        </w:tblPrEx>
        <w:trPr>
          <w:trHeight w:val="240"/>
        </w:trPr>
        <w:tc>
          <w:tcPr>
            <w:tcW w:w="506"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38</w:t>
            </w:r>
          </w:p>
        </w:tc>
        <w:tc>
          <w:tcPr>
            <w:tcW w:w="2094"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金顺停车场</w:t>
            </w:r>
          </w:p>
        </w:tc>
        <w:tc>
          <w:tcPr>
            <w:tcW w:w="3252"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信臣路云和国际东</w:t>
            </w:r>
          </w:p>
        </w:tc>
        <w:tc>
          <w:tcPr>
            <w:tcW w:w="116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87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10</w:t>
            </w:r>
          </w:p>
        </w:tc>
        <w:tc>
          <w:tcPr>
            <w:tcW w:w="1016"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r>
      <w:tr>
        <w:tblPrEx>
          <w:tblW w:w="0" w:type="auto"/>
          <w:tblInd w:w="103" w:type="dxa"/>
          <w:tblLayout w:type="fixed"/>
          <w:tblLook w:val="0000"/>
        </w:tblPrEx>
        <w:trPr>
          <w:trHeight w:val="240"/>
        </w:trPr>
        <w:tc>
          <w:tcPr>
            <w:tcW w:w="506"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39</w:t>
            </w:r>
          </w:p>
        </w:tc>
        <w:tc>
          <w:tcPr>
            <w:tcW w:w="2094" w:type="dxa"/>
            <w:tcBorders>
              <w:top w:val="nil"/>
              <w:left w:val="nil"/>
              <w:bottom w:val="single" w:sz="4" w:space="0" w:color="auto"/>
              <w:right w:val="single" w:sz="4" w:space="0" w:color="auto"/>
            </w:tcBorders>
            <w:shd w:val="clear" w:color="auto" w:fill="auto"/>
            <w:noWrap/>
            <w:vAlign w:val="center"/>
          </w:tcPr>
          <w:p w:rsidR="00337093">
            <w:pPr>
              <w:widowControl/>
              <w:spacing w:after="0"/>
              <w:jc w:val="center"/>
              <w:rPr>
                <w:rFonts w:ascii="宋体" w:hAnsi="宋体" w:cs="宋体"/>
                <w:kern w:val="0"/>
                <w:sz w:val="20"/>
              </w:rPr>
            </w:pPr>
          </w:p>
        </w:tc>
        <w:tc>
          <w:tcPr>
            <w:tcW w:w="3252"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孔明路666号</w:t>
            </w:r>
          </w:p>
        </w:tc>
        <w:tc>
          <w:tcPr>
            <w:tcW w:w="116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87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50</w:t>
            </w:r>
          </w:p>
        </w:tc>
        <w:tc>
          <w:tcPr>
            <w:tcW w:w="1016"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10</w:t>
            </w:r>
          </w:p>
        </w:tc>
      </w:tr>
    </w:tbl>
    <w:p>
      <w:pPr>
        <w:sectPr>
          <w:headerReference w:type="default" r:id="rId130"/>
          <w:footerReference w:type="even" r:id="rId131"/>
          <w:footerReference w:type="default" r:id="rId132"/>
          <w:headerReference w:type="first" r:id="rId133"/>
          <w:type w:val="nextPage"/>
          <w:pgSz w:w="11906" w:h="16838"/>
          <w:pgMar w:top="1418" w:right="1418" w:bottom="1418" w:left="1701" w:header="964" w:footer="964" w:gutter="0"/>
          <w:pgNumType w:fmt="numberInDash" w:start="30"/>
          <w:cols w:space="720"/>
          <w:titlePg w:val="0"/>
          <w:docGrid w:type="linesAndChars" w:linePitch="291" w:charSpace="3135"/>
        </w:sectPr>
      </w:pPr>
    </w:p>
    <w:tbl>
      <w:tblPr>
        <w:tblStyle w:val="TableNormal"/>
        <w:tblW w:w="0" w:type="auto"/>
        <w:tblInd w:w="103" w:type="dxa"/>
        <w:tblLayout w:type="fixed"/>
        <w:tblLook w:val="0000"/>
      </w:tblPr>
      <w:tblGrid>
        <w:gridCol w:w="506"/>
        <w:gridCol w:w="2094"/>
        <w:gridCol w:w="3252"/>
        <w:gridCol w:w="1161"/>
        <w:gridCol w:w="871"/>
        <w:gridCol w:w="1016"/>
      </w:tblGrid>
      <w:tr>
        <w:tblPrEx>
          <w:tblW w:w="0" w:type="auto"/>
          <w:tblInd w:w="103" w:type="dxa"/>
          <w:tblLayout w:type="fixed"/>
          <w:tblLook w:val="0000"/>
        </w:tblPrEx>
        <w:trPr>
          <w:trHeight w:val="240"/>
        </w:trPr>
        <w:tc>
          <w:tcPr>
            <w:tcW w:w="506" w:type="dxa"/>
            <w:tcBorders>
              <w:top w:val="nil"/>
              <w:left w:val="single" w:sz="4" w:space="0" w:color="auto"/>
              <w:bottom w:val="single" w:sz="4" w:space="0" w:color="auto"/>
              <w:right w:val="single" w:sz="4" w:space="0" w:color="auto"/>
            </w:tcBorders>
            <w:shd w:val="clear" w:color="auto" w:fill="auto"/>
            <w:noWrap/>
            <w:vAlign w:val="center"/>
          </w:tcPr>
          <w:p/>
        </w:tc>
        <w:tc>
          <w:tcPr>
            <w:tcW w:w="2094" w:type="dxa"/>
            <w:tcBorders>
              <w:top w:val="nil"/>
              <w:left w:val="nil"/>
              <w:bottom w:val="single" w:sz="4" w:space="0" w:color="auto"/>
              <w:right w:val="single" w:sz="4" w:space="0" w:color="auto"/>
            </w:tcBorders>
            <w:shd w:val="clear" w:color="auto" w:fill="auto"/>
            <w:noWrap/>
            <w:vAlign w:val="center"/>
          </w:tcPr>
          <w:p w:rsidR="00337093">
            <w:pPr>
              <w:widowControl/>
              <w:spacing w:before="0"/>
              <w:jc w:val="center"/>
              <w:rPr>
                <w:rFonts w:ascii="宋体" w:hAnsi="宋体" w:cs="宋体"/>
                <w:kern w:val="0"/>
                <w:sz w:val="20"/>
              </w:rPr>
            </w:pPr>
            <w:r>
              <w:rPr>
                <w:rFonts w:ascii="宋体" w:hAnsi="宋体" w:cs="宋体" w:hint="eastAsia"/>
                <w:kern w:val="0"/>
                <w:sz w:val="20"/>
              </w:rPr>
              <w:t>XX工业职业技术学院</w:t>
            </w:r>
          </w:p>
        </w:tc>
        <w:tc>
          <w:tcPr>
            <w:tcW w:w="3252" w:type="dxa"/>
            <w:tcBorders>
              <w:top w:val="nil"/>
              <w:left w:val="nil"/>
              <w:bottom w:val="single" w:sz="4" w:space="0" w:color="auto"/>
              <w:right w:val="single" w:sz="4" w:space="0" w:color="auto"/>
            </w:tcBorders>
            <w:shd w:val="clear" w:color="auto" w:fill="auto"/>
            <w:noWrap/>
            <w:vAlign w:val="center"/>
          </w:tcPr>
          <w:p/>
        </w:tc>
        <w:tc>
          <w:tcPr>
            <w:tcW w:w="1161" w:type="dxa"/>
            <w:tcBorders>
              <w:top w:val="nil"/>
              <w:left w:val="nil"/>
              <w:bottom w:val="single" w:sz="4" w:space="0" w:color="auto"/>
              <w:right w:val="single" w:sz="4" w:space="0" w:color="auto"/>
            </w:tcBorders>
            <w:shd w:val="clear" w:color="auto" w:fill="auto"/>
            <w:noWrap/>
            <w:vAlign w:val="center"/>
          </w:tcPr>
          <w:p/>
        </w:tc>
        <w:tc>
          <w:tcPr>
            <w:tcW w:w="871" w:type="dxa"/>
            <w:tcBorders>
              <w:top w:val="nil"/>
              <w:left w:val="nil"/>
              <w:bottom w:val="single" w:sz="4" w:space="0" w:color="auto"/>
              <w:right w:val="single" w:sz="4" w:space="0" w:color="auto"/>
            </w:tcBorders>
            <w:shd w:val="clear" w:color="auto" w:fill="auto"/>
            <w:noWrap/>
            <w:vAlign w:val="center"/>
          </w:tcPr>
          <w:p/>
        </w:tc>
        <w:tc>
          <w:tcPr>
            <w:tcW w:w="1016" w:type="dxa"/>
            <w:tcBorders>
              <w:top w:val="nil"/>
              <w:left w:val="nil"/>
              <w:bottom w:val="single" w:sz="4" w:space="0" w:color="auto"/>
              <w:right w:val="single" w:sz="4" w:space="0" w:color="auto"/>
            </w:tcBorders>
            <w:shd w:val="clear" w:color="auto" w:fill="CCFFCC"/>
            <w:noWrap/>
            <w:vAlign w:val="center"/>
          </w:tcPr>
          <w:p/>
        </w:tc>
      </w:tr>
      <w:tr>
        <w:tblPrEx>
          <w:tblW w:w="0" w:type="auto"/>
          <w:tblInd w:w="103" w:type="dxa"/>
          <w:tblLayout w:type="fixed"/>
          <w:tblLook w:val="0000"/>
        </w:tblPrEx>
        <w:trPr>
          <w:trHeight w:val="240"/>
        </w:trPr>
        <w:tc>
          <w:tcPr>
            <w:tcW w:w="506"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40</w:t>
            </w:r>
          </w:p>
        </w:tc>
        <w:tc>
          <w:tcPr>
            <w:tcW w:w="2094"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李宁体育园-停车场</w:t>
            </w:r>
          </w:p>
        </w:tc>
        <w:tc>
          <w:tcPr>
            <w:tcW w:w="3252"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滨河路李宁体育园</w:t>
            </w:r>
          </w:p>
        </w:tc>
        <w:tc>
          <w:tcPr>
            <w:tcW w:w="116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87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30</w:t>
            </w:r>
          </w:p>
        </w:tc>
        <w:tc>
          <w:tcPr>
            <w:tcW w:w="1016"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r>
      <w:tr>
        <w:tblPrEx>
          <w:tblW w:w="0" w:type="auto"/>
          <w:tblInd w:w="103" w:type="dxa"/>
          <w:tblLayout w:type="fixed"/>
          <w:tblLook w:val="0000"/>
        </w:tblPrEx>
        <w:trPr>
          <w:trHeight w:val="240"/>
        </w:trPr>
        <w:tc>
          <w:tcPr>
            <w:tcW w:w="506"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41</w:t>
            </w:r>
          </w:p>
        </w:tc>
        <w:tc>
          <w:tcPr>
            <w:tcW w:w="2094"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XX市体育场停车场</w:t>
            </w:r>
          </w:p>
        </w:tc>
        <w:tc>
          <w:tcPr>
            <w:tcW w:w="3252"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XX市宛城区农运路附近</w:t>
            </w:r>
          </w:p>
        </w:tc>
        <w:tc>
          <w:tcPr>
            <w:tcW w:w="116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c>
          <w:tcPr>
            <w:tcW w:w="87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60</w:t>
            </w:r>
          </w:p>
        </w:tc>
        <w:tc>
          <w:tcPr>
            <w:tcW w:w="1016"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12</w:t>
            </w:r>
          </w:p>
        </w:tc>
      </w:tr>
      <w:tr>
        <w:tblPrEx>
          <w:tblW w:w="0" w:type="auto"/>
          <w:tblInd w:w="103" w:type="dxa"/>
          <w:tblLayout w:type="fixed"/>
          <w:tblLook w:val="0000"/>
        </w:tblPrEx>
        <w:trPr>
          <w:trHeight w:val="240"/>
        </w:trPr>
        <w:tc>
          <w:tcPr>
            <w:tcW w:w="506"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42</w:t>
            </w:r>
          </w:p>
        </w:tc>
        <w:tc>
          <w:tcPr>
            <w:tcW w:w="2094"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XX站停车场</w:t>
            </w:r>
          </w:p>
        </w:tc>
        <w:tc>
          <w:tcPr>
            <w:tcW w:w="3252"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火车站</w:t>
            </w:r>
          </w:p>
        </w:tc>
        <w:tc>
          <w:tcPr>
            <w:tcW w:w="116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c>
          <w:tcPr>
            <w:tcW w:w="87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50</w:t>
            </w:r>
          </w:p>
        </w:tc>
        <w:tc>
          <w:tcPr>
            <w:tcW w:w="1016"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10</w:t>
            </w:r>
          </w:p>
        </w:tc>
      </w:tr>
      <w:tr>
        <w:tblPrEx>
          <w:tblW w:w="0" w:type="auto"/>
          <w:tblInd w:w="103" w:type="dxa"/>
          <w:tblLayout w:type="fixed"/>
          <w:tblLook w:val="0000"/>
        </w:tblPrEx>
        <w:trPr>
          <w:trHeight w:val="240"/>
        </w:trPr>
        <w:tc>
          <w:tcPr>
            <w:tcW w:w="506"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43</w:t>
            </w:r>
          </w:p>
        </w:tc>
        <w:tc>
          <w:tcPr>
            <w:tcW w:w="2094"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XX机场停车场</w:t>
            </w:r>
          </w:p>
        </w:tc>
        <w:tc>
          <w:tcPr>
            <w:tcW w:w="3252"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XX市宛城区光武大桥东</w:t>
            </w:r>
          </w:p>
        </w:tc>
        <w:tc>
          <w:tcPr>
            <w:tcW w:w="116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c>
          <w:tcPr>
            <w:tcW w:w="87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50</w:t>
            </w:r>
          </w:p>
        </w:tc>
        <w:tc>
          <w:tcPr>
            <w:tcW w:w="1016"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10</w:t>
            </w:r>
          </w:p>
        </w:tc>
      </w:tr>
      <w:tr>
        <w:tblPrEx>
          <w:tblW w:w="0" w:type="auto"/>
          <w:tblInd w:w="103" w:type="dxa"/>
          <w:tblLayout w:type="fixed"/>
          <w:tblLook w:val="0000"/>
        </w:tblPrEx>
        <w:trPr>
          <w:trHeight w:val="240"/>
        </w:trPr>
        <w:tc>
          <w:tcPr>
            <w:tcW w:w="506"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44</w:t>
            </w:r>
          </w:p>
        </w:tc>
        <w:tc>
          <w:tcPr>
            <w:tcW w:w="2094"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XX家电大世界停车场</w:t>
            </w:r>
          </w:p>
        </w:tc>
        <w:tc>
          <w:tcPr>
            <w:tcW w:w="3252"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工业北路553号附近</w:t>
            </w:r>
          </w:p>
        </w:tc>
        <w:tc>
          <w:tcPr>
            <w:tcW w:w="116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87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c>
          <w:tcPr>
            <w:tcW w:w="1016"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r>
      <w:tr>
        <w:tblPrEx>
          <w:tblW w:w="0" w:type="auto"/>
          <w:tblInd w:w="103" w:type="dxa"/>
          <w:tblLayout w:type="fixed"/>
          <w:tblLook w:val="0000"/>
        </w:tblPrEx>
        <w:trPr>
          <w:trHeight w:val="240"/>
        </w:trPr>
        <w:tc>
          <w:tcPr>
            <w:tcW w:w="506"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45</w:t>
            </w:r>
          </w:p>
        </w:tc>
        <w:tc>
          <w:tcPr>
            <w:tcW w:w="2094"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XX理工学院</w:t>
            </w:r>
          </w:p>
        </w:tc>
        <w:tc>
          <w:tcPr>
            <w:tcW w:w="3252"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XX省XX市长江中路80号</w:t>
            </w:r>
          </w:p>
        </w:tc>
        <w:tc>
          <w:tcPr>
            <w:tcW w:w="116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87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50</w:t>
            </w:r>
          </w:p>
        </w:tc>
        <w:tc>
          <w:tcPr>
            <w:tcW w:w="1016"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10</w:t>
            </w:r>
          </w:p>
        </w:tc>
      </w:tr>
      <w:tr>
        <w:tblPrEx>
          <w:tblW w:w="0" w:type="auto"/>
          <w:tblInd w:w="103" w:type="dxa"/>
          <w:tblLayout w:type="fixed"/>
          <w:tblLook w:val="0000"/>
        </w:tblPrEx>
        <w:trPr>
          <w:trHeight w:val="240"/>
        </w:trPr>
        <w:tc>
          <w:tcPr>
            <w:tcW w:w="506"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46</w:t>
            </w:r>
          </w:p>
        </w:tc>
        <w:tc>
          <w:tcPr>
            <w:tcW w:w="2094"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XX师范学院停车场</w:t>
            </w:r>
          </w:p>
        </w:tc>
        <w:tc>
          <w:tcPr>
            <w:tcW w:w="3252"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XX省XX市卧龙区卧龙路1638号</w:t>
            </w:r>
          </w:p>
        </w:tc>
        <w:tc>
          <w:tcPr>
            <w:tcW w:w="116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87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50</w:t>
            </w:r>
          </w:p>
        </w:tc>
        <w:tc>
          <w:tcPr>
            <w:tcW w:w="1016"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10</w:t>
            </w:r>
          </w:p>
        </w:tc>
      </w:tr>
      <w:tr>
        <w:tblPrEx>
          <w:tblW w:w="0" w:type="auto"/>
          <w:tblInd w:w="103" w:type="dxa"/>
          <w:tblLayout w:type="fixed"/>
          <w:tblLook w:val="0000"/>
        </w:tblPrEx>
        <w:trPr>
          <w:trHeight w:val="240"/>
        </w:trPr>
        <w:tc>
          <w:tcPr>
            <w:tcW w:w="506"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47</w:t>
            </w:r>
          </w:p>
        </w:tc>
        <w:tc>
          <w:tcPr>
            <w:tcW w:w="2094"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红星美凯龙</w:t>
            </w:r>
          </w:p>
        </w:tc>
        <w:tc>
          <w:tcPr>
            <w:tcW w:w="3252"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车站路与建设路交叉口</w:t>
            </w:r>
          </w:p>
        </w:tc>
        <w:tc>
          <w:tcPr>
            <w:tcW w:w="116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87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c>
          <w:tcPr>
            <w:tcW w:w="1016"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r>
      <w:tr>
        <w:tblPrEx>
          <w:tblW w:w="0" w:type="auto"/>
          <w:tblInd w:w="103" w:type="dxa"/>
          <w:tblLayout w:type="fixed"/>
          <w:tblLook w:val="0000"/>
        </w:tblPrEx>
        <w:trPr>
          <w:trHeight w:val="240"/>
        </w:trPr>
        <w:tc>
          <w:tcPr>
            <w:tcW w:w="506"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48</w:t>
            </w:r>
          </w:p>
        </w:tc>
        <w:tc>
          <w:tcPr>
            <w:tcW w:w="2094" w:type="dxa"/>
            <w:tcBorders>
              <w:top w:val="nil"/>
              <w:left w:val="nil"/>
              <w:bottom w:val="single" w:sz="4" w:space="0" w:color="auto"/>
              <w:right w:val="nil"/>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县域</w:t>
            </w:r>
          </w:p>
        </w:tc>
        <w:tc>
          <w:tcPr>
            <w:tcW w:w="3252"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22</w:t>
            </w:r>
          </w:p>
        </w:tc>
        <w:tc>
          <w:tcPr>
            <w:tcW w:w="116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22</w:t>
            </w:r>
          </w:p>
        </w:tc>
        <w:tc>
          <w:tcPr>
            <w:tcW w:w="871"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220</w:t>
            </w:r>
          </w:p>
        </w:tc>
        <w:tc>
          <w:tcPr>
            <w:tcW w:w="1016"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88</w:t>
            </w:r>
          </w:p>
        </w:tc>
      </w:tr>
      <w:tr>
        <w:tblPrEx>
          <w:tblW w:w="0" w:type="auto"/>
          <w:tblInd w:w="103" w:type="dxa"/>
          <w:tblLayout w:type="fixed"/>
          <w:tblLook w:val="0000"/>
        </w:tblPrEx>
        <w:trPr>
          <w:trHeight w:val="240"/>
        </w:trPr>
        <w:tc>
          <w:tcPr>
            <w:tcW w:w="5852" w:type="dxa"/>
            <w:gridSpan w:val="3"/>
            <w:tcBorders>
              <w:top w:val="single" w:sz="4" w:space="0" w:color="auto"/>
              <w:left w:val="single" w:sz="4" w:space="0" w:color="auto"/>
              <w:bottom w:val="single" w:sz="4" w:space="0" w:color="auto"/>
              <w:right w:val="single" w:sz="4" w:space="0" w:color="000000"/>
            </w:tcBorders>
            <w:noWrap/>
            <w:vAlign w:val="center"/>
          </w:tcPr>
          <w:p w:rsidR="00337093">
            <w:pPr>
              <w:widowControl/>
              <w:jc w:val="center"/>
              <w:rPr>
                <w:rFonts w:ascii="宋体" w:hAnsi="宋体" w:cs="宋体"/>
                <w:kern w:val="0"/>
                <w:sz w:val="20"/>
              </w:rPr>
            </w:pPr>
            <w:r>
              <w:rPr>
                <w:rFonts w:ascii="宋体" w:hAnsi="宋体" w:cs="宋体" w:hint="eastAsia"/>
                <w:kern w:val="0"/>
                <w:sz w:val="20"/>
              </w:rPr>
              <w:t>总计</w:t>
            </w:r>
          </w:p>
        </w:tc>
        <w:tc>
          <w:tcPr>
            <w:tcW w:w="116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81</w:t>
            </w:r>
          </w:p>
        </w:tc>
        <w:tc>
          <w:tcPr>
            <w:tcW w:w="87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1480</w:t>
            </w:r>
          </w:p>
        </w:tc>
        <w:tc>
          <w:tcPr>
            <w:tcW w:w="1016"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340</w:t>
            </w:r>
          </w:p>
        </w:tc>
      </w:tr>
    </w:tbl>
    <w:p w:rsidR="00337093" w:rsidP="00337093">
      <w:pPr>
        <w:ind w:firstLine="560" w:firstLineChars="200"/>
        <w:rPr>
          <w:rFonts w:hAnsi="宋体" w:hint="eastAsia"/>
          <w:bCs/>
          <w:sz w:val="28"/>
          <w:szCs w:val="28"/>
        </w:rPr>
      </w:pPr>
    </w:p>
    <w:p w:rsidR="00337093">
      <w:pPr>
        <w:pStyle w:val="Heading3"/>
        <w:spacing w:before="0" w:after="0" w:line="240" w:lineRule="auto"/>
        <w:rPr>
          <w:rFonts w:eastAsia="宋体" w:hint="eastAsia"/>
          <w:b/>
          <w:sz w:val="32"/>
        </w:rPr>
      </w:pPr>
      <w:smartTag w:uri="urn:schemas-microsoft-com:office:smarttags" w:element="chsdate">
        <w:smartTagPr>
          <w:attr w:name="Day" w:val="30"/>
          <w:attr w:name="IsLunarDate" w:val="False"/>
          <w:attr w:name="IsROCDate" w:val="False"/>
          <w:attr w:name="Month" w:val="12"/>
          <w:attr w:name="Year" w:val="1899"/>
        </w:smartTagPr>
        <w:r>
          <w:rPr>
            <w:rFonts w:eastAsia="宋体" w:hint="eastAsia"/>
            <w:b/>
            <w:sz w:val="32"/>
          </w:rPr>
          <w:t>5.3.6</w:t>
        </w:r>
      </w:smartTag>
      <w:r>
        <w:rPr>
          <w:rFonts w:eastAsia="宋体" w:hint="eastAsia"/>
          <w:b/>
          <w:sz w:val="32"/>
        </w:rPr>
        <w:t>辖区县市政充电桩</w:t>
      </w:r>
    </w:p>
    <w:p w:rsidR="00337093" w:rsidP="00337093">
      <w:pPr>
        <w:ind w:firstLine="560" w:firstLineChars="200"/>
        <w:rPr>
          <w:rFonts w:hAnsi="宋体" w:hint="eastAsia"/>
          <w:bCs/>
          <w:sz w:val="28"/>
          <w:szCs w:val="28"/>
        </w:rPr>
      </w:pPr>
      <w:r>
        <w:rPr>
          <w:rFonts w:hAnsi="宋体" w:hint="eastAsia"/>
          <w:bCs/>
          <w:sz w:val="28"/>
          <w:szCs w:val="28"/>
        </w:rPr>
        <w:t>在各县市政部门布点140处，配备直流桩183台、交流桩2978台。</w:t>
      </w:r>
    </w:p>
    <w:tbl>
      <w:tblPr>
        <w:tblStyle w:val="TableNormal"/>
        <w:tblW w:w="0" w:type="auto"/>
        <w:tblInd w:w="103" w:type="dxa"/>
        <w:tblLayout w:type="fixed"/>
        <w:tblLook w:val="0000"/>
      </w:tblPr>
      <w:tblGrid>
        <w:gridCol w:w="649"/>
        <w:gridCol w:w="1939"/>
        <w:gridCol w:w="3498"/>
        <w:gridCol w:w="1623"/>
        <w:gridCol w:w="1191"/>
      </w:tblGrid>
      <w:tr>
        <w:tblPrEx>
          <w:tblW w:w="0" w:type="auto"/>
          <w:tblInd w:w="103" w:type="dxa"/>
          <w:tblLayout w:type="fixed"/>
          <w:tblLook w:val="0000"/>
        </w:tblPrEx>
        <w:trPr>
          <w:trHeight w:val="289"/>
        </w:trPr>
        <w:tc>
          <w:tcPr>
            <w:tcW w:w="649" w:type="dxa"/>
            <w:vMerge w:val="restart"/>
            <w:tcBorders>
              <w:top w:val="single" w:sz="4" w:space="0" w:color="auto"/>
              <w:left w:val="single" w:sz="4" w:space="0" w:color="auto"/>
              <w:bottom w:val="single" w:sz="4" w:space="0" w:color="auto"/>
              <w:right w:val="single" w:sz="4" w:space="0" w:color="auto"/>
            </w:tcBorders>
            <w:shd w:val="clear" w:color="auto" w:fill="339966"/>
            <w:noWrap/>
            <w:vAlign w:val="center"/>
          </w:tcPr>
          <w:p w:rsidR="00337093">
            <w:pPr>
              <w:widowControl/>
              <w:jc w:val="center"/>
              <w:rPr>
                <w:rFonts w:ascii="宋体" w:hAnsi="宋体" w:cs="宋体"/>
                <w:b/>
                <w:bCs/>
                <w:kern w:val="0"/>
                <w:sz w:val="20"/>
              </w:rPr>
            </w:pPr>
            <w:r>
              <w:rPr>
                <w:rFonts w:ascii="宋体" w:hAnsi="宋体" w:cs="宋体" w:hint="eastAsia"/>
                <w:b/>
                <w:bCs/>
                <w:kern w:val="0"/>
                <w:sz w:val="20"/>
              </w:rPr>
              <w:t>序号</w:t>
            </w:r>
          </w:p>
        </w:tc>
        <w:tc>
          <w:tcPr>
            <w:tcW w:w="1939" w:type="dxa"/>
            <w:vMerge w:val="restart"/>
            <w:tcBorders>
              <w:top w:val="single" w:sz="4" w:space="0" w:color="auto"/>
              <w:left w:val="single" w:sz="4" w:space="0" w:color="auto"/>
              <w:bottom w:val="single" w:sz="4" w:space="0" w:color="auto"/>
              <w:right w:val="single" w:sz="4" w:space="0" w:color="auto"/>
            </w:tcBorders>
            <w:shd w:val="clear" w:color="auto" w:fill="339966"/>
            <w:noWrap/>
            <w:vAlign w:val="center"/>
          </w:tcPr>
          <w:p w:rsidR="00337093">
            <w:pPr>
              <w:widowControl/>
              <w:jc w:val="center"/>
              <w:rPr>
                <w:rFonts w:ascii="宋体" w:hAnsi="宋体" w:cs="宋体"/>
                <w:b/>
                <w:bCs/>
                <w:kern w:val="0"/>
                <w:sz w:val="20"/>
              </w:rPr>
            </w:pPr>
            <w:r>
              <w:rPr>
                <w:rFonts w:ascii="宋体" w:hAnsi="宋体" w:cs="宋体" w:hint="eastAsia"/>
                <w:b/>
                <w:bCs/>
                <w:kern w:val="0"/>
                <w:sz w:val="20"/>
              </w:rPr>
              <w:t>充电站名称</w:t>
            </w:r>
          </w:p>
        </w:tc>
        <w:tc>
          <w:tcPr>
            <w:tcW w:w="3498" w:type="dxa"/>
            <w:vMerge w:val="restart"/>
            <w:tcBorders>
              <w:top w:val="single" w:sz="4" w:space="0" w:color="auto"/>
              <w:left w:val="single" w:sz="4" w:space="0" w:color="auto"/>
              <w:bottom w:val="single" w:sz="4" w:space="0" w:color="auto"/>
              <w:right w:val="single" w:sz="4" w:space="0" w:color="auto"/>
            </w:tcBorders>
            <w:shd w:val="clear" w:color="auto" w:fill="339966"/>
            <w:noWrap/>
            <w:vAlign w:val="center"/>
          </w:tcPr>
          <w:p w:rsidR="00337093">
            <w:pPr>
              <w:widowControl/>
              <w:jc w:val="center"/>
              <w:rPr>
                <w:rFonts w:ascii="宋体" w:hAnsi="宋体" w:cs="宋体"/>
                <w:b/>
                <w:bCs/>
                <w:kern w:val="0"/>
                <w:sz w:val="20"/>
              </w:rPr>
            </w:pPr>
            <w:r>
              <w:rPr>
                <w:rFonts w:ascii="宋体" w:hAnsi="宋体" w:cs="宋体" w:hint="eastAsia"/>
                <w:b/>
                <w:bCs/>
                <w:kern w:val="0"/>
                <w:sz w:val="20"/>
              </w:rPr>
              <w:t>充电站位置</w:t>
            </w:r>
          </w:p>
        </w:tc>
        <w:tc>
          <w:tcPr>
            <w:tcW w:w="2814" w:type="dxa"/>
            <w:gridSpan w:val="2"/>
            <w:tcBorders>
              <w:top w:val="single" w:sz="4" w:space="0" w:color="auto"/>
              <w:left w:val="nil"/>
              <w:bottom w:val="single" w:sz="4" w:space="0" w:color="auto"/>
              <w:right w:val="single" w:sz="4" w:space="0" w:color="auto"/>
            </w:tcBorders>
            <w:shd w:val="clear" w:color="auto" w:fill="339966"/>
            <w:noWrap/>
            <w:vAlign w:val="center"/>
          </w:tcPr>
          <w:p w:rsidR="00337093">
            <w:pPr>
              <w:widowControl/>
              <w:jc w:val="center"/>
              <w:rPr>
                <w:rFonts w:ascii="宋体" w:hAnsi="宋体" w:cs="宋体"/>
                <w:b/>
                <w:bCs/>
                <w:kern w:val="0"/>
                <w:sz w:val="20"/>
              </w:rPr>
            </w:pPr>
            <w:r>
              <w:rPr>
                <w:rFonts w:ascii="宋体" w:hAnsi="宋体" w:cs="宋体" w:hint="eastAsia"/>
                <w:b/>
                <w:bCs/>
                <w:kern w:val="0"/>
                <w:sz w:val="20"/>
              </w:rPr>
              <w:t>充电桩规模</w:t>
            </w:r>
          </w:p>
        </w:tc>
      </w:tr>
      <w:tr>
        <w:tblPrEx>
          <w:tblW w:w="0" w:type="auto"/>
          <w:tblInd w:w="103" w:type="dxa"/>
          <w:tblLayout w:type="fixed"/>
          <w:tblLook w:val="0000"/>
        </w:tblPrEx>
        <w:trPr>
          <w:trHeight w:val="240"/>
        </w:trPr>
        <w:tc>
          <w:tcPr>
            <w:tcW w:w="649" w:type="dxa"/>
            <w:vMerge/>
            <w:tcBorders>
              <w:top w:val="single" w:sz="4" w:space="0" w:color="auto"/>
              <w:left w:val="single" w:sz="4" w:space="0" w:color="auto"/>
              <w:bottom w:val="single" w:sz="4" w:space="0" w:color="auto"/>
              <w:right w:val="single" w:sz="4" w:space="0" w:color="auto"/>
            </w:tcBorders>
            <w:shd w:val="clear" w:color="auto" w:fill="auto"/>
            <w:vAlign w:val="center"/>
          </w:tcPr>
          <w:p w:rsidR="00337093">
            <w:pPr>
              <w:widowControl/>
              <w:jc w:val="center"/>
              <w:rPr>
                <w:rFonts w:ascii="宋体" w:hAnsi="宋体" w:cs="宋体"/>
                <w:b/>
                <w:bCs/>
                <w:kern w:val="0"/>
                <w:sz w:val="20"/>
              </w:rPr>
            </w:pPr>
          </w:p>
        </w:tc>
        <w:tc>
          <w:tcPr>
            <w:tcW w:w="1939" w:type="dxa"/>
            <w:vMerge/>
            <w:tcBorders>
              <w:top w:val="single" w:sz="4" w:space="0" w:color="auto"/>
              <w:left w:val="single" w:sz="4" w:space="0" w:color="auto"/>
              <w:bottom w:val="single" w:sz="4" w:space="0" w:color="auto"/>
              <w:right w:val="single" w:sz="4" w:space="0" w:color="auto"/>
            </w:tcBorders>
            <w:shd w:val="clear" w:color="auto" w:fill="auto"/>
            <w:vAlign w:val="center"/>
          </w:tcPr>
          <w:p w:rsidR="00337093">
            <w:pPr>
              <w:widowControl/>
              <w:jc w:val="center"/>
              <w:rPr>
                <w:rFonts w:ascii="宋体" w:hAnsi="宋体" w:cs="宋体"/>
                <w:b/>
                <w:bCs/>
                <w:kern w:val="0"/>
                <w:sz w:val="20"/>
              </w:rPr>
            </w:pPr>
          </w:p>
        </w:tc>
        <w:tc>
          <w:tcPr>
            <w:tcW w:w="34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337093">
            <w:pPr>
              <w:widowControl/>
              <w:jc w:val="center"/>
              <w:rPr>
                <w:rFonts w:ascii="宋体" w:hAnsi="宋体" w:cs="宋体"/>
                <w:b/>
                <w:bCs/>
                <w:kern w:val="0"/>
                <w:sz w:val="20"/>
              </w:rPr>
            </w:pPr>
          </w:p>
        </w:tc>
        <w:tc>
          <w:tcPr>
            <w:tcW w:w="1623" w:type="dxa"/>
            <w:tcBorders>
              <w:top w:val="nil"/>
              <w:left w:val="nil"/>
              <w:bottom w:val="single" w:sz="4" w:space="0" w:color="auto"/>
              <w:right w:val="single" w:sz="4" w:space="0" w:color="auto"/>
            </w:tcBorders>
            <w:shd w:val="clear" w:color="auto" w:fill="339966"/>
            <w:noWrap/>
            <w:vAlign w:val="center"/>
          </w:tcPr>
          <w:p w:rsidR="00337093">
            <w:pPr>
              <w:widowControl/>
              <w:jc w:val="center"/>
              <w:rPr>
                <w:rFonts w:ascii="宋体" w:hAnsi="宋体" w:cs="宋体"/>
                <w:b/>
                <w:bCs/>
                <w:kern w:val="0"/>
                <w:sz w:val="20"/>
              </w:rPr>
            </w:pPr>
            <w:r>
              <w:rPr>
                <w:rFonts w:ascii="宋体" w:hAnsi="宋体" w:cs="宋体" w:hint="eastAsia"/>
                <w:b/>
                <w:bCs/>
                <w:kern w:val="0"/>
                <w:sz w:val="20"/>
              </w:rPr>
              <w:t>直流（100kw）</w:t>
            </w:r>
          </w:p>
        </w:tc>
        <w:tc>
          <w:tcPr>
            <w:tcW w:w="1191" w:type="dxa"/>
            <w:tcBorders>
              <w:top w:val="nil"/>
              <w:left w:val="nil"/>
              <w:bottom w:val="single" w:sz="4" w:space="0" w:color="auto"/>
              <w:right w:val="single" w:sz="4" w:space="0" w:color="auto"/>
            </w:tcBorders>
            <w:shd w:val="clear" w:color="auto" w:fill="339966"/>
            <w:noWrap/>
            <w:vAlign w:val="center"/>
          </w:tcPr>
          <w:p w:rsidR="00337093">
            <w:pPr>
              <w:widowControl/>
              <w:jc w:val="center"/>
              <w:rPr>
                <w:rFonts w:ascii="宋体" w:hAnsi="宋体" w:cs="宋体"/>
                <w:b/>
                <w:bCs/>
                <w:kern w:val="0"/>
                <w:sz w:val="20"/>
              </w:rPr>
            </w:pPr>
            <w:r>
              <w:rPr>
                <w:rFonts w:ascii="宋体" w:hAnsi="宋体" w:cs="宋体" w:hint="eastAsia"/>
                <w:b/>
                <w:bCs/>
                <w:kern w:val="0"/>
                <w:sz w:val="20"/>
              </w:rPr>
              <w:t>交流(7kw)</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939"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南召县县委</w:t>
            </w:r>
          </w:p>
        </w:tc>
        <w:tc>
          <w:tcPr>
            <w:tcW w:w="3498"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30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c>
          <w:tcPr>
            <w:tcW w:w="1939"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南召县县政府</w:t>
            </w:r>
          </w:p>
        </w:tc>
        <w:tc>
          <w:tcPr>
            <w:tcW w:w="3498"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3</w:t>
            </w:r>
          </w:p>
        </w:tc>
        <w:tc>
          <w:tcPr>
            <w:tcW w:w="1939"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南召县国土资源局</w:t>
            </w:r>
          </w:p>
        </w:tc>
        <w:tc>
          <w:tcPr>
            <w:tcW w:w="3498"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c>
          <w:tcPr>
            <w:tcW w:w="1939"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南召县交通运输局</w:t>
            </w:r>
          </w:p>
        </w:tc>
        <w:tc>
          <w:tcPr>
            <w:tcW w:w="3498"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5</w:t>
            </w:r>
          </w:p>
        </w:tc>
        <w:tc>
          <w:tcPr>
            <w:tcW w:w="1939"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南召县司法局</w:t>
            </w:r>
          </w:p>
        </w:tc>
        <w:tc>
          <w:tcPr>
            <w:tcW w:w="3498"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6</w:t>
            </w:r>
          </w:p>
        </w:tc>
        <w:tc>
          <w:tcPr>
            <w:tcW w:w="1939"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南召县农业局</w:t>
            </w:r>
          </w:p>
        </w:tc>
        <w:tc>
          <w:tcPr>
            <w:tcW w:w="3498"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7</w:t>
            </w:r>
          </w:p>
        </w:tc>
        <w:tc>
          <w:tcPr>
            <w:tcW w:w="1939"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南召县公安局</w:t>
            </w:r>
          </w:p>
        </w:tc>
        <w:tc>
          <w:tcPr>
            <w:tcW w:w="3498"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8</w:t>
            </w:r>
          </w:p>
        </w:tc>
        <w:tc>
          <w:tcPr>
            <w:tcW w:w="1939"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南召县财政局</w:t>
            </w:r>
          </w:p>
        </w:tc>
        <w:tc>
          <w:tcPr>
            <w:tcW w:w="3498"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9</w:t>
            </w:r>
          </w:p>
        </w:tc>
        <w:tc>
          <w:tcPr>
            <w:tcW w:w="1939"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南召县林业局</w:t>
            </w:r>
          </w:p>
        </w:tc>
        <w:tc>
          <w:tcPr>
            <w:tcW w:w="3498"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10</w:t>
            </w:r>
          </w:p>
        </w:tc>
        <w:tc>
          <w:tcPr>
            <w:tcW w:w="1939"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南召县教体局</w:t>
            </w:r>
          </w:p>
        </w:tc>
        <w:tc>
          <w:tcPr>
            <w:tcW w:w="3498"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30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11</w:t>
            </w:r>
          </w:p>
        </w:tc>
        <w:tc>
          <w:tcPr>
            <w:tcW w:w="1939"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南召县环保局</w:t>
            </w:r>
          </w:p>
        </w:tc>
        <w:tc>
          <w:tcPr>
            <w:tcW w:w="3498"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12</w:t>
            </w:r>
          </w:p>
        </w:tc>
        <w:tc>
          <w:tcPr>
            <w:tcW w:w="1939"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南召县工商局</w:t>
            </w:r>
          </w:p>
        </w:tc>
        <w:tc>
          <w:tcPr>
            <w:tcW w:w="3498"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3</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13</w:t>
            </w:r>
          </w:p>
        </w:tc>
        <w:tc>
          <w:tcPr>
            <w:tcW w:w="1939"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南召县审计局</w:t>
            </w:r>
          </w:p>
        </w:tc>
        <w:tc>
          <w:tcPr>
            <w:tcW w:w="3498"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14</w:t>
            </w:r>
          </w:p>
        </w:tc>
        <w:tc>
          <w:tcPr>
            <w:tcW w:w="1939"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南召县民政局</w:t>
            </w:r>
          </w:p>
        </w:tc>
        <w:tc>
          <w:tcPr>
            <w:tcW w:w="3498"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30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15</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镇平县县委</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镇平县新华路</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30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16</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镇平县县政府</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镇平县府前街128号</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17</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镇平县国土资源局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镇平县西三里XX路8号</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18</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镇平县交通运输局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镇平县建设东路附近</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3</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50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19</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镇平县司法局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镇平县杏山大道</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30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镇平县农业局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镇平县新华路216号</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21</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镇平县公安局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镇平县前街</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22</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镇平县财政局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镇平县中山东路181号</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bl>
    <w:p>
      <w:pPr>
        <w:sectPr>
          <w:headerReference w:type="default" r:id="rId134"/>
          <w:footerReference w:type="even" r:id="rId135"/>
          <w:footerReference w:type="default" r:id="rId136"/>
          <w:headerReference w:type="first" r:id="rId137"/>
          <w:type w:val="nextPage"/>
          <w:pgSz w:w="11906" w:h="16838"/>
          <w:pgMar w:top="1418" w:right="1418" w:bottom="1418" w:left="1701" w:header="964" w:footer="964" w:gutter="0"/>
          <w:pgNumType w:fmt="numberInDash" w:start="31"/>
          <w:cols w:space="720"/>
          <w:titlePg w:val="0"/>
          <w:docGrid w:type="linesAndChars" w:linePitch="291" w:charSpace="3135"/>
        </w:sectPr>
      </w:pPr>
    </w:p>
    <w:tbl>
      <w:tblPr>
        <w:tblStyle w:val="TableNormal"/>
        <w:tblW w:w="0" w:type="auto"/>
        <w:tblInd w:w="103" w:type="dxa"/>
        <w:tblLayout w:type="fixed"/>
        <w:tblLook w:val="0000"/>
      </w:tblPr>
      <w:tblGrid>
        <w:gridCol w:w="649"/>
        <w:gridCol w:w="1939"/>
        <w:gridCol w:w="3498"/>
        <w:gridCol w:w="1623"/>
        <w:gridCol w:w="1191"/>
      </w:tblGrid>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23</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镇平县林业局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镇平县中山西街113号</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w:t>
            </w:r>
            <w:r>
              <w:rPr>
                <w:rFonts w:ascii="宋体" w:hAnsi="宋体" w:cs="宋体" w:hint="eastAsia"/>
                <w:kern w:val="0"/>
                <w:sz w:val="20"/>
              </w:rPr>
              <w:t>4</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镇平县教体局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镇平县府前街63号</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25</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镇平县环保局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镇平县北关杏山大道</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3</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30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26</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镇平县工商局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镇平县工业路与健康路十字路口以东</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3</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30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27</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镇平县审计局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镇平县杏山西路附近</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30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28</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镇平县民政局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镇平县城皇庙下街99号</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30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29</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内乡县县委</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内乡县城关镇教育路</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30</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内乡县县政府</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内乡县大成东路2</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31</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内乡县国土资源局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内乡县大成路与诸阳大街交叉口</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32</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内乡县交通运输局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内乡县郦都大道</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33</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内乡县司法局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内乡县城关镇西大街128号</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34</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内乡县农业局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内乡县范蠡大街338号</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35</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内乡县公安局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内乡县郦都大道</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36</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内乡县财政局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内乡县县衙路附近</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37</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内乡县林业局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内乡县湍河西路</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38</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内乡县教体局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内乡县范蠡大街附近</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39</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内乡县环保局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内乡县渚阳路</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40</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内乡县工商局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内乡县范蠡大街</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30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41</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内乡县审计局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内乡县郦都大道西41</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42</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内乡县民政局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内乡县教育路66号</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43</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淅川县县委</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淅川县人民路150号</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3</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44</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淅川县县政府</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淅川县人民路150号</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45</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淅川县国土资源局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淅川县丹江大道</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3</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46</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淅川县交通运输局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淅川县丹江大道</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25</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47</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淅川县司法局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淅川县新建路53号</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48</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淅川县农业局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淅川县解放街186号</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49</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淅川县公安局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淅川县解放路</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25</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50</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淅川县财政局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淅川县丹江大道</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51</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淅川县林业局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淅川县东环路</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52</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教体局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淅川县一中附近</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53</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淅川县环保局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淅川县丹江大道淅川县建设局附近</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54</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淅川县工商局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淅川县新建路东口南</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15</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55</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淅川县审计局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淅川县丹阳路</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56</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淅川县民政局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淅川县老街路</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57</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新野县县委</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新野县工商局西</w:t>
            </w:r>
            <w:smartTag w:uri="urn:schemas-microsoft-com:office:smarttags" w:element="chmetcnv">
              <w:smartTagPr>
                <w:attr w:name="HasSpace" w:val="False"/>
                <w:attr w:name="Negative" w:val="False"/>
                <w:attr w:name="NumberType" w:val="1"/>
                <w:attr w:name="SourceValue" w:val="100"/>
                <w:attr w:name="TCSC" w:val="0"/>
                <w:attr w:name="UnitName" w:val="米"/>
              </w:smartTagPr>
              <w:r>
                <w:rPr>
                  <w:rFonts w:ascii="宋体" w:hAnsi="宋体" w:cs="宋体" w:hint="eastAsia"/>
                  <w:kern w:val="0"/>
                  <w:sz w:val="20"/>
                </w:rPr>
                <w:t>100米</w:t>
              </w:r>
            </w:smartTag>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58</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新野县县政府</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新野县政府路</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59</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新野县国土资源局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新野县解放路附近</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60</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新野县交通运输局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新野县朝阳路006</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61</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新野县司法局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新野县中兴路</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62</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新野县农业局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新野县中兴路中段</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63</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新野县公安局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新野县政府路88号</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64</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新野县财政局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新野县解放路附近</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65</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新野县林业局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新野县文化路65</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bl>
    <w:p>
      <w:pPr>
        <w:sectPr>
          <w:headerReference w:type="default" r:id="rId138"/>
          <w:footerReference w:type="even" r:id="rId139"/>
          <w:footerReference w:type="default" r:id="rId140"/>
          <w:headerReference w:type="first" r:id="rId141"/>
          <w:type w:val="nextPage"/>
          <w:pgSz w:w="11906" w:h="16838"/>
          <w:pgMar w:top="1418" w:right="1418" w:bottom="1418" w:left="1701" w:header="964" w:footer="964" w:gutter="0"/>
          <w:pgNumType w:fmt="numberInDash" w:start="32"/>
          <w:cols w:space="720"/>
          <w:titlePg w:val="0"/>
          <w:docGrid w:type="linesAndChars" w:linePitch="291" w:charSpace="3135"/>
        </w:sectPr>
      </w:pPr>
    </w:p>
    <w:tbl>
      <w:tblPr>
        <w:tblStyle w:val="TableNormal"/>
        <w:tblW w:w="0" w:type="auto"/>
        <w:tblInd w:w="103" w:type="dxa"/>
        <w:tblLayout w:type="fixed"/>
        <w:tblLook w:val="0000"/>
      </w:tblPr>
      <w:tblGrid>
        <w:gridCol w:w="649"/>
        <w:gridCol w:w="1939"/>
        <w:gridCol w:w="3498"/>
        <w:gridCol w:w="1623"/>
        <w:gridCol w:w="1191"/>
      </w:tblGrid>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66</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新野县教体局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新野县教育委员会附近</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67</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新野县环保局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新野县解放北路</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68</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新野县工商局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新野县书院路12号</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69</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新野县审计局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新野县政府路</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70</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新野县民政局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新野县汉城路附近</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71</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唐河县县委</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唐河县</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72</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唐河县县政府</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唐河县迎宾大道</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73</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唐河县国土资源局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唐河县凤山路</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7</w:t>
            </w:r>
            <w:r>
              <w:rPr>
                <w:rFonts w:ascii="宋体" w:hAnsi="宋体" w:cs="宋体" w:hint="eastAsia"/>
                <w:kern w:val="0"/>
                <w:sz w:val="20"/>
              </w:rPr>
              <w:t>4</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唐河县交通运输局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唐河县新春北路20号</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75</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唐河县司法局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唐河县凤山路与福州路交叉口西南</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76</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唐河县农业局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唐河县335省道附近</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77</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唐河县公安局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唐河县迎宾大道</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78</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唐河县财政局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唐河县凤山路</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30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79</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唐河县林业局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唐河县新春街755号</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80</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唐河县教体局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唐河县城关镇新春路906号</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81</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唐河县环保局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唐河县新华路附近</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82</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唐河县工商局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唐河县新春中路180</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83</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唐河县审计局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唐河县人民路附近</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84</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唐河县民政局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唐河县新春路附近</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30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85</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桐柏县县委</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桐柏县城关镇新华街</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86</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桐柏县县政府</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桐柏县三源大道</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87</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桐柏县国土资源局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桐柏县桐山街附近</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88</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桐柏县交通运输局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唐桐柏县淮源路桐柏县交通局附近</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89</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桐柏县司法局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桐柏县桐山街78号附近</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90</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桐柏县农业局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桐柏县淮河路附近</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30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91</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桐柏县公安局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桐柏县大同路</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92</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桐柏县财政局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桐柏县大禹路</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93</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桐柏县林业局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桐柏县新华街附近</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94</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桐柏县教体局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桐柏县兴业路</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95</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桐柏县环保局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桐柏县城关镇</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30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96</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桐柏县工商局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桐柏县城关镇八一路147号</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97</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桐柏县审计局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桐柏县城关镇桐山街92号</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98</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桐柏县民政局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桐柏县城关镇新华街</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99</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方城县县委</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方城县文化路</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100</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方城县县政府</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方城县凤瑞路266号</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101</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方城县国土资源局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方城县人民路227号</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102</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方城县交通运输局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方城县张骞大道219</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30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103</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方城县司法局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方城县劳动街179号</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104</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方城县农业局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方城县城关镇人民路824号</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105</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方城县公安局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方城县文化路东口</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106</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方城县财政局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方城县城关镇育才路91号</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107</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方城县林业局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方城县凤瑞路269号</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108</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方城县教体局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方城县裕州南路112号</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109</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方城县环保局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方城县育才路171号</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30</w:t>
            </w:r>
          </w:p>
        </w:tc>
      </w:tr>
    </w:tbl>
    <w:p>
      <w:pPr>
        <w:sectPr>
          <w:headerReference w:type="default" r:id="rId142"/>
          <w:footerReference w:type="even" r:id="rId143"/>
          <w:footerReference w:type="default" r:id="rId144"/>
          <w:headerReference w:type="first" r:id="rId145"/>
          <w:type w:val="nextPage"/>
          <w:pgSz w:w="11906" w:h="16838"/>
          <w:pgMar w:top="1418" w:right="1418" w:bottom="1418" w:left="1701" w:header="964" w:footer="964" w:gutter="0"/>
          <w:pgNumType w:fmt="numberInDash" w:start="33"/>
          <w:cols w:space="720"/>
          <w:titlePg w:val="0"/>
          <w:docGrid w:type="linesAndChars" w:linePitch="291" w:charSpace="3135"/>
        </w:sectPr>
      </w:pPr>
    </w:p>
    <w:tbl>
      <w:tblPr>
        <w:tblStyle w:val="TableNormal"/>
        <w:tblW w:w="0" w:type="auto"/>
        <w:tblInd w:w="103" w:type="dxa"/>
        <w:tblLayout w:type="fixed"/>
        <w:tblLook w:val="0000"/>
      </w:tblPr>
      <w:tblGrid>
        <w:gridCol w:w="649"/>
        <w:gridCol w:w="1939"/>
        <w:gridCol w:w="3498"/>
        <w:gridCol w:w="1623"/>
        <w:gridCol w:w="1191"/>
      </w:tblGrid>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110</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方城县工商局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方城县裕州北路44号</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111</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方城县审计局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方城县凤瑞路266号</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112</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方城县民政局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方城县103省道</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30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113</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西峡县县委</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西峡县</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114</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西峡县县政府</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西峡县人民西路</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115</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西峡县国土资源局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西峡县白羽南路103</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116</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西峡县交通运输局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西峡县仲景大道西段1038</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117</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西峡县司法局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西峡县北大街28</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118</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西峡县农业局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西峡县北大街256号附近</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119</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西峡县公安局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西峡县建设西路102</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120</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西峡县财政局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西峡县白羽路26号</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30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121</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西峡县林业局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西峡县伏牛西路38</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122</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西峡县教体局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西峡县白羽南路317号</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123</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西峡县环保局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西峡县城建路与白羽南路交汇处向南</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124</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西峡县工商局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西峡县白羽路北段536</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125</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西峡县审计局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西峡县建设东路99</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126</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西峡县民政局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西峡县白羽路639号</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127</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社旗县县委</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社旗县翰泽苑小区附近</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128</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社旗县县政府</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社旗县西山货街1号</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30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129</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社旗县国土资源局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社旗县红旗路</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130</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社旗县交通运输局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社旗县科技局东</w:t>
            </w:r>
            <w:smartTag w:uri="urn:schemas-microsoft-com:office:smarttags" w:element="chmetcnv">
              <w:smartTagPr>
                <w:attr w:name="HasSpace" w:val="False"/>
                <w:attr w:name="Negative" w:val="False"/>
                <w:attr w:name="NumberType" w:val="1"/>
                <w:attr w:name="SourceValue" w:val="30"/>
                <w:attr w:name="TCSC" w:val="0"/>
                <w:attr w:name="UnitName" w:val="米"/>
              </w:smartTagPr>
              <w:r>
                <w:rPr>
                  <w:rFonts w:ascii="宋体" w:hAnsi="宋体" w:cs="宋体" w:hint="eastAsia"/>
                  <w:kern w:val="0"/>
                  <w:sz w:val="20"/>
                </w:rPr>
                <w:t>30米</w:t>
              </w:r>
            </w:smartTag>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131</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社旗县司法局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社旗县财政局西</w:t>
            </w:r>
            <w:smartTag w:uri="urn:schemas-microsoft-com:office:smarttags" w:element="chmetcnv">
              <w:smartTagPr>
                <w:attr w:name="HasSpace" w:val="False"/>
                <w:attr w:name="Negative" w:val="False"/>
                <w:attr w:name="NumberType" w:val="1"/>
                <w:attr w:name="SourceValue" w:val="50"/>
                <w:attr w:name="TCSC" w:val="0"/>
                <w:attr w:name="UnitName" w:val="米"/>
              </w:smartTagPr>
              <w:r>
                <w:rPr>
                  <w:rFonts w:ascii="宋体" w:hAnsi="宋体" w:cs="宋体" w:hint="eastAsia"/>
                  <w:kern w:val="0"/>
                  <w:sz w:val="20"/>
                </w:rPr>
                <w:t>50米</w:t>
              </w:r>
            </w:smartTag>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132</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社旗县农业局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社旗县西门外北街附近</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133</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社旗县公安局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社旗县西门外北街附近</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134</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社旗县财政局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社旗县红旗路</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135</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社旗县林业局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社旗县社旗镇北太平街68号</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136</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社旗县教体局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社旗县红旗路西段</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30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137</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社旗县环保局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社旗县建设路</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138</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社旗县工商局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社旗县西门外北街18号</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139</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社旗县审计局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社旗县城乡规划管理局</w:t>
            </w:r>
            <w:r>
              <w:rPr>
                <w:rFonts w:ascii="宋体" w:hAnsi="宋体" w:cs="宋体" w:hint="eastAsia"/>
                <w:kern w:val="0"/>
                <w:sz w:val="20"/>
              </w:rPr>
              <w:t>南</w:t>
            </w:r>
            <w:smartTag w:uri="urn:schemas-microsoft-com:office:smarttags" w:element="chmetcnv">
              <w:smartTagPr>
                <w:attr w:name="HasSpace" w:val="False"/>
                <w:attr w:name="Negative" w:val="False"/>
                <w:attr w:name="NumberType" w:val="1"/>
                <w:attr w:name="SourceValue" w:val="50"/>
                <w:attr w:name="TCSC" w:val="0"/>
                <w:attr w:name="UnitName" w:val="米"/>
              </w:smartTagPr>
              <w:r>
                <w:rPr>
                  <w:rFonts w:ascii="宋体" w:hAnsi="宋体" w:cs="宋体" w:hint="eastAsia"/>
                  <w:kern w:val="0"/>
                  <w:sz w:val="20"/>
                </w:rPr>
                <w:t>50米</w:t>
              </w:r>
            </w:smartTag>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20</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140</w:t>
            </w:r>
          </w:p>
        </w:tc>
        <w:tc>
          <w:tcPr>
            <w:tcW w:w="1939"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社旗县民政局</w:t>
            </w:r>
          </w:p>
        </w:tc>
        <w:tc>
          <w:tcPr>
            <w:tcW w:w="3498" w:type="dxa"/>
            <w:tcBorders>
              <w:top w:val="nil"/>
              <w:left w:val="nil"/>
              <w:bottom w:val="single" w:sz="4" w:space="0" w:color="auto"/>
              <w:right w:val="single" w:sz="4" w:space="0" w:color="auto"/>
            </w:tcBorders>
            <w:vAlign w:val="center"/>
          </w:tcPr>
          <w:p w:rsidR="00337093">
            <w:pPr>
              <w:widowControl/>
              <w:jc w:val="center"/>
              <w:rPr>
                <w:rFonts w:ascii="宋体" w:hAnsi="宋体" w:cs="宋体"/>
                <w:kern w:val="0"/>
                <w:sz w:val="20"/>
              </w:rPr>
            </w:pPr>
            <w:r>
              <w:rPr>
                <w:rFonts w:ascii="宋体" w:hAnsi="宋体" w:cs="宋体" w:hint="eastAsia"/>
                <w:kern w:val="0"/>
                <w:sz w:val="20"/>
              </w:rPr>
              <w:t>社旗县中山货街26号</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3</w:t>
            </w:r>
          </w:p>
        </w:tc>
      </w:tr>
      <w:tr>
        <w:tblPrEx>
          <w:tblW w:w="0" w:type="auto"/>
          <w:tblInd w:w="103" w:type="dxa"/>
          <w:tblLayout w:type="fixed"/>
          <w:tblLook w:val="0000"/>
        </w:tblPrEx>
        <w:trPr>
          <w:trHeight w:val="240"/>
        </w:trPr>
        <w:tc>
          <w:tcPr>
            <w:tcW w:w="6086" w:type="dxa"/>
            <w:gridSpan w:val="3"/>
            <w:tcBorders>
              <w:top w:val="single" w:sz="4" w:space="0" w:color="auto"/>
              <w:left w:val="single" w:sz="4" w:space="0" w:color="auto"/>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合计</w:t>
            </w:r>
          </w:p>
        </w:tc>
        <w:tc>
          <w:tcPr>
            <w:tcW w:w="1623"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183</w:t>
            </w:r>
          </w:p>
        </w:tc>
        <w:tc>
          <w:tcPr>
            <w:tcW w:w="1191" w:type="dxa"/>
            <w:tcBorders>
              <w:top w:val="nil"/>
              <w:left w:val="nil"/>
              <w:bottom w:val="single" w:sz="4" w:space="0" w:color="auto"/>
              <w:right w:val="single" w:sz="4" w:space="0" w:color="auto"/>
            </w:tcBorders>
            <w:noWrap/>
            <w:vAlign w:val="center"/>
          </w:tcPr>
          <w:p w:rsidR="00337093">
            <w:pPr>
              <w:widowControl/>
              <w:jc w:val="center"/>
              <w:rPr>
                <w:rFonts w:ascii="宋体" w:hAnsi="宋体" w:cs="宋体"/>
                <w:kern w:val="0"/>
                <w:sz w:val="20"/>
              </w:rPr>
            </w:pPr>
            <w:r>
              <w:rPr>
                <w:rFonts w:ascii="宋体" w:hAnsi="宋体" w:cs="宋体" w:hint="eastAsia"/>
                <w:kern w:val="0"/>
                <w:sz w:val="20"/>
              </w:rPr>
              <w:t>2978</w:t>
            </w:r>
          </w:p>
        </w:tc>
      </w:tr>
    </w:tbl>
    <w:p w:rsidR="00337093" w:rsidP="00337093">
      <w:pPr>
        <w:ind w:firstLine="560" w:firstLineChars="200"/>
        <w:rPr>
          <w:rFonts w:hAnsi="宋体" w:hint="eastAsia"/>
          <w:bCs/>
          <w:sz w:val="28"/>
          <w:szCs w:val="28"/>
        </w:rPr>
      </w:pPr>
    </w:p>
    <w:p w:rsidR="00337093">
      <w:pPr>
        <w:pStyle w:val="Heading3"/>
        <w:spacing w:before="0" w:after="0" w:line="240" w:lineRule="auto"/>
        <w:rPr>
          <w:rFonts w:eastAsia="宋体" w:hint="eastAsia"/>
          <w:b/>
          <w:sz w:val="32"/>
        </w:rPr>
      </w:pPr>
      <w:smartTag w:uri="urn:schemas-microsoft-com:office:smarttags" w:element="chsdate">
        <w:smartTagPr>
          <w:attr w:name="Day" w:val="30"/>
          <w:attr w:name="IsLunarDate" w:val="False"/>
          <w:attr w:name="IsROCDate" w:val="False"/>
          <w:attr w:name="Month" w:val="12"/>
          <w:attr w:name="Year" w:val="1899"/>
        </w:smartTagPr>
        <w:r>
          <w:rPr>
            <w:rFonts w:eastAsia="宋体" w:hint="eastAsia"/>
            <w:b/>
            <w:sz w:val="32"/>
          </w:rPr>
          <w:t>5.3.7</w:t>
        </w:r>
      </w:smartTag>
      <w:r>
        <w:rPr>
          <w:rFonts w:eastAsia="宋体" w:hint="eastAsia"/>
          <w:b/>
          <w:sz w:val="32"/>
        </w:rPr>
        <w:t>风景名胜区充电桩</w:t>
      </w:r>
    </w:p>
    <w:p w:rsidR="00337093" w:rsidP="00337093">
      <w:pPr>
        <w:ind w:firstLine="560" w:firstLineChars="200"/>
        <w:rPr>
          <w:rFonts w:hAnsi="宋体" w:hint="eastAsia"/>
          <w:bCs/>
          <w:sz w:val="28"/>
          <w:szCs w:val="28"/>
        </w:rPr>
      </w:pPr>
      <w:r>
        <w:rPr>
          <w:rFonts w:hAnsi="宋体" w:hint="eastAsia"/>
          <w:bCs/>
          <w:sz w:val="28"/>
          <w:szCs w:val="28"/>
        </w:rPr>
        <w:t>全市各大景区布点156处，配备直流桩312台、交流桩3161台。</w:t>
      </w:r>
    </w:p>
    <w:tbl>
      <w:tblPr>
        <w:tblStyle w:val="TableNormal"/>
        <w:tblW w:w="0" w:type="auto"/>
        <w:tblInd w:w="103" w:type="dxa"/>
        <w:tblLayout w:type="fixed"/>
        <w:tblLook w:val="0000"/>
      </w:tblPr>
      <w:tblGrid>
        <w:gridCol w:w="649"/>
        <w:gridCol w:w="3661"/>
        <w:gridCol w:w="1623"/>
        <w:gridCol w:w="1191"/>
        <w:gridCol w:w="1407"/>
      </w:tblGrid>
      <w:tr>
        <w:tblPrEx>
          <w:tblW w:w="0" w:type="auto"/>
          <w:tblInd w:w="103" w:type="dxa"/>
          <w:tblLayout w:type="fixed"/>
          <w:tblLook w:val="0000"/>
        </w:tblPrEx>
        <w:trPr>
          <w:trHeight w:val="270"/>
        </w:trPr>
        <w:tc>
          <w:tcPr>
            <w:tcW w:w="649" w:type="dxa"/>
            <w:vMerge w:val="restart"/>
            <w:tcBorders>
              <w:top w:val="single" w:sz="4" w:space="0" w:color="auto"/>
              <w:left w:val="single" w:sz="4" w:space="0" w:color="auto"/>
              <w:bottom w:val="single" w:sz="4" w:space="0" w:color="auto"/>
              <w:right w:val="single" w:sz="4" w:space="0" w:color="auto"/>
            </w:tcBorders>
            <w:shd w:val="clear" w:color="auto" w:fill="339966"/>
            <w:noWrap/>
            <w:vAlign w:val="center"/>
          </w:tcPr>
          <w:p w:rsidR="00337093">
            <w:pPr>
              <w:widowControl/>
              <w:jc w:val="center"/>
              <w:rPr>
                <w:rFonts w:ascii="宋体" w:hAnsi="宋体" w:cs="宋体"/>
                <w:b/>
                <w:bCs/>
                <w:kern w:val="0"/>
                <w:sz w:val="20"/>
              </w:rPr>
            </w:pPr>
            <w:r>
              <w:rPr>
                <w:rFonts w:ascii="宋体" w:hAnsi="宋体" w:cs="宋体" w:hint="eastAsia"/>
                <w:b/>
                <w:bCs/>
                <w:kern w:val="0"/>
                <w:sz w:val="20"/>
              </w:rPr>
              <w:t>序号</w:t>
            </w:r>
          </w:p>
        </w:tc>
        <w:tc>
          <w:tcPr>
            <w:tcW w:w="3661" w:type="dxa"/>
            <w:vMerge w:val="restart"/>
            <w:tcBorders>
              <w:top w:val="single" w:sz="4" w:space="0" w:color="auto"/>
              <w:left w:val="single" w:sz="4" w:space="0" w:color="auto"/>
              <w:bottom w:val="single" w:sz="4" w:space="0" w:color="auto"/>
              <w:right w:val="single" w:sz="4" w:space="0" w:color="auto"/>
            </w:tcBorders>
            <w:shd w:val="clear" w:color="auto" w:fill="339966"/>
            <w:noWrap/>
            <w:vAlign w:val="center"/>
          </w:tcPr>
          <w:p w:rsidR="00337093">
            <w:pPr>
              <w:widowControl/>
              <w:jc w:val="center"/>
              <w:rPr>
                <w:rFonts w:ascii="宋体" w:hAnsi="宋体" w:cs="宋体"/>
                <w:b/>
                <w:bCs/>
                <w:kern w:val="0"/>
                <w:sz w:val="20"/>
              </w:rPr>
            </w:pPr>
            <w:r>
              <w:rPr>
                <w:rFonts w:ascii="宋体" w:hAnsi="宋体" w:cs="宋体" w:hint="eastAsia"/>
                <w:b/>
                <w:bCs/>
                <w:kern w:val="0"/>
                <w:sz w:val="20"/>
              </w:rPr>
              <w:t>充电站位置</w:t>
            </w:r>
          </w:p>
        </w:tc>
        <w:tc>
          <w:tcPr>
            <w:tcW w:w="4221" w:type="dxa"/>
            <w:gridSpan w:val="3"/>
            <w:tcBorders>
              <w:top w:val="single" w:sz="4" w:space="0" w:color="auto"/>
              <w:left w:val="nil"/>
              <w:bottom w:val="single" w:sz="4" w:space="0" w:color="auto"/>
              <w:right w:val="single" w:sz="4" w:space="0" w:color="000000"/>
            </w:tcBorders>
            <w:shd w:val="clear" w:color="auto" w:fill="339966"/>
            <w:noWrap/>
            <w:vAlign w:val="center"/>
          </w:tcPr>
          <w:p w:rsidR="00337093">
            <w:pPr>
              <w:widowControl/>
              <w:jc w:val="center"/>
              <w:rPr>
                <w:rFonts w:ascii="宋体" w:hAnsi="宋体" w:cs="宋体"/>
                <w:b/>
                <w:bCs/>
                <w:kern w:val="0"/>
                <w:sz w:val="20"/>
              </w:rPr>
            </w:pPr>
            <w:r>
              <w:rPr>
                <w:rFonts w:ascii="宋体" w:hAnsi="宋体" w:cs="宋体" w:hint="eastAsia"/>
                <w:b/>
                <w:bCs/>
                <w:kern w:val="0"/>
                <w:sz w:val="20"/>
              </w:rPr>
              <w:t>充电桩规模</w:t>
            </w:r>
          </w:p>
        </w:tc>
      </w:tr>
      <w:tr>
        <w:tblPrEx>
          <w:tblW w:w="0" w:type="auto"/>
          <w:tblInd w:w="103" w:type="dxa"/>
          <w:tblLayout w:type="fixed"/>
          <w:tblLook w:val="0000"/>
        </w:tblPrEx>
        <w:trPr>
          <w:trHeight w:val="240"/>
        </w:trPr>
        <w:tc>
          <w:tcPr>
            <w:tcW w:w="649" w:type="dxa"/>
            <w:vMerge/>
            <w:tcBorders>
              <w:top w:val="single" w:sz="4" w:space="0" w:color="auto"/>
              <w:left w:val="single" w:sz="4" w:space="0" w:color="auto"/>
              <w:bottom w:val="single" w:sz="4" w:space="0" w:color="auto"/>
              <w:right w:val="single" w:sz="4" w:space="0" w:color="auto"/>
            </w:tcBorders>
            <w:shd w:val="clear" w:color="auto" w:fill="auto"/>
            <w:vAlign w:val="center"/>
          </w:tcPr>
          <w:p w:rsidR="00337093">
            <w:pPr>
              <w:widowControl/>
              <w:jc w:val="center"/>
              <w:rPr>
                <w:rFonts w:ascii="宋体" w:hAnsi="宋体" w:cs="宋体"/>
                <w:b/>
                <w:bCs/>
                <w:kern w:val="0"/>
                <w:sz w:val="20"/>
              </w:rPr>
            </w:pPr>
          </w:p>
        </w:tc>
        <w:tc>
          <w:tcPr>
            <w:tcW w:w="3661" w:type="dxa"/>
            <w:vMerge/>
            <w:tcBorders>
              <w:top w:val="single" w:sz="4" w:space="0" w:color="auto"/>
              <w:left w:val="single" w:sz="4" w:space="0" w:color="auto"/>
              <w:bottom w:val="single" w:sz="4" w:space="0" w:color="auto"/>
              <w:right w:val="single" w:sz="4" w:space="0" w:color="auto"/>
            </w:tcBorders>
            <w:shd w:val="clear" w:color="auto" w:fill="auto"/>
            <w:vAlign w:val="center"/>
          </w:tcPr>
          <w:p w:rsidR="00337093">
            <w:pPr>
              <w:widowControl/>
              <w:jc w:val="center"/>
              <w:rPr>
                <w:rFonts w:ascii="宋体" w:hAnsi="宋体" w:cs="宋体"/>
                <w:b/>
                <w:bCs/>
                <w:kern w:val="0"/>
                <w:sz w:val="20"/>
              </w:rPr>
            </w:pPr>
          </w:p>
        </w:tc>
        <w:tc>
          <w:tcPr>
            <w:tcW w:w="1623" w:type="dxa"/>
            <w:tcBorders>
              <w:top w:val="nil"/>
              <w:left w:val="nil"/>
              <w:bottom w:val="single" w:sz="4" w:space="0" w:color="auto"/>
              <w:right w:val="single" w:sz="4" w:space="0" w:color="auto"/>
            </w:tcBorders>
            <w:shd w:val="clear" w:color="auto" w:fill="339966"/>
            <w:noWrap/>
            <w:vAlign w:val="center"/>
          </w:tcPr>
          <w:p w:rsidR="00337093">
            <w:pPr>
              <w:widowControl/>
              <w:jc w:val="center"/>
              <w:rPr>
                <w:rFonts w:ascii="宋体" w:hAnsi="宋体" w:cs="宋体"/>
                <w:b/>
                <w:bCs/>
                <w:kern w:val="0"/>
                <w:sz w:val="20"/>
              </w:rPr>
            </w:pPr>
            <w:r>
              <w:rPr>
                <w:rFonts w:ascii="宋体" w:hAnsi="宋体" w:cs="宋体" w:hint="eastAsia"/>
                <w:b/>
                <w:bCs/>
                <w:kern w:val="0"/>
                <w:sz w:val="20"/>
              </w:rPr>
              <w:t>直流（100kw）</w:t>
            </w:r>
          </w:p>
        </w:tc>
        <w:tc>
          <w:tcPr>
            <w:tcW w:w="1191" w:type="dxa"/>
            <w:tcBorders>
              <w:top w:val="nil"/>
              <w:left w:val="nil"/>
              <w:bottom w:val="single" w:sz="4" w:space="0" w:color="auto"/>
              <w:right w:val="single" w:sz="4" w:space="0" w:color="auto"/>
            </w:tcBorders>
            <w:shd w:val="clear" w:color="auto" w:fill="339966"/>
            <w:noWrap/>
            <w:vAlign w:val="center"/>
          </w:tcPr>
          <w:p w:rsidR="00337093">
            <w:pPr>
              <w:widowControl/>
              <w:jc w:val="center"/>
              <w:rPr>
                <w:rFonts w:ascii="宋体" w:hAnsi="宋体" w:cs="宋体"/>
                <w:b/>
                <w:bCs/>
                <w:kern w:val="0"/>
                <w:sz w:val="20"/>
              </w:rPr>
            </w:pPr>
            <w:r>
              <w:rPr>
                <w:rFonts w:ascii="宋体" w:hAnsi="宋体" w:cs="宋体" w:hint="eastAsia"/>
                <w:b/>
                <w:bCs/>
                <w:kern w:val="0"/>
                <w:sz w:val="20"/>
              </w:rPr>
              <w:t>交流(7kw)</w:t>
            </w:r>
          </w:p>
        </w:tc>
        <w:tc>
          <w:tcPr>
            <w:tcW w:w="1407" w:type="dxa"/>
            <w:tcBorders>
              <w:top w:val="nil"/>
              <w:left w:val="nil"/>
              <w:bottom w:val="single" w:sz="4" w:space="0" w:color="auto"/>
              <w:right w:val="single" w:sz="4" w:space="0" w:color="auto"/>
            </w:tcBorders>
            <w:shd w:val="clear" w:color="auto" w:fill="339966"/>
            <w:noWrap/>
            <w:vAlign w:val="center"/>
          </w:tcPr>
          <w:p w:rsidR="00337093">
            <w:pPr>
              <w:widowControl/>
              <w:jc w:val="center"/>
              <w:rPr>
                <w:rFonts w:ascii="宋体" w:hAnsi="宋体" w:cs="宋体"/>
                <w:b/>
                <w:bCs/>
                <w:kern w:val="0"/>
                <w:sz w:val="20"/>
              </w:rPr>
            </w:pPr>
            <w:r>
              <w:rPr>
                <w:rFonts w:ascii="宋体" w:hAnsi="宋体" w:cs="宋体" w:hint="eastAsia"/>
                <w:b/>
                <w:bCs/>
                <w:kern w:val="0"/>
                <w:sz w:val="20"/>
              </w:rPr>
              <w:t>媒体型(7kw)</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nil"/>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1</w:t>
            </w:r>
          </w:p>
        </w:tc>
        <w:tc>
          <w:tcPr>
            <w:tcW w:w="3661"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社旗县彰新寨纪念馆</w:t>
            </w:r>
          </w:p>
        </w:tc>
        <w:tc>
          <w:tcPr>
            <w:tcW w:w="1623"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c>
          <w:tcPr>
            <w:tcW w:w="1191"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15</w:t>
            </w:r>
          </w:p>
        </w:tc>
        <w:tc>
          <w:tcPr>
            <w:tcW w:w="1407"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8</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nil"/>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c>
          <w:tcPr>
            <w:tcW w:w="3661"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社旗县赊店古城</w:t>
            </w:r>
          </w:p>
        </w:tc>
        <w:tc>
          <w:tcPr>
            <w:tcW w:w="1623"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c>
          <w:tcPr>
            <w:tcW w:w="1191"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15</w:t>
            </w:r>
          </w:p>
        </w:tc>
        <w:tc>
          <w:tcPr>
            <w:tcW w:w="1407"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8</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nil"/>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3</w:t>
            </w:r>
          </w:p>
        </w:tc>
        <w:tc>
          <w:tcPr>
            <w:tcW w:w="3661"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社旗县山陕会馆</w:t>
            </w:r>
          </w:p>
        </w:tc>
        <w:tc>
          <w:tcPr>
            <w:tcW w:w="1623"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c>
          <w:tcPr>
            <w:tcW w:w="1191"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5</w:t>
            </w:r>
          </w:p>
        </w:tc>
        <w:tc>
          <w:tcPr>
            <w:tcW w:w="1407"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r>
      <w:tr>
        <w:tblPrEx>
          <w:tblW w:w="0" w:type="auto"/>
          <w:tblInd w:w="103" w:type="dxa"/>
          <w:tblLayout w:type="fixed"/>
          <w:tblLook w:val="0000"/>
        </w:tblPrEx>
        <w:trPr>
          <w:trHeight w:val="240"/>
        </w:trPr>
        <w:tc>
          <w:tcPr>
            <w:tcW w:w="649" w:type="dxa"/>
            <w:tcBorders>
              <w:top w:val="nil"/>
              <w:left w:val="single" w:sz="4" w:space="0" w:color="auto"/>
              <w:bottom w:val="single" w:sz="4" w:space="0" w:color="auto"/>
              <w:right w:val="nil"/>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4</w:t>
            </w:r>
          </w:p>
        </w:tc>
        <w:tc>
          <w:tcPr>
            <w:tcW w:w="3661" w:type="dxa"/>
            <w:tcBorders>
              <w:top w:val="nil"/>
              <w:left w:val="single" w:sz="4" w:space="0" w:color="auto"/>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社旗县瓷器街</w:t>
            </w:r>
          </w:p>
        </w:tc>
        <w:tc>
          <w:tcPr>
            <w:tcW w:w="1623" w:type="dxa"/>
            <w:tcBorders>
              <w:top w:val="nil"/>
              <w:left w:val="nil"/>
              <w:bottom w:val="single" w:sz="4" w:space="0" w:color="auto"/>
              <w:right w:val="single" w:sz="4" w:space="0" w:color="auto"/>
            </w:tcBorders>
            <w:shd w:val="clear" w:color="auto" w:fill="auto"/>
            <w:noWrap/>
            <w:vAlign w:val="center"/>
          </w:tcPr>
          <w:p w:rsidR="00337093">
            <w:pPr>
              <w:widowControl/>
              <w:jc w:val="center"/>
              <w:rPr>
                <w:rFonts w:ascii="宋体" w:hAnsi="宋体" w:cs="宋体"/>
                <w:kern w:val="0"/>
                <w:sz w:val="20"/>
              </w:rPr>
            </w:pPr>
            <w:r>
              <w:rPr>
                <w:rFonts w:ascii="宋体" w:hAnsi="宋体" w:cs="宋体" w:hint="eastAsia"/>
                <w:kern w:val="0"/>
                <w:sz w:val="20"/>
              </w:rPr>
              <w:t>2</w:t>
            </w:r>
          </w:p>
        </w:tc>
        <w:tc>
          <w:tcPr>
            <w:tcW w:w="1191"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15</w:t>
            </w:r>
          </w:p>
        </w:tc>
        <w:tc>
          <w:tcPr>
            <w:tcW w:w="1407" w:type="dxa"/>
            <w:tcBorders>
              <w:top w:val="nil"/>
              <w:left w:val="nil"/>
              <w:bottom w:val="single" w:sz="4" w:space="0" w:color="auto"/>
              <w:right w:val="single" w:sz="4" w:space="0" w:color="auto"/>
            </w:tcBorders>
            <w:shd w:val="clear" w:color="auto" w:fill="CCFFCC"/>
            <w:noWrap/>
            <w:vAlign w:val="center"/>
          </w:tcPr>
          <w:p w:rsidR="00337093">
            <w:pPr>
              <w:widowControl/>
              <w:jc w:val="center"/>
              <w:rPr>
                <w:rFonts w:ascii="宋体" w:hAnsi="宋体" w:cs="宋体"/>
                <w:kern w:val="0"/>
                <w:sz w:val="20"/>
              </w:rPr>
            </w:pPr>
            <w:r>
              <w:rPr>
                <w:rFonts w:ascii="宋体" w:hAnsi="宋体" w:cs="宋体" w:hint="eastAsia"/>
                <w:kern w:val="0"/>
                <w:sz w:val="20"/>
              </w:rPr>
              <w:t>8</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6" w:history="1">
        <w:r>
          <w:rPr>
            <w:rFonts w:ascii="SimSun" w:eastAsia="SimSun" w:hAnsi="SimSun" w:cs="SimSun"/>
            <w:b/>
            <w:bCs/>
            <w:color w:val="0000EE"/>
            <w:kern w:val="0"/>
            <w:sz w:val="30"/>
            <w:szCs w:val="30"/>
            <w:u w:val="single" w:color="0000EE"/>
          </w:rPr>
          <w:t>https://d.book118.com/528062071051006034</w:t>
        </w:r>
      </w:hyperlink>
    </w:p>
    <w:p/>
    <w:sectPr>
      <w:headerReference w:type="default" r:id="rId147"/>
      <w:footerReference w:type="even" r:id="rId148"/>
      <w:footerReference w:type="default" r:id="rId149"/>
      <w:headerReference w:type="first" r:id="rId150"/>
      <w:type w:val="nextPage"/>
      <w:pgSz w:w="11906" w:h="16838"/>
      <w:pgMar w:top="1418" w:right="1418" w:bottom="1418" w:left="1701" w:header="964" w:footer="964" w:gutter="0"/>
      <w:pgNumType w:fmt="numberInDash" w:start="34"/>
      <w:cols w:space="720"/>
      <w:titlePg w:val="0"/>
      <w:docGrid w:type="linesAndChars" w:linePitch="291" w:charSpace="3135"/>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default"/>
    <w:sig w:usb0="00000001" w:usb1="080E0000" w:usb2="00000010" w:usb3="00000000" w:csb0="00040000" w:csb1="00000000"/>
  </w:font>
  <w:font w:name="MingLiU">
    <w:altName w:val="細明體"/>
    <w:panose1 w:val="02020509000000000000"/>
    <w:charset w:val="88"/>
    <w:family w:val="modern"/>
    <w:pitch w:val="fixed"/>
    <w:sig w:usb0="A00002FF" w:usb1="28CFFCFA" w:usb2="00000016" w:usb3="00000000" w:csb0="00100001" w:csb1="00000000"/>
  </w:font>
  <w:font w:name="Franklin Gothic Heavy">
    <w:panose1 w:val="020B0903020102020204"/>
    <w:charset w:val="00"/>
    <w:family w:val="swiss"/>
    <w:pitch w:val="variable"/>
    <w:sig w:usb0="00000287" w:usb1="00000000" w:usb2="00000000" w:usb3="00000000" w:csb0="0000009F" w:csb1="00000000"/>
  </w:font>
  <w:font w:name="Arial Unicode MS">
    <w:panose1 w:val="020B0604020202020204"/>
    <w:charset w:val="86"/>
    <w:family w:val="swiss"/>
    <w:pitch w:val="variable"/>
    <w:sig w:usb0="FFFFFFFF" w:usb1="E9FFFFFF" w:usb2="0000003F" w:usb3="00000000" w:csb0="003F01FF" w:csb1="00000000"/>
  </w:font>
  <w:font w:name="Courier New">
    <w:panose1 w:val="02070309020205020404"/>
    <w:charset w:val="00"/>
    <w:family w:val="modern"/>
    <w:pitch w:val="fixed"/>
    <w:sig w:usb0="E0003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华文细黑">
    <w:panose1 w:val="02010600040101010101"/>
    <w:charset w:val="86"/>
    <w:family w:val="auto"/>
    <w:pitch w:val="variable"/>
    <w:sig w:usb0="00000287" w:usb1="080F0000" w:usb2="00000010" w:usb3="00000000" w:csb0="0004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rsidR="00337093">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- 1 -</w:t>
    </w:r>
    <w:r>
      <w:fldChar w:fldCharType="end"/>
    </w:r>
  </w:p>
  <w:p w:rsidR="00337093">
    <w:pPr>
      <w:pStyle w:val="Footer"/>
      <w:spacing w:before="146" w:beforeLines="50"/>
      <w:ind w:right="360"/>
      <w:rPr>
        <w:rFonts w:hint="eastAsia"/>
        <w:sz w:val="21"/>
        <w:szCs w:val="21"/>
      </w:rPr>
    </w:pPr>
    <w:r>
      <w:rPr>
        <w:rFonts w:hint="eastAsia"/>
        <w:sz w:val="21"/>
        <w:szCs w:val="21"/>
      </w:rPr>
      <w:pict>
        <v:line id="直线 1" o:spid="_x0000_s2067" style="position:absolute;z-index:251658240" from="0,-0.1pt" to="438.75pt,-0.1pt">
          <o:lock v:ext="edit" aspectratio="f"/>
        </v:lin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rsidR="00337093">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- 2 -</w:t>
    </w:r>
    <w:r>
      <w:fldChar w:fldCharType="end"/>
    </w:r>
  </w:p>
  <w:p w:rsidR="00337093">
    <w:pPr>
      <w:pStyle w:val="Footer"/>
      <w:spacing w:before="146" w:beforeLines="50"/>
      <w:ind w:right="360"/>
      <w:rPr>
        <w:rFonts w:hint="eastAsia"/>
        <w:sz w:val="21"/>
        <w:szCs w:val="21"/>
      </w:rPr>
    </w:pPr>
    <w:r>
      <w:rPr>
        <w:rFonts w:hint="eastAsia"/>
        <w:sz w:val="21"/>
        <w:szCs w:val="21"/>
      </w:rPr>
      <w:pict>
        <v:line id="直线 1" o:spid="_x0000_s2072" style="position:absolute;z-index:251659264" from="0,-0.1pt" to="438.75pt,-0.1pt">
          <o:lock v:ext="edit" aspectratio="f"/>
        </v:lin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rsidR="00337093">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- 3 -</w:t>
    </w:r>
    <w:r>
      <w:fldChar w:fldCharType="end"/>
    </w:r>
  </w:p>
  <w:p w:rsidR="00337093">
    <w:pPr>
      <w:pStyle w:val="Footer"/>
      <w:spacing w:before="146" w:beforeLines="50"/>
      <w:ind w:right="360"/>
      <w:rPr>
        <w:rFonts w:hint="eastAsia"/>
        <w:sz w:val="21"/>
        <w:szCs w:val="21"/>
      </w:rPr>
    </w:pPr>
    <w:r>
      <w:rPr>
        <w:rFonts w:hint="eastAsia"/>
        <w:sz w:val="21"/>
        <w:szCs w:val="21"/>
      </w:rPr>
      <w:pict>
        <v:line id="直线 1" o:spid="_x0000_s2077" style="position:absolute;z-index:251660288" from="0,-0.1pt" to="438.75pt,-0.1pt">
          <o:lock v:ext="edit" aspectratio="f"/>
        </v:lin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rsidR="00337093">
    <w:pPr>
      <w:pStyle w:val="Footer"/>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- 5 -</w:t>
    </w:r>
    <w:r>
      <w:fldChar w:fldCharType="end"/>
    </w:r>
  </w:p>
  <w:p w:rsidR="00337093">
    <w:pPr>
      <w:pStyle w:val="Footer"/>
      <w:spacing w:before="146" w:beforeLines="50"/>
      <w:ind w:right="360"/>
      <w:rPr>
        <w:rFonts w:hint="eastAsia"/>
        <w:sz w:val="21"/>
        <w:szCs w:val="21"/>
      </w:rPr>
    </w:pPr>
    <w:r>
      <w:rPr>
        <w:rFonts w:hint="eastAsia"/>
        <w:sz w:val="21"/>
        <w:szCs w:val="21"/>
      </w:rPr>
      <w:pict>
        <v:line id="直线 1" o:spid="_x0000_s2082" style="position:absolute;z-index:251661312" from="0,-0.1pt" to="438.75pt,-0.1pt">
          <o:lock v:ext="edit" aspectratio="f"/>
        </v:lin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rsidR="00337093">
    <w:pPr>
      <w:pStyle w:val="Footer"/>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- 5 -</w:t>
    </w:r>
    <w:r>
      <w:fldChar w:fldCharType="end"/>
    </w:r>
  </w:p>
  <w:p w:rsidR="00337093">
    <w:pPr>
      <w:pStyle w:val="Footer"/>
      <w:spacing w:before="146" w:beforeLines="50"/>
      <w:ind w:right="360"/>
      <w:rPr>
        <w:rFonts w:hint="eastAsia"/>
        <w:sz w:val="21"/>
        <w:szCs w:val="21"/>
      </w:rPr>
    </w:pPr>
    <w:r>
      <w:rPr>
        <w:rFonts w:hint="eastAsia"/>
        <w:sz w:val="21"/>
        <w:szCs w:val="21"/>
      </w:rPr>
      <w:pict>
        <v:line id="直线 1" o:spid="_x0000_s2087" style="position:absolute;z-index:251662336" from="0,-0.1pt" to="438.75pt,-0.1pt">
          <o:lock v:ext="edit" aspectratio="f"/>
        </v:lin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rsidR="00337093">
    <w:pPr>
      <w:pStyle w:val="Footer"/>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- 6 -</w:t>
    </w:r>
    <w:r>
      <w:fldChar w:fldCharType="end"/>
    </w:r>
  </w:p>
  <w:p w:rsidR="00337093">
    <w:pPr>
      <w:pStyle w:val="Footer"/>
      <w:spacing w:before="146" w:beforeLines="50"/>
      <w:ind w:right="360"/>
      <w:rPr>
        <w:rFonts w:hint="eastAsia"/>
        <w:sz w:val="21"/>
        <w:szCs w:val="21"/>
      </w:rPr>
    </w:pPr>
    <w:r>
      <w:rPr>
        <w:rFonts w:hint="eastAsia"/>
        <w:sz w:val="21"/>
        <w:szCs w:val="21"/>
      </w:rPr>
      <w:pict>
        <v:line id="直线 1" o:spid="_x0000_s2092" style="position:absolute;z-index:251663360" from="0,-0.1pt" to="438.75pt,-0.1pt">
          <o:lock v:ext="edit" aspectratio="f"/>
        </v:lin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rsidR="00337093">
    <w:pPr>
      <w:pStyle w:val="Footer"/>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- 7 -</w:t>
    </w:r>
    <w:r>
      <w:fldChar w:fldCharType="end"/>
    </w:r>
  </w:p>
  <w:p w:rsidR="00337093">
    <w:pPr>
      <w:pStyle w:val="Footer"/>
      <w:spacing w:before="146" w:beforeLines="50"/>
      <w:ind w:right="360"/>
      <w:rPr>
        <w:rFonts w:hint="eastAsia"/>
        <w:sz w:val="21"/>
        <w:szCs w:val="21"/>
      </w:rPr>
    </w:pPr>
    <w:r>
      <w:rPr>
        <w:rFonts w:hint="eastAsia"/>
        <w:sz w:val="21"/>
        <w:szCs w:val="21"/>
      </w:rPr>
      <w:pict>
        <v:line id="直线 1" o:spid="_x0000_s2097" style="position:absolute;z-index:251664384" from="0,-0.1pt" to="438.75pt,-0.1pt">
          <o:lock v:ext="edit" aspectratio="f"/>
        </v:lin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37093">
    <w:pPr>
      <w:pStyle w:val="Footer"/>
      <w:ind w:right="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- 8 -</w:t>
    </w:r>
    <w:r>
      <w:fldChar w:fldCharType="end"/>
    </w:r>
  </w:p>
  <w:p w:rsidR="00337093">
    <w:pPr>
      <w:pStyle w:val="Footer"/>
      <w:spacing w:before="146" w:beforeLines="50"/>
      <w:ind w:right="360"/>
      <w:rPr>
        <w:rFonts w:hint="eastAsia"/>
        <w:sz w:val="21"/>
        <w:szCs w:val="21"/>
      </w:rPr>
    </w:pPr>
    <w:r>
      <w:rPr>
        <w:rFonts w:hint="eastAsia"/>
        <w:sz w:val="21"/>
        <w:szCs w:val="21"/>
      </w:rPr>
      <w:pict>
        <v:line id="直线 1" o:spid="_x0000_s2102" style="position:absolute;z-index:251665408" from="0,-0.1pt" to="438.75pt,-0.1pt">
          <o:lock v:ext="edit" aspectratio="f"/>
        </v:lin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37093">
    <w:pPr>
      <w:pStyle w:val="Footer"/>
      <w:ind w:right="360"/>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- 10 -</w:t>
    </w:r>
    <w:r>
      <w:fldChar w:fldCharType="end"/>
    </w:r>
  </w:p>
  <w:p w:rsidR="00337093">
    <w:pPr>
      <w:pStyle w:val="Footer"/>
      <w:spacing w:before="146" w:beforeLines="50"/>
      <w:ind w:right="360"/>
      <w:rPr>
        <w:rFonts w:hint="eastAsia"/>
        <w:sz w:val="21"/>
        <w:szCs w:val="21"/>
      </w:rPr>
    </w:pPr>
    <w:r>
      <w:rPr>
        <w:rFonts w:hint="eastAsia"/>
        <w:sz w:val="21"/>
        <w:szCs w:val="21"/>
      </w:rPr>
      <w:pict>
        <v:line id="直线 1" o:spid="_x0000_s2107" style="position:absolute;z-index:251666432" from="0,-0.1pt" to="438.75pt,-0.1pt">
          <o:lock v:ext="edit" aspectratio="f"/>
        </v:line>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37093">
    <w:pPr>
      <w:pStyle w:val="Footer"/>
      <w:ind w:right="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- 10 -</w:t>
    </w:r>
    <w:r>
      <w:fldChar w:fldCharType="end"/>
    </w:r>
  </w:p>
  <w:p w:rsidR="00337093">
    <w:pPr>
      <w:pStyle w:val="Footer"/>
      <w:spacing w:before="146" w:beforeLines="50"/>
      <w:ind w:right="360"/>
      <w:rPr>
        <w:rFonts w:hint="eastAsia"/>
        <w:sz w:val="21"/>
        <w:szCs w:val="21"/>
      </w:rPr>
    </w:pPr>
    <w:r>
      <w:rPr>
        <w:rFonts w:hint="eastAsia"/>
        <w:sz w:val="21"/>
        <w:szCs w:val="21"/>
      </w:rPr>
      <w:pict>
        <v:line id="直线 1" o:spid="_x0000_s2112" style="position:absolute;z-index:251667456" from="0,-0.1pt" to="438.75pt,-0.1pt">
          <o:lock v:ext="edit" aspectratio="f"/>
        </v:line>
      </w:pic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37093">
    <w:pPr>
      <w:pStyle w:val="Footer"/>
      <w:ind w:right="360"/>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- 11 -</w:t>
    </w:r>
    <w:r>
      <w:fldChar w:fldCharType="end"/>
    </w:r>
  </w:p>
  <w:p w:rsidR="00337093">
    <w:pPr>
      <w:pStyle w:val="Footer"/>
      <w:spacing w:before="146" w:beforeLines="50"/>
      <w:ind w:right="360"/>
      <w:rPr>
        <w:rFonts w:hint="eastAsia"/>
        <w:sz w:val="21"/>
        <w:szCs w:val="21"/>
      </w:rPr>
    </w:pPr>
    <w:r>
      <w:rPr>
        <w:rFonts w:hint="eastAsia"/>
        <w:sz w:val="21"/>
        <w:szCs w:val="21"/>
      </w:rPr>
      <w:pict>
        <v:line id="直线 1" o:spid="_x0000_s2117" style="position:absolute;z-index:251668480" from="0,-0.1pt" to="438.75pt,-0.1pt">
          <o:lock v:ext="edit" aspectratio="f"/>
        </v:line>
      </w:pic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37093">
    <w:pPr>
      <w:pStyle w:val="Footer"/>
      <w:ind w:right="360"/>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- 13 -</w:t>
    </w:r>
    <w:r>
      <w:fldChar w:fldCharType="end"/>
    </w:r>
  </w:p>
  <w:p w:rsidR="00337093">
    <w:pPr>
      <w:pStyle w:val="Footer"/>
      <w:spacing w:before="146" w:beforeLines="50"/>
      <w:ind w:right="360"/>
      <w:rPr>
        <w:rFonts w:hint="eastAsia"/>
        <w:sz w:val="21"/>
        <w:szCs w:val="21"/>
      </w:rPr>
    </w:pPr>
    <w:r>
      <w:rPr>
        <w:rFonts w:hint="eastAsia"/>
        <w:sz w:val="21"/>
        <w:szCs w:val="21"/>
      </w:rPr>
      <w:pict>
        <v:line id="直线 1" o:spid="_x0000_s2122" style="position:absolute;z-index:251669504" from="0,-0.1pt" to="438.75pt,-0.1pt">
          <o:lock v:ext="edit" aspectratio="f"/>
        </v:line>
      </w:pic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37093">
    <w:pPr>
      <w:pStyle w:val="Footer"/>
      <w:ind w:right="360"/>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- 14 -</w:t>
    </w:r>
    <w:r>
      <w:fldChar w:fldCharType="end"/>
    </w:r>
  </w:p>
  <w:p w:rsidR="00337093">
    <w:pPr>
      <w:pStyle w:val="Footer"/>
      <w:spacing w:before="146" w:beforeLines="50"/>
      <w:ind w:right="360"/>
      <w:rPr>
        <w:rFonts w:hint="eastAsia"/>
        <w:sz w:val="21"/>
        <w:szCs w:val="21"/>
      </w:rPr>
    </w:pPr>
    <w:r>
      <w:rPr>
        <w:rFonts w:hint="eastAsia"/>
        <w:sz w:val="21"/>
        <w:szCs w:val="21"/>
      </w:rPr>
      <w:pict>
        <v:line id="直线 1" o:spid="_x0000_s2127" style="position:absolute;z-index:251670528" from="0,-0.1pt" to="438.75pt,-0.1pt">
          <o:lock v:ext="edit" aspectratio="f"/>
        </v:line>
      </w:pic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37093">
    <w:pPr>
      <w:pStyle w:val="Footer"/>
      <w:ind w:right="360"/>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- 14 -</w:t>
    </w:r>
    <w:r>
      <w:fldChar w:fldCharType="end"/>
    </w:r>
  </w:p>
  <w:p w:rsidR="00337093">
    <w:pPr>
      <w:pStyle w:val="Footer"/>
      <w:spacing w:before="146" w:beforeLines="50"/>
      <w:ind w:right="360"/>
      <w:rPr>
        <w:rFonts w:hint="eastAsia"/>
        <w:sz w:val="21"/>
        <w:szCs w:val="21"/>
      </w:rPr>
    </w:pPr>
    <w:r>
      <w:rPr>
        <w:rFonts w:hint="eastAsia"/>
        <w:sz w:val="21"/>
        <w:szCs w:val="21"/>
      </w:rPr>
      <w:pict>
        <v:line id="直线 1" o:spid="_x0000_s2132" style="position:absolute;z-index:251671552" from="0,-0.1pt" to="438.75pt,-0.1pt">
          <o:lock v:ext="edit" aspectratio="f"/>
        </v:line>
      </w:pic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37093">
    <w:pPr>
      <w:pStyle w:val="Footer"/>
      <w:ind w:right="360"/>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- 15 -</w:t>
    </w:r>
    <w:r>
      <w:fldChar w:fldCharType="end"/>
    </w:r>
  </w:p>
  <w:p w:rsidR="00337093">
    <w:pPr>
      <w:pStyle w:val="Footer"/>
      <w:spacing w:before="146" w:beforeLines="50"/>
      <w:ind w:right="360"/>
      <w:rPr>
        <w:rFonts w:hint="eastAsia"/>
        <w:sz w:val="21"/>
        <w:szCs w:val="21"/>
      </w:rPr>
    </w:pPr>
    <w:r>
      <w:rPr>
        <w:rFonts w:hint="eastAsia"/>
        <w:sz w:val="21"/>
        <w:szCs w:val="21"/>
      </w:rPr>
      <w:pict>
        <v:line id="直线 1" o:spid="_x0000_s2137" style="position:absolute;z-index:251672576" from="0,-0.1pt" to="438.75pt,-0.1pt">
          <o:lock v:ext="edit" aspectratio="f"/>
        </v:line>
      </w:pic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37093">
    <w:pPr>
      <w:pStyle w:val="Footer"/>
      <w:ind w:right="360"/>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- 16 -</w:t>
    </w:r>
    <w:r>
      <w:fldChar w:fldCharType="end"/>
    </w:r>
  </w:p>
  <w:p w:rsidR="00337093">
    <w:pPr>
      <w:pStyle w:val="Footer"/>
      <w:spacing w:before="146" w:beforeLines="50"/>
      <w:ind w:right="360"/>
      <w:rPr>
        <w:rFonts w:hint="eastAsia"/>
        <w:sz w:val="21"/>
        <w:szCs w:val="21"/>
      </w:rPr>
    </w:pPr>
    <w:r>
      <w:rPr>
        <w:rFonts w:hint="eastAsia"/>
        <w:sz w:val="21"/>
        <w:szCs w:val="21"/>
      </w:rPr>
      <w:pict>
        <v:line id="直线 1" o:spid="_x0000_s2142" style="position:absolute;z-index:251673600" from="0,-0.1pt" to="438.75pt,-0.1pt">
          <o:lock v:ext="edit" aspectratio="f"/>
        </v:line>
      </w:pic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37093">
    <w:pPr>
      <w:pStyle w:val="Footer"/>
      <w:ind w:right="360"/>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- 18 -</w:t>
    </w:r>
    <w:r>
      <w:fldChar w:fldCharType="end"/>
    </w:r>
  </w:p>
  <w:p w:rsidR="00337093">
    <w:pPr>
      <w:pStyle w:val="Footer"/>
      <w:spacing w:before="146" w:beforeLines="50"/>
      <w:ind w:right="360"/>
      <w:rPr>
        <w:rFonts w:hint="eastAsia"/>
        <w:sz w:val="21"/>
        <w:szCs w:val="21"/>
      </w:rPr>
    </w:pPr>
    <w:r>
      <w:rPr>
        <w:rFonts w:hint="eastAsia"/>
        <w:sz w:val="21"/>
        <w:szCs w:val="21"/>
      </w:rPr>
      <w:pict>
        <v:line id="直线 1" o:spid="_x0000_s2147" style="position:absolute;z-index:251674624" from="0,-0.1pt" to="438.75pt,-0.1pt">
          <o:lock v:ext="edit" aspectratio="f"/>
        </v:line>
      </w:pict>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37093">
    <w:pPr>
      <w:pStyle w:val="Footer"/>
      <w:ind w:right="360"/>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- 18 -</w:t>
    </w:r>
    <w:r>
      <w:fldChar w:fldCharType="end"/>
    </w:r>
  </w:p>
  <w:p w:rsidR="00337093">
    <w:pPr>
      <w:pStyle w:val="Footer"/>
      <w:spacing w:before="146" w:beforeLines="50"/>
      <w:ind w:right="360"/>
      <w:rPr>
        <w:rFonts w:hint="eastAsia"/>
        <w:sz w:val="21"/>
        <w:szCs w:val="21"/>
      </w:rPr>
    </w:pPr>
    <w:r>
      <w:rPr>
        <w:rFonts w:hint="eastAsia"/>
        <w:sz w:val="21"/>
        <w:szCs w:val="21"/>
      </w:rPr>
      <w:pict>
        <v:line id="直线 1" o:spid="_x0000_s2152" style="position:absolute;z-index:251675648" from="0,-0.1pt" to="438.75pt,-0.1pt">
          <o:lock v:ext="edit" aspectratio="f"/>
        </v:line>
      </w:pict>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37093">
    <w:pPr>
      <w:pStyle w:val="Footer"/>
      <w:ind w:right="360"/>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- 20 -</w:t>
    </w:r>
    <w:r>
      <w:fldChar w:fldCharType="end"/>
    </w:r>
  </w:p>
  <w:p w:rsidR="00337093">
    <w:pPr>
      <w:pStyle w:val="Footer"/>
      <w:spacing w:before="146" w:beforeLines="50"/>
      <w:ind w:right="360"/>
      <w:rPr>
        <w:rFonts w:hint="eastAsia"/>
        <w:sz w:val="21"/>
        <w:szCs w:val="21"/>
      </w:rPr>
    </w:pPr>
    <w:r>
      <w:rPr>
        <w:rFonts w:hint="eastAsia"/>
        <w:sz w:val="21"/>
        <w:szCs w:val="21"/>
      </w:rPr>
      <w:pict>
        <v:line id="直线 1" o:spid="_x0000_s2157" style="position:absolute;z-index:251676672" from="0,-0.1pt" to="438.75pt,-0.1pt">
          <o:lock v:ext="edit" aspectratio="f"/>
        </v:line>
      </w:pict>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37093">
    <w:pPr>
      <w:pStyle w:val="Footer"/>
      <w:ind w:right="360"/>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- 20 -</w:t>
    </w:r>
    <w:r>
      <w:fldChar w:fldCharType="end"/>
    </w:r>
  </w:p>
  <w:p w:rsidR="00337093">
    <w:pPr>
      <w:pStyle w:val="Footer"/>
      <w:spacing w:before="146" w:beforeLines="50"/>
      <w:ind w:right="360"/>
      <w:rPr>
        <w:rFonts w:hint="eastAsia"/>
        <w:sz w:val="21"/>
        <w:szCs w:val="21"/>
      </w:rPr>
    </w:pPr>
    <w:r>
      <w:rPr>
        <w:rFonts w:hint="eastAsia"/>
        <w:sz w:val="21"/>
        <w:szCs w:val="21"/>
      </w:rPr>
      <w:pict>
        <v:line id="直线 1" o:spid="_x0000_s2162" style="position:absolute;z-index:251677696" from="0,-0.1pt" to="438.75pt,-0.1pt">
          <o:lock v:ext="edit" aspectratio="f"/>
        </v:line>
      </w:pict>
    </w: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37093">
    <w:pPr>
      <w:pStyle w:val="Footer"/>
      <w:ind w:right="360"/>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- 21 -</w:t>
    </w:r>
    <w:r>
      <w:fldChar w:fldCharType="end"/>
    </w:r>
  </w:p>
  <w:p w:rsidR="00337093">
    <w:pPr>
      <w:pStyle w:val="Footer"/>
      <w:spacing w:before="146" w:beforeLines="50"/>
      <w:ind w:right="360"/>
      <w:rPr>
        <w:rFonts w:hint="eastAsia"/>
        <w:sz w:val="21"/>
        <w:szCs w:val="21"/>
      </w:rPr>
    </w:pPr>
    <w:r>
      <w:rPr>
        <w:rFonts w:hint="eastAsia"/>
        <w:sz w:val="21"/>
        <w:szCs w:val="21"/>
      </w:rPr>
      <w:pict>
        <v:line id="直线 1" o:spid="_x0000_s2167" style="position:absolute;z-index:251678720" from="0,-0.1pt" to="438.75pt,-0.1pt">
          <o:lock v:ext="edit" aspectratio="f"/>
        </v:line>
      </w:pict>
    </w: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37093">
    <w:pPr>
      <w:pStyle w:val="Footer"/>
      <w:ind w:right="360"/>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- 22 -</w:t>
    </w:r>
    <w:r>
      <w:fldChar w:fldCharType="end"/>
    </w:r>
  </w:p>
  <w:p w:rsidR="00337093">
    <w:pPr>
      <w:pStyle w:val="Footer"/>
      <w:spacing w:before="146" w:beforeLines="50"/>
      <w:ind w:right="360"/>
      <w:rPr>
        <w:rFonts w:hint="eastAsia"/>
        <w:sz w:val="21"/>
        <w:szCs w:val="21"/>
      </w:rPr>
    </w:pPr>
    <w:r>
      <w:rPr>
        <w:rFonts w:hint="eastAsia"/>
        <w:sz w:val="21"/>
        <w:szCs w:val="21"/>
      </w:rPr>
      <w:pict>
        <v:line id="直线 1" o:spid="_x0000_s2172" style="position:absolute;z-index:251679744" from="0,-0.1pt" to="438.75pt,-0.1pt">
          <o:lock v:ext="edit" aspectratio="f"/>
        </v:line>
      </w:pict>
    </w: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37093">
    <w:pPr>
      <w:pStyle w:val="Footer"/>
      <w:ind w:right="360"/>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- 23 -</w:t>
    </w:r>
    <w:r>
      <w:fldChar w:fldCharType="end"/>
    </w:r>
  </w:p>
  <w:p w:rsidR="00337093">
    <w:pPr>
      <w:pStyle w:val="Footer"/>
      <w:spacing w:before="146" w:beforeLines="50"/>
      <w:ind w:right="360"/>
      <w:rPr>
        <w:rFonts w:hint="eastAsia"/>
        <w:sz w:val="21"/>
        <w:szCs w:val="21"/>
      </w:rPr>
    </w:pPr>
    <w:r>
      <w:rPr>
        <w:rFonts w:hint="eastAsia"/>
        <w:sz w:val="21"/>
        <w:szCs w:val="21"/>
      </w:rPr>
      <w:pict>
        <v:line id="直线 1" o:spid="_x0000_s2177" style="position:absolute;z-index:251680768" from="0,-0.1pt" to="438.75pt,-0.1pt">
          <o:lock v:ext="edit" aspectratio="f"/>
        </v:line>
      </w:pict>
    </w: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37093">
    <w:pPr>
      <w:pStyle w:val="Footer"/>
      <w:ind w:right="360"/>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- 24 -</w:t>
    </w:r>
    <w:r>
      <w:fldChar w:fldCharType="end"/>
    </w:r>
  </w:p>
  <w:p w:rsidR="00337093">
    <w:pPr>
      <w:pStyle w:val="Footer"/>
      <w:spacing w:before="146" w:beforeLines="50"/>
      <w:ind w:right="360"/>
      <w:rPr>
        <w:rFonts w:hint="eastAsia"/>
        <w:sz w:val="21"/>
        <w:szCs w:val="21"/>
      </w:rPr>
    </w:pPr>
    <w:r>
      <w:rPr>
        <w:rFonts w:hint="eastAsia"/>
        <w:sz w:val="21"/>
        <w:szCs w:val="21"/>
      </w:rPr>
      <w:pict>
        <v:line id="直线 1" o:spid="_x0000_s2182" style="position:absolute;z-index:251681792" from="0,-0.1pt" to="438.75pt,-0.1pt">
          <o:lock v:ext="edit" aspectratio="f"/>
        </v:line>
      </w:pict>
    </w: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37093">
    <w:pPr>
      <w:pStyle w:val="Footer"/>
      <w:ind w:right="360"/>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- 26 -</w:t>
    </w:r>
    <w:r>
      <w:fldChar w:fldCharType="end"/>
    </w:r>
  </w:p>
  <w:p w:rsidR="00337093">
    <w:pPr>
      <w:pStyle w:val="Footer"/>
      <w:spacing w:before="146" w:beforeLines="50"/>
      <w:ind w:right="360"/>
      <w:rPr>
        <w:rFonts w:hint="eastAsia"/>
        <w:sz w:val="21"/>
        <w:szCs w:val="21"/>
      </w:rPr>
    </w:pPr>
    <w:r>
      <w:rPr>
        <w:rFonts w:hint="eastAsia"/>
        <w:sz w:val="21"/>
        <w:szCs w:val="21"/>
      </w:rPr>
      <w:pict>
        <v:line id="直线 1" o:spid="_x0000_s2187" style="position:absolute;z-index:251682816" from="0,-0.1pt" to="438.75pt,-0.1pt">
          <o:lock v:ext="edit" aspectratio="f"/>
        </v:line>
      </w:pict>
    </w: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37093">
    <w:pPr>
      <w:pStyle w:val="Footer"/>
      <w:ind w:right="360"/>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- 27 -</w:t>
    </w:r>
    <w:r>
      <w:fldChar w:fldCharType="end"/>
    </w:r>
  </w:p>
  <w:p w:rsidR="00337093">
    <w:pPr>
      <w:pStyle w:val="Footer"/>
      <w:spacing w:before="146" w:beforeLines="50"/>
      <w:ind w:right="360"/>
      <w:rPr>
        <w:rFonts w:hint="eastAsia"/>
        <w:sz w:val="21"/>
        <w:szCs w:val="21"/>
      </w:rPr>
    </w:pPr>
    <w:r>
      <w:rPr>
        <w:rFonts w:hint="eastAsia"/>
        <w:sz w:val="21"/>
        <w:szCs w:val="21"/>
      </w:rPr>
      <w:pict>
        <v:line id="直线 1" o:spid="_x0000_s2192" style="position:absolute;z-index:251683840" from="0,-0.1pt" to="438.75pt,-0.1pt">
          <o:lock v:ext="edit" aspectratio="f"/>
        </v:line>
      </w:pict>
    </w: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37093">
    <w:pPr>
      <w:pStyle w:val="Footer"/>
      <w:ind w:right="360"/>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- 27 -</w:t>
    </w:r>
    <w:r>
      <w:fldChar w:fldCharType="end"/>
    </w:r>
  </w:p>
  <w:p w:rsidR="00337093">
    <w:pPr>
      <w:pStyle w:val="Footer"/>
      <w:spacing w:before="146" w:beforeLines="50"/>
      <w:ind w:right="360"/>
      <w:rPr>
        <w:rFonts w:hint="eastAsia"/>
        <w:sz w:val="21"/>
        <w:szCs w:val="21"/>
      </w:rPr>
    </w:pPr>
    <w:r>
      <w:rPr>
        <w:rFonts w:hint="eastAsia"/>
        <w:sz w:val="21"/>
        <w:szCs w:val="21"/>
      </w:rPr>
      <w:pict>
        <v:line id="直线 1" o:spid="_x0000_s2197" style="position:absolute;z-index:251684864" from="0,-0.1pt" to="438.75pt,-0.1pt">
          <o:lock v:ext="edit" aspectratio="f"/>
        </v:line>
      </w:pict>
    </w: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37093">
    <w:pPr>
      <w:pStyle w:val="Footer"/>
      <w:ind w:right="360"/>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- 28 -</w:t>
    </w:r>
    <w:r>
      <w:fldChar w:fldCharType="end"/>
    </w:r>
  </w:p>
  <w:p w:rsidR="00337093">
    <w:pPr>
      <w:pStyle w:val="Footer"/>
      <w:spacing w:before="146" w:beforeLines="50"/>
      <w:ind w:right="360"/>
      <w:rPr>
        <w:rFonts w:hint="eastAsia"/>
        <w:sz w:val="21"/>
        <w:szCs w:val="21"/>
      </w:rPr>
    </w:pPr>
    <w:r>
      <w:rPr>
        <w:rFonts w:hint="eastAsia"/>
        <w:sz w:val="21"/>
        <w:szCs w:val="21"/>
      </w:rPr>
      <w:pict>
        <v:line id="直线 1" o:spid="_x0000_s2202" style="position:absolute;z-index:251685888" from="0,-0.1pt" to="438.75pt,-0.1pt">
          <o:lock v:ext="edit" aspectratio="f"/>
        </v:line>
      </w:pict>
    </w: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37093">
    <w:pPr>
      <w:pStyle w:val="Footer"/>
      <w:ind w:right="360"/>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- 29 -</w:t>
    </w:r>
    <w:r>
      <w:fldChar w:fldCharType="end"/>
    </w:r>
  </w:p>
  <w:p w:rsidR="00337093">
    <w:pPr>
      <w:pStyle w:val="Footer"/>
      <w:spacing w:before="146" w:beforeLines="50"/>
      <w:ind w:right="360"/>
      <w:rPr>
        <w:rFonts w:hint="eastAsia"/>
        <w:sz w:val="21"/>
        <w:szCs w:val="21"/>
      </w:rPr>
    </w:pPr>
    <w:r>
      <w:rPr>
        <w:rFonts w:hint="eastAsia"/>
        <w:sz w:val="21"/>
        <w:szCs w:val="21"/>
      </w:rPr>
      <w:pict>
        <v:line id="直线 1" o:spid="_x0000_s2207" style="position:absolute;z-index:251686912" from="0,-0.1pt" to="438.75pt,-0.1pt">
          <o:lock v:ext="edit" aspectratio="f"/>
        </v:line>
      </w:pict>
    </w: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37093">
    <w:pPr>
      <w:pStyle w:val="Footer"/>
      <w:ind w:right="360"/>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- 31 -</w:t>
    </w:r>
    <w:r>
      <w:fldChar w:fldCharType="end"/>
    </w:r>
  </w:p>
  <w:p w:rsidR="00337093">
    <w:pPr>
      <w:pStyle w:val="Footer"/>
      <w:spacing w:before="146" w:beforeLines="50"/>
      <w:ind w:right="360"/>
      <w:rPr>
        <w:rFonts w:hint="eastAsia"/>
        <w:sz w:val="21"/>
        <w:szCs w:val="21"/>
      </w:rPr>
    </w:pPr>
    <w:r>
      <w:rPr>
        <w:rFonts w:hint="eastAsia"/>
        <w:sz w:val="21"/>
        <w:szCs w:val="21"/>
      </w:rPr>
      <w:pict>
        <v:line id="直线 1" o:spid="_x0000_s2212" style="position:absolute;z-index:251687936" from="0,-0.1pt" to="438.75pt,-0.1pt">
          <o:lock v:ext="edit" aspectratio="f"/>
        </v:line>
      </w:pict>
    </w: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37093">
    <w:pPr>
      <w:pStyle w:val="Footer"/>
      <w:ind w:right="360"/>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- 32 -</w:t>
    </w:r>
    <w:r>
      <w:fldChar w:fldCharType="end"/>
    </w:r>
  </w:p>
  <w:p w:rsidR="00337093">
    <w:pPr>
      <w:pStyle w:val="Footer"/>
      <w:spacing w:before="146" w:beforeLines="50"/>
      <w:ind w:right="360"/>
      <w:rPr>
        <w:rFonts w:hint="eastAsia"/>
        <w:sz w:val="21"/>
        <w:szCs w:val="21"/>
      </w:rPr>
    </w:pPr>
    <w:r>
      <w:rPr>
        <w:rFonts w:hint="eastAsia"/>
        <w:sz w:val="21"/>
        <w:szCs w:val="21"/>
      </w:rPr>
      <w:pict>
        <v:line id="直线 1" o:spid="_x0000_s2217" style="position:absolute;z-index:251688960" from="0,-0.1pt" to="438.75pt,-0.1pt">
          <o:lock v:ext="edit" aspectratio="f"/>
        </v:line>
      </w:pict>
    </w: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37093">
    <w:pPr>
      <w:pStyle w:val="Footer"/>
      <w:ind w:right="360"/>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- 32 -</w:t>
    </w:r>
    <w:r>
      <w:fldChar w:fldCharType="end"/>
    </w:r>
  </w:p>
  <w:p w:rsidR="00337093">
    <w:pPr>
      <w:pStyle w:val="Footer"/>
      <w:spacing w:before="146" w:beforeLines="50"/>
      <w:ind w:right="360"/>
      <w:rPr>
        <w:rFonts w:hint="eastAsia"/>
        <w:sz w:val="21"/>
        <w:szCs w:val="21"/>
      </w:rPr>
    </w:pPr>
    <w:r>
      <w:rPr>
        <w:rFonts w:hint="eastAsia"/>
        <w:sz w:val="21"/>
        <w:szCs w:val="21"/>
      </w:rPr>
      <w:pict>
        <v:line id="直线 1" o:spid="_x0000_s2222" style="position:absolute;z-index:251689984" from="0,-0.1pt" to="438.75pt,-0.1pt">
          <o:lock v:ext="edit" aspectratio="f"/>
        </v:line>
      </w:pict>
    </w: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37093">
    <w:pPr>
      <w:pStyle w:val="Footer"/>
      <w:ind w:right="360"/>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- 33 -</w:t>
    </w:r>
    <w:r>
      <w:fldChar w:fldCharType="end"/>
    </w:r>
  </w:p>
  <w:p w:rsidR="00337093">
    <w:pPr>
      <w:pStyle w:val="Footer"/>
      <w:spacing w:before="146" w:beforeLines="50"/>
      <w:ind w:right="360"/>
      <w:rPr>
        <w:rFonts w:hint="eastAsia"/>
        <w:sz w:val="21"/>
        <w:szCs w:val="21"/>
      </w:rPr>
    </w:pPr>
    <w:r>
      <w:rPr>
        <w:rFonts w:hint="eastAsia"/>
        <w:sz w:val="21"/>
        <w:szCs w:val="21"/>
      </w:rPr>
      <w:pict>
        <v:line id="直线 1" o:spid="_x0000_s2227" style="position:absolute;z-index:251691008" from="0,-0.1pt" to="438.75pt,-0.1pt">
          <o:lock v:ext="edit" aspectratio="f"/>
        </v:line>
      </w:pict>
    </w: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37093">
    <w:pPr>
      <w:pStyle w:val="Footer"/>
      <w:ind w:right="360"/>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- 35 -</w:t>
    </w:r>
    <w:r>
      <w:fldChar w:fldCharType="end"/>
    </w:r>
  </w:p>
  <w:p w:rsidR="00337093">
    <w:pPr>
      <w:pStyle w:val="Footer"/>
      <w:spacing w:before="146" w:beforeLines="50"/>
      <w:ind w:right="360"/>
      <w:rPr>
        <w:rFonts w:hint="eastAsia"/>
        <w:sz w:val="21"/>
        <w:szCs w:val="21"/>
      </w:rPr>
    </w:pPr>
    <w:r>
      <w:rPr>
        <w:rFonts w:hint="eastAsia"/>
        <w:sz w:val="21"/>
        <w:szCs w:val="21"/>
      </w:rPr>
      <w:pict>
        <v:line id="直线 1" o:spid="_x0000_s2232" style="position:absolute;z-index:251692032" from="0,-0.1pt" to="438.75pt,-0.1pt">
          <o:lock v:ext="edit" aspectratio="f"/>
        </v:lin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049"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050" type="#_x0000_t75" style="width:230.25pt;height:30.76pt;mso-position-horizontal-relative:page;mso-position-vertical-relative:page" filled="f" stroked="f">
          <v:imagedata r:id="rId3" o:title=""/>
          <v:path o:extrusionok="f"/>
          <o:lock v:ext="edit" aspectratio="t"/>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051"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052" type="#_x0000_t75" style="width:230.25pt;height:30.76pt;mso-position-horizontal-relative:page;mso-position-vertical-relative:page" filled="f" stroked="f">
          <v:imagedata r:id="rId3" o:title=""/>
          <v:path o:extrusionok="f"/>
          <o:lock v:ext="edit" aspectratio="t"/>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053"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054" type="#_x0000_t75" style="width:230.25pt;height:30.76pt;mso-position-horizontal-relative:page;mso-position-vertical-relative:page" filled="f" stroked="f">
          <v:imagedata r:id="rId3" o:title=""/>
          <v:path o:extrusionok="f"/>
          <o:lock v:ext="edit" aspectratio="t"/>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055"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056" type="#_x0000_t75" style="width:230.25pt;height:30.76pt;mso-position-horizontal-relative:page;mso-position-vertical-relative:page" filled="f" stroked="f">
          <v:imagedata r:id="rId3" o:title=""/>
          <v:path o:extrusionok="f"/>
          <o:lock v:ext="edit" aspectratio="t"/>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057"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058" type="#_x0000_t75" style="width:230.25pt;height:30.76pt;mso-position-horizontal-relative:page;mso-position-vertical-relative:page" filled="f" stroked="f">
          <v:imagedata r:id="rId3" o:title=""/>
          <v:path o:extrusionok="f"/>
          <o:lock v:ext="edit" aspectratio="t"/>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059"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060" type="#_x0000_t75" style="width:230.25pt;height:30.76pt;mso-position-horizontal-relative:page;mso-position-vertical-relative:page" filled="f" stroked="f">
          <v:imagedata r:id="rId3" o:title=""/>
          <v:path o:extrusionok="f"/>
          <o:lock v:ext="edit" aspectratio="t"/>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061"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062" type="#_x0000_t75" style="width:230.25pt;height:30.76pt;mso-position-horizontal-relative:page;mso-position-vertical-relative:page" filled="f" stroked="f">
          <v:imagedata r:id="rId3" o:title=""/>
          <v:path o:extrusionok="f"/>
          <o:lock v:ext="edit" aspectratio="t"/>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063"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064" type="#_x0000_t75" style="width:230.25pt;height:30.76pt;mso-position-horizontal-relative:page;mso-position-vertical-relative:page" filled="f" stroked="f">
          <v:imagedata r:id="rId3" o:title=""/>
          <v:path o:extrusionok="f"/>
          <o:lock v:ext="edit" aspectratio="t"/>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065"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066" type="#_x0000_t75" style="width:230.25pt;height:30.76pt;mso-position-horizontal-relative:page;mso-position-vertical-relative:page" filled="f" stroked="f">
          <v:imagedata r:id="rId3" o:title=""/>
          <v:path o:extrusionok="f"/>
          <o:lock v:ext="edit" aspectratio="t"/>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068"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069" type="#_x0000_t75" style="width:230.25pt;height:30.76pt;mso-position-horizontal-relative:page;mso-position-vertical-relative:page" filled="f" stroked="f">
          <v:imagedata r:id="rId3" o:title=""/>
          <v:path o:extrusionok="f"/>
          <o:lock v:ext="edit" aspectratio="t"/>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070"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071" type="#_x0000_t75" style="width:230.25pt;height:30.76pt;mso-position-horizontal-relative:page;mso-position-vertical-relative:page" filled="f" stroked="f">
          <v:imagedata r:id="rId3" o:title=""/>
          <v:path o:extrusionok="f"/>
          <o:lock v:ext="edit" aspectratio="t"/>
        </v:shape>
      </w:pic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073"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074" type="#_x0000_t75" style="width:230.25pt;height:30.76pt;mso-position-horizontal-relative:page;mso-position-vertical-relative:page" filled="f" stroked="f">
          <v:imagedata r:id="rId3" o:title=""/>
          <v:path o:extrusionok="f"/>
          <o:lock v:ext="edit" aspectratio="t"/>
        </v:shape>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075"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076" type="#_x0000_t75" style="width:230.25pt;height:30.76pt;mso-position-horizontal-relative:page;mso-position-vertical-relative:page" filled="f" stroked="f">
          <v:imagedata r:id="rId3" o:title=""/>
          <v:path o:extrusionok="f"/>
          <o:lock v:ext="edit" aspectratio="t"/>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078"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079" type="#_x0000_t75" style="width:230.25pt;height:30.76pt;mso-position-horizontal-relative:page;mso-position-vertical-relative:page" filled="f" stroked="f">
          <v:imagedata r:id="rId3" o:title=""/>
          <v:path o:extrusionok="f"/>
          <o:lock v:ext="edit" aspectratio="t"/>
        </v:shape>
      </w:pic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080"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081" type="#_x0000_t75" style="width:230.25pt;height:30.76pt;mso-position-horizontal-relative:page;mso-position-vertical-relative:page" filled="f" stroked="f">
          <v:imagedata r:id="rId3" o:title=""/>
          <v:path o:extrusionok="f"/>
          <o:lock v:ext="edit" aspectratio="t"/>
        </v:shape>
      </w:pic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083"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084" type="#_x0000_t75" style="width:230.25pt;height:30.76pt;mso-position-horizontal-relative:page;mso-position-vertical-relative:page" filled="f" stroked="f">
          <v:imagedata r:id="rId3" o:title=""/>
          <v:path o:extrusionok="f"/>
          <o:lock v:ext="edit" aspectratio="t"/>
        </v:shape>
      </w:pic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085"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086" type="#_x0000_t75" style="width:230.25pt;height:30.76pt;mso-position-horizontal-relative:page;mso-position-vertical-relative:page" filled="f" stroked="f">
          <v:imagedata r:id="rId3" o:title=""/>
          <v:path o:extrusionok="f"/>
          <o:lock v:ext="edit" aspectratio="t"/>
        </v:shape>
      </w:pic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088"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089" type="#_x0000_t75" style="width:230.25pt;height:30.76pt;mso-position-horizontal-relative:page;mso-position-vertical-relative:page" filled="f" stroked="f">
          <v:imagedata r:id="rId3" o:title=""/>
          <v:path o:extrusionok="f"/>
          <o:lock v:ext="edit" aspectratio="t"/>
        </v:shape>
      </w:pic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090"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091" type="#_x0000_t75" style="width:230.25pt;height:30.76pt;mso-position-horizontal-relative:page;mso-position-vertical-relative:page" filled="f" stroked="f">
          <v:imagedata r:id="rId3" o:title=""/>
          <v:path o:extrusionok="f"/>
          <o:lock v:ext="edit" aspectratio="t"/>
        </v:shape>
      </w:pic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093"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094" type="#_x0000_t75" style="width:230.25pt;height:30.76pt;mso-position-horizontal-relative:page;mso-position-vertical-relative:page" filled="f" stroked="f">
          <v:imagedata r:id="rId3" o:title=""/>
          <v:path o:extrusionok="f"/>
          <o:lock v:ext="edit" aspectratio="t"/>
        </v:shape>
      </w:pic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095"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096" type="#_x0000_t75" style="width:230.25pt;height:30.76pt;mso-position-horizontal-relative:page;mso-position-vertical-relative:page" filled="f" stroked="f">
          <v:imagedata r:id="rId3" o:title=""/>
          <v:path o:extrusionok="f"/>
          <o:lock v:ext="edit" aspectratio="t"/>
        </v:shape>
      </w:pic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098"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099" type="#_x0000_t75" style="width:230.25pt;height:30.76pt;mso-position-horizontal-relative:page;mso-position-vertical-relative:page" filled="f" stroked="f">
          <v:imagedata r:id="rId3" o:title=""/>
          <v:path o:extrusionok="f"/>
          <o:lock v:ext="edit" aspectratio="t"/>
        </v:shape>
      </w:pic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100"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101" type="#_x0000_t75" style="width:230.25pt;height:30.76pt;mso-position-horizontal-relative:page;mso-position-vertical-relative:page" filled="f" stroked="f">
          <v:imagedata r:id="rId3" o:title=""/>
          <v:path o:extrusionok="f"/>
          <o:lock v:ext="edit" aspectratio="t"/>
        </v:shape>
      </w:pic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103"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104" type="#_x0000_t75" style="width:230.25pt;height:30.76pt;mso-position-horizontal-relative:page;mso-position-vertical-relative:page" filled="f" stroked="f">
          <v:imagedata r:id="rId3" o:title=""/>
          <v:path o:extrusionok="f"/>
          <o:lock v:ext="edit" aspectratio="t"/>
        </v:shape>
      </w:pic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105"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106" type="#_x0000_t75" style="width:230.25pt;height:30.76pt;mso-position-horizontal-relative:page;mso-position-vertical-relative:page" filled="f" stroked="f">
          <v:imagedata r:id="rId3" o:title=""/>
          <v:path o:extrusionok="f"/>
          <o:lock v:ext="edit" aspectratio="t"/>
        </v:shape>
      </w:pic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108"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109" type="#_x0000_t75" style="width:230.25pt;height:30.76pt;mso-position-horizontal-relative:page;mso-position-vertical-relative:page" filled="f" stroked="f">
          <v:imagedata r:id="rId3" o:title=""/>
          <v:path o:extrusionok="f"/>
          <o:lock v:ext="edit" aspectratio="t"/>
        </v:shape>
      </w:pic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110"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111" type="#_x0000_t75" style="width:230.25pt;height:30.76pt;mso-position-horizontal-relative:page;mso-position-vertical-relative:page" filled="f" stroked="f">
          <v:imagedata r:id="rId3" o:title=""/>
          <v:path o:extrusionok="f"/>
          <o:lock v:ext="edit" aspectratio="t"/>
        </v:shape>
      </w:pic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113"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114" type="#_x0000_t75" style="width:230.25pt;height:30.76pt;mso-position-horizontal-relative:page;mso-position-vertical-relative:page" filled="f" stroked="f">
          <v:imagedata r:id="rId3" o:title=""/>
          <v:path o:extrusionok="f"/>
          <o:lock v:ext="edit" aspectratio="t"/>
        </v:shape>
      </w:pic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115"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116" type="#_x0000_t75" style="width:230.25pt;height:30.76pt;mso-position-horizontal-relative:page;mso-position-vertical-relative:page" filled="f" stroked="f">
          <v:imagedata r:id="rId3" o:title=""/>
          <v:path o:extrusionok="f"/>
          <o:lock v:ext="edit" aspectratio="t"/>
        </v:shape>
      </w:pic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118"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119" type="#_x0000_t75" style="width:230.25pt;height:30.76pt;mso-position-horizontal-relative:page;mso-position-vertical-relative:page" filled="f" stroked="f">
          <v:imagedata r:id="rId3" o:title=""/>
          <v:path o:extrusionok="f"/>
          <o:lock v:ext="edit" aspectratio="t"/>
        </v:shape>
      </w:pic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120"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121" type="#_x0000_t75" style="width:230.25pt;height:30.76pt;mso-position-horizontal-relative:page;mso-position-vertical-relative:page" filled="f" stroked="f">
          <v:imagedata r:id="rId3" o:title=""/>
          <v:path o:extrusionok="f"/>
          <o:lock v:ext="edit" aspectratio="t"/>
        </v:shape>
      </w:pict>
    </w: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123"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124" type="#_x0000_t75" style="width:230.25pt;height:30.76pt;mso-position-horizontal-relative:page;mso-position-vertical-relative:page" filled="f" stroked="f">
          <v:imagedata r:id="rId3" o:title=""/>
          <v:path o:extrusionok="f"/>
          <o:lock v:ext="edit" aspectratio="t"/>
        </v:shape>
      </w:pic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125"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126" type="#_x0000_t75" style="width:230.25pt;height:30.76pt;mso-position-horizontal-relative:page;mso-position-vertical-relative:page" filled="f" stroked="f">
          <v:imagedata r:id="rId3" o:title=""/>
          <v:path o:extrusionok="f"/>
          <o:lock v:ext="edit" aspectratio="t"/>
        </v:shape>
      </w:pict>
    </w: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128"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129" type="#_x0000_t75" style="width:230.25pt;height:30.76pt;mso-position-horizontal-relative:page;mso-position-vertical-relative:page" filled="f" stroked="f">
          <v:imagedata r:id="rId3" o:title=""/>
          <v:path o:extrusionok="f"/>
          <o:lock v:ext="edit" aspectratio="t"/>
        </v:shape>
      </w:pic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130"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131" type="#_x0000_t75" style="width:230.25pt;height:30.76pt;mso-position-horizontal-relative:page;mso-position-vertical-relative:page" filled="f" stroked="f">
          <v:imagedata r:id="rId3" o:title=""/>
          <v:path o:extrusionok="f"/>
          <o:lock v:ext="edit" aspectratio="t"/>
        </v:shape>
      </w:pict>
    </w: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133"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134" type="#_x0000_t75" style="width:230.25pt;height:30.76pt;mso-position-horizontal-relative:page;mso-position-vertical-relative:page" filled="f" stroked="f">
          <v:imagedata r:id="rId3" o:title=""/>
          <v:path o:extrusionok="f"/>
          <o:lock v:ext="edit" aspectratio="t"/>
        </v:shape>
      </w:pic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135"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136" type="#_x0000_t75" style="width:230.25pt;height:30.76pt;mso-position-horizontal-relative:page;mso-position-vertical-relative:page" filled="f" stroked="f">
          <v:imagedata r:id="rId3" o:title=""/>
          <v:path o:extrusionok="f"/>
          <o:lock v:ext="edit" aspectratio="t"/>
        </v:shape>
      </w:pict>
    </w: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138"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139" type="#_x0000_t75" style="width:230.25pt;height:30.76pt;mso-position-horizontal-relative:page;mso-position-vertical-relative:page" filled="f" stroked="f">
          <v:imagedata r:id="rId3" o:title=""/>
          <v:path o:extrusionok="f"/>
          <o:lock v:ext="edit" aspectratio="t"/>
        </v:shape>
      </w:pic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140"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141" type="#_x0000_t75" style="width:230.25pt;height:30.76pt;mso-position-horizontal-relative:page;mso-position-vertical-relative:page" filled="f" stroked="f">
          <v:imagedata r:id="rId3" o:title=""/>
          <v:path o:extrusionok="f"/>
          <o:lock v:ext="edit" aspectratio="t"/>
        </v:shape>
      </w:pict>
    </w: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143"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144" type="#_x0000_t75" style="width:230.25pt;height:30.76pt;mso-position-horizontal-relative:page;mso-position-vertical-relative:page" filled="f" stroked="f">
          <v:imagedata r:id="rId3" o:title=""/>
          <v:path o:extrusionok="f"/>
          <o:lock v:ext="edit" aspectratio="t"/>
        </v:shape>
      </w:pic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145"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146" type="#_x0000_t75" style="width:230.25pt;height:30.76pt;mso-position-horizontal-relative:page;mso-position-vertical-relative:page" filled="f" stroked="f">
          <v:imagedata r:id="rId3" o:title=""/>
          <v:path o:extrusionok="f"/>
          <o:lock v:ext="edit" aspectratio="t"/>
        </v:shape>
      </w:pict>
    </w: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148"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149" type="#_x0000_t75" style="width:230.25pt;height:30.76pt;mso-position-horizontal-relative:page;mso-position-vertical-relative:page" filled="f" stroked="f">
          <v:imagedata r:id="rId3" o:title=""/>
          <v:path o:extrusionok="f"/>
          <o:lock v:ext="edit" aspectratio="t"/>
        </v:shape>
      </w:pic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150"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151" type="#_x0000_t75" style="width:230.25pt;height:30.76pt;mso-position-horizontal-relative:page;mso-position-vertical-relative:page" filled="f" stroked="f">
          <v:imagedata r:id="rId3" o:title=""/>
          <v:path o:extrusionok="f"/>
          <o:lock v:ext="edit" aspectratio="t"/>
        </v:shape>
      </w:pict>
    </w: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153"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154" type="#_x0000_t75" style="width:230.25pt;height:30.76pt;mso-position-horizontal-relative:page;mso-position-vertical-relative:page" filled="f" stroked="f">
          <v:imagedata r:id="rId3" o:title=""/>
          <v:path o:extrusionok="f"/>
          <o:lock v:ext="edit" aspectratio="t"/>
        </v:shape>
      </w:pic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155"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156" type="#_x0000_t75" style="width:230.25pt;height:30.76pt;mso-position-horizontal-relative:page;mso-position-vertical-relative:page" filled="f" stroked="f">
          <v:imagedata r:id="rId3" o:title=""/>
          <v:path o:extrusionok="f"/>
          <o:lock v:ext="edit" aspectratio="t"/>
        </v:shape>
      </w:pict>
    </w: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158"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159" type="#_x0000_t75" style="width:230.25pt;height:30.76pt;mso-position-horizontal-relative:page;mso-position-vertical-relative:page" filled="f" stroked="f">
          <v:imagedata r:id="rId3" o:title=""/>
          <v:path o:extrusionok="f"/>
          <o:lock v:ext="edit" aspectratio="t"/>
        </v:shape>
      </w:pic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160"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161" type="#_x0000_t75" style="width:230.25pt;height:30.76pt;mso-position-horizontal-relative:page;mso-position-vertical-relative:page" filled="f" stroked="f">
          <v:imagedata r:id="rId3" o:title=""/>
          <v:path o:extrusionok="f"/>
          <o:lock v:ext="edit" aspectratio="t"/>
        </v:shape>
      </w:pict>
    </w: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163"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164" type="#_x0000_t75" style="width:230.25pt;height:30.76pt;mso-position-horizontal-relative:page;mso-position-vertical-relative:page" filled="f" stroked="f">
          <v:imagedata r:id="rId3" o:title=""/>
          <v:path o:extrusionok="f"/>
          <o:lock v:ext="edit" aspectratio="t"/>
        </v:shape>
      </w:pic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165"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166" type="#_x0000_t75" style="width:230.25pt;height:30.76pt;mso-position-horizontal-relative:page;mso-position-vertical-relative:page" filled="f" stroked="f">
          <v:imagedata r:id="rId3" o:title=""/>
          <v:path o:extrusionok="f"/>
          <o:lock v:ext="edit" aspectratio="t"/>
        </v:shape>
      </w:pict>
    </w: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168"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169" type="#_x0000_t75" style="width:230.25pt;height:30.76pt;mso-position-horizontal-relative:page;mso-position-vertical-relative:page" filled="f" stroked="f">
          <v:imagedata r:id="rId3" o:title=""/>
          <v:path o:extrusionok="f"/>
          <o:lock v:ext="edit" aspectratio="t"/>
        </v:shape>
      </w:pic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170"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171" type="#_x0000_t75" style="width:230.25pt;height:30.76pt;mso-position-horizontal-relative:page;mso-position-vertical-relative:page" filled="f" stroked="f">
          <v:imagedata r:id="rId3" o:title=""/>
          <v:path o:extrusionok="f"/>
          <o:lock v:ext="edit" aspectratio="t"/>
        </v:shape>
      </w:pict>
    </w: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173"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174" type="#_x0000_t75" style="width:230.25pt;height:30.76pt;mso-position-horizontal-relative:page;mso-position-vertical-relative:page" filled="f" stroked="f">
          <v:imagedata r:id="rId3" o:title=""/>
          <v:path o:extrusionok="f"/>
          <o:lock v:ext="edit" aspectratio="t"/>
        </v:shape>
      </w:pic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175"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176" type="#_x0000_t75" style="width:230.25pt;height:30.76pt;mso-position-horizontal-relative:page;mso-position-vertical-relative:page" filled="f" stroked="f">
          <v:imagedata r:id="rId3" o:title=""/>
          <v:path o:extrusionok="f"/>
          <o:lock v:ext="edit" aspectratio="t"/>
        </v:shape>
      </w:pict>
    </w: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178"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179" type="#_x0000_t75" style="width:230.25pt;height:30.76pt;mso-position-horizontal-relative:page;mso-position-vertical-relative:page" filled="f" stroked="f">
          <v:imagedata r:id="rId3" o:title=""/>
          <v:path o:extrusionok="f"/>
          <o:lock v:ext="edit" aspectratio="t"/>
        </v:shape>
      </w:pic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180"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181" type="#_x0000_t75" style="width:230.25pt;height:30.76pt;mso-position-horizontal-relative:page;mso-position-vertical-relative:page" filled="f" stroked="f">
          <v:imagedata r:id="rId3" o:title=""/>
          <v:path o:extrusionok="f"/>
          <o:lock v:ext="edit" aspectratio="t"/>
        </v:shape>
      </w:pict>
    </w: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183"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184" type="#_x0000_t75" style="width:230.25pt;height:30.76pt;mso-position-horizontal-relative:page;mso-position-vertical-relative:page" filled="f" stroked="f">
          <v:imagedata r:id="rId3" o:title=""/>
          <v:path o:extrusionok="f"/>
          <o:lock v:ext="edit" aspectratio="t"/>
        </v:shape>
      </w:pic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185"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186" type="#_x0000_t75" style="width:230.25pt;height:30.76pt;mso-position-horizontal-relative:page;mso-position-vertical-relative:page" filled="f" stroked="f">
          <v:imagedata r:id="rId3" o:title=""/>
          <v:path o:extrusionok="f"/>
          <o:lock v:ext="edit" aspectratio="t"/>
        </v:shape>
      </w:pict>
    </w: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188"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189" type="#_x0000_t75" style="width:230.25pt;height:30.76pt;mso-position-horizontal-relative:page;mso-position-vertical-relative:page" filled="f" stroked="f">
          <v:imagedata r:id="rId3" o:title=""/>
          <v:path o:extrusionok="f"/>
          <o:lock v:ext="edit" aspectratio="t"/>
        </v:shape>
      </w:pic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190"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191" type="#_x0000_t75" style="width:230.25pt;height:30.76pt;mso-position-horizontal-relative:page;mso-position-vertical-relative:page" filled="f" stroked="f">
          <v:imagedata r:id="rId3" o:title=""/>
          <v:path o:extrusionok="f"/>
          <o:lock v:ext="edit" aspectratio="t"/>
        </v:shape>
      </w:pict>
    </w: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193"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194" type="#_x0000_t75" style="width:230.25pt;height:30.76pt;mso-position-horizontal-relative:page;mso-position-vertical-relative:page" filled="f" stroked="f">
          <v:imagedata r:id="rId3" o:title=""/>
          <v:path o:extrusionok="f"/>
          <o:lock v:ext="edit" aspectratio="t"/>
        </v:shape>
      </w:pic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195"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196" type="#_x0000_t75" style="width:230.25pt;height:30.76pt;mso-position-horizontal-relative:page;mso-position-vertical-relative:page" filled="f" stroked="f">
          <v:imagedata r:id="rId3" o:title=""/>
          <v:path o:extrusionok="f"/>
          <o:lock v:ext="edit" aspectratio="t"/>
        </v:shape>
      </w:pict>
    </w: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198"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199" type="#_x0000_t75" style="width:230.25pt;height:30.76pt;mso-position-horizontal-relative:page;mso-position-vertical-relative:page" filled="f" stroked="f">
          <v:imagedata r:id="rId3" o:title=""/>
          <v:path o:extrusionok="f"/>
          <o:lock v:ext="edit" aspectratio="t"/>
        </v:shape>
      </w:pic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200"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201" type="#_x0000_t75" style="width:230.25pt;height:30.76pt;mso-position-horizontal-relative:page;mso-position-vertical-relative:page" filled="f" stroked="f">
          <v:imagedata r:id="rId3" o:title=""/>
          <v:path o:extrusionok="f"/>
          <o:lock v:ext="edit" aspectratio="t"/>
        </v:shape>
      </w:pict>
    </w: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203"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204" type="#_x0000_t75" style="width:230.25pt;height:30.76pt;mso-position-horizontal-relative:page;mso-position-vertical-relative:page" filled="f" stroked="f">
          <v:imagedata r:id="rId3" o:title=""/>
          <v:path o:extrusionok="f"/>
          <o:lock v:ext="edit" aspectratio="t"/>
        </v:shape>
      </w:pic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205"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206" type="#_x0000_t75" style="width:230.25pt;height:30.76pt;mso-position-horizontal-relative:page;mso-position-vertical-relative:page" filled="f" stroked="f">
          <v:imagedata r:id="rId3" o:title=""/>
          <v:path o:extrusionok="f"/>
          <o:lock v:ext="edit" aspectratio="t"/>
        </v:shape>
      </w:pict>
    </w: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208"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209" type="#_x0000_t75" style="width:230.25pt;height:30.76pt;mso-position-horizontal-relative:page;mso-position-vertical-relative:page" filled="f" stroked="f">
          <v:imagedata r:id="rId3" o:title=""/>
          <v:path o:extrusionok="f"/>
          <o:lock v:ext="edit" aspectratio="t"/>
        </v:shape>
      </w:pic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210"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211" type="#_x0000_t75" style="width:230.25pt;height:30.76pt;mso-position-horizontal-relative:page;mso-position-vertical-relative:page" filled="f" stroked="f">
          <v:imagedata r:id="rId3" o:title=""/>
          <v:path o:extrusionok="f"/>
          <o:lock v:ext="edit" aspectratio="t"/>
        </v:shape>
      </w:pict>
    </w: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213"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214" type="#_x0000_t75" style="width:230.25pt;height:30.76pt;mso-position-horizontal-relative:page;mso-position-vertical-relative:page" filled="f" stroked="f">
          <v:imagedata r:id="rId3" o:title=""/>
          <v:path o:extrusionok="f"/>
          <o:lock v:ext="edit" aspectratio="t"/>
        </v:shape>
      </w:pict>
    </w: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215"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216" type="#_x0000_t75" style="width:230.25pt;height:30.76pt;mso-position-horizontal-relative:page;mso-position-vertical-relative:page" filled="f" stroked="f">
          <v:imagedata r:id="rId3" o:title=""/>
          <v:path o:extrusionok="f"/>
          <o:lock v:ext="edit" aspectratio="t"/>
        </v:shape>
      </w:pict>
    </w: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218"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219" type="#_x0000_t75" style="width:230.25pt;height:30.76pt;mso-position-horizontal-relative:page;mso-position-vertical-relative:page" filled="f" stroked="f">
          <v:imagedata r:id="rId3" o:title=""/>
          <v:path o:extrusionok="f"/>
          <o:lock v:ext="edit" aspectratio="t"/>
        </v:shape>
      </w:pict>
    </w:r>
  </w:p>
</w:hdr>
</file>

<file path=word/header7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220"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221" type="#_x0000_t75" style="width:230.25pt;height:30.76pt;mso-position-horizontal-relative:page;mso-position-vertical-relative:page" filled="f" stroked="f">
          <v:imagedata r:id="rId3" o:title=""/>
          <v:path o:extrusionok="f"/>
          <o:lock v:ext="edit" aspectratio="t"/>
        </v:shape>
      </w:pict>
    </w:r>
  </w:p>
</w:hdr>
</file>

<file path=word/header7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223"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224" type="#_x0000_t75" style="width:230.25pt;height:30.76pt;mso-position-horizontal-relative:page;mso-position-vertical-relative:page" filled="f" stroked="f">
          <v:imagedata r:id="rId3" o:title=""/>
          <v:path o:extrusionok="f"/>
          <o:lock v:ext="edit" aspectratio="t"/>
        </v:shape>
      </w:pict>
    </w:r>
  </w:p>
</w:hdr>
</file>

<file path=word/header7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225"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226" type="#_x0000_t75" style="width:230.25pt;height:30.76pt;mso-position-horizontal-relative:page;mso-position-vertical-relative:page" filled="f" stroked="f">
          <v:imagedata r:id="rId3" o:title=""/>
          <v:path o:extrusionok="f"/>
          <o:lock v:ext="edit" aspectratio="t"/>
        </v:shape>
      </w:pict>
    </w:r>
  </w:p>
</w:hdr>
</file>

<file path=word/header7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228"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229" type="#_x0000_t75" style="width:230.25pt;height:30.76pt;mso-position-horizontal-relative:page;mso-position-vertical-relative:page" filled="f" stroked="f">
          <v:imagedata r:id="rId3" o:title=""/>
          <v:path o:extrusionok="f"/>
          <o:lock v:ext="edit" aspectratio="t"/>
        </v:shape>
      </w:pict>
    </w:r>
  </w:p>
</w:hdr>
</file>

<file path=word/header7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230"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231" type="#_x0000_t75" style="width:230.25pt;height:30.76pt;mso-position-horizontal-relative:page;mso-position-vertical-relative:page" filled="f" stroked="f">
          <v:imagedata r:id="rId3" o:title=""/>
          <v:path o:extrusionok="f"/>
          <o:lock v:ext="edit" aspectratio="t"/>
        </v:shape>
      </w:pict>
    </w:r>
  </w:p>
</w:hdr>
</file>

<file path=word/header7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093" w:rsidP="00337093">
    <w:pPr>
      <w:pStyle w:val="p17"/>
      <w:jc w:val="both"/>
      <w:rPr>
        <w:rFonts w:ascii="宋体" w:hAnsi="宋体"/>
        <w:bCs/>
        <w:color w:val="0000FF"/>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2233" type="#_x0000_t75" style="width:39.74pt;height:44.99pt;mso-position-horizontal-relative:page;mso-position-vertical-relative:page" filled="f" stroked="f">
          <v:imagedata r:id="rId1" r:href="rId2" o:title=""/>
          <v:path o:extrusionok="f"/>
          <o:lock v:ext="edit" aspectratio="t"/>
        </v:shape>
      </w:pict>
    </w:r>
    <w:r>
      <w:rPr>
        <w:rFonts w:ascii="宋体" w:hAnsi="宋体" w:hint="eastAsia"/>
      </w:rPr>
      <w:t xml:space="preserve">    </w:t>
    </w:r>
    <w:r>
      <w:rPr>
        <w:rFonts w:ascii="宋体" w:hAnsi="宋体" w:hint="eastAsia"/>
        <w:color w:val="000000"/>
      </w:rPr>
      <w:t xml:space="preserve">                              </w:t>
    </w:r>
    <w:r>
      <w:rPr>
        <w:rFonts w:ascii="黑体" w:eastAsia="黑体" w:hAnsi="黑体" w:hint="eastAsia"/>
        <w:b/>
        <w:sz w:val="44"/>
        <w:szCs w:val="44"/>
      </w:rPr>
      <w:pict>
        <v:shape id="图片 12" o:spid="_x0000_i2234" type="#_x0000_t75" style="width:230.25pt;height:30.76pt;mso-position-horizontal-relative:page;mso-position-vertical-relative:page" filled="f" stroked="f">
          <v:imagedata r:id="rId3" o:title=""/>
          <v:path o:extrusionok="f"/>
          <o:lock v:ext="edit" aspectratio="t"/>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16879"/>
    <w:rsid w:val="00001C28"/>
    <w:rsid w:val="00003825"/>
    <w:rsid w:val="0000397D"/>
    <w:rsid w:val="00007533"/>
    <w:rsid w:val="0003033A"/>
    <w:rsid w:val="000525AD"/>
    <w:rsid w:val="000530AB"/>
    <w:rsid w:val="00055D9C"/>
    <w:rsid w:val="000646A5"/>
    <w:rsid w:val="00067D78"/>
    <w:rsid w:val="000714E1"/>
    <w:rsid w:val="00072599"/>
    <w:rsid w:val="000972D8"/>
    <w:rsid w:val="000A5008"/>
    <w:rsid w:val="000A54A7"/>
    <w:rsid w:val="000A68E4"/>
    <w:rsid w:val="000B1C10"/>
    <w:rsid w:val="000C60CA"/>
    <w:rsid w:val="000C7C78"/>
    <w:rsid w:val="000E377B"/>
    <w:rsid w:val="000E562D"/>
    <w:rsid w:val="000F190B"/>
    <w:rsid w:val="000F6F9D"/>
    <w:rsid w:val="00104856"/>
    <w:rsid w:val="0011453B"/>
    <w:rsid w:val="00116013"/>
    <w:rsid w:val="001160F9"/>
    <w:rsid w:val="00117A9B"/>
    <w:rsid w:val="00122422"/>
    <w:rsid w:val="00132C8D"/>
    <w:rsid w:val="00134F2C"/>
    <w:rsid w:val="00135C67"/>
    <w:rsid w:val="001728DD"/>
    <w:rsid w:val="00172E18"/>
    <w:rsid w:val="00180C0C"/>
    <w:rsid w:val="00182AFB"/>
    <w:rsid w:val="00185056"/>
    <w:rsid w:val="00187FC6"/>
    <w:rsid w:val="00194398"/>
    <w:rsid w:val="001960D4"/>
    <w:rsid w:val="0019737C"/>
    <w:rsid w:val="001D2A17"/>
    <w:rsid w:val="001F4038"/>
    <w:rsid w:val="001F4DDF"/>
    <w:rsid w:val="001F5813"/>
    <w:rsid w:val="001F6262"/>
    <w:rsid w:val="001F7B2A"/>
    <w:rsid w:val="0020338B"/>
    <w:rsid w:val="00212EC7"/>
    <w:rsid w:val="00216AE2"/>
    <w:rsid w:val="00220EAD"/>
    <w:rsid w:val="002267BB"/>
    <w:rsid w:val="0023446A"/>
    <w:rsid w:val="00251016"/>
    <w:rsid w:val="00251EAC"/>
    <w:rsid w:val="00251F77"/>
    <w:rsid w:val="0027694D"/>
    <w:rsid w:val="00283499"/>
    <w:rsid w:val="00286532"/>
    <w:rsid w:val="0029135D"/>
    <w:rsid w:val="002959CF"/>
    <w:rsid w:val="002A054D"/>
    <w:rsid w:val="002B31B0"/>
    <w:rsid w:val="002B714E"/>
    <w:rsid w:val="002B7B03"/>
    <w:rsid w:val="002C25C1"/>
    <w:rsid w:val="002F3403"/>
    <w:rsid w:val="002F37DD"/>
    <w:rsid w:val="002F7D74"/>
    <w:rsid w:val="0030035E"/>
    <w:rsid w:val="00301DD0"/>
    <w:rsid w:val="003111AD"/>
    <w:rsid w:val="00313575"/>
    <w:rsid w:val="00323F97"/>
    <w:rsid w:val="00334227"/>
    <w:rsid w:val="00337093"/>
    <w:rsid w:val="00360563"/>
    <w:rsid w:val="003622BE"/>
    <w:rsid w:val="00362DE7"/>
    <w:rsid w:val="00387598"/>
    <w:rsid w:val="00387BBE"/>
    <w:rsid w:val="003929AB"/>
    <w:rsid w:val="00393DD4"/>
    <w:rsid w:val="003B4182"/>
    <w:rsid w:val="003C3D32"/>
    <w:rsid w:val="003D375D"/>
    <w:rsid w:val="003E04A3"/>
    <w:rsid w:val="003E34B2"/>
    <w:rsid w:val="003E75F3"/>
    <w:rsid w:val="00404DBC"/>
    <w:rsid w:val="00405372"/>
    <w:rsid w:val="004203C0"/>
    <w:rsid w:val="00425FAA"/>
    <w:rsid w:val="004303D7"/>
    <w:rsid w:val="00431FFF"/>
    <w:rsid w:val="00437338"/>
    <w:rsid w:val="0044347B"/>
    <w:rsid w:val="004546A1"/>
    <w:rsid w:val="00456209"/>
    <w:rsid w:val="00465053"/>
    <w:rsid w:val="00472252"/>
    <w:rsid w:val="004853CB"/>
    <w:rsid w:val="00486DF2"/>
    <w:rsid w:val="004947FC"/>
    <w:rsid w:val="004A1789"/>
    <w:rsid w:val="004A3247"/>
    <w:rsid w:val="004A6764"/>
    <w:rsid w:val="004A7DCA"/>
    <w:rsid w:val="004B00A6"/>
    <w:rsid w:val="004B2C79"/>
    <w:rsid w:val="004B4CD0"/>
    <w:rsid w:val="004C1F56"/>
    <w:rsid w:val="004D5462"/>
    <w:rsid w:val="004E1D01"/>
    <w:rsid w:val="004E28AA"/>
    <w:rsid w:val="004E36A6"/>
    <w:rsid w:val="004E387E"/>
    <w:rsid w:val="004F4711"/>
    <w:rsid w:val="004F4E2A"/>
    <w:rsid w:val="004F7373"/>
    <w:rsid w:val="005119E0"/>
    <w:rsid w:val="00516879"/>
    <w:rsid w:val="00521412"/>
    <w:rsid w:val="00522D52"/>
    <w:rsid w:val="00546B80"/>
    <w:rsid w:val="0057009C"/>
    <w:rsid w:val="00592719"/>
    <w:rsid w:val="0059391C"/>
    <w:rsid w:val="005940D8"/>
    <w:rsid w:val="0059763A"/>
    <w:rsid w:val="005A0975"/>
    <w:rsid w:val="005A370D"/>
    <w:rsid w:val="005A4606"/>
    <w:rsid w:val="005B448D"/>
    <w:rsid w:val="005B52D1"/>
    <w:rsid w:val="005C5FE1"/>
    <w:rsid w:val="005D0429"/>
    <w:rsid w:val="005F3D08"/>
    <w:rsid w:val="005F5A1D"/>
    <w:rsid w:val="005F6E86"/>
    <w:rsid w:val="005F78F1"/>
    <w:rsid w:val="00624426"/>
    <w:rsid w:val="00627398"/>
    <w:rsid w:val="00627FB8"/>
    <w:rsid w:val="006332A5"/>
    <w:rsid w:val="00633BF8"/>
    <w:rsid w:val="0063503C"/>
    <w:rsid w:val="006400BF"/>
    <w:rsid w:val="00640EF0"/>
    <w:rsid w:val="00641FAF"/>
    <w:rsid w:val="00642008"/>
    <w:rsid w:val="0066032E"/>
    <w:rsid w:val="006638AF"/>
    <w:rsid w:val="0066525E"/>
    <w:rsid w:val="0067143E"/>
    <w:rsid w:val="00674BE8"/>
    <w:rsid w:val="00676C84"/>
    <w:rsid w:val="00681F21"/>
    <w:rsid w:val="00682679"/>
    <w:rsid w:val="00686A1A"/>
    <w:rsid w:val="00691AE0"/>
    <w:rsid w:val="006B3EA3"/>
    <w:rsid w:val="006B5564"/>
    <w:rsid w:val="006C22C8"/>
    <w:rsid w:val="006C3EC0"/>
    <w:rsid w:val="006C70E7"/>
    <w:rsid w:val="006C7C44"/>
    <w:rsid w:val="006D4211"/>
    <w:rsid w:val="006D5004"/>
    <w:rsid w:val="006E28EF"/>
    <w:rsid w:val="006F0C8D"/>
    <w:rsid w:val="0070110C"/>
    <w:rsid w:val="00707F80"/>
    <w:rsid w:val="00711B7C"/>
    <w:rsid w:val="00715625"/>
    <w:rsid w:val="00716DF7"/>
    <w:rsid w:val="00725E62"/>
    <w:rsid w:val="00735911"/>
    <w:rsid w:val="00735C65"/>
    <w:rsid w:val="0073661B"/>
    <w:rsid w:val="00740FCE"/>
    <w:rsid w:val="00745B74"/>
    <w:rsid w:val="00746FEA"/>
    <w:rsid w:val="007500CB"/>
    <w:rsid w:val="00764439"/>
    <w:rsid w:val="007669B8"/>
    <w:rsid w:val="00767374"/>
    <w:rsid w:val="007819EA"/>
    <w:rsid w:val="00785724"/>
    <w:rsid w:val="007A41BA"/>
    <w:rsid w:val="007A7AD2"/>
    <w:rsid w:val="007B155C"/>
    <w:rsid w:val="007C336C"/>
    <w:rsid w:val="007D2E46"/>
    <w:rsid w:val="007D3A02"/>
    <w:rsid w:val="007F2111"/>
    <w:rsid w:val="007F345B"/>
    <w:rsid w:val="0081468C"/>
    <w:rsid w:val="008254A5"/>
    <w:rsid w:val="008260F3"/>
    <w:rsid w:val="00833552"/>
    <w:rsid w:val="00845355"/>
    <w:rsid w:val="00861CDE"/>
    <w:rsid w:val="0086579E"/>
    <w:rsid w:val="00877837"/>
    <w:rsid w:val="008840FF"/>
    <w:rsid w:val="008844CC"/>
    <w:rsid w:val="0089265A"/>
    <w:rsid w:val="00895204"/>
    <w:rsid w:val="00895814"/>
    <w:rsid w:val="008A15F8"/>
    <w:rsid w:val="008B1075"/>
    <w:rsid w:val="008B18CD"/>
    <w:rsid w:val="008B27B3"/>
    <w:rsid w:val="008B6D83"/>
    <w:rsid w:val="008C7587"/>
    <w:rsid w:val="009044A1"/>
    <w:rsid w:val="00907B2A"/>
    <w:rsid w:val="00921618"/>
    <w:rsid w:val="00967111"/>
    <w:rsid w:val="0096713D"/>
    <w:rsid w:val="00974543"/>
    <w:rsid w:val="009816B3"/>
    <w:rsid w:val="00982F4A"/>
    <w:rsid w:val="00985FD6"/>
    <w:rsid w:val="00993F50"/>
    <w:rsid w:val="009A635F"/>
    <w:rsid w:val="009B4613"/>
    <w:rsid w:val="009C58AA"/>
    <w:rsid w:val="009C5B7F"/>
    <w:rsid w:val="009D5B7C"/>
    <w:rsid w:val="009E260D"/>
    <w:rsid w:val="009E39E2"/>
    <w:rsid w:val="009E5189"/>
    <w:rsid w:val="009F4A5E"/>
    <w:rsid w:val="009F7824"/>
    <w:rsid w:val="00A0154B"/>
    <w:rsid w:val="00A02E0D"/>
    <w:rsid w:val="00A34362"/>
    <w:rsid w:val="00A36A3A"/>
    <w:rsid w:val="00A44312"/>
    <w:rsid w:val="00A52F99"/>
    <w:rsid w:val="00A54EA8"/>
    <w:rsid w:val="00A74EEF"/>
    <w:rsid w:val="00A77F3B"/>
    <w:rsid w:val="00A8745C"/>
    <w:rsid w:val="00A9417F"/>
    <w:rsid w:val="00AA363F"/>
    <w:rsid w:val="00AA3D3D"/>
    <w:rsid w:val="00AC0532"/>
    <w:rsid w:val="00AC3FA1"/>
    <w:rsid w:val="00AC6556"/>
    <w:rsid w:val="00AD45DE"/>
    <w:rsid w:val="00AD48D9"/>
    <w:rsid w:val="00AF4AAA"/>
    <w:rsid w:val="00B02D27"/>
    <w:rsid w:val="00B232A4"/>
    <w:rsid w:val="00B27994"/>
    <w:rsid w:val="00B31FBC"/>
    <w:rsid w:val="00B418C3"/>
    <w:rsid w:val="00B470D9"/>
    <w:rsid w:val="00B47E7D"/>
    <w:rsid w:val="00B526FC"/>
    <w:rsid w:val="00B546EB"/>
    <w:rsid w:val="00B6618A"/>
    <w:rsid w:val="00B67C28"/>
    <w:rsid w:val="00B704C5"/>
    <w:rsid w:val="00B7053D"/>
    <w:rsid w:val="00B750F6"/>
    <w:rsid w:val="00B8399A"/>
    <w:rsid w:val="00B83FED"/>
    <w:rsid w:val="00B84CD0"/>
    <w:rsid w:val="00B87FC2"/>
    <w:rsid w:val="00BA0BE2"/>
    <w:rsid w:val="00BA190D"/>
    <w:rsid w:val="00BA2FA0"/>
    <w:rsid w:val="00BA3194"/>
    <w:rsid w:val="00BA71AF"/>
    <w:rsid w:val="00BB0AC6"/>
    <w:rsid w:val="00BB46CF"/>
    <w:rsid w:val="00BB6C11"/>
    <w:rsid w:val="00BC7DED"/>
    <w:rsid w:val="00BE1626"/>
    <w:rsid w:val="00BF6A8A"/>
    <w:rsid w:val="00C14A62"/>
    <w:rsid w:val="00C24501"/>
    <w:rsid w:val="00C263D6"/>
    <w:rsid w:val="00C40E1C"/>
    <w:rsid w:val="00C468BE"/>
    <w:rsid w:val="00C47BFC"/>
    <w:rsid w:val="00C55A74"/>
    <w:rsid w:val="00C57561"/>
    <w:rsid w:val="00C61310"/>
    <w:rsid w:val="00C63CC2"/>
    <w:rsid w:val="00C7115D"/>
    <w:rsid w:val="00C81B92"/>
    <w:rsid w:val="00C84B36"/>
    <w:rsid w:val="00C95D03"/>
    <w:rsid w:val="00C9661F"/>
    <w:rsid w:val="00CB0A1C"/>
    <w:rsid w:val="00CD54E5"/>
    <w:rsid w:val="00CF0B71"/>
    <w:rsid w:val="00D27B5C"/>
    <w:rsid w:val="00D30478"/>
    <w:rsid w:val="00D31911"/>
    <w:rsid w:val="00D3320A"/>
    <w:rsid w:val="00D37D18"/>
    <w:rsid w:val="00D4143C"/>
    <w:rsid w:val="00D5344D"/>
    <w:rsid w:val="00D636F4"/>
    <w:rsid w:val="00D64D71"/>
    <w:rsid w:val="00D669A7"/>
    <w:rsid w:val="00D71147"/>
    <w:rsid w:val="00D72D76"/>
    <w:rsid w:val="00D81B2A"/>
    <w:rsid w:val="00D94468"/>
    <w:rsid w:val="00D97A9D"/>
    <w:rsid w:val="00DA35E4"/>
    <w:rsid w:val="00DA37ED"/>
    <w:rsid w:val="00DB25AD"/>
    <w:rsid w:val="00DC29B6"/>
    <w:rsid w:val="00DC55AB"/>
    <w:rsid w:val="00DE0640"/>
    <w:rsid w:val="00DF5CAF"/>
    <w:rsid w:val="00E00CF5"/>
    <w:rsid w:val="00E014C8"/>
    <w:rsid w:val="00E01B90"/>
    <w:rsid w:val="00E10669"/>
    <w:rsid w:val="00E17338"/>
    <w:rsid w:val="00E2428F"/>
    <w:rsid w:val="00E249DD"/>
    <w:rsid w:val="00E276A6"/>
    <w:rsid w:val="00E27F08"/>
    <w:rsid w:val="00E307E4"/>
    <w:rsid w:val="00E36C3C"/>
    <w:rsid w:val="00E40B4A"/>
    <w:rsid w:val="00E45AC2"/>
    <w:rsid w:val="00E45C2A"/>
    <w:rsid w:val="00E51C98"/>
    <w:rsid w:val="00E5366B"/>
    <w:rsid w:val="00E57250"/>
    <w:rsid w:val="00E67F3C"/>
    <w:rsid w:val="00E77EFA"/>
    <w:rsid w:val="00EA69F1"/>
    <w:rsid w:val="00EC5A4E"/>
    <w:rsid w:val="00ED1566"/>
    <w:rsid w:val="00ED517F"/>
    <w:rsid w:val="00ED71BE"/>
    <w:rsid w:val="00EE0FD5"/>
    <w:rsid w:val="00EE1ECC"/>
    <w:rsid w:val="00EE2232"/>
    <w:rsid w:val="00EE264D"/>
    <w:rsid w:val="00EF1FF0"/>
    <w:rsid w:val="00F2076C"/>
    <w:rsid w:val="00F2155C"/>
    <w:rsid w:val="00F3624A"/>
    <w:rsid w:val="00F369B0"/>
    <w:rsid w:val="00F36F43"/>
    <w:rsid w:val="00F402E1"/>
    <w:rsid w:val="00F47E9F"/>
    <w:rsid w:val="00F55569"/>
    <w:rsid w:val="00F70EFA"/>
    <w:rsid w:val="00F71071"/>
    <w:rsid w:val="00F716DA"/>
    <w:rsid w:val="00F80535"/>
    <w:rsid w:val="00F83245"/>
    <w:rsid w:val="00F843AE"/>
    <w:rsid w:val="00F87F31"/>
    <w:rsid w:val="00F90E83"/>
    <w:rsid w:val="00F974D1"/>
    <w:rsid w:val="00FA1C44"/>
    <w:rsid w:val="00FA22A7"/>
    <w:rsid w:val="00FA4B4C"/>
    <w:rsid w:val="00FA5603"/>
    <w:rsid w:val="00FD5702"/>
    <w:rsid w:val="0A5B2A3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semiHidden="1"/>
    <w:lsdException w:name="caption"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uiPriority="99"/>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uto"/>
      <w:outlineLvl w:val="0"/>
    </w:pPr>
    <w:rPr>
      <w:rFonts w:eastAsia="黑体"/>
      <w:bCs/>
      <w:kern w:val="44"/>
      <w:sz w:val="36"/>
      <w:szCs w:val="44"/>
    </w:rPr>
  </w:style>
  <w:style w:type="paragraph" w:styleId="Heading2">
    <w:name w:val="heading 2"/>
    <w:basedOn w:val="Normal"/>
    <w:next w:val="Normal"/>
    <w:qFormat/>
    <w:pPr>
      <w:keepNext/>
      <w:keepLines/>
      <w:spacing w:before="260" w:after="260" w:line="416" w:lineRule="auto"/>
      <w:outlineLvl w:val="1"/>
    </w:pPr>
    <w:rPr>
      <w:rFonts w:ascii="Arial" w:eastAsia="黑体" w:hAnsi="Arial"/>
      <w:bCs/>
      <w:sz w:val="32"/>
      <w:szCs w:val="32"/>
    </w:rPr>
  </w:style>
  <w:style w:type="paragraph" w:styleId="Heading3">
    <w:name w:val="heading 3"/>
    <w:basedOn w:val="Normal"/>
    <w:next w:val="Normal"/>
    <w:qFormat/>
    <w:pPr>
      <w:keepNext/>
      <w:keepLines/>
      <w:spacing w:before="260" w:after="260" w:line="416" w:lineRule="auto"/>
      <w:outlineLvl w:val="2"/>
    </w:pPr>
    <w:rPr>
      <w:rFonts w:eastAsia="黑体"/>
      <w:bCs/>
      <w:sz w:val="30"/>
      <w:szCs w:val="32"/>
    </w:rPr>
  </w:style>
  <w:style w:type="paragraph" w:styleId="Heading4">
    <w:name w:val="heading 4"/>
    <w:basedOn w:val="Normal"/>
    <w:next w:val="Normal"/>
    <w:qFormat/>
    <w:pPr>
      <w:keepNext/>
      <w:keepLines/>
      <w:spacing w:before="280" w:after="290" w:line="376" w:lineRule="auto"/>
      <w:outlineLvl w:val="3"/>
    </w:pPr>
    <w:rPr>
      <w:rFonts w:ascii="仿宋_GB2312" w:eastAsia="仿宋_GB2312" w:hAnsi="Arial"/>
      <w:b/>
      <w:bCs/>
      <w:sz w:val="28"/>
      <w:szCs w:val="28"/>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tyle>
  <w:style w:type="character" w:customStyle="1" w:styleId="agreen">
    <w:name w:val="agreen"/>
    <w:basedOn w:val="DefaultParagraphFont"/>
  </w:style>
  <w:style w:type="character" w:customStyle="1" w:styleId="zi1">
    <w:name w:val="zi1"/>
    <w:basedOn w:val="DefaultParagraphFont"/>
    <w:rPr>
      <w:sz w:val="21"/>
      <w:szCs w:val="21"/>
    </w:rPr>
  </w:style>
  <w:style w:type="character" w:customStyle="1" w:styleId="CharChar">
    <w:name w:val="地理段落 Char Char"/>
    <w:basedOn w:val="DefaultParagraphFont"/>
    <w:link w:val="a1"/>
    <w:rPr>
      <w:rFonts w:ascii="仿宋_GB2312" w:eastAsia="仿宋_GB2312"/>
      <w:kern w:val="2"/>
      <w:sz w:val="28"/>
      <w:szCs w:val="28"/>
      <w:lang w:val="en-US" w:eastAsia="zh-CN" w:bidi="ar-SA"/>
    </w:rPr>
  </w:style>
  <w:style w:type="character" w:styleId="FollowedHyperlink">
    <w:name w:val="FollowedHyperlink"/>
    <w:basedOn w:val="DefaultParagraphFont"/>
    <w:rPr>
      <w:color w:val="800080"/>
      <w:u w:val="single"/>
    </w:rPr>
  </w:style>
  <w:style w:type="character" w:customStyle="1" w:styleId="font21">
    <w:name w:val="font21"/>
    <w:basedOn w:val="DefaultParagraphFont"/>
    <w:rPr>
      <w:rFonts w:ascii="宋体" w:eastAsia="宋体" w:hAnsi="宋体" w:cs="宋体" w:hint="eastAsia"/>
      <w:b/>
      <w:i w:val="0"/>
      <w:color w:val="000000"/>
      <w:sz w:val="16"/>
      <w:szCs w:val="16"/>
      <w:u w:val="none"/>
    </w:rPr>
  </w:style>
  <w:style w:type="character" w:customStyle="1" w:styleId="FontStyle23">
    <w:name w:val="Font Style23"/>
    <w:basedOn w:val="DefaultParagraphFont"/>
    <w:rPr>
      <w:rFonts w:ascii="宋体" w:eastAsia="宋体" w:cs="宋体"/>
      <w:sz w:val="20"/>
      <w:szCs w:val="20"/>
    </w:rPr>
  </w:style>
  <w:style w:type="character" w:customStyle="1" w:styleId="font11">
    <w:name w:val="font11"/>
    <w:basedOn w:val="DefaultParagraphFont"/>
    <w:rPr>
      <w:rFonts w:ascii="Arial" w:eastAsia="宋体" w:hAnsi="Arial" w:cs="Arial"/>
      <w:i w:val="0"/>
      <w:color w:val="3366CC"/>
      <w:sz w:val="18"/>
      <w:szCs w:val="18"/>
      <w:u w:val="none"/>
    </w:rPr>
  </w:style>
  <w:style w:type="character" w:customStyle="1" w:styleId="title11">
    <w:name w:val="title11"/>
    <w:basedOn w:val="DefaultParagraphFont"/>
  </w:style>
  <w:style w:type="character" w:customStyle="1" w:styleId="fc03m2a">
    <w:name w:val="fc03 m2a"/>
    <w:basedOn w:val="DefaultParagraphFont"/>
  </w:style>
  <w:style w:type="character" w:customStyle="1" w:styleId="FontStyle47">
    <w:name w:val="Font Style47"/>
    <w:basedOn w:val="DefaultParagraphFont"/>
    <w:rPr>
      <w:rFonts w:ascii="Times New Roman" w:hAnsi="Times New Roman" w:cs="Times New Roman"/>
      <w:spacing w:val="-20"/>
      <w:sz w:val="16"/>
      <w:szCs w:val="16"/>
    </w:rPr>
  </w:style>
  <w:style w:type="character" w:customStyle="1" w:styleId="subtablealtbg2tmsg">
    <w:name w:val="subtable altbg2 t_msg"/>
    <w:basedOn w:val="DefaultParagraphFont"/>
  </w:style>
  <w:style w:type="character" w:styleId="Strong">
    <w:name w:val="Strong"/>
    <w:basedOn w:val="DefaultParagraphFont"/>
    <w:qFormat/>
    <w:rPr>
      <w:b/>
      <w:bCs/>
    </w:rPr>
  </w:style>
  <w:style w:type="character" w:customStyle="1" w:styleId="FontStyle37">
    <w:name w:val="Font Style37"/>
    <w:basedOn w:val="DefaultParagraphFont"/>
    <w:rPr>
      <w:rFonts w:ascii="宋体" w:eastAsia="宋体" w:cs="宋体"/>
      <w:b/>
      <w:bCs/>
      <w:sz w:val="14"/>
      <w:szCs w:val="14"/>
    </w:rPr>
  </w:style>
  <w:style w:type="character" w:customStyle="1" w:styleId="hj1">
    <w:name w:val="hj1"/>
    <w:basedOn w:val="DefaultParagraphFont"/>
  </w:style>
  <w:style w:type="character" w:styleId="CommentReference">
    <w:name w:val="annotation reference"/>
    <w:basedOn w:val="DefaultParagraphFont"/>
    <w:rPr>
      <w:sz w:val="21"/>
      <w:szCs w:val="21"/>
    </w:rPr>
  </w:style>
  <w:style w:type="character" w:customStyle="1" w:styleId="headline-content2">
    <w:name w:val="headline-content2"/>
    <w:basedOn w:val="DefaultParagraphFont"/>
  </w:style>
  <w:style w:type="character" w:customStyle="1" w:styleId="FontStyle48">
    <w:name w:val="Font Style48"/>
    <w:basedOn w:val="DefaultParagraphFont"/>
    <w:rPr>
      <w:rFonts w:ascii="Times New Roman" w:hAnsi="Times New Roman" w:cs="Times New Roman"/>
      <w:sz w:val="14"/>
      <w:szCs w:val="14"/>
    </w:rPr>
  </w:style>
  <w:style w:type="character" w:customStyle="1" w:styleId="ilftiblockicn0icn0-620">
    <w:name w:val="ilft iblock icn0 icn0-620"/>
    <w:basedOn w:val="DefaultParagraphFont"/>
  </w:style>
  <w:style w:type="character" w:customStyle="1" w:styleId="FontStyle14">
    <w:name w:val="Font Style14"/>
    <w:basedOn w:val="DefaultParagraphFont"/>
    <w:rPr>
      <w:rFonts w:ascii="MingLiU" w:eastAsia="MingLiU" w:cs="MingLiU"/>
      <w:spacing w:val="-10"/>
      <w:sz w:val="8"/>
      <w:szCs w:val="8"/>
    </w:rPr>
  </w:style>
  <w:style w:type="character" w:customStyle="1" w:styleId="FontStyle36">
    <w:name w:val="Font Style36"/>
    <w:basedOn w:val="DefaultParagraphFont"/>
    <w:rPr>
      <w:rFonts w:ascii="Franklin Gothic Heavy" w:hAnsi="Franklin Gothic Heavy" w:cs="Franklin Gothic Heavy"/>
      <w:sz w:val="20"/>
      <w:szCs w:val="20"/>
    </w:rPr>
  </w:style>
  <w:style w:type="character" w:customStyle="1" w:styleId="FontStyle51">
    <w:name w:val="Font Style51"/>
    <w:basedOn w:val="DefaultParagraphFont"/>
    <w:rPr>
      <w:rFonts w:ascii="宋体" w:eastAsia="宋体" w:cs="宋体"/>
      <w:b/>
      <w:bCs/>
      <w:spacing w:val="-20"/>
      <w:sz w:val="16"/>
      <w:szCs w:val="16"/>
    </w:rPr>
  </w:style>
  <w:style w:type="character" w:styleId="Hyperlink">
    <w:name w:val="Hyperlink"/>
    <w:basedOn w:val="DefaultParagraphFont"/>
    <w:rPr>
      <w:color w:val="0000FF"/>
      <w:u w:val="single"/>
    </w:rPr>
  </w:style>
  <w:style w:type="character" w:styleId="PageNumber">
    <w:name w:val="page number"/>
    <w:basedOn w:val="DefaultParagraphFont"/>
  </w:style>
  <w:style w:type="character" w:customStyle="1" w:styleId="headline-content">
    <w:name w:val="headline-content"/>
    <w:basedOn w:val="DefaultParagraphFont"/>
  </w:style>
  <w:style w:type="character" w:customStyle="1" w:styleId="tcnt3">
    <w:name w:val="tcnt3"/>
    <w:basedOn w:val="DefaultParagraphFont"/>
  </w:style>
  <w:style w:type="character" w:customStyle="1" w:styleId="FontStyle32">
    <w:name w:val="Font Style32"/>
    <w:basedOn w:val="DefaultParagraphFont"/>
    <w:rPr>
      <w:rFonts w:ascii="MingLiU" w:eastAsia="MingLiU" w:cs="MingLiU"/>
      <w:sz w:val="16"/>
      <w:szCs w:val="16"/>
    </w:rPr>
  </w:style>
  <w:style w:type="character" w:customStyle="1" w:styleId="FontStyle52">
    <w:name w:val="Font Style52"/>
    <w:basedOn w:val="DefaultParagraphFont"/>
    <w:rPr>
      <w:rFonts w:ascii="宋体" w:eastAsia="宋体" w:cs="宋体"/>
      <w:sz w:val="20"/>
      <w:szCs w:val="20"/>
    </w:rPr>
  </w:style>
  <w:style w:type="character" w:customStyle="1" w:styleId="Char1">
    <w:name w:val="正文（首行缩进两字） Char1"/>
    <w:aliases w:val="正文非缩进 Char Char,正文（首行缩进两字） Char Char,表正文 Char"/>
    <w:basedOn w:val="DefaultParagraphFont"/>
    <w:link w:val="NormalIndent"/>
    <w:rPr>
      <w:rFonts w:eastAsia="宋体"/>
      <w:kern w:val="2"/>
      <w:sz w:val="21"/>
      <w:szCs w:val="24"/>
      <w:lang w:val="en-US" w:eastAsia="zh-CN" w:bidi="ar-SA"/>
    </w:rPr>
  </w:style>
  <w:style w:type="character" w:customStyle="1" w:styleId="headline-content4">
    <w:name w:val="headline-content4"/>
    <w:basedOn w:val="DefaultParagraphFont"/>
  </w:style>
  <w:style w:type="character" w:customStyle="1" w:styleId="Char0">
    <w:name w:val="页脚 Char"/>
    <w:basedOn w:val="DefaultParagraphFont"/>
    <w:link w:val="Footer"/>
    <w:rPr>
      <w:rFonts w:eastAsia="宋体"/>
      <w:kern w:val="2"/>
      <w:sz w:val="18"/>
      <w:szCs w:val="18"/>
      <w:lang w:val="en-US" w:eastAsia="zh-CN" w:bidi="ar-SA"/>
    </w:rPr>
  </w:style>
  <w:style w:type="character" w:customStyle="1" w:styleId="FontStyle50">
    <w:name w:val="Font Style50"/>
    <w:basedOn w:val="DefaultParagraphFont"/>
    <w:rPr>
      <w:rFonts w:ascii="宋体" w:eastAsia="宋体" w:cs="宋体"/>
      <w:sz w:val="16"/>
      <w:szCs w:val="16"/>
    </w:rPr>
  </w:style>
  <w:style w:type="character" w:customStyle="1" w:styleId="FontStyle43">
    <w:name w:val="Font Style43"/>
    <w:basedOn w:val="DefaultParagraphFont"/>
    <w:rPr>
      <w:rFonts w:ascii="Times New Roman" w:hAnsi="Times New Roman" w:cs="Times New Roman"/>
      <w:b/>
      <w:bCs/>
      <w:spacing w:val="-20"/>
      <w:sz w:val="20"/>
      <w:szCs w:val="20"/>
    </w:rPr>
  </w:style>
  <w:style w:type="character" w:customStyle="1" w:styleId="artcontent">
    <w:name w:val="artcontent"/>
    <w:basedOn w:val="DefaultParagraphFont"/>
  </w:style>
  <w:style w:type="character" w:customStyle="1" w:styleId="FontStyle53">
    <w:name w:val="Font Style53"/>
    <w:basedOn w:val="DefaultParagraphFont"/>
    <w:rPr>
      <w:rFonts w:ascii="宋体" w:eastAsia="宋体" w:cs="宋体"/>
      <w:sz w:val="18"/>
      <w:szCs w:val="18"/>
    </w:rPr>
  </w:style>
  <w:style w:type="character" w:customStyle="1" w:styleId="irgtiblockicn0icn0-619">
    <w:name w:val="irgt iblock icn0 icn0-619"/>
    <w:basedOn w:val="DefaultParagraphFont"/>
  </w:style>
  <w:style w:type="character" w:customStyle="1" w:styleId="zihaofc03">
    <w:name w:val="zihao fc03"/>
    <w:basedOn w:val="DefaultParagraphFont"/>
  </w:style>
  <w:style w:type="character" w:customStyle="1" w:styleId="11p1">
    <w:name w:val="11p1"/>
    <w:basedOn w:val="DefaultParagraphFont"/>
    <w:rPr>
      <w:sz w:val="30"/>
      <w:szCs w:val="30"/>
    </w:rPr>
  </w:style>
  <w:style w:type="character" w:customStyle="1" w:styleId="FontStyle42">
    <w:name w:val="Font Style42"/>
    <w:basedOn w:val="DefaultParagraphFont"/>
    <w:rPr>
      <w:rFonts w:ascii="Times New Roman" w:hAnsi="Times New Roman" w:cs="Times New Roman"/>
      <w:i/>
      <w:iCs/>
      <w:spacing w:val="20"/>
      <w:sz w:val="16"/>
      <w:szCs w:val="16"/>
    </w:rPr>
  </w:style>
  <w:style w:type="character" w:customStyle="1" w:styleId="FontStyle21">
    <w:name w:val="Font Style21"/>
    <w:basedOn w:val="DefaultParagraphFont"/>
    <w:rPr>
      <w:rFonts w:ascii="宋体" w:eastAsia="宋体" w:cs="宋体"/>
      <w:b/>
      <w:bCs/>
      <w:sz w:val="20"/>
      <w:szCs w:val="20"/>
    </w:rPr>
  </w:style>
  <w:style w:type="character" w:customStyle="1" w:styleId="font01">
    <w:name w:val="font01"/>
    <w:basedOn w:val="DefaultParagraphFont"/>
    <w:rPr>
      <w:rFonts w:ascii="宋体" w:eastAsia="宋体" w:hAnsi="宋体" w:hint="eastAsia"/>
      <w:color w:val="000000"/>
      <w:sz w:val="24"/>
      <w:szCs w:val="24"/>
      <w:u w:val="none"/>
    </w:rPr>
  </w:style>
  <w:style w:type="character" w:customStyle="1" w:styleId="FontStyle44">
    <w:name w:val="Font Style44"/>
    <w:basedOn w:val="DefaultParagraphFont"/>
    <w:rPr>
      <w:rFonts w:ascii="Times New Roman" w:hAnsi="Times New Roman" w:cs="Times New Roman"/>
      <w:sz w:val="18"/>
      <w:szCs w:val="18"/>
    </w:rPr>
  </w:style>
  <w:style w:type="character" w:customStyle="1" w:styleId="prightpntfc03">
    <w:name w:val="pright pnt fc03"/>
    <w:basedOn w:val="DefaultParagraphFont"/>
  </w:style>
  <w:style w:type="character" w:customStyle="1" w:styleId="large1">
    <w:name w:val="large1"/>
    <w:basedOn w:val="DefaultParagraphFont"/>
    <w:rPr>
      <w:rFonts w:ascii="宋体" w:eastAsia="宋体" w:hAnsi="宋体" w:hint="eastAsia"/>
      <w:sz w:val="22"/>
      <w:szCs w:val="22"/>
    </w:rPr>
  </w:style>
  <w:style w:type="character" w:customStyle="1" w:styleId="lv14b1">
    <w:name w:val="lv14b1"/>
    <w:basedOn w:val="DefaultParagraphFont"/>
    <w:rPr>
      <w:b/>
      <w:bCs/>
      <w:color w:val="009900"/>
      <w:sz w:val="21"/>
      <w:szCs w:val="21"/>
      <w:u w:val="none"/>
    </w:rPr>
  </w:style>
  <w:style w:type="character" w:customStyle="1" w:styleId="fc04stag">
    <w:name w:val="fc04 stag"/>
    <w:basedOn w:val="DefaultParagraphFont"/>
  </w:style>
  <w:style w:type="character" w:customStyle="1" w:styleId="count4">
    <w:name w:val="count4"/>
    <w:basedOn w:val="DefaultParagraphFont"/>
  </w:style>
  <w:style w:type="character" w:customStyle="1" w:styleId="FontStyle29">
    <w:name w:val="Font Style29"/>
    <w:basedOn w:val="DefaultParagraphFont"/>
    <w:rPr>
      <w:rFonts w:ascii="宋体" w:eastAsia="宋体" w:cs="宋体"/>
      <w:sz w:val="26"/>
      <w:szCs w:val="26"/>
    </w:rPr>
  </w:style>
  <w:style w:type="character" w:customStyle="1" w:styleId="p141">
    <w:name w:val="p141"/>
    <w:basedOn w:val="DefaultParagraphFont"/>
    <w:rPr>
      <w:sz w:val="28"/>
      <w:szCs w:val="28"/>
    </w:rPr>
  </w:style>
  <w:style w:type="character" w:customStyle="1" w:styleId="Char2">
    <w:name w:val="页眉 Char"/>
    <w:basedOn w:val="DefaultParagraphFont"/>
    <w:link w:val="Header"/>
    <w:rPr>
      <w:rFonts w:eastAsia="宋体"/>
      <w:kern w:val="2"/>
      <w:sz w:val="18"/>
      <w:szCs w:val="18"/>
      <w:lang w:val="en-US" w:eastAsia="zh-CN" w:bidi="ar-SA"/>
    </w:rPr>
  </w:style>
  <w:style w:type="character" w:customStyle="1" w:styleId="pleft4">
    <w:name w:val="pleft4"/>
    <w:basedOn w:val="DefaultParagraphFont"/>
  </w:style>
  <w:style w:type="character" w:customStyle="1" w:styleId="blogsep2">
    <w:name w:val="blogsep2"/>
    <w:basedOn w:val="DefaultParagraphFont"/>
  </w:style>
  <w:style w:type="character" w:customStyle="1" w:styleId="blogsepphide">
    <w:name w:val="blogsep phide"/>
    <w:basedOn w:val="DefaultParagraphFont"/>
  </w:style>
  <w:style w:type="character" w:customStyle="1" w:styleId="iblockicn0icn0-919">
    <w:name w:val="iblock icn0 icn0-919"/>
    <w:basedOn w:val="DefaultParagraphFont"/>
  </w:style>
  <w:style w:type="character" w:customStyle="1" w:styleId="share1">
    <w:name w:val="share1"/>
    <w:basedOn w:val="DefaultParagraphFont"/>
    <w:rPr/>
  </w:style>
  <w:style w:type="character" w:customStyle="1" w:styleId="apple-converted-space">
    <w:name w:val="apple-converted-space"/>
    <w:basedOn w:val="DefaultParagraphFont"/>
  </w:style>
  <w:style w:type="character" w:customStyle="1" w:styleId="font61">
    <w:name w:val="font61"/>
    <w:basedOn w:val="DefaultParagraphFont"/>
    <w:rPr>
      <w:rFonts w:ascii="Arial" w:eastAsia="宋体" w:hAnsi="Arial" w:cs="Arial"/>
      <w:i w:val="0"/>
      <w:color w:val="313131"/>
      <w:sz w:val="18"/>
      <w:szCs w:val="18"/>
      <w:u w:val="none"/>
    </w:rPr>
  </w:style>
  <w:style w:type="character" w:customStyle="1" w:styleId="font31">
    <w:name w:val="font31"/>
    <w:basedOn w:val="DefaultParagraphFont"/>
    <w:rPr>
      <w:rFonts w:ascii="宋体" w:eastAsia="宋体" w:hAnsi="宋体" w:cs="宋体" w:hint="eastAsia"/>
      <w:b/>
      <w:i w:val="0"/>
      <w:color w:val="000000"/>
      <w:sz w:val="22"/>
      <w:szCs w:val="22"/>
      <w:u w:val="none"/>
    </w:rPr>
  </w:style>
  <w:style w:type="character" w:customStyle="1" w:styleId="font41">
    <w:name w:val="font41"/>
    <w:basedOn w:val="DefaultParagraphFont"/>
    <w:rPr>
      <w:rFonts w:ascii="宋体" w:eastAsia="宋体" w:hAnsi="宋体" w:cs="宋体" w:hint="eastAsia"/>
      <w:i w:val="0"/>
      <w:color w:val="000000"/>
      <w:sz w:val="22"/>
      <w:szCs w:val="22"/>
      <w:u w:val="none"/>
    </w:rPr>
  </w:style>
  <w:style w:type="character" w:customStyle="1" w:styleId="font51">
    <w:name w:val="font51"/>
    <w:basedOn w:val="DefaultParagraphFont"/>
    <w:rPr>
      <w:rFonts w:ascii="宋体" w:eastAsia="宋体" w:hAnsi="宋体" w:cs="宋体" w:hint="eastAsia"/>
      <w:b/>
      <w:i w:val="0"/>
      <w:color w:val="000000"/>
      <w:sz w:val="16"/>
      <w:szCs w:val="16"/>
      <w:u w:val="none"/>
    </w:rPr>
  </w:style>
  <w:style w:type="character" w:customStyle="1" w:styleId="font71">
    <w:name w:val="font71"/>
    <w:basedOn w:val="DefaultParagraphFont"/>
    <w:rPr>
      <w:rFonts w:ascii="Arial" w:eastAsia="宋体" w:hAnsi="Arial" w:cs="Arial"/>
      <w:i w:val="0"/>
      <w:color w:val="000000"/>
      <w:sz w:val="22"/>
      <w:szCs w:val="22"/>
      <w:u w:val="none"/>
    </w:rPr>
  </w:style>
  <w:style w:type="character" w:customStyle="1" w:styleId="font81">
    <w:name w:val="font81"/>
    <w:basedOn w:val="DefaultParagraphFont"/>
    <w:rPr>
      <w:rFonts w:ascii="宋体" w:eastAsia="宋体" w:hAnsi="宋体" w:cs="宋体" w:hint="eastAsia"/>
      <w:i w:val="0"/>
      <w:color w:val="000000"/>
      <w:sz w:val="22"/>
      <w:szCs w:val="22"/>
      <w:u w:val="none"/>
    </w:rPr>
  </w:style>
  <w:style w:type="paragraph" w:styleId="Date">
    <w:name w:val="Date"/>
    <w:basedOn w:val="Normal"/>
    <w:next w:val="Normal"/>
    <w:pPr>
      <w:ind w:left="100" w:leftChars="2500"/>
    </w:pPr>
    <w:rPr>
      <w:rFonts w:eastAsia="黑体"/>
      <w:color w:val="000000"/>
      <w:sz w:val="28"/>
    </w:rPr>
  </w:style>
  <w:style w:type="paragraph" w:styleId="TOC6">
    <w:name w:val="toc 6"/>
    <w:basedOn w:val="Normal"/>
    <w:next w:val="Normal"/>
    <w:pPr>
      <w:ind w:left="1050"/>
      <w:jc w:val="left"/>
    </w:pPr>
    <w:rPr>
      <w:sz w:val="18"/>
      <w:szCs w:val="18"/>
    </w:rPr>
  </w:style>
  <w:style w:type="paragraph" w:styleId="BodyTextIndent">
    <w:name w:val="Body Text Indent"/>
    <w:basedOn w:val="Normal"/>
    <w:pPr>
      <w:spacing w:after="120"/>
      <w:ind w:left="420" w:leftChars="200"/>
    </w:pPr>
  </w:style>
  <w:style w:type="paragraph" w:styleId="BodyTextFirstIndent">
    <w:name w:val="Body Text First Indent"/>
    <w:basedOn w:val="BodyText"/>
    <w:pPr>
      <w:ind w:firstLine="420" w:firstLineChars="100"/>
    </w:pPr>
    <w:rPr>
      <w:rFonts w:ascii="黑体" w:eastAsia="黑体"/>
      <w:sz w:val="36"/>
      <w:szCs w:val="36"/>
    </w:rPr>
  </w:style>
  <w:style w:type="paragraph" w:customStyle="1" w:styleId="reader-word-layerreader-word-s2-16">
    <w:name w:val="reader-word-layer reader-word-s2-16"/>
    <w:basedOn w:val="Normal"/>
    <w:pPr>
      <w:widowControl/>
      <w:spacing w:before="100" w:beforeAutospacing="1" w:after="100" w:afterAutospacing="1"/>
      <w:jc w:val="left"/>
    </w:pPr>
    <w:rPr>
      <w:rFonts w:ascii="宋体" w:hAnsi="宋体" w:cs="宋体"/>
      <w:kern w:val="0"/>
      <w:sz w:val="24"/>
      <w:szCs w:val="24"/>
    </w:rPr>
  </w:style>
  <w:style w:type="paragraph" w:styleId="CommentText">
    <w:name w:val="annotation text"/>
    <w:basedOn w:val="Normal"/>
    <w:semiHidden/>
    <w:pPr>
      <w:jc w:val="left"/>
    </w:pPr>
  </w:style>
  <w:style w:type="paragraph" w:styleId="BodyText2">
    <w:name w:val="Body Text 2"/>
    <w:basedOn w:val="Normal"/>
    <w:pPr>
      <w:spacing w:after="120" w:line="480" w:lineRule="auto"/>
    </w:pPr>
    <w:rPr>
      <w:szCs w:val="24"/>
    </w:rPr>
  </w:style>
  <w:style w:type="paragraph" w:customStyle="1" w:styleId="xl49">
    <w:name w:val="xl49"/>
    <w:basedOn w:val="Normal"/>
    <w:pPr>
      <w:widowControl/>
      <w:pBdr>
        <w:bottom w:val="single" w:sz="4" w:space="0" w:color="auto"/>
        <w:right w:val="single" w:sz="4" w:space="0" w:color="auto"/>
      </w:pBdr>
      <w:spacing w:before="100" w:beforeAutospacing="1" w:after="100" w:afterAutospacing="1"/>
      <w:jc w:val="right"/>
      <w:textAlignment w:val="top"/>
    </w:pPr>
    <w:rPr>
      <w:rFonts w:ascii="Arial Unicode MS" w:eastAsia="Arial Unicode MS" w:hAnsi="Arial Unicode MS" w:cs="Arial Unicode MS"/>
      <w:color w:val="FF0000"/>
      <w:kern w:val="0"/>
      <w:szCs w:val="21"/>
    </w:rPr>
  </w:style>
  <w:style w:type="paragraph" w:styleId="TOC4">
    <w:name w:val="toc 4"/>
    <w:basedOn w:val="Normal"/>
    <w:next w:val="Normal"/>
    <w:pPr>
      <w:ind w:left="630"/>
      <w:jc w:val="left"/>
    </w:pPr>
    <w:rPr>
      <w:sz w:val="18"/>
      <w:szCs w:val="18"/>
    </w:rPr>
  </w:style>
  <w:style w:type="paragraph" w:styleId="BodyText3">
    <w:name w:val="Body Text 3"/>
    <w:basedOn w:val="Normal"/>
    <w:pPr>
      <w:spacing w:after="120"/>
    </w:pPr>
    <w:rPr>
      <w:sz w:val="16"/>
      <w:szCs w:val="16"/>
    </w:rPr>
  </w:style>
  <w:style w:type="paragraph" w:styleId="BalloonText">
    <w:name w:val="Balloon Text"/>
    <w:basedOn w:val="Normal"/>
    <w:rPr>
      <w:sz w:val="18"/>
      <w:szCs w:val="18"/>
    </w:rPr>
  </w:style>
  <w:style w:type="paragraph" w:customStyle="1" w:styleId="4">
    <w:name w:val="样式4"/>
    <w:basedOn w:val="Normal"/>
    <w:next w:val="PlainText"/>
    <w:rPr>
      <w:rFonts w:ascii="宋体" w:hAnsi="Courier New"/>
      <w:sz w:val="28"/>
      <w:szCs w:val="28"/>
    </w:rPr>
  </w:style>
  <w:style w:type="paragraph" w:styleId="TOC7">
    <w:name w:val="toc 7"/>
    <w:basedOn w:val="Normal"/>
    <w:next w:val="Normal"/>
    <w:pPr>
      <w:ind w:left="1260"/>
      <w:jc w:val="left"/>
    </w:pPr>
    <w:rPr>
      <w:sz w:val="18"/>
      <w:szCs w:val="18"/>
    </w:rPr>
  </w:style>
  <w:style w:type="paragraph" w:styleId="CommentSubject">
    <w:name w:val="annotation subject"/>
    <w:basedOn w:val="CommentText"/>
    <w:next w:val="CommentText"/>
    <w:rPr>
      <w:b/>
      <w:bCs/>
    </w:rPr>
  </w:style>
  <w:style w:type="paragraph" w:styleId="DocumentMap">
    <w:name w:val="Document Map"/>
    <w:basedOn w:val="Normal"/>
    <w:pPr>
      <w:shd w:val="clear" w:color="auto" w:fill="000080"/>
    </w:pPr>
    <w:rPr>
      <w:szCs w:val="24"/>
    </w:rPr>
  </w:style>
  <w:style w:type="paragraph" w:styleId="BodyText">
    <w:name w:val="Body Text"/>
    <w:basedOn w:val="Normal"/>
    <w:pPr>
      <w:spacing w:after="120"/>
    </w:pPr>
  </w:style>
  <w:style w:type="paragraph" w:styleId="NormalIndent">
    <w:name w:val="Normal Indent"/>
    <w:basedOn w:val="Normal"/>
    <w:link w:val="Char1"/>
    <w:pPr>
      <w:ind w:firstLine="420" w:firstLineChars="200"/>
    </w:pPr>
    <w:rPr>
      <w:szCs w:val="24"/>
    </w:rPr>
  </w:style>
  <w:style w:type="paragraph" w:styleId="Caption">
    <w:name w:val="caption"/>
    <w:basedOn w:val="Normal"/>
    <w:next w:val="Normal"/>
    <w:qFormat/>
    <w:pPr>
      <w:spacing w:before="152" w:after="160"/>
    </w:pPr>
    <w:rPr>
      <w:rFonts w:ascii="Arial" w:eastAsia="黑体" w:hAnsi="Arial" w:cs="Arial"/>
      <w:sz w:val="20"/>
    </w:rPr>
  </w:style>
  <w:style w:type="paragraph" w:customStyle="1" w:styleId="CharCharCharCharCharCharChar">
    <w:name w:val=" Char Char Char Char Char Char Char"/>
    <w:basedOn w:val="Normal"/>
    <w:rPr>
      <w:sz w:val="24"/>
      <w:szCs w:val="24"/>
    </w:rPr>
  </w:style>
  <w:style w:type="paragraph" w:styleId="TOC1">
    <w:name w:val="toc 1"/>
    <w:basedOn w:val="Normal"/>
    <w:next w:val="Normal"/>
    <w:pPr>
      <w:jc w:val="right"/>
    </w:pPr>
    <w:rPr>
      <w:rFonts w:eastAsia="黑体"/>
      <w:bCs/>
      <w:caps/>
      <w:sz w:val="28"/>
      <w:szCs w:val="21"/>
    </w:rPr>
  </w:style>
  <w:style w:type="paragraph" w:styleId="Footer">
    <w:name w:val="footer"/>
    <w:basedOn w:val="Normal"/>
    <w:link w:val="Char0"/>
    <w:pPr>
      <w:tabs>
        <w:tab w:val="center" w:pos="4153"/>
        <w:tab w:val="right" w:pos="8306"/>
      </w:tabs>
      <w:snapToGrid w:val="0"/>
      <w:jc w:val="left"/>
    </w:pPr>
    <w:rPr>
      <w:sz w:val="18"/>
      <w:szCs w:val="18"/>
    </w:rPr>
  </w:style>
  <w:style w:type="paragraph" w:styleId="BodyTextIndent3">
    <w:name w:val="Body Text Indent 3"/>
    <w:basedOn w:val="Normal"/>
    <w:pPr>
      <w:spacing w:after="120"/>
      <w:ind w:left="420" w:leftChars="200"/>
    </w:pPr>
    <w:rPr>
      <w:sz w:val="16"/>
      <w:szCs w:val="16"/>
    </w:rPr>
  </w:style>
  <w:style w:type="paragraph" w:customStyle="1" w:styleId="a">
    <w:name w:val="表字"/>
    <w:basedOn w:val="a0"/>
    <w:pPr>
      <w:spacing w:before="0" w:after="0" w:line="320" w:lineRule="exact"/>
    </w:pPr>
  </w:style>
  <w:style w:type="paragraph" w:styleId="BodyTextIndent2">
    <w:name w:val="Body Text Indent 2"/>
    <w:basedOn w:val="Normal"/>
    <w:pPr>
      <w:spacing w:before="60" w:line="300" w:lineRule="auto"/>
      <w:ind w:firstLine="480"/>
    </w:pPr>
    <w:rPr>
      <w:rFonts w:ascii="宋体" w:hAnsi="宋体"/>
    </w:rPr>
  </w:style>
  <w:style w:type="paragraph" w:styleId="TOC5">
    <w:name w:val="toc 5"/>
    <w:basedOn w:val="Normal"/>
    <w:next w:val="Normal"/>
    <w:pPr>
      <w:ind w:left="840"/>
      <w:jc w:val="left"/>
    </w:pPr>
    <w:rPr>
      <w:sz w:val="18"/>
      <w:szCs w:val="18"/>
    </w:rPr>
  </w:style>
  <w:style w:type="paragraph" w:customStyle="1" w:styleId="fr">
    <w:name w:val="fr"/>
    <w:basedOn w:val="Normal"/>
    <w:pPr>
      <w:widowControl/>
      <w:spacing w:before="100" w:beforeAutospacing="1" w:after="100" w:afterAutospacing="1"/>
      <w:jc w:val="left"/>
    </w:pPr>
    <w:rPr>
      <w:rFonts w:ascii="宋体" w:hAnsi="宋体" w:cs="宋体"/>
      <w:kern w:val="0"/>
      <w:sz w:val="24"/>
      <w:szCs w:val="24"/>
    </w:rPr>
  </w:style>
  <w:style w:type="paragraph" w:styleId="NormalWeb">
    <w:name w:val="Normal (Web)"/>
    <w:basedOn w:val="Normal"/>
    <w:pPr>
      <w:widowControl/>
      <w:spacing w:before="100" w:beforeAutospacing="1" w:after="100" w:afterAutospacing="1"/>
      <w:jc w:val="left"/>
    </w:pPr>
    <w:rPr>
      <w:rFonts w:ascii="宋体" w:hAnsi="宋体" w:cs="宋体"/>
      <w:color w:val="000000"/>
      <w:kern w:val="0"/>
      <w:sz w:val="24"/>
      <w:szCs w:val="24"/>
    </w:rPr>
  </w:style>
  <w:style w:type="paragraph" w:customStyle="1" w:styleId="reader-word-layerreader-word-s2-19">
    <w:name w:val="reader-word-layer reader-word-s2-19"/>
    <w:basedOn w:val="Normal"/>
    <w:pPr>
      <w:widowControl/>
      <w:spacing w:before="100" w:beforeAutospacing="1" w:after="100" w:afterAutospacing="1"/>
      <w:jc w:val="left"/>
    </w:pPr>
    <w:rPr>
      <w:rFonts w:ascii="宋体" w:hAnsi="宋体" w:cs="宋体"/>
      <w:kern w:val="0"/>
      <w:sz w:val="24"/>
      <w:szCs w:val="24"/>
    </w:rPr>
  </w:style>
  <w:style w:type="paragraph" w:customStyle="1" w:styleId="a0">
    <w:name w:val="图名"/>
    <w:basedOn w:val="Normal"/>
    <w:pPr>
      <w:adjustRightInd w:val="0"/>
      <w:snapToGrid w:val="0"/>
      <w:spacing w:before="120" w:after="120" w:line="360" w:lineRule="auto"/>
      <w:jc w:val="center"/>
    </w:pPr>
    <w:rPr>
      <w:rFonts w:eastAsia="仿宋_GB2312"/>
      <w:sz w:val="24"/>
      <w:szCs w:val="28"/>
    </w:rPr>
  </w:style>
  <w:style w:type="paragraph" w:styleId="TOC3">
    <w:name w:val="toc 3"/>
    <w:basedOn w:val="Normal"/>
    <w:next w:val="Normal"/>
    <w:pPr>
      <w:tabs>
        <w:tab w:val="right" w:leader="dot" w:pos="8302"/>
      </w:tabs>
      <w:ind w:left="840" w:leftChars="400"/>
    </w:pPr>
    <w:rPr>
      <w:sz w:val="24"/>
      <w:szCs w:val="24"/>
    </w:rPr>
  </w:style>
  <w:style w:type="paragraph" w:styleId="TOC9">
    <w:name w:val="toc 9"/>
    <w:basedOn w:val="Normal"/>
    <w:next w:val="Normal"/>
    <w:pPr>
      <w:ind w:left="1680"/>
      <w:jc w:val="left"/>
    </w:pPr>
    <w:rPr>
      <w:sz w:val="18"/>
      <w:szCs w:val="18"/>
    </w:rPr>
  </w:style>
  <w:style w:type="paragraph" w:styleId="PlainText">
    <w:name w:val="Plain Text"/>
    <w:basedOn w:val="Normal"/>
    <w:rPr>
      <w:rFonts w:ascii="宋体" w:hAnsi="Courier New" w:cs="Courier New"/>
      <w:szCs w:val="21"/>
    </w:rPr>
  </w:style>
  <w:style w:type="paragraph" w:styleId="TOC2">
    <w:name w:val="toc 2"/>
    <w:basedOn w:val="Normal"/>
    <w:next w:val="Normal"/>
    <w:pPr>
      <w:tabs>
        <w:tab w:val="right" w:leader="dot" w:pos="8550"/>
      </w:tabs>
      <w:ind w:left="420" w:leftChars="200"/>
      <w:jc w:val="right"/>
    </w:pPr>
    <w:rPr>
      <w:b/>
      <w:sz w:val="28"/>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szCs w:val="24"/>
    </w:rPr>
  </w:style>
  <w:style w:type="paragraph" w:styleId="TOC8">
    <w:name w:val="toc 8"/>
    <w:basedOn w:val="Normal"/>
    <w:next w:val="Normal"/>
    <w:pPr>
      <w:ind w:left="1470"/>
      <w:jc w:val="left"/>
    </w:pPr>
    <w:rPr>
      <w:sz w:val="18"/>
      <w:szCs w:val="18"/>
    </w:rPr>
  </w:style>
  <w:style w:type="paragraph" w:styleId="Header">
    <w:name w:val="header"/>
    <w:basedOn w:val="Normal"/>
    <w:link w:val="Char2"/>
    <w:pPr>
      <w:pBdr>
        <w:bottom w:val="single" w:sz="6" w:space="1" w:color="auto"/>
      </w:pBdr>
      <w:tabs>
        <w:tab w:val="center" w:pos="4153"/>
        <w:tab w:val="right" w:pos="8306"/>
      </w:tabs>
      <w:snapToGrid w:val="0"/>
      <w:jc w:val="center"/>
    </w:pPr>
    <w:rPr>
      <w:sz w:val="18"/>
      <w:szCs w:val="18"/>
    </w:rPr>
  </w:style>
  <w:style w:type="paragraph" w:customStyle="1" w:styleId="Style11">
    <w:name w:val="Style11"/>
    <w:basedOn w:val="Normal"/>
    <w:pPr>
      <w:adjustRightInd w:val="0"/>
      <w:jc w:val="left"/>
    </w:pPr>
    <w:rPr>
      <w:rFonts w:ascii="宋体"/>
      <w:kern w:val="0"/>
      <w:sz w:val="24"/>
      <w:szCs w:val="24"/>
    </w:rPr>
  </w:style>
  <w:style w:type="paragraph" w:customStyle="1" w:styleId="1">
    <w:name w:val="样式1"/>
    <w:basedOn w:val="Normal"/>
  </w:style>
  <w:style w:type="paragraph" w:customStyle="1" w:styleId="a1">
    <w:name w:val="地理段落"/>
    <w:basedOn w:val="Normal"/>
    <w:link w:val="CharChar"/>
    <w:pPr>
      <w:adjustRightInd w:val="0"/>
      <w:snapToGrid w:val="0"/>
      <w:spacing w:line="360" w:lineRule="auto"/>
      <w:ind w:firstLine="200" w:firstLineChars="200"/>
    </w:pPr>
    <w:rPr>
      <w:rFonts w:ascii="仿宋_GB2312" w:eastAsia="仿宋_GB2312"/>
      <w:sz w:val="28"/>
      <w:szCs w:val="28"/>
    </w:rPr>
  </w:style>
  <w:style w:type="paragraph" w:customStyle="1" w:styleId="newscontl">
    <w:name w:val="newscontl"/>
    <w:basedOn w:val="Normal"/>
    <w:pPr>
      <w:widowControl/>
      <w:spacing w:before="100" w:beforeAutospacing="1" w:after="100" w:afterAutospacing="1"/>
      <w:jc w:val="left"/>
    </w:pPr>
    <w:rPr>
      <w:rFonts w:ascii="宋体" w:hAnsi="宋体" w:cs="宋体"/>
      <w:color w:val="000000"/>
      <w:kern w:val="0"/>
      <w:sz w:val="24"/>
      <w:szCs w:val="24"/>
    </w:rPr>
  </w:style>
  <w:style w:type="paragraph" w:customStyle="1" w:styleId="Style17">
    <w:name w:val="Style17"/>
    <w:basedOn w:val="Normal"/>
    <w:pPr>
      <w:adjustRightInd w:val="0"/>
      <w:jc w:val="left"/>
    </w:pPr>
    <w:rPr>
      <w:rFonts w:ascii="宋体"/>
      <w:kern w:val="0"/>
      <w:sz w:val="24"/>
      <w:szCs w:val="24"/>
    </w:rPr>
  </w:style>
  <w:style w:type="paragraph" w:customStyle="1" w:styleId="Style15">
    <w:name w:val="Style15"/>
    <w:basedOn w:val="Normal"/>
    <w:pPr>
      <w:adjustRightInd w:val="0"/>
      <w:jc w:val="left"/>
    </w:pPr>
    <w:rPr>
      <w:rFonts w:ascii="宋体"/>
      <w:kern w:val="0"/>
      <w:sz w:val="24"/>
      <w:szCs w:val="24"/>
    </w:rPr>
  </w:style>
  <w:style w:type="paragraph" w:customStyle="1" w:styleId="xl25">
    <w:name w:val="xl25"/>
    <w:basedOn w:val="Normal"/>
    <w:pPr>
      <w:widowControl/>
      <w:pBdr>
        <w:left w:val="single" w:sz="4" w:space="0" w:color="auto"/>
        <w:bottom w:val="single" w:sz="4" w:space="0" w:color="auto"/>
        <w:right w:val="single" w:sz="4" w:space="0" w:color="auto"/>
      </w:pBdr>
      <w:spacing w:before="100" w:beforeAutospacing="1" w:after="100" w:afterAutospacing="1"/>
      <w:textAlignment w:val="top"/>
    </w:pPr>
    <w:rPr>
      <w:kern w:val="0"/>
      <w:szCs w:val="21"/>
    </w:rPr>
  </w:style>
  <w:style w:type="paragraph" w:customStyle="1" w:styleId="font0">
    <w:name w:val="font0"/>
    <w:basedOn w:val="Normal"/>
    <w:pPr>
      <w:widowControl/>
      <w:spacing w:before="100" w:after="100"/>
      <w:jc w:val="left"/>
    </w:pPr>
    <w:rPr>
      <w:rFonts w:ascii="宋体" w:hAnsi="宋体"/>
      <w:kern w:val="0"/>
      <w:sz w:val="24"/>
    </w:rPr>
  </w:style>
  <w:style w:type="paragraph" w:customStyle="1" w:styleId="xl30">
    <w:name w:val="xl30"/>
    <w:basedOn w:val="Normal"/>
    <w:pPr>
      <w:widowControl/>
      <w:pBdr>
        <w:bottom w:val="single" w:sz="4" w:space="0" w:color="auto"/>
        <w:right w:val="single" w:sz="4" w:space="0" w:color="auto"/>
      </w:pBdr>
      <w:spacing w:before="100" w:beforeAutospacing="1" w:after="100" w:afterAutospacing="1"/>
      <w:textAlignment w:val="top"/>
    </w:pPr>
    <w:rPr>
      <w:rFonts w:eastAsia="Arial Unicode MS"/>
      <w:kern w:val="0"/>
      <w:szCs w:val="21"/>
    </w:rPr>
  </w:style>
  <w:style w:type="paragraph" w:customStyle="1" w:styleId="font3">
    <w:name w:val="font3"/>
    <w:basedOn w:val="Normal"/>
    <w:pPr>
      <w:widowControl/>
      <w:spacing w:before="100" w:beforeAutospacing="1" w:after="100" w:afterAutospacing="1"/>
      <w:jc w:val="left"/>
    </w:pPr>
    <w:rPr>
      <w:rFonts w:ascii="黑体" w:eastAsia="黑体" w:hAnsi="宋体" w:hint="eastAsia"/>
      <w:kern w:val="0"/>
      <w:sz w:val="22"/>
      <w:szCs w:val="22"/>
    </w:rPr>
  </w:style>
  <w:style w:type="paragraph" w:customStyle="1" w:styleId="style24">
    <w:name w:val="style24"/>
    <w:basedOn w:val="Normal"/>
    <w:pPr>
      <w:widowControl/>
      <w:spacing w:before="100" w:beforeAutospacing="1" w:after="100" w:afterAutospacing="1"/>
      <w:jc w:val="left"/>
    </w:pPr>
    <w:rPr>
      <w:rFonts w:ascii="宋体" w:hAnsi="宋体" w:cs="宋体"/>
      <w:kern w:val="0"/>
      <w:sz w:val="28"/>
      <w:szCs w:val="28"/>
    </w:rPr>
  </w:style>
  <w:style w:type="paragraph" w:customStyle="1" w:styleId="Char1CharCharChar">
    <w:name w:val=" Char1 Char Char Char"/>
    <w:basedOn w:val="Normal"/>
    <w:pPr>
      <w:widowControl/>
      <w:spacing w:after="160" w:line="240" w:lineRule="exact"/>
      <w:jc w:val="left"/>
    </w:pPr>
    <w:rPr>
      <w:rFonts w:ascii="Arial" w:eastAsia="Times New Roman" w:hAnsi="Arial" w:cs="Verdana"/>
      <w:b/>
      <w:kern w:val="0"/>
      <w:sz w:val="24"/>
      <w:lang w:eastAsia="en-US"/>
    </w:rPr>
  </w:style>
  <w:style w:type="paragraph" w:customStyle="1" w:styleId="Style16">
    <w:name w:val="Style16"/>
    <w:basedOn w:val="Normal"/>
    <w:pPr>
      <w:adjustRightInd w:val="0"/>
      <w:jc w:val="left"/>
    </w:pPr>
    <w:rPr>
      <w:rFonts w:ascii="宋体"/>
      <w:kern w:val="0"/>
      <w:sz w:val="24"/>
      <w:szCs w:val="24"/>
    </w:rPr>
  </w:style>
  <w:style w:type="paragraph" w:customStyle="1" w:styleId="Style12">
    <w:name w:val="Style12"/>
    <w:basedOn w:val="Normal"/>
    <w:pPr>
      <w:adjustRightInd w:val="0"/>
      <w:spacing w:line="319" w:lineRule="exact"/>
      <w:ind w:firstLine="398"/>
    </w:pPr>
    <w:rPr>
      <w:rFonts w:ascii="宋体"/>
      <w:kern w:val="0"/>
      <w:sz w:val="24"/>
      <w:szCs w:val="24"/>
    </w:rPr>
  </w:style>
  <w:style w:type="paragraph" w:customStyle="1" w:styleId="Style13">
    <w:name w:val="Style13"/>
    <w:basedOn w:val="Normal"/>
    <w:pPr>
      <w:adjustRightInd w:val="0"/>
      <w:spacing w:line="318" w:lineRule="exact"/>
      <w:jc w:val="left"/>
    </w:pPr>
    <w:rPr>
      <w:rFonts w:ascii="宋体"/>
      <w:kern w:val="0"/>
      <w:sz w:val="24"/>
      <w:szCs w:val="24"/>
    </w:rPr>
  </w:style>
  <w:style w:type="paragraph" w:customStyle="1" w:styleId="CharCharCharChar">
    <w:name w:val=" Char Char Char Char"/>
    <w:basedOn w:val="Normal"/>
    <w:pPr>
      <w:adjustRightInd w:val="0"/>
      <w:snapToGrid w:val="0"/>
    </w:pPr>
    <w:rPr>
      <w:sz w:val="24"/>
      <w:szCs w:val="21"/>
    </w:rPr>
  </w:style>
  <w:style w:type="paragraph" w:customStyle="1" w:styleId="unnamed3">
    <w:name w:val="unnamed3"/>
    <w:basedOn w:val="Normal"/>
    <w:pPr>
      <w:widowControl/>
      <w:spacing w:before="100" w:beforeAutospacing="1" w:after="100" w:afterAutospacing="1"/>
      <w:jc w:val="left"/>
    </w:pPr>
    <w:rPr>
      <w:rFonts w:ascii="宋体" w:hAnsi="宋体" w:cs="宋体"/>
      <w:kern w:val="0"/>
      <w:sz w:val="24"/>
      <w:szCs w:val="24"/>
    </w:rPr>
  </w:style>
  <w:style w:type="paragraph" w:customStyle="1" w:styleId="Style10">
    <w:name w:val="Style10"/>
    <w:basedOn w:val="Normal"/>
    <w:pPr>
      <w:adjustRightInd w:val="0"/>
      <w:jc w:val="left"/>
    </w:pPr>
    <w:rPr>
      <w:rFonts w:ascii="宋体"/>
      <w:kern w:val="0"/>
      <w:sz w:val="24"/>
      <w:szCs w:val="24"/>
    </w:rPr>
  </w:style>
  <w:style w:type="paragraph" w:customStyle="1" w:styleId="Style18">
    <w:name w:val="Style18"/>
    <w:basedOn w:val="Normal"/>
    <w:pPr>
      <w:adjustRightInd w:val="0"/>
      <w:spacing w:line="315" w:lineRule="exact"/>
    </w:pPr>
    <w:rPr>
      <w:rFonts w:ascii="宋体"/>
      <w:kern w:val="0"/>
      <w:sz w:val="24"/>
      <w:szCs w:val="24"/>
    </w:rPr>
  </w:style>
  <w:style w:type="paragraph" w:customStyle="1" w:styleId="Style22">
    <w:name w:val="Style22"/>
    <w:basedOn w:val="Normal"/>
    <w:pPr>
      <w:adjustRightInd w:val="0"/>
      <w:jc w:val="left"/>
    </w:pPr>
    <w:rPr>
      <w:rFonts w:ascii="宋体"/>
      <w:kern w:val="0"/>
      <w:sz w:val="24"/>
      <w:szCs w:val="24"/>
    </w:rPr>
  </w:style>
  <w:style w:type="paragraph" w:customStyle="1" w:styleId="a2">
    <w:name w:val="图件头"/>
    <w:basedOn w:val="Normal"/>
    <w:pPr>
      <w:spacing w:line="360" w:lineRule="auto"/>
    </w:pPr>
    <w:rPr>
      <w:b/>
      <w:bCs/>
      <w:sz w:val="24"/>
      <w:szCs w:val="24"/>
    </w:rPr>
  </w:style>
  <w:style w:type="paragraph" w:customStyle="1" w:styleId="Style2">
    <w:name w:val="Style2"/>
    <w:basedOn w:val="Normal"/>
    <w:pPr>
      <w:adjustRightInd w:val="0"/>
      <w:jc w:val="left"/>
    </w:pPr>
    <w:rPr>
      <w:rFonts w:ascii="宋体"/>
      <w:kern w:val="0"/>
      <w:sz w:val="24"/>
      <w:szCs w:val="24"/>
    </w:rPr>
  </w:style>
  <w:style w:type="paragraph" w:customStyle="1" w:styleId="31">
    <w:name w:val="目录 31"/>
    <w:basedOn w:val="Normal"/>
    <w:next w:val="Normal"/>
    <w:pPr>
      <w:ind w:left="840" w:leftChars="400"/>
    </w:pPr>
  </w:style>
  <w:style w:type="paragraph" w:customStyle="1" w:styleId="2">
    <w:name w:val="样式 首行缩进:  2 字符"/>
    <w:basedOn w:val="Normal"/>
    <w:pPr>
      <w:spacing w:line="360" w:lineRule="auto"/>
      <w:ind w:firstLine="200" w:firstLineChars="200"/>
    </w:pPr>
    <w:rPr>
      <w:rFonts w:cs="宋体"/>
      <w:sz w:val="28"/>
    </w:rPr>
  </w:style>
  <w:style w:type="paragraph" w:customStyle="1" w:styleId="PlainText1">
    <w:name w:val="Plain Text1"/>
    <w:basedOn w:val="Normal"/>
    <w:pPr>
      <w:adjustRightInd w:val="0"/>
      <w:textAlignment w:val="baseline"/>
    </w:pPr>
    <w:rPr>
      <w:rFonts w:ascii="宋体" w:hAnsi="Courier New"/>
      <w:szCs w:val="21"/>
    </w:rPr>
  </w:style>
  <w:style w:type="paragraph" w:customStyle="1" w:styleId="unnamed31">
    <w:name w:val="unnamed31"/>
    <w:basedOn w:val="Normal"/>
    <w:pPr>
      <w:widowControl/>
      <w:spacing w:before="100" w:beforeAutospacing="1" w:after="100" w:afterAutospacing="1"/>
      <w:jc w:val="left"/>
    </w:pPr>
    <w:rPr>
      <w:rFonts w:ascii="宋体" w:hAnsi="宋体" w:cs="宋体"/>
      <w:kern w:val="0"/>
      <w:sz w:val="24"/>
      <w:szCs w:val="24"/>
    </w:rPr>
  </w:style>
  <w:style w:type="paragraph" w:customStyle="1" w:styleId="Style21">
    <w:name w:val="Style21"/>
    <w:basedOn w:val="Normal"/>
    <w:pPr>
      <w:adjustRightInd w:val="0"/>
      <w:jc w:val="left"/>
    </w:pPr>
    <w:rPr>
      <w:rFonts w:ascii="宋体"/>
      <w:kern w:val="0"/>
      <w:sz w:val="24"/>
      <w:szCs w:val="24"/>
    </w:rPr>
  </w:style>
  <w:style w:type="paragraph" w:customStyle="1" w:styleId="Style240">
    <w:name w:val="Style24"/>
    <w:basedOn w:val="Normal"/>
    <w:pPr>
      <w:adjustRightInd w:val="0"/>
      <w:jc w:val="left"/>
    </w:pPr>
    <w:rPr>
      <w:rFonts w:ascii="宋体"/>
      <w:kern w:val="0"/>
      <w:sz w:val="24"/>
      <w:szCs w:val="24"/>
    </w:rPr>
  </w:style>
  <w:style w:type="paragraph" w:customStyle="1" w:styleId="Date0">
    <w:name w:val="Date"/>
    <w:basedOn w:val="Normal"/>
    <w:next w:val="Normal"/>
    <w:pPr>
      <w:adjustRightInd w:val="0"/>
      <w:textAlignment w:val="baseline"/>
    </w:pPr>
    <w:rPr>
      <w:rFonts w:ascii="宋体" w:hAnsi="Courier New"/>
      <w:sz w:val="28"/>
    </w:rPr>
  </w:style>
  <w:style w:type="paragraph" w:customStyle="1" w:styleId="PlainText0">
    <w:name w:val="Plain Text"/>
    <w:basedOn w:val="Normal"/>
    <w:pPr>
      <w:adjustRightInd w:val="0"/>
      <w:textAlignment w:val="baseline"/>
    </w:pPr>
    <w:rPr>
      <w:rFonts w:ascii="宋体" w:hAnsi="Courier New"/>
    </w:rPr>
  </w:style>
  <w:style w:type="paragraph" w:customStyle="1" w:styleId="CharCharCharCharCharCharCharCharChar1CharCharCharChar">
    <w:name w:val=" Char Char Char Char Char Char Char Char Char1 Char Char Char Char"/>
    <w:basedOn w:val="Normal"/>
    <w:pPr>
      <w:adjustRightInd w:val="0"/>
      <w:spacing w:line="360" w:lineRule="auto"/>
    </w:pPr>
    <w:rPr>
      <w:kern w:val="0"/>
      <w:sz w:val="24"/>
    </w:rPr>
  </w:style>
  <w:style w:type="paragraph" w:customStyle="1" w:styleId="xl28">
    <w:name w:val="xl28"/>
    <w:basedOn w:val="Normal"/>
    <w:pPr>
      <w:widowControl/>
      <w:pBdr>
        <w:left w:val="single" w:sz="4" w:space="0" w:color="auto"/>
        <w:bottom w:val="single" w:sz="4" w:space="0" w:color="auto"/>
        <w:right w:val="single" w:sz="4" w:space="0" w:color="auto"/>
      </w:pBdr>
      <w:spacing w:before="100" w:beforeAutospacing="1" w:after="100" w:afterAutospacing="1"/>
      <w:textAlignment w:val="top"/>
    </w:pPr>
    <w:rPr>
      <w:rFonts w:eastAsia="Arial Unicode MS"/>
      <w:b/>
      <w:bCs/>
      <w:kern w:val="0"/>
      <w:szCs w:val="21"/>
    </w:rPr>
  </w:style>
  <w:style w:type="paragraph" w:customStyle="1" w:styleId="xl34">
    <w:name w:val="xl34"/>
    <w:basedOn w:val="Normal"/>
    <w:pPr>
      <w:widowControl/>
      <w:pBdr>
        <w:bottom w:val="single" w:sz="4" w:space="0" w:color="auto"/>
        <w:right w:val="single" w:sz="4" w:space="0" w:color="auto"/>
      </w:pBdr>
      <w:spacing w:before="100" w:beforeAutospacing="1" w:after="100" w:afterAutospacing="1"/>
      <w:jc w:val="right"/>
      <w:textAlignment w:val="top"/>
    </w:pPr>
    <w:rPr>
      <w:rFonts w:eastAsia="Arial Unicode MS"/>
      <w:kern w:val="0"/>
      <w:szCs w:val="21"/>
    </w:rPr>
  </w:style>
  <w:style w:type="paragraph" w:customStyle="1" w:styleId="a3">
    <w:name w:val="表格文字"/>
    <w:basedOn w:val="Normal"/>
    <w:pPr>
      <w:autoSpaceDE w:val="0"/>
      <w:autoSpaceDN w:val="0"/>
      <w:adjustRightInd w:val="0"/>
      <w:spacing w:before="60" w:after="60"/>
      <w:jc w:val="center"/>
      <w:textAlignment w:val="bottom"/>
    </w:pPr>
    <w:rPr>
      <w:rFonts w:eastAsia="仿宋_GB2312"/>
      <w:kern w:val="0"/>
      <w:sz w:val="24"/>
    </w:rPr>
  </w:style>
  <w:style w:type="paragraph" w:customStyle="1" w:styleId="10">
    <w:name w:val="地理标题1"/>
    <w:basedOn w:val="Normal"/>
    <w:pPr>
      <w:adjustRightInd w:val="0"/>
      <w:snapToGrid w:val="0"/>
      <w:spacing w:line="360" w:lineRule="auto"/>
      <w:ind w:firstLine="200" w:firstLineChars="200"/>
    </w:pPr>
    <w:rPr>
      <w:rFonts w:ascii="仿宋_GB2312" w:eastAsia="仿宋_GB2312"/>
      <w:b/>
      <w:sz w:val="28"/>
      <w:szCs w:val="28"/>
    </w:rPr>
  </w:style>
  <w:style w:type="paragraph" w:customStyle="1" w:styleId="20">
    <w:name w:val="样式2"/>
    <w:basedOn w:val="Normal"/>
    <w:next w:val="PlainText"/>
    <w:rPr>
      <w:rFonts w:ascii="宋体" w:hAnsi="Courier New"/>
      <w:sz w:val="28"/>
      <w:szCs w:val="28"/>
    </w:rPr>
  </w:style>
  <w:style w:type="paragraph" w:customStyle="1" w:styleId="11">
    <w:name w:val="1"/>
    <w:basedOn w:val="Normal"/>
    <w:next w:val="BodyText"/>
    <w:pPr>
      <w:jc w:val="center"/>
    </w:pPr>
  </w:style>
  <w:style w:type="paragraph" w:customStyle="1" w:styleId="Default">
    <w:name w:val="Default"/>
    <w:pPr>
      <w:widowControl w:val="0"/>
      <w:autoSpaceDE w:val="0"/>
      <w:autoSpaceDN w:val="0"/>
      <w:adjustRightInd w:val="0"/>
    </w:pPr>
    <w:rPr>
      <w:rFonts w:ascii="华文细黑" w:eastAsia="华文细黑" w:cs="华文细黑"/>
      <w:color w:val="000000"/>
      <w:sz w:val="24"/>
      <w:szCs w:val="24"/>
      <w:lang w:val="en-US" w:eastAsia="zh-CN" w:bidi="ar-SA"/>
    </w:rPr>
  </w:style>
  <w:style w:type="paragraph" w:customStyle="1" w:styleId="a4">
    <w:name w:val="列出段落"/>
    <w:basedOn w:val="Normal"/>
    <w:pPr>
      <w:ind w:firstLine="420" w:firstLineChars="200"/>
    </w:pPr>
    <w:rPr>
      <w:rFonts w:ascii="Calibri" w:hAnsi="Calibri"/>
      <w:szCs w:val="22"/>
    </w:rPr>
  </w:style>
  <w:style w:type="paragraph" w:customStyle="1" w:styleId="CharCharCharCharCharCharCharCharCharCharCharCharChar">
    <w:name w:val=" Char Char Char Char Char Char Char Char Char Char Char Char Char"/>
    <w:basedOn w:val="Normal"/>
    <w:pPr>
      <w:widowControl/>
      <w:spacing w:after="160" w:line="240" w:lineRule="exact"/>
      <w:jc w:val="left"/>
    </w:pPr>
    <w:rPr>
      <w:rFonts w:ascii="Arial" w:eastAsia="Times New Roman" w:hAnsi="Arial" w:cs="Verdana"/>
      <w:b/>
      <w:kern w:val="0"/>
      <w:sz w:val="24"/>
      <w:lang w:eastAsia="en-US"/>
    </w:rPr>
  </w:style>
  <w:style w:type="paragraph" w:customStyle="1" w:styleId="Textopredeterminado">
    <w:name w:val="Texto predeterminado"/>
    <w:basedOn w:val="Normal"/>
    <w:pPr>
      <w:widowControl/>
      <w:spacing w:line="240" w:lineRule="atLeast"/>
      <w:jc w:val="left"/>
    </w:pPr>
    <w:rPr>
      <w:kern w:val="0"/>
      <w:sz w:val="24"/>
      <w:lang w:val="es-ES_tradnl"/>
    </w:rPr>
  </w:style>
  <w:style w:type="paragraph" w:customStyle="1" w:styleId="ParaChar">
    <w:name w:val="默认段落字体 Para Char"/>
    <w:basedOn w:val="Normal"/>
    <w:next w:val="Normal"/>
    <w:rPr>
      <w:szCs w:val="24"/>
    </w:rPr>
  </w:style>
  <w:style w:type="paragraph" w:customStyle="1" w:styleId="CharChar1Char">
    <w:name w:val=" Char Char1 Char"/>
    <w:basedOn w:val="Normal"/>
    <w:pPr>
      <w:widowControl/>
      <w:spacing w:after="160" w:line="240" w:lineRule="exact"/>
      <w:jc w:val="left"/>
    </w:pPr>
    <w:rPr>
      <w:rFonts w:ascii="Arial" w:eastAsia="Times New Roman" w:hAnsi="Arial" w:cs="Verdana"/>
      <w:b/>
      <w:kern w:val="0"/>
      <w:sz w:val="24"/>
      <w:lang w:eastAsia="en-US"/>
    </w:rPr>
  </w:style>
  <w:style w:type="paragraph" w:customStyle="1" w:styleId="fl">
    <w:name w:val="fl"/>
    <w:basedOn w:val="Normal"/>
    <w:pPr>
      <w:widowControl/>
      <w:spacing w:before="100" w:beforeAutospacing="1" w:after="100" w:afterAutospacing="1"/>
      <w:jc w:val="left"/>
    </w:pPr>
    <w:rPr>
      <w:rFonts w:ascii="宋体" w:hAnsi="宋体" w:cs="宋体"/>
      <w:kern w:val="0"/>
      <w:sz w:val="24"/>
      <w:szCs w:val="24"/>
    </w:rPr>
  </w:style>
  <w:style w:type="paragraph" w:customStyle="1" w:styleId="reader-word-layerreader-word-s2-23">
    <w:name w:val="reader-word-layer reader-word-s2-23"/>
    <w:basedOn w:val="Normal"/>
    <w:pPr>
      <w:widowControl/>
      <w:spacing w:before="100" w:beforeAutospacing="1" w:after="100" w:afterAutospacing="1"/>
      <w:jc w:val="left"/>
    </w:pPr>
    <w:rPr>
      <w:rFonts w:ascii="宋体" w:hAnsi="宋体" w:cs="宋体"/>
      <w:kern w:val="0"/>
      <w:sz w:val="24"/>
      <w:szCs w:val="24"/>
    </w:rPr>
  </w:style>
  <w:style w:type="paragraph" w:customStyle="1" w:styleId="reader-word-layerreader-word-s2-22">
    <w:name w:val="reader-word-layer reader-word-s2-22"/>
    <w:basedOn w:val="Normal"/>
    <w:pPr>
      <w:widowControl/>
      <w:spacing w:before="100" w:beforeAutospacing="1" w:after="100" w:afterAutospacing="1"/>
      <w:jc w:val="left"/>
    </w:pPr>
    <w:rPr>
      <w:rFonts w:ascii="宋体" w:hAnsi="宋体" w:cs="宋体"/>
      <w:kern w:val="0"/>
      <w:sz w:val="24"/>
      <w:szCs w:val="24"/>
    </w:rPr>
  </w:style>
  <w:style w:type="paragraph" w:customStyle="1" w:styleId="reader-word-layerreader-word-s2-25">
    <w:name w:val="reader-word-layer reader-word-s2-25"/>
    <w:basedOn w:val="Normal"/>
    <w:pPr>
      <w:widowControl/>
      <w:spacing w:before="100" w:beforeAutospacing="1" w:after="100" w:afterAutospacing="1"/>
      <w:jc w:val="left"/>
    </w:pPr>
    <w:rPr>
      <w:rFonts w:ascii="宋体" w:hAnsi="宋体" w:cs="宋体"/>
      <w:kern w:val="0"/>
      <w:sz w:val="24"/>
      <w:szCs w:val="24"/>
    </w:rPr>
  </w:style>
  <w:style w:type="paragraph" w:customStyle="1" w:styleId="reader-word-layerreader-word-s2-21">
    <w:name w:val="reader-word-layer reader-word-s2-21"/>
    <w:basedOn w:val="Normal"/>
    <w:pPr>
      <w:widowControl/>
      <w:spacing w:before="100" w:beforeAutospacing="1" w:after="100" w:afterAutospacing="1"/>
      <w:jc w:val="left"/>
    </w:pPr>
    <w:rPr>
      <w:rFonts w:ascii="宋体" w:hAnsi="宋体" w:cs="宋体"/>
      <w:kern w:val="0"/>
      <w:sz w:val="24"/>
      <w:szCs w:val="24"/>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szCs w:val="24"/>
    </w:rPr>
  </w:style>
  <w:style w:type="paragraph" w:customStyle="1" w:styleId="21">
    <w:name w:val="列出段落2"/>
    <w:basedOn w:val="Normal"/>
    <w:pPr>
      <w:ind w:firstLine="420" w:firstLineChars="200"/>
    </w:pPr>
    <w:rPr>
      <w:rFonts w:ascii="Calibri" w:hAnsi="Calibri" w:cs="黑体"/>
      <w:szCs w:val="22"/>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7">
    <w:name w:val="p17"/>
    <w:basedOn w:val="Normal"/>
    <w:rsid w:val="00337093"/>
    <w:pPr>
      <w:widowControl/>
      <w:pBdr>
        <w:bottom w:val="single" w:sz="6" w:space="1" w:color="000000"/>
      </w:pBdr>
      <w:jc w:val="center"/>
    </w:pPr>
    <w:rPr>
      <w:kern w:val="0"/>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7.xml" /><Relationship Id="rId100" Type="http://schemas.openxmlformats.org/officeDocument/2006/relationships/header" Target="header53.xml" /><Relationship Id="rId101" Type="http://schemas.openxmlformats.org/officeDocument/2006/relationships/footer" Target="footer45.xml" /><Relationship Id="rId102" Type="http://schemas.openxmlformats.org/officeDocument/2006/relationships/footer" Target="footer46.xml" /><Relationship Id="rId103" Type="http://schemas.openxmlformats.org/officeDocument/2006/relationships/header" Target="header54.xml" /><Relationship Id="rId104" Type="http://schemas.openxmlformats.org/officeDocument/2006/relationships/header" Target="header55.xml" /><Relationship Id="rId105" Type="http://schemas.openxmlformats.org/officeDocument/2006/relationships/footer" Target="footer47.xml" /><Relationship Id="rId106" Type="http://schemas.openxmlformats.org/officeDocument/2006/relationships/footer" Target="footer48.xml" /><Relationship Id="rId107" Type="http://schemas.openxmlformats.org/officeDocument/2006/relationships/header" Target="header56.xml" /><Relationship Id="rId108" Type="http://schemas.openxmlformats.org/officeDocument/2006/relationships/header" Target="header57.xml" /><Relationship Id="rId109" Type="http://schemas.openxmlformats.org/officeDocument/2006/relationships/footer" Target="footer49.xml" /><Relationship Id="rId11" Type="http://schemas.openxmlformats.org/officeDocument/2006/relationships/header" Target="header8.xml" /><Relationship Id="rId110" Type="http://schemas.openxmlformats.org/officeDocument/2006/relationships/footer" Target="footer50.xml" /><Relationship Id="rId111" Type="http://schemas.openxmlformats.org/officeDocument/2006/relationships/header" Target="header58.xml" /><Relationship Id="rId112" Type="http://schemas.openxmlformats.org/officeDocument/2006/relationships/image" Target="media/image3.png" /><Relationship Id="rId113" Type="http://schemas.openxmlformats.org/officeDocument/2006/relationships/header" Target="header59.xml" /><Relationship Id="rId114" Type="http://schemas.openxmlformats.org/officeDocument/2006/relationships/footer" Target="footer51.xml" /><Relationship Id="rId115" Type="http://schemas.openxmlformats.org/officeDocument/2006/relationships/footer" Target="footer52.xml" /><Relationship Id="rId116" Type="http://schemas.openxmlformats.org/officeDocument/2006/relationships/header" Target="header60.xml" /><Relationship Id="rId117" Type="http://schemas.openxmlformats.org/officeDocument/2006/relationships/header" Target="header61.xml" /><Relationship Id="rId118" Type="http://schemas.openxmlformats.org/officeDocument/2006/relationships/footer" Target="footer53.xml" /><Relationship Id="rId119" Type="http://schemas.openxmlformats.org/officeDocument/2006/relationships/footer" Target="footer54.xml" /><Relationship Id="rId12" Type="http://schemas.openxmlformats.org/officeDocument/2006/relationships/header" Target="header9.xml" /><Relationship Id="rId120" Type="http://schemas.openxmlformats.org/officeDocument/2006/relationships/header" Target="header62.xml" /><Relationship Id="rId121" Type="http://schemas.openxmlformats.org/officeDocument/2006/relationships/header" Target="header63.xml" /><Relationship Id="rId122" Type="http://schemas.openxmlformats.org/officeDocument/2006/relationships/footer" Target="footer55.xml" /><Relationship Id="rId123" Type="http://schemas.openxmlformats.org/officeDocument/2006/relationships/footer" Target="footer56.xml" /><Relationship Id="rId124" Type="http://schemas.openxmlformats.org/officeDocument/2006/relationships/header" Target="header64.xml" /><Relationship Id="rId125" Type="http://schemas.openxmlformats.org/officeDocument/2006/relationships/hyperlink" Target="http://map.baidu.com/detail?qt=ninf&amp;uid=1d44c77c0606d05f78dbd24c&amp;detail=cater&amp;from=list&amp;ugc_ver=1&amp;ugc_ver=1" TargetMode="External" /><Relationship Id="rId126" Type="http://schemas.openxmlformats.org/officeDocument/2006/relationships/header" Target="header65.xml" /><Relationship Id="rId127" Type="http://schemas.openxmlformats.org/officeDocument/2006/relationships/footer" Target="footer57.xml" /><Relationship Id="rId128" Type="http://schemas.openxmlformats.org/officeDocument/2006/relationships/footer" Target="footer58.xml" /><Relationship Id="rId129" Type="http://schemas.openxmlformats.org/officeDocument/2006/relationships/header" Target="header66.xml" /><Relationship Id="rId13" Type="http://schemas.openxmlformats.org/officeDocument/2006/relationships/footer" Target="footer1.xml" /><Relationship Id="rId130" Type="http://schemas.openxmlformats.org/officeDocument/2006/relationships/header" Target="header67.xml" /><Relationship Id="rId131" Type="http://schemas.openxmlformats.org/officeDocument/2006/relationships/footer" Target="footer59.xml" /><Relationship Id="rId132" Type="http://schemas.openxmlformats.org/officeDocument/2006/relationships/footer" Target="footer60.xml" /><Relationship Id="rId133" Type="http://schemas.openxmlformats.org/officeDocument/2006/relationships/header" Target="header68.xml" /><Relationship Id="rId134" Type="http://schemas.openxmlformats.org/officeDocument/2006/relationships/header" Target="header69.xml" /><Relationship Id="rId135" Type="http://schemas.openxmlformats.org/officeDocument/2006/relationships/footer" Target="footer61.xml" /><Relationship Id="rId136" Type="http://schemas.openxmlformats.org/officeDocument/2006/relationships/footer" Target="footer62.xml" /><Relationship Id="rId137" Type="http://schemas.openxmlformats.org/officeDocument/2006/relationships/header" Target="header70.xml" /><Relationship Id="rId138" Type="http://schemas.openxmlformats.org/officeDocument/2006/relationships/header" Target="header71.xml" /><Relationship Id="rId139" Type="http://schemas.openxmlformats.org/officeDocument/2006/relationships/footer" Target="footer63.xml" /><Relationship Id="rId14" Type="http://schemas.openxmlformats.org/officeDocument/2006/relationships/footer" Target="footer2.xml" /><Relationship Id="rId140" Type="http://schemas.openxmlformats.org/officeDocument/2006/relationships/footer" Target="footer64.xml" /><Relationship Id="rId141" Type="http://schemas.openxmlformats.org/officeDocument/2006/relationships/header" Target="header72.xml" /><Relationship Id="rId142" Type="http://schemas.openxmlformats.org/officeDocument/2006/relationships/header" Target="header73.xml" /><Relationship Id="rId143" Type="http://schemas.openxmlformats.org/officeDocument/2006/relationships/footer" Target="footer65.xml" /><Relationship Id="rId144" Type="http://schemas.openxmlformats.org/officeDocument/2006/relationships/footer" Target="footer66.xml" /><Relationship Id="rId145" Type="http://schemas.openxmlformats.org/officeDocument/2006/relationships/header" Target="header74.xml" /><Relationship Id="rId146" Type="http://schemas.openxmlformats.org/officeDocument/2006/relationships/hyperlink" Target="https://d.book118.com/528062071051006034" TargetMode="External" /><Relationship Id="rId147" Type="http://schemas.openxmlformats.org/officeDocument/2006/relationships/header" Target="header75.xml" /><Relationship Id="rId148" Type="http://schemas.openxmlformats.org/officeDocument/2006/relationships/footer" Target="footer67.xml" /><Relationship Id="rId149" Type="http://schemas.openxmlformats.org/officeDocument/2006/relationships/footer" Target="footer68.xml" /><Relationship Id="rId15" Type="http://schemas.openxmlformats.org/officeDocument/2006/relationships/header" Target="header10.xml" /><Relationship Id="rId150" Type="http://schemas.openxmlformats.org/officeDocument/2006/relationships/header" Target="header76.xml" /><Relationship Id="rId151" Type="http://schemas.openxmlformats.org/officeDocument/2006/relationships/theme" Target="theme/theme1.xml" /><Relationship Id="rId152" Type="http://schemas.openxmlformats.org/officeDocument/2006/relationships/styles" Target="styles.xml" /><Relationship Id="rId16" Type="http://schemas.openxmlformats.org/officeDocument/2006/relationships/header" Target="header11.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header" Target="header12.xml" /><Relationship Id="rId2" Type="http://schemas.openxmlformats.org/officeDocument/2006/relationships/webSettings" Target="webSettings.xml" /><Relationship Id="rId20" Type="http://schemas.openxmlformats.org/officeDocument/2006/relationships/header" Target="header13.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header" Target="header14.xml" /><Relationship Id="rId24" Type="http://schemas.openxmlformats.org/officeDocument/2006/relationships/header" Target="header15.xml" /><Relationship Id="rId25" Type="http://schemas.openxmlformats.org/officeDocument/2006/relationships/footer" Target="footer7.xml" /><Relationship Id="rId26" Type="http://schemas.openxmlformats.org/officeDocument/2006/relationships/footer" Target="footer8.xml" /><Relationship Id="rId27" Type="http://schemas.openxmlformats.org/officeDocument/2006/relationships/header" Target="header16.xml" /><Relationship Id="rId28" Type="http://schemas.openxmlformats.org/officeDocument/2006/relationships/header" Target="header17.xml" /><Relationship Id="rId29" Type="http://schemas.openxmlformats.org/officeDocument/2006/relationships/footer" Target="footer9.xml" /><Relationship Id="rId3" Type="http://schemas.openxmlformats.org/officeDocument/2006/relationships/fontTable" Target="fontTable.xml" /><Relationship Id="rId30" Type="http://schemas.openxmlformats.org/officeDocument/2006/relationships/footer" Target="footer10.xml" /><Relationship Id="rId31" Type="http://schemas.openxmlformats.org/officeDocument/2006/relationships/header" Target="header18.xml" /><Relationship Id="rId32" Type="http://schemas.openxmlformats.org/officeDocument/2006/relationships/header" Target="header19.xml" /><Relationship Id="rId33" Type="http://schemas.openxmlformats.org/officeDocument/2006/relationships/footer" Target="footer11.xml" /><Relationship Id="rId34" Type="http://schemas.openxmlformats.org/officeDocument/2006/relationships/footer" Target="footer12.xml" /><Relationship Id="rId35" Type="http://schemas.openxmlformats.org/officeDocument/2006/relationships/header" Target="header20.xml" /><Relationship Id="rId36" Type="http://schemas.openxmlformats.org/officeDocument/2006/relationships/header" Target="header21.xml" /><Relationship Id="rId37" Type="http://schemas.openxmlformats.org/officeDocument/2006/relationships/footer" Target="footer13.xml" /><Relationship Id="rId38" Type="http://schemas.openxmlformats.org/officeDocument/2006/relationships/footer" Target="footer14.xml" /><Relationship Id="rId39" Type="http://schemas.openxmlformats.org/officeDocument/2006/relationships/header" Target="header22.xml" /><Relationship Id="rId4" Type="http://schemas.openxmlformats.org/officeDocument/2006/relationships/header" Target="header1.xml" /><Relationship Id="rId40" Type="http://schemas.openxmlformats.org/officeDocument/2006/relationships/header" Target="header23.xml" /><Relationship Id="rId41" Type="http://schemas.openxmlformats.org/officeDocument/2006/relationships/footer" Target="footer15.xml" /><Relationship Id="rId42" Type="http://schemas.openxmlformats.org/officeDocument/2006/relationships/footer" Target="footer16.xml" /><Relationship Id="rId43" Type="http://schemas.openxmlformats.org/officeDocument/2006/relationships/header" Target="header24.xml" /><Relationship Id="rId44" Type="http://schemas.openxmlformats.org/officeDocument/2006/relationships/header" Target="header25.xml" /><Relationship Id="rId45" Type="http://schemas.openxmlformats.org/officeDocument/2006/relationships/footer" Target="footer17.xml" /><Relationship Id="rId46" Type="http://schemas.openxmlformats.org/officeDocument/2006/relationships/footer" Target="footer18.xml" /><Relationship Id="rId47" Type="http://schemas.openxmlformats.org/officeDocument/2006/relationships/header" Target="header26.xml" /><Relationship Id="rId48" Type="http://schemas.openxmlformats.org/officeDocument/2006/relationships/header" Target="header27.xml" /><Relationship Id="rId49" Type="http://schemas.openxmlformats.org/officeDocument/2006/relationships/footer" Target="footer19.xml" /><Relationship Id="rId5" Type="http://schemas.openxmlformats.org/officeDocument/2006/relationships/header" Target="header2.xml" /><Relationship Id="rId50" Type="http://schemas.openxmlformats.org/officeDocument/2006/relationships/footer" Target="footer20.xml" /><Relationship Id="rId51" Type="http://schemas.openxmlformats.org/officeDocument/2006/relationships/header" Target="header28.xml" /><Relationship Id="rId52" Type="http://schemas.openxmlformats.org/officeDocument/2006/relationships/header" Target="header29.xml" /><Relationship Id="rId53" Type="http://schemas.openxmlformats.org/officeDocument/2006/relationships/footer" Target="footer21.xml" /><Relationship Id="rId54" Type="http://schemas.openxmlformats.org/officeDocument/2006/relationships/footer" Target="footer22.xml" /><Relationship Id="rId55" Type="http://schemas.openxmlformats.org/officeDocument/2006/relationships/header" Target="header30.xml" /><Relationship Id="rId56" Type="http://schemas.openxmlformats.org/officeDocument/2006/relationships/header" Target="header31.xml" /><Relationship Id="rId57" Type="http://schemas.openxmlformats.org/officeDocument/2006/relationships/footer" Target="footer23.xml" /><Relationship Id="rId58" Type="http://schemas.openxmlformats.org/officeDocument/2006/relationships/footer" Target="footer24.xml" /><Relationship Id="rId59" Type="http://schemas.openxmlformats.org/officeDocument/2006/relationships/header" Target="header32.xml" /><Relationship Id="rId6" Type="http://schemas.openxmlformats.org/officeDocument/2006/relationships/header" Target="header3.xml" /><Relationship Id="rId60" Type="http://schemas.openxmlformats.org/officeDocument/2006/relationships/header" Target="header33.xml" /><Relationship Id="rId61" Type="http://schemas.openxmlformats.org/officeDocument/2006/relationships/footer" Target="footer25.xml" /><Relationship Id="rId62" Type="http://schemas.openxmlformats.org/officeDocument/2006/relationships/footer" Target="footer26.xml" /><Relationship Id="rId63" Type="http://schemas.openxmlformats.org/officeDocument/2006/relationships/header" Target="header34.xml" /><Relationship Id="rId64" Type="http://schemas.openxmlformats.org/officeDocument/2006/relationships/header" Target="header35.xml" /><Relationship Id="rId65" Type="http://schemas.openxmlformats.org/officeDocument/2006/relationships/footer" Target="footer27.xml" /><Relationship Id="rId66" Type="http://schemas.openxmlformats.org/officeDocument/2006/relationships/footer" Target="footer28.xml" /><Relationship Id="rId67" Type="http://schemas.openxmlformats.org/officeDocument/2006/relationships/header" Target="header36.xml" /><Relationship Id="rId68" Type="http://schemas.openxmlformats.org/officeDocument/2006/relationships/header" Target="header37.xml" /><Relationship Id="rId69" Type="http://schemas.openxmlformats.org/officeDocument/2006/relationships/footer" Target="footer29.xml" /><Relationship Id="rId7" Type="http://schemas.openxmlformats.org/officeDocument/2006/relationships/header" Target="header4.xml" /><Relationship Id="rId70" Type="http://schemas.openxmlformats.org/officeDocument/2006/relationships/footer" Target="footer30.xml" /><Relationship Id="rId71" Type="http://schemas.openxmlformats.org/officeDocument/2006/relationships/header" Target="header38.xml" /><Relationship Id="rId72" Type="http://schemas.openxmlformats.org/officeDocument/2006/relationships/header" Target="header39.xml" /><Relationship Id="rId73" Type="http://schemas.openxmlformats.org/officeDocument/2006/relationships/footer" Target="footer31.xml" /><Relationship Id="rId74" Type="http://schemas.openxmlformats.org/officeDocument/2006/relationships/footer" Target="footer32.xml" /><Relationship Id="rId75" Type="http://schemas.openxmlformats.org/officeDocument/2006/relationships/header" Target="header40.xml" /><Relationship Id="rId76" Type="http://schemas.openxmlformats.org/officeDocument/2006/relationships/header" Target="header41.xml" /><Relationship Id="rId77" Type="http://schemas.openxmlformats.org/officeDocument/2006/relationships/footer" Target="footer33.xml" /><Relationship Id="rId78" Type="http://schemas.openxmlformats.org/officeDocument/2006/relationships/footer" Target="footer34.xml" /><Relationship Id="rId79" Type="http://schemas.openxmlformats.org/officeDocument/2006/relationships/header" Target="header42.xml" /><Relationship Id="rId8" Type="http://schemas.openxmlformats.org/officeDocument/2006/relationships/header" Target="header5.xml" /><Relationship Id="rId80" Type="http://schemas.openxmlformats.org/officeDocument/2006/relationships/header" Target="header43.xml" /><Relationship Id="rId81" Type="http://schemas.openxmlformats.org/officeDocument/2006/relationships/footer" Target="footer35.xml" /><Relationship Id="rId82" Type="http://schemas.openxmlformats.org/officeDocument/2006/relationships/footer" Target="footer36.xml" /><Relationship Id="rId83" Type="http://schemas.openxmlformats.org/officeDocument/2006/relationships/header" Target="header44.xml" /><Relationship Id="rId84" Type="http://schemas.openxmlformats.org/officeDocument/2006/relationships/header" Target="header45.xml" /><Relationship Id="rId85" Type="http://schemas.openxmlformats.org/officeDocument/2006/relationships/footer" Target="footer37.xml" /><Relationship Id="rId86" Type="http://schemas.openxmlformats.org/officeDocument/2006/relationships/footer" Target="footer38.xml" /><Relationship Id="rId87" Type="http://schemas.openxmlformats.org/officeDocument/2006/relationships/header" Target="header46.xml" /><Relationship Id="rId88" Type="http://schemas.openxmlformats.org/officeDocument/2006/relationships/header" Target="header47.xml" /><Relationship Id="rId89" Type="http://schemas.openxmlformats.org/officeDocument/2006/relationships/footer" Target="footer39.xml" /><Relationship Id="rId9" Type="http://schemas.openxmlformats.org/officeDocument/2006/relationships/header" Target="header6.xml" /><Relationship Id="rId90" Type="http://schemas.openxmlformats.org/officeDocument/2006/relationships/footer" Target="footer40.xml" /><Relationship Id="rId91" Type="http://schemas.openxmlformats.org/officeDocument/2006/relationships/header" Target="header48.xml" /><Relationship Id="rId92" Type="http://schemas.openxmlformats.org/officeDocument/2006/relationships/header" Target="header49.xml" /><Relationship Id="rId93" Type="http://schemas.openxmlformats.org/officeDocument/2006/relationships/footer" Target="footer41.xml" /><Relationship Id="rId94" Type="http://schemas.openxmlformats.org/officeDocument/2006/relationships/footer" Target="footer42.xml" /><Relationship Id="rId95" Type="http://schemas.openxmlformats.org/officeDocument/2006/relationships/header" Target="header50.xml" /><Relationship Id="rId96" Type="http://schemas.openxmlformats.org/officeDocument/2006/relationships/header" Target="header51.xml" /><Relationship Id="rId97" Type="http://schemas.openxmlformats.org/officeDocument/2006/relationships/footer" Target="footer43.xml" /><Relationship Id="rId98" Type="http://schemas.openxmlformats.org/officeDocument/2006/relationships/footer" Target="footer44.xml" /><Relationship Id="rId99" Type="http://schemas.openxmlformats.org/officeDocument/2006/relationships/header" Target="header52.xml"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4.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5.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6.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7.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8.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9.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10.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11.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12.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13.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14.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15.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16.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17.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18.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19.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20.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21.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22.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23.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24.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25.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26.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27.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28.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29.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30.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31.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32.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33.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34.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35.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36.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37.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38.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39.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40.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41.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42.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43.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44.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45.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46.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47.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48.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49.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50.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51.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52.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53.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54.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55.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56.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57.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58.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59.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60.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61.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62.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63.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64.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65.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66.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67.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68.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69.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70.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71.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72.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73.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74.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75.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_rels/header76.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file:///F:\&#30334;&#24230;&#25991;&#24211;%20&#26234;&#21338;&#30591;2018.9.4\&#20135;&#19994;&#22253;\AppData\Local\Temp\ksohtml\wps_clip_image-20860.png" TargetMode="External" /><Relationship Id="rId3"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1</TotalTime>
  <Pages>49</Pages>
  <Words>7401</Words>
  <Characters>42189</Characters>
  <Application>Microsoft Office Word</Application>
  <DocSecurity>0</DocSecurity>
  <Lines>351</Lines>
  <Paragraphs>98</Paragraphs>
  <ScaleCrop>false</ScaleCrop>
  <Company>微软中国</Company>
  <LinksUpToDate>false</LinksUpToDate>
  <CharactersWithSpaces>49492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宁波龙德润活动房有限公司</dc:title>
  <dc:creator>微软用户</dc:creator>
  <cp:lastModifiedBy>Administrator</cp:lastModifiedBy>
  <cp:revision>2</cp:revision>
  <dcterms:created xsi:type="dcterms:W3CDTF">2013-04-10T09:22:00Z</dcterms:created>
  <dcterms:modified xsi:type="dcterms:W3CDTF">2019-01-14T08:59:00Z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