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
      <w:pPr>
        <w:rPr>
          <w:b/>
          <w:sz w:val="48"/>
          <w:szCs w:val="48"/>
        </w:rPr>
      </w:pPr>
    </w:p>
    <w:p>
      <w:pPr>
        <w:rPr>
          <w:b/>
          <w:sz w:val="48"/>
          <w:szCs w:val="48"/>
        </w:rPr>
      </w:pPr>
    </w:p>
    <w:p>
      <w:pPr>
        <w:rPr>
          <w:b/>
          <w:sz w:val="48"/>
          <w:szCs w:val="48"/>
        </w:rPr>
      </w:pPr>
    </w:p>
    <w:p>
      <w:pPr>
        <w:rPr>
          <w:b/>
          <w:sz w:val="48"/>
          <w:szCs w:val="48"/>
        </w:rPr>
      </w:pPr>
    </w:p>
    <w:p>
      <w:pPr>
        <w:spacing w:line="360" w:lineRule="auto"/>
        <w:jc w:val="center"/>
        <w:rPr>
          <w:rFonts w:ascii="黑体" w:eastAsia="黑体" w:hint="eastAsia"/>
          <w:b/>
          <w:bCs/>
          <w:sz w:val="48"/>
          <w:szCs w:val="44"/>
        </w:rPr>
      </w:pPr>
      <w:r>
        <w:rPr>
          <w:rFonts w:ascii="黑体" w:eastAsia="黑体" w:hint="eastAsia"/>
          <w:b/>
          <w:bCs/>
          <w:sz w:val="48"/>
          <w:szCs w:val="44"/>
        </w:rPr>
        <w:t>监控系统施工组织方案</w:t>
      </w:r>
    </w:p>
    <w:p>
      <w:pPr>
        <w:spacing w:line="360" w:lineRule="auto"/>
        <w:jc w:val="right"/>
        <w:rPr>
          <w:rFonts w:ascii="黑体" w:eastAsia="黑体" w:hint="eastAsia"/>
          <w:b/>
          <w:bCs/>
          <w:sz w:val="48"/>
          <w:szCs w:val="44"/>
        </w:rPr>
      </w:pPr>
      <w:r>
        <w:rPr>
          <w:rFonts w:ascii="黑体" w:eastAsia="黑体" w:hint="eastAsia"/>
          <w:b/>
          <w:bCs/>
          <w:sz w:val="48"/>
          <w:szCs w:val="44"/>
        </w:rPr>
        <w:pict>
          <v:group id="Group 3" o:spid="_x0000_i1026" style="width:440.05pt;height:15.6pt" coordsize="7357,272">
            <v:rect id="Rectangle 4" o:spid="_x0000_s1027" style="width:7357;height:272;position:absolute" coordsize="21600,21600" filled="f" stroked="f">
              <o:lock v:ext="edit" aspectratio="t" text="t"/>
            </v:rect>
            <v:line id="Line 5" o:spid="_x0000_s1028" style="position:absolute" from="0,136" to="7200,137" coordsize="21600,21600" o:connectortype="straight"/>
            <w10:anchorlock/>
          </v:group>
        </w:pict>
      </w:r>
    </w:p>
    <w:p>
      <w:pPr>
        <w:rPr>
          <w:b/>
          <w:sz w:val="48"/>
          <w:szCs w:val="48"/>
        </w:rPr>
      </w:pPr>
    </w:p>
    <w:p>
      <w:pPr>
        <w:rPr>
          <w:b/>
          <w:sz w:val="48"/>
          <w:szCs w:val="48"/>
        </w:rPr>
      </w:pPr>
    </w:p>
    <w:p>
      <w:pPr>
        <w:jc w:val="center"/>
        <w:rPr>
          <w:b/>
          <w:sz w:val="48"/>
          <w:szCs w:val="48"/>
        </w:rPr>
      </w:pPr>
    </w:p>
    <w:p>
      <w:pPr>
        <w:jc w:val="center"/>
        <w:rPr>
          <w:b/>
          <w:sz w:val="48"/>
          <w:szCs w:val="48"/>
        </w:rPr>
      </w:pPr>
    </w:p>
    <w:p>
      <w:pPr>
        <w:jc w:val="center"/>
        <w:rPr>
          <w:b/>
          <w:sz w:val="48"/>
          <w:szCs w:val="48"/>
        </w:rPr>
      </w:pPr>
    </w:p>
    <w:p>
      <w:pPr>
        <w:jc w:val="center"/>
        <w:rPr>
          <w:b/>
          <w:sz w:val="48"/>
          <w:szCs w:val="48"/>
        </w:rPr>
      </w:pPr>
    </w:p>
    <w:p>
      <w:pPr>
        <w:jc w:val="center"/>
        <w:rPr>
          <w:b/>
          <w:sz w:val="48"/>
          <w:szCs w:val="48"/>
        </w:rPr>
      </w:pPr>
    </w:p>
    <w:p>
      <w:pPr>
        <w:jc w:val="center"/>
        <w:rPr>
          <w:b/>
          <w:sz w:val="48"/>
          <w:szCs w:val="48"/>
        </w:rPr>
      </w:pPr>
    </w:p>
    <w:p>
      <w:pPr>
        <w:jc w:val="center"/>
        <w:rPr>
          <w:b/>
          <w:sz w:val="48"/>
          <w:szCs w:val="48"/>
        </w:rPr>
      </w:pPr>
    </w:p>
    <w:p>
      <w:pPr>
        <w:jc w:val="center"/>
        <w:rPr>
          <w:b/>
          <w:sz w:val="48"/>
          <w:szCs w:val="48"/>
        </w:rPr>
      </w:pPr>
    </w:p>
    <w:p>
      <w:pPr>
        <w:jc w:val="center"/>
        <w:rPr>
          <w:b/>
          <w:sz w:val="48"/>
          <w:szCs w:val="48"/>
        </w:rPr>
        <w:sectPr>
          <w:footerReference w:type="default" r:id="rId6"/>
          <w:type w:val="continuous"/>
          <w:pgSz w:w="11906" w:h="16838"/>
          <w:pgMar w:top="1440" w:right="1800" w:bottom="1440" w:left="1800" w:header="851" w:footer="992" w:gutter="0"/>
          <w:pgNumType w:fmt="decimal"/>
          <w:cols w:num="1" w:space="720"/>
          <w:docGrid w:type="lines" w:linePitch="312" w:charSpace="0"/>
        </w:sectPr>
      </w:pPr>
    </w:p>
    <w:p>
      <w:pPr>
        <w:jc w:val="center"/>
        <w:rPr>
          <w:b/>
          <w:bCs/>
          <w:sz w:val="144"/>
          <w:szCs w:val="144"/>
        </w:rPr>
      </w:pPr>
      <w:r>
        <w:rPr>
          <w:rFonts w:hint="eastAsia"/>
          <w:b/>
          <w:bCs/>
          <w:sz w:val="36"/>
          <w:szCs w:val="32"/>
          <w:lang w:val="en-US" w:eastAsia="zh-CN"/>
        </w:rPr>
        <w:t>2019-7</w:t>
      </w:r>
    </w:p>
    <w:p>
      <w:pPr>
        <w:jc w:val="center"/>
        <w:rPr>
          <w:b/>
          <w:sz w:val="48"/>
          <w:szCs w:val="48"/>
        </w:rPr>
      </w:pPr>
    </w:p>
    <w:p>
      <w:pPr>
        <w:jc w:val="center"/>
        <w:rPr>
          <w:b/>
          <w:sz w:val="48"/>
          <w:szCs w:val="48"/>
        </w:rPr>
      </w:pPr>
    </w:p>
    <w:p>
      <w:pPr>
        <w:sectPr>
          <w:footerReference w:type="default" r:id="rId7"/>
          <w:type w:val="nextPage"/>
          <w:pgSz w:w="11906" w:h="16838"/>
          <w:pgMar w:top="1440" w:right="1800" w:bottom="1440" w:left="1800" w:header="851" w:footer="992" w:gutter="0"/>
          <w:pgNumType w:fmt="decimal" w:start="2"/>
          <w:cols w:num="1" w:space="720"/>
          <w:titlePg w:val="0"/>
          <w:docGrid w:type="lines" w:linePitch="312" w:charSpace="0"/>
        </w:sectPr>
      </w:pPr>
    </w:p>
    <w:p>
      <w:pPr>
        <w:spacing w:line="240" w:lineRule="auto"/>
        <w:jc w:val="center"/>
        <w:rPr>
          <w:b/>
          <w:kern w:val="2"/>
          <w:sz w:val="44"/>
          <w:szCs w:val="44"/>
        </w:rPr>
      </w:pPr>
      <w:r>
        <w:rPr>
          <w:rFonts w:hint="eastAsia"/>
          <w:b/>
          <w:kern w:val="2"/>
          <w:sz w:val="44"/>
          <w:szCs w:val="44"/>
        </w:rPr>
        <w:t xml:space="preserve">目  录  </w:t>
      </w:r>
    </w:p>
    <w:p>
      <w:pPr>
        <w:rPr>
          <w:rFonts w:ascii="宋体" w:hAnsi="宋体"/>
          <w:sz w:val="24"/>
          <w:szCs w:val="24"/>
        </w:rPr>
      </w:pPr>
    </w:p>
    <w:p>
      <w:pPr>
        <w:pStyle w:val="TOC1"/>
        <w:tabs>
          <w:tab w:val="clear" w:pos="630"/>
          <w:tab w:val="clear" w:pos="8296"/>
          <w:tab w:val="right" w:leader="dot" w:pos="8306"/>
        </w:tabs>
        <w:spacing w:line="240" w:lineRule="auto"/>
        <w:rPr>
          <w:rFonts w:ascii="宋体" w:eastAsia="宋体" w:hAnsi="宋体" w:cs="宋体" w:hint="eastAsia"/>
        </w:rPr>
      </w:pP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TOC \o "1-2" \h \z \u </w:instrText>
      </w:r>
      <w:r>
        <w:rPr>
          <w:rFonts w:ascii="宋体" w:eastAsia="宋体" w:hAnsi="宋体" w:cs="宋体" w:hint="eastAsia"/>
          <w:sz w:val="24"/>
          <w:szCs w:val="24"/>
        </w:rPr>
        <w:fldChar w:fldCharType="separate"/>
      </w:r>
      <w:hyperlink w:anchor="_Toc19580" w:history="1">
        <w:r>
          <w:rPr>
            <w:rFonts w:ascii="宋体" w:eastAsia="宋体" w:hAnsi="宋体" w:cs="宋体" w:hint="eastAsia"/>
            <w:kern w:val="2"/>
            <w:szCs w:val="32"/>
          </w:rPr>
          <w:t>一 背景概述</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_Toc19580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7836" w:history="1">
        <w:r>
          <w:rPr>
            <w:rFonts w:ascii="宋体" w:eastAsia="宋体" w:hAnsi="宋体" w:cs="宋体" w:hint="eastAsia"/>
            <w:kern w:val="2"/>
            <w:szCs w:val="28"/>
          </w:rPr>
          <w:t>1.1电源系统</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_Toc7836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9023" w:history="1">
        <w:r>
          <w:rPr>
            <w:rFonts w:ascii="宋体" w:eastAsia="宋体" w:hAnsi="宋体" w:cs="宋体" w:hint="eastAsia"/>
            <w:kern w:val="2"/>
            <w:szCs w:val="28"/>
          </w:rPr>
          <w:t>1.2电源系统隐患点</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_Toc19023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5856" w:history="1">
        <w:r>
          <w:rPr>
            <w:rFonts w:ascii="宋体" w:eastAsia="宋体" w:hAnsi="宋体" w:cs="宋体" w:hint="eastAsia"/>
            <w:kern w:val="2"/>
            <w:szCs w:val="28"/>
          </w:rPr>
          <w:t>1.3规范要求</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_Toc15856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1"/>
        <w:tabs>
          <w:tab w:val="clear" w:pos="630"/>
          <w:tab w:val="clear" w:pos="8296"/>
          <w:tab w:val="right" w:leader="dot" w:pos="8306"/>
        </w:tabs>
        <w:spacing w:line="240" w:lineRule="auto"/>
        <w:rPr>
          <w:rFonts w:ascii="宋体" w:eastAsia="宋体" w:hAnsi="宋体" w:cs="宋体" w:hint="eastAsia"/>
        </w:rPr>
      </w:pPr>
      <w:hyperlink w:anchor="_Toc10258" w:history="1">
        <w:r>
          <w:rPr>
            <w:rFonts w:ascii="宋体" w:eastAsia="宋体" w:hAnsi="宋体" w:cs="宋体" w:hint="eastAsia"/>
            <w:kern w:val="2"/>
            <w:szCs w:val="32"/>
          </w:rPr>
          <w:t>二 解决方案</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_Toc10258 </w:instrText>
        </w:r>
        <w:r>
          <w:rPr>
            <w:rFonts w:ascii="宋体" w:eastAsia="宋体" w:hAnsi="宋体" w:cs="宋体" w:hint="eastAsia"/>
          </w:rPr>
          <w:fldChar w:fldCharType="separate"/>
        </w:r>
        <w:r>
          <w:rPr>
            <w:rFonts w:ascii="宋体" w:eastAsia="宋体" w:hAnsi="宋体" w:cs="宋体" w:hint="eastAsia"/>
          </w:rPr>
          <w:t>4</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24329" w:history="1">
        <w:r>
          <w:rPr>
            <w:rFonts w:ascii="宋体" w:eastAsia="宋体" w:hAnsi="宋体" w:cs="宋体" w:hint="eastAsia"/>
            <w:kern w:val="2"/>
            <w:szCs w:val="28"/>
          </w:rPr>
          <w:t>2.1方案描述</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_Toc24329 </w:instrText>
        </w:r>
        <w:r>
          <w:rPr>
            <w:rFonts w:ascii="宋体" w:eastAsia="宋体" w:hAnsi="宋体" w:cs="宋体" w:hint="eastAsia"/>
          </w:rPr>
          <w:fldChar w:fldCharType="separate"/>
        </w:r>
        <w:r>
          <w:rPr>
            <w:rFonts w:ascii="宋体" w:eastAsia="宋体" w:hAnsi="宋体" w:cs="宋体" w:hint="eastAsia"/>
          </w:rPr>
          <w:t>4</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9645" w:history="1">
        <w:r>
          <w:rPr>
            <w:rFonts w:ascii="宋体" w:eastAsia="宋体" w:hAnsi="宋体" w:cs="宋体" w:hint="eastAsia"/>
            <w:kern w:val="2"/>
            <w:szCs w:val="28"/>
          </w:rPr>
          <w:t>2.2系统组成</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_Toc19645 </w:instrText>
        </w:r>
        <w:r>
          <w:rPr>
            <w:rFonts w:ascii="宋体" w:eastAsia="宋体" w:hAnsi="宋体" w:cs="宋体" w:hint="eastAsia"/>
          </w:rPr>
          <w:fldChar w:fldCharType="separate"/>
        </w:r>
        <w:r>
          <w:rPr>
            <w:rFonts w:ascii="宋体" w:eastAsia="宋体" w:hAnsi="宋体" w:cs="宋体" w:hint="eastAsia"/>
          </w:rPr>
          <w:t>5</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3253" w:history="1">
        <w:r>
          <w:rPr>
            <w:rFonts w:ascii="宋体" w:eastAsia="宋体" w:hAnsi="宋体" w:cs="宋体" w:hint="eastAsia"/>
            <w:kern w:val="2"/>
            <w:szCs w:val="28"/>
          </w:rPr>
          <w:t>2.3系统功能</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_Toc13253 </w:instrText>
        </w:r>
        <w:r>
          <w:rPr>
            <w:rFonts w:ascii="宋体" w:eastAsia="宋体" w:hAnsi="宋体" w:cs="宋体" w:hint="eastAsia"/>
          </w:rPr>
          <w:fldChar w:fldCharType="separate"/>
        </w:r>
        <w:r>
          <w:rPr>
            <w:rFonts w:ascii="宋体" w:eastAsia="宋体" w:hAnsi="宋体" w:cs="宋体" w:hint="eastAsia"/>
          </w:rPr>
          <w:t>5</w:t>
        </w:r>
        <w:r>
          <w:rPr>
            <w:rFonts w:ascii="宋体" w:eastAsia="宋体" w:hAnsi="宋体" w:cs="宋体" w:hint="eastAsia"/>
          </w:rPr>
          <w:fldChar w:fldCharType="end"/>
        </w:r>
      </w:hyperlink>
    </w:p>
    <w:p>
      <w:pPr>
        <w:pStyle w:val="TOC1"/>
        <w:tabs>
          <w:tab w:val="clear" w:pos="630"/>
          <w:tab w:val="clear" w:pos="8296"/>
          <w:tab w:val="right" w:leader="dot" w:pos="8306"/>
        </w:tabs>
        <w:spacing w:line="240" w:lineRule="auto"/>
        <w:rPr>
          <w:rFonts w:ascii="宋体" w:eastAsia="宋体" w:hAnsi="宋体" w:cs="宋体" w:hint="eastAsia"/>
        </w:rPr>
      </w:pPr>
      <w:hyperlink w:anchor="_Toc30322" w:history="1">
        <w:r>
          <w:rPr>
            <w:rFonts w:ascii="宋体" w:eastAsia="宋体" w:hAnsi="宋体" w:cs="宋体" w:hint="eastAsia"/>
            <w:kern w:val="2"/>
            <w:szCs w:val="32"/>
          </w:rPr>
          <w:t>三 本方案技术优势</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_Toc30322 </w:instrText>
        </w:r>
        <w:r>
          <w:rPr>
            <w:rFonts w:ascii="宋体" w:eastAsia="宋体" w:hAnsi="宋体" w:cs="宋体" w:hint="eastAsia"/>
          </w:rPr>
          <w:fldChar w:fldCharType="separate"/>
        </w:r>
        <w:r>
          <w:rPr>
            <w:rFonts w:ascii="宋体" w:eastAsia="宋体" w:hAnsi="宋体" w:cs="宋体" w:hint="eastAsia"/>
          </w:rPr>
          <w:t>8</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28306" w:history="1">
        <w:r>
          <w:rPr>
            <w:rFonts w:ascii="宋体" w:eastAsia="宋体" w:hAnsi="宋体" w:cs="宋体" w:hint="eastAsia"/>
            <w:kern w:val="2"/>
            <w:szCs w:val="28"/>
          </w:rPr>
          <w:t>3.1 全面监测、统一监控评估</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_Toc28306 </w:instrText>
        </w:r>
        <w:r>
          <w:rPr>
            <w:rFonts w:ascii="宋体" w:eastAsia="宋体" w:hAnsi="宋体" w:cs="宋体" w:hint="eastAsia"/>
          </w:rPr>
          <w:fldChar w:fldCharType="separate"/>
        </w:r>
        <w:r>
          <w:rPr>
            <w:rFonts w:ascii="宋体" w:eastAsia="宋体" w:hAnsi="宋体" w:cs="宋体" w:hint="eastAsia"/>
          </w:rPr>
          <w:t>8</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3948" w:history="1">
        <w:r>
          <w:rPr>
            <w:rFonts w:ascii="宋体" w:eastAsia="宋体" w:hAnsi="宋体" w:cs="宋体" w:hint="eastAsia"/>
            <w:kern w:val="2"/>
            <w:szCs w:val="28"/>
          </w:rPr>
          <w:t>3.2 重视蓄电池、提高系统可靠性</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_Toc3948 </w:instrText>
        </w:r>
        <w:r>
          <w:rPr>
            <w:rFonts w:ascii="宋体" w:eastAsia="宋体" w:hAnsi="宋体" w:cs="宋体" w:hint="eastAsia"/>
          </w:rPr>
          <w:fldChar w:fldCharType="separate"/>
        </w:r>
        <w:r>
          <w:rPr>
            <w:rFonts w:ascii="宋体" w:eastAsia="宋体" w:hAnsi="宋体" w:cs="宋体" w:hint="eastAsia"/>
          </w:rPr>
          <w:t>8</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29723" w:history="1">
        <w:r>
          <w:rPr>
            <w:rFonts w:ascii="宋体" w:eastAsia="宋体" w:hAnsi="宋体" w:cs="宋体" w:hint="eastAsia"/>
            <w:kern w:val="2"/>
            <w:szCs w:val="28"/>
          </w:rPr>
          <w:t>3.3 远程操控、提高运维自动化水平</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_Toc29723 </w:instrText>
        </w:r>
        <w:r>
          <w:rPr>
            <w:rFonts w:ascii="宋体" w:eastAsia="宋体" w:hAnsi="宋体" w:cs="宋体" w:hint="eastAsia"/>
          </w:rPr>
          <w:fldChar w:fldCharType="separate"/>
        </w:r>
        <w:r>
          <w:rPr>
            <w:rFonts w:ascii="宋体" w:eastAsia="宋体" w:hAnsi="宋体" w:cs="宋体" w:hint="eastAsia"/>
          </w:rPr>
          <w:t>8</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930" w:history="1">
        <w:r>
          <w:rPr>
            <w:rFonts w:ascii="宋体" w:eastAsia="宋体" w:hAnsi="宋体" w:cs="宋体" w:hint="eastAsia"/>
            <w:kern w:val="2"/>
            <w:szCs w:val="28"/>
          </w:rPr>
          <w:t>3.4 高稳定、高安全性</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_Toc1930 </w:instrText>
        </w:r>
        <w:r>
          <w:rPr>
            <w:rFonts w:ascii="宋体" w:eastAsia="宋体" w:hAnsi="宋体" w:cs="宋体" w:hint="eastAsia"/>
          </w:rPr>
          <w:fldChar w:fldCharType="separate"/>
        </w:r>
        <w:r>
          <w:rPr>
            <w:rFonts w:ascii="宋体" w:eastAsia="宋体" w:hAnsi="宋体" w:cs="宋体" w:hint="eastAsia"/>
          </w:rPr>
          <w:t>8</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826" w:history="1">
        <w:r>
          <w:rPr>
            <w:rFonts w:ascii="宋体" w:eastAsia="宋体" w:hAnsi="宋体" w:cs="宋体" w:hint="eastAsia"/>
            <w:kern w:val="2"/>
            <w:szCs w:val="28"/>
          </w:rPr>
          <w:t>3.5 权威检测、性能突出</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_Toc826 </w:instrText>
        </w:r>
        <w:r>
          <w:rPr>
            <w:rFonts w:ascii="宋体" w:eastAsia="宋体" w:hAnsi="宋体" w:cs="宋体" w:hint="eastAsia"/>
          </w:rPr>
          <w:fldChar w:fldCharType="separate"/>
        </w:r>
        <w:r>
          <w:rPr>
            <w:rFonts w:ascii="宋体" w:eastAsia="宋体" w:hAnsi="宋体" w:cs="宋体" w:hint="eastAsia"/>
          </w:rPr>
          <w:t>8</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6099" w:history="1">
        <w:r>
          <w:rPr>
            <w:rFonts w:ascii="宋体" w:eastAsia="宋体" w:hAnsi="宋体" w:cs="宋体" w:hint="eastAsia"/>
            <w:kern w:val="2"/>
            <w:szCs w:val="28"/>
          </w:rPr>
          <w:t>3.6 在线均衡管理、内阻测试</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_Toc16099 </w:instrText>
        </w:r>
        <w:r>
          <w:rPr>
            <w:rFonts w:ascii="宋体" w:eastAsia="宋体" w:hAnsi="宋体" w:cs="宋体" w:hint="eastAsia"/>
          </w:rPr>
          <w:fldChar w:fldCharType="separate"/>
        </w:r>
        <w:r>
          <w:rPr>
            <w:rFonts w:ascii="宋体" w:eastAsia="宋体" w:hAnsi="宋体" w:cs="宋体" w:hint="eastAsia"/>
          </w:rPr>
          <w:t>8</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9880" w:history="1">
        <w:r>
          <w:rPr>
            <w:rFonts w:ascii="宋体" w:eastAsia="宋体" w:hAnsi="宋体" w:cs="宋体" w:hint="eastAsia"/>
            <w:kern w:val="2"/>
            <w:szCs w:val="28"/>
          </w:rPr>
          <w:t>3.7 高精度电压采集技术</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_Toc19880 </w:instrText>
        </w:r>
        <w:r>
          <w:rPr>
            <w:rFonts w:ascii="宋体" w:eastAsia="宋体" w:hAnsi="宋体" w:cs="宋体" w:hint="eastAsia"/>
          </w:rPr>
          <w:fldChar w:fldCharType="separate"/>
        </w:r>
        <w:r>
          <w:rPr>
            <w:rFonts w:ascii="宋体" w:eastAsia="宋体" w:hAnsi="宋体" w:cs="宋体" w:hint="eastAsia"/>
          </w:rPr>
          <w:t>9</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2874" w:history="1">
        <w:r>
          <w:rPr>
            <w:rFonts w:ascii="宋体" w:eastAsia="宋体" w:hAnsi="宋体" w:cs="宋体" w:hint="eastAsia"/>
            <w:kern w:val="2"/>
            <w:szCs w:val="28"/>
          </w:rPr>
          <w:t>3.8 监测设备内置智能分析功能</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_Toc12874 </w:instrText>
        </w:r>
        <w:r>
          <w:rPr>
            <w:rFonts w:ascii="宋体" w:eastAsia="宋体" w:hAnsi="宋体" w:cs="宋体" w:hint="eastAsia"/>
          </w:rPr>
          <w:fldChar w:fldCharType="separate"/>
        </w:r>
        <w:r>
          <w:rPr>
            <w:rFonts w:ascii="宋体" w:eastAsia="宋体" w:hAnsi="宋体" w:cs="宋体" w:hint="eastAsia"/>
          </w:rPr>
          <w:t>9</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3843" w:history="1">
        <w:r>
          <w:rPr>
            <w:rFonts w:ascii="宋体" w:eastAsia="宋体" w:hAnsi="宋体" w:cs="宋体" w:hint="eastAsia"/>
            <w:kern w:val="2"/>
            <w:szCs w:val="28"/>
          </w:rPr>
          <w:t>3.9 大容量数据存储空间</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_Toc3843 </w:instrText>
        </w:r>
        <w:r>
          <w:rPr>
            <w:rFonts w:ascii="宋体" w:eastAsia="宋体" w:hAnsi="宋体" w:cs="宋体" w:hint="eastAsia"/>
          </w:rPr>
          <w:fldChar w:fldCharType="separate"/>
        </w:r>
        <w:r>
          <w:rPr>
            <w:rFonts w:ascii="宋体" w:eastAsia="宋体" w:hAnsi="宋体" w:cs="宋体" w:hint="eastAsia"/>
          </w:rPr>
          <w:t>10</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24750" w:history="1">
        <w:r>
          <w:rPr>
            <w:rFonts w:ascii="宋体" w:eastAsia="宋体" w:hAnsi="宋体" w:cs="宋体" w:hint="eastAsia"/>
            <w:kern w:val="2"/>
            <w:szCs w:val="28"/>
          </w:rPr>
          <w:t>3.10 接口丰富</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_Toc24750 </w:instrText>
        </w:r>
        <w:r>
          <w:rPr>
            <w:rFonts w:ascii="宋体" w:eastAsia="宋体" w:hAnsi="宋体" w:cs="宋体" w:hint="eastAsia"/>
          </w:rPr>
          <w:fldChar w:fldCharType="separate"/>
        </w:r>
        <w:r>
          <w:rPr>
            <w:rFonts w:ascii="宋体" w:eastAsia="宋体" w:hAnsi="宋体" w:cs="宋体" w:hint="eastAsia"/>
          </w:rPr>
          <w:t>10</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23835" w:history="1">
        <w:r>
          <w:rPr>
            <w:rFonts w:ascii="宋体" w:eastAsia="宋体" w:hAnsi="宋体" w:cs="宋体" w:hint="eastAsia"/>
            <w:kern w:val="2"/>
            <w:szCs w:val="28"/>
          </w:rPr>
          <w:t>3.11 系统自检</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_Toc23835 </w:instrText>
        </w:r>
        <w:r>
          <w:rPr>
            <w:rFonts w:ascii="宋体" w:eastAsia="宋体" w:hAnsi="宋体" w:cs="宋体" w:hint="eastAsia"/>
          </w:rPr>
          <w:fldChar w:fldCharType="separate"/>
        </w:r>
        <w:r>
          <w:rPr>
            <w:rFonts w:ascii="宋体" w:eastAsia="宋体" w:hAnsi="宋体" w:cs="宋体" w:hint="eastAsia"/>
          </w:rPr>
          <w:t>10</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22710" w:history="1">
        <w:r>
          <w:rPr>
            <w:rFonts w:ascii="宋体" w:eastAsia="宋体" w:hAnsi="宋体" w:cs="宋体" w:hint="eastAsia"/>
            <w:kern w:val="2"/>
            <w:szCs w:val="28"/>
          </w:rPr>
          <w:t>3.12 界面友好</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_Toc22710 </w:instrText>
        </w:r>
        <w:r>
          <w:rPr>
            <w:rFonts w:ascii="宋体" w:eastAsia="宋体" w:hAnsi="宋体" w:cs="宋体" w:hint="eastAsia"/>
          </w:rPr>
          <w:fldChar w:fldCharType="separate"/>
        </w:r>
        <w:r>
          <w:rPr>
            <w:rFonts w:ascii="宋体" w:eastAsia="宋体" w:hAnsi="宋体" w:cs="宋体" w:hint="eastAsia"/>
          </w:rPr>
          <w:t>10</w:t>
        </w:r>
        <w:r>
          <w:rPr>
            <w:rFonts w:ascii="宋体" w:eastAsia="宋体" w:hAnsi="宋体" w:cs="宋体" w:hint="eastAsia"/>
          </w:rPr>
          <w:fldChar w:fldCharType="end"/>
        </w:r>
      </w:hyperlink>
    </w:p>
    <w:p>
      <w:pPr>
        <w:pStyle w:val="TOC1"/>
        <w:tabs>
          <w:tab w:val="clear" w:pos="630"/>
          <w:tab w:val="clear" w:pos="8296"/>
          <w:tab w:val="right" w:leader="dot" w:pos="8306"/>
        </w:tabs>
        <w:spacing w:line="240" w:lineRule="auto"/>
        <w:rPr>
          <w:rFonts w:ascii="宋体" w:eastAsia="宋体" w:hAnsi="宋体" w:cs="宋体" w:hint="eastAsia"/>
        </w:rPr>
      </w:pPr>
      <w:hyperlink w:anchor="_Toc944" w:history="1">
        <w:r>
          <w:rPr>
            <w:rFonts w:ascii="宋体" w:eastAsia="宋体" w:hAnsi="宋体" w:cs="宋体" w:hint="eastAsia"/>
            <w:kern w:val="2"/>
            <w:szCs w:val="32"/>
          </w:rPr>
          <w:t>四 产品介绍</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_Toc944 </w:instrText>
        </w:r>
        <w:r>
          <w:rPr>
            <w:rFonts w:ascii="宋体" w:eastAsia="宋体" w:hAnsi="宋体" w:cs="宋体" w:hint="eastAsia"/>
          </w:rPr>
          <w:fldChar w:fldCharType="separate"/>
        </w:r>
        <w:r>
          <w:rPr>
            <w:rFonts w:ascii="宋体" w:eastAsia="宋体" w:hAnsi="宋体" w:cs="宋体" w:hint="eastAsia"/>
          </w:rPr>
          <w:t>11</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sectPr>
          <w:headerReference w:type="default" r:id="rId8"/>
          <w:footerReference w:type="default" r:id="rId9"/>
          <w:type w:val="continuous"/>
          <w:pgSz w:w="11906" w:h="16838"/>
          <w:pgMar w:top="1440" w:right="1800" w:bottom="1440" w:left="1800" w:header="851" w:footer="992" w:gutter="0"/>
          <w:pgNumType w:fmt="decimal" w:start="1"/>
          <w:cols w:num="1" w:space="720"/>
          <w:docGrid w:type="lines" w:linePitch="312" w:charSpace="0"/>
        </w:sectPr>
      </w:pPr>
      <w:hyperlink w:anchor="_Toc6158" w:history="1">
        <w:r>
          <w:rPr>
            <w:rFonts w:ascii="宋体" w:eastAsia="宋体" w:hAnsi="宋体" w:cs="宋体" w:hint="eastAsia"/>
            <w:kern w:val="2"/>
            <w:szCs w:val="28"/>
          </w:rPr>
          <w:t>4.1</w:t>
        </w:r>
        <w:r>
          <w:rPr>
            <w:rFonts w:ascii="宋体" w:eastAsia="宋体" w:hAnsi="宋体" w:cs="宋体" w:hint="eastAsia"/>
          </w:rPr>
          <w:t xml:space="preserve"> </w:t>
        </w:r>
        <w:r>
          <w:rPr>
            <w:rFonts w:ascii="宋体" w:eastAsia="宋体" w:hAnsi="宋体" w:cs="宋体" w:hint="eastAsia"/>
            <w:kern w:val="2"/>
            <w:szCs w:val="28"/>
            <w:lang w:eastAsia="zh-CN"/>
          </w:rPr>
          <w:t>PDM</w:t>
        </w:r>
        <w:r>
          <w:rPr>
            <w:rFonts w:ascii="宋体" w:eastAsia="宋体" w:hAnsi="宋体" w:cs="宋体" w:hint="eastAsia"/>
            <w:kern w:val="2"/>
            <w:szCs w:val="28"/>
          </w:rPr>
          <w:t>100电源总控管理装置</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_Toc6158 </w:instrText>
        </w:r>
        <w:r>
          <w:rPr>
            <w:rFonts w:ascii="宋体" w:eastAsia="宋体" w:hAnsi="宋体" w:cs="宋体" w:hint="eastAsia"/>
          </w:rPr>
          <w:fldChar w:fldCharType="separate"/>
        </w:r>
        <w:r>
          <w:rPr>
            <w:rFonts w:ascii="宋体" w:eastAsia="宋体" w:hAnsi="宋体" w:cs="宋体" w:hint="eastAsia"/>
          </w:rPr>
          <w:t>11</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3839" w:history="1">
        <w:r>
          <w:rPr>
            <w:rFonts w:ascii="宋体" w:eastAsia="宋体" w:hAnsi="宋体" w:cs="宋体" w:hint="eastAsia"/>
            <w:kern w:val="2"/>
            <w:szCs w:val="28"/>
          </w:rPr>
          <w:t xml:space="preserve">4.2 </w:t>
        </w:r>
        <w:r>
          <w:rPr>
            <w:rFonts w:ascii="宋体" w:eastAsia="宋体" w:hAnsi="宋体" w:cs="宋体" w:hint="eastAsia"/>
            <w:kern w:val="2"/>
            <w:szCs w:val="28"/>
            <w:lang w:eastAsia="zh-CN"/>
          </w:rPr>
          <w:t>PDM</w:t>
        </w:r>
        <w:r>
          <w:rPr>
            <w:rFonts w:ascii="宋体" w:eastAsia="宋体" w:hAnsi="宋体" w:cs="宋体" w:hint="eastAsia"/>
            <w:kern w:val="2"/>
            <w:szCs w:val="28"/>
          </w:rPr>
          <w:t>2蓄电池监测装置</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_Toc3839 </w:instrText>
        </w:r>
        <w:r>
          <w:rPr>
            <w:rFonts w:ascii="宋体" w:eastAsia="宋体" w:hAnsi="宋体" w:cs="宋体" w:hint="eastAsia"/>
          </w:rPr>
          <w:fldChar w:fldCharType="separate"/>
        </w:r>
        <w:r>
          <w:rPr>
            <w:rFonts w:ascii="宋体" w:eastAsia="宋体" w:hAnsi="宋体" w:cs="宋体" w:hint="eastAsia"/>
          </w:rPr>
          <w:t>11</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29242" w:history="1">
        <w:r>
          <w:rPr>
            <w:rFonts w:ascii="宋体" w:eastAsia="宋体" w:hAnsi="宋体" w:cs="宋体" w:hint="eastAsia"/>
            <w:kern w:val="2"/>
            <w:szCs w:val="28"/>
          </w:rPr>
          <w:t xml:space="preserve">4.3 </w:t>
        </w:r>
        <w:r>
          <w:rPr>
            <w:rFonts w:ascii="宋体" w:eastAsia="宋体" w:hAnsi="宋体" w:cs="宋体" w:hint="eastAsia"/>
            <w:kern w:val="2"/>
            <w:szCs w:val="28"/>
            <w:lang w:eastAsia="zh-CN"/>
          </w:rPr>
          <w:t>PDM</w:t>
        </w:r>
        <w:r>
          <w:rPr>
            <w:rFonts w:ascii="宋体" w:eastAsia="宋体" w:hAnsi="宋体" w:cs="宋体" w:hint="eastAsia"/>
            <w:kern w:val="2"/>
            <w:szCs w:val="28"/>
          </w:rPr>
          <w:t>100蓄电池容量监测装置</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_Toc29242 </w:instrText>
        </w:r>
        <w:r>
          <w:rPr>
            <w:rFonts w:ascii="宋体" w:eastAsia="宋体" w:hAnsi="宋体" w:cs="宋体" w:hint="eastAsia"/>
          </w:rPr>
          <w:fldChar w:fldCharType="separate"/>
        </w:r>
        <w:r>
          <w:rPr>
            <w:rFonts w:ascii="宋体" w:eastAsia="宋体" w:hAnsi="宋体" w:cs="宋体" w:hint="eastAsia"/>
          </w:rPr>
          <w:t>12</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975" w:history="1">
        <w:r>
          <w:rPr>
            <w:rFonts w:ascii="宋体" w:eastAsia="宋体" w:hAnsi="宋体" w:cs="宋体" w:hint="eastAsia"/>
            <w:kern w:val="2"/>
            <w:szCs w:val="28"/>
          </w:rPr>
          <w:t xml:space="preserve">4.4 </w:t>
        </w:r>
        <w:r>
          <w:rPr>
            <w:rFonts w:ascii="宋体" w:eastAsia="宋体" w:hAnsi="宋体" w:cs="宋体" w:hint="eastAsia"/>
            <w:kern w:val="2"/>
            <w:szCs w:val="28"/>
            <w:lang w:eastAsia="zh-CN"/>
          </w:rPr>
          <w:t>PDM</w:t>
        </w:r>
        <w:r>
          <w:rPr>
            <w:rFonts w:ascii="宋体" w:eastAsia="宋体" w:hAnsi="宋体" w:cs="宋体" w:hint="eastAsia"/>
            <w:kern w:val="2"/>
            <w:szCs w:val="28"/>
          </w:rPr>
          <w:t>3000蓄电池在线监测系统软件</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_Toc975 </w:instrText>
        </w:r>
        <w:r>
          <w:rPr>
            <w:rFonts w:ascii="宋体" w:eastAsia="宋体" w:hAnsi="宋体" w:cs="宋体" w:hint="eastAsia"/>
          </w:rPr>
          <w:fldChar w:fldCharType="separate"/>
        </w:r>
        <w:r>
          <w:rPr>
            <w:rFonts w:ascii="宋体" w:eastAsia="宋体" w:hAnsi="宋体" w:cs="宋体" w:hint="eastAsia"/>
          </w:rPr>
          <w:t>12</w:t>
        </w:r>
        <w:r>
          <w:rPr>
            <w:rFonts w:ascii="宋体" w:eastAsia="宋体" w:hAnsi="宋体" w:cs="宋体" w:hint="eastAsia"/>
          </w:rPr>
          <w:fldChar w:fldCharType="end"/>
        </w:r>
      </w:hyperlink>
    </w:p>
    <w:p>
      <w:pPr>
        <w:pStyle w:val="TOC1"/>
        <w:tabs>
          <w:tab w:val="clear" w:pos="630"/>
          <w:tab w:val="clear" w:pos="8296"/>
          <w:tab w:val="right" w:leader="dot" w:pos="8306"/>
        </w:tabs>
        <w:spacing w:line="240" w:lineRule="auto"/>
        <w:rPr>
          <w:rFonts w:ascii="宋体" w:eastAsia="宋体" w:hAnsi="宋体" w:cs="宋体" w:hint="eastAsia"/>
        </w:rPr>
      </w:pPr>
      <w:hyperlink w:anchor="_Toc8943" w:history="1">
        <w:r>
          <w:rPr>
            <w:rFonts w:ascii="宋体" w:eastAsia="宋体" w:hAnsi="宋体" w:cs="宋体" w:hint="eastAsia"/>
            <w:kern w:val="2"/>
            <w:szCs w:val="32"/>
          </w:rPr>
          <w:t>五 安全措施、工程及生产</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_Toc8943 </w:instrText>
        </w:r>
        <w:r>
          <w:rPr>
            <w:rFonts w:ascii="宋体" w:eastAsia="宋体" w:hAnsi="宋体" w:cs="宋体" w:hint="eastAsia"/>
          </w:rPr>
          <w:fldChar w:fldCharType="separate"/>
        </w:r>
        <w:r>
          <w:rPr>
            <w:rFonts w:ascii="宋体" w:eastAsia="宋体" w:hAnsi="宋体" w:cs="宋体" w:hint="eastAsia"/>
          </w:rPr>
          <w:t>16</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30947" w:history="1">
        <w:r>
          <w:rPr>
            <w:rFonts w:ascii="宋体" w:eastAsia="宋体" w:hAnsi="宋体" w:cs="宋体" w:hint="eastAsia"/>
            <w:kern w:val="2"/>
            <w:szCs w:val="28"/>
          </w:rPr>
          <w:t>5.1 EMC试验</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_Toc30947 </w:instrText>
        </w:r>
        <w:r>
          <w:rPr>
            <w:rFonts w:ascii="宋体" w:eastAsia="宋体" w:hAnsi="宋体" w:cs="宋体" w:hint="eastAsia"/>
          </w:rPr>
          <w:fldChar w:fldCharType="separate"/>
        </w:r>
        <w:r>
          <w:rPr>
            <w:rFonts w:ascii="宋体" w:eastAsia="宋体" w:hAnsi="宋体" w:cs="宋体" w:hint="eastAsia"/>
          </w:rPr>
          <w:t>16</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4158" w:history="1">
        <w:r>
          <w:rPr>
            <w:rFonts w:ascii="宋体" w:eastAsia="宋体" w:hAnsi="宋体" w:cs="宋体" w:hint="eastAsia"/>
            <w:kern w:val="2"/>
            <w:szCs w:val="28"/>
          </w:rPr>
          <w:t>5.2 采样线保护</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_Toc4158 </w:instrText>
        </w:r>
        <w:r>
          <w:rPr>
            <w:rFonts w:ascii="宋体" w:eastAsia="宋体" w:hAnsi="宋体" w:cs="宋体" w:hint="eastAsia"/>
          </w:rPr>
          <w:fldChar w:fldCharType="separate"/>
        </w:r>
        <w:r>
          <w:rPr>
            <w:rFonts w:ascii="宋体" w:eastAsia="宋体" w:hAnsi="宋体" w:cs="宋体" w:hint="eastAsia"/>
          </w:rPr>
          <w:t>16</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9463" w:history="1">
        <w:r>
          <w:rPr>
            <w:rFonts w:ascii="宋体" w:eastAsia="宋体" w:hAnsi="宋体" w:cs="宋体" w:hint="eastAsia"/>
            <w:kern w:val="2"/>
            <w:szCs w:val="28"/>
          </w:rPr>
          <w:t>5.3 光电隔离</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_Toc9463 </w:instrText>
        </w:r>
        <w:r>
          <w:rPr>
            <w:rFonts w:ascii="宋体" w:eastAsia="宋体" w:hAnsi="宋体" w:cs="宋体" w:hint="eastAsia"/>
          </w:rPr>
          <w:fldChar w:fldCharType="separate"/>
        </w:r>
        <w:r>
          <w:rPr>
            <w:rFonts w:ascii="宋体" w:eastAsia="宋体" w:hAnsi="宋体" w:cs="宋体" w:hint="eastAsia"/>
          </w:rPr>
          <w:t>16</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8986" w:history="1">
        <w:r>
          <w:rPr>
            <w:rFonts w:ascii="宋体" w:eastAsia="宋体" w:hAnsi="宋体" w:cs="宋体" w:hint="eastAsia"/>
            <w:kern w:val="2"/>
            <w:szCs w:val="28"/>
          </w:rPr>
          <w:t>5.4 其他措施</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_Toc8986 </w:instrText>
        </w:r>
        <w:r>
          <w:rPr>
            <w:rFonts w:ascii="宋体" w:eastAsia="宋体" w:hAnsi="宋体" w:cs="宋体" w:hint="eastAsia"/>
          </w:rPr>
          <w:fldChar w:fldCharType="separate"/>
        </w:r>
        <w:r>
          <w:rPr>
            <w:rFonts w:ascii="宋体" w:eastAsia="宋体" w:hAnsi="宋体" w:cs="宋体" w:hint="eastAsia"/>
          </w:rPr>
          <w:t>16</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9896" w:history="1">
        <w:r>
          <w:rPr>
            <w:rFonts w:ascii="宋体" w:eastAsia="宋体" w:hAnsi="宋体" w:cs="宋体" w:hint="eastAsia"/>
            <w:kern w:val="2"/>
            <w:szCs w:val="28"/>
          </w:rPr>
          <w:t>5.5 设备固定</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_Toc19896 </w:instrText>
        </w:r>
        <w:r>
          <w:rPr>
            <w:rFonts w:ascii="宋体" w:eastAsia="宋体" w:hAnsi="宋体" w:cs="宋体" w:hint="eastAsia"/>
          </w:rPr>
          <w:fldChar w:fldCharType="separate"/>
        </w:r>
        <w:r>
          <w:rPr>
            <w:rFonts w:ascii="宋体" w:eastAsia="宋体" w:hAnsi="宋体" w:cs="宋体" w:hint="eastAsia"/>
          </w:rPr>
          <w:t>17</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4347" w:history="1">
        <w:r>
          <w:rPr>
            <w:rFonts w:ascii="宋体" w:eastAsia="宋体" w:hAnsi="宋体" w:cs="宋体" w:hint="eastAsia"/>
            <w:kern w:val="2"/>
            <w:szCs w:val="28"/>
          </w:rPr>
          <w:t>5.6 电池的接线</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_Toc4347 </w:instrText>
        </w:r>
        <w:r>
          <w:rPr>
            <w:rFonts w:ascii="宋体" w:eastAsia="宋体" w:hAnsi="宋体" w:cs="宋体" w:hint="eastAsia"/>
          </w:rPr>
          <w:fldChar w:fldCharType="separate"/>
        </w:r>
        <w:r>
          <w:rPr>
            <w:rFonts w:ascii="宋体" w:eastAsia="宋体" w:hAnsi="宋体" w:cs="宋体" w:hint="eastAsia"/>
          </w:rPr>
          <w:t>17</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0063" w:history="1">
        <w:r>
          <w:rPr>
            <w:rFonts w:ascii="宋体" w:eastAsia="宋体" w:hAnsi="宋体" w:cs="宋体" w:hint="eastAsia"/>
            <w:kern w:val="2"/>
            <w:szCs w:val="28"/>
          </w:rPr>
          <w:t>5.7 生产周期</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_Toc10063 </w:instrText>
        </w:r>
        <w:r>
          <w:rPr>
            <w:rFonts w:ascii="宋体" w:eastAsia="宋体" w:hAnsi="宋体" w:cs="宋体" w:hint="eastAsia"/>
          </w:rPr>
          <w:fldChar w:fldCharType="separate"/>
        </w:r>
        <w:r>
          <w:rPr>
            <w:rFonts w:ascii="宋体" w:eastAsia="宋体" w:hAnsi="宋体" w:cs="宋体" w:hint="eastAsia"/>
          </w:rPr>
          <w:t>18</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964" w:history="1">
        <w:r>
          <w:rPr>
            <w:rFonts w:ascii="宋体" w:eastAsia="宋体" w:hAnsi="宋体" w:cs="宋体" w:hint="eastAsia"/>
            <w:kern w:val="2"/>
            <w:szCs w:val="28"/>
          </w:rPr>
          <w:t>5.8 制造管理</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_Toc1964 </w:instrText>
        </w:r>
        <w:r>
          <w:rPr>
            <w:rFonts w:ascii="宋体" w:eastAsia="宋体" w:hAnsi="宋体" w:cs="宋体" w:hint="eastAsia"/>
          </w:rPr>
          <w:fldChar w:fldCharType="separate"/>
        </w:r>
        <w:r>
          <w:rPr>
            <w:rFonts w:ascii="宋体" w:eastAsia="宋体" w:hAnsi="宋体" w:cs="宋体" w:hint="eastAsia"/>
          </w:rPr>
          <w:t>18</w:t>
        </w:r>
        <w:r>
          <w:rPr>
            <w:rFonts w:ascii="宋体" w:eastAsia="宋体" w:hAnsi="宋体" w:cs="宋体" w:hint="eastAsia"/>
          </w:rPr>
          <w:fldChar w:fldCharType="end"/>
        </w:r>
      </w:hyperlink>
    </w:p>
    <w:p>
      <w:pPr>
        <w:pStyle w:val="TOC1"/>
        <w:tabs>
          <w:tab w:val="clear" w:pos="630"/>
          <w:tab w:val="clear" w:pos="8296"/>
          <w:tab w:val="right" w:leader="dot" w:pos="8306"/>
        </w:tabs>
        <w:spacing w:line="240" w:lineRule="auto"/>
        <w:rPr>
          <w:rFonts w:ascii="宋体" w:eastAsia="宋体" w:hAnsi="宋体" w:cs="宋体" w:hint="eastAsia"/>
        </w:rPr>
      </w:pPr>
      <w:hyperlink w:anchor="_Toc29050" w:history="1">
        <w:r>
          <w:rPr>
            <w:rFonts w:ascii="宋体" w:eastAsia="宋体" w:hAnsi="宋体" w:cs="宋体" w:hint="eastAsia"/>
            <w:kern w:val="2"/>
            <w:szCs w:val="32"/>
          </w:rPr>
          <w:t>六 售后服务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_Toc29050 </w:instrText>
        </w:r>
        <w:r>
          <w:rPr>
            <w:rFonts w:ascii="宋体" w:eastAsia="宋体" w:hAnsi="宋体" w:cs="宋体" w:hint="eastAsia"/>
          </w:rPr>
          <w:fldChar w:fldCharType="separate"/>
        </w:r>
        <w:r>
          <w:rPr>
            <w:rFonts w:ascii="宋体" w:eastAsia="宋体" w:hAnsi="宋体" w:cs="宋体" w:hint="eastAsia"/>
          </w:rPr>
          <w:t>19</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29837" w:history="1">
        <w:r>
          <w:rPr>
            <w:rFonts w:ascii="宋体" w:eastAsia="宋体" w:hAnsi="宋体" w:cs="宋体" w:hint="eastAsia"/>
            <w:kern w:val="2"/>
            <w:szCs w:val="28"/>
          </w:rPr>
          <w:t>6.1 安装调试服务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_Toc29837 </w:instrText>
        </w:r>
        <w:r>
          <w:rPr>
            <w:rFonts w:ascii="宋体" w:eastAsia="宋体" w:hAnsi="宋体" w:cs="宋体" w:hint="eastAsia"/>
          </w:rPr>
          <w:fldChar w:fldCharType="separate"/>
        </w:r>
        <w:r>
          <w:rPr>
            <w:rFonts w:ascii="宋体" w:eastAsia="宋体" w:hAnsi="宋体" w:cs="宋体" w:hint="eastAsia"/>
          </w:rPr>
          <w:t>19</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7999" w:history="1">
        <w:r>
          <w:rPr>
            <w:rFonts w:ascii="宋体" w:eastAsia="宋体" w:hAnsi="宋体" w:cs="宋体" w:hint="eastAsia"/>
            <w:kern w:val="2"/>
            <w:szCs w:val="28"/>
          </w:rPr>
          <w:t>6.2 质保期内的技术服务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_Toc17999 </w:instrText>
        </w:r>
        <w:r>
          <w:rPr>
            <w:rFonts w:ascii="宋体" w:eastAsia="宋体" w:hAnsi="宋体" w:cs="宋体" w:hint="eastAsia"/>
          </w:rPr>
          <w:fldChar w:fldCharType="separate"/>
        </w:r>
        <w:r>
          <w:rPr>
            <w:rFonts w:ascii="宋体" w:eastAsia="宋体" w:hAnsi="宋体" w:cs="宋体" w:hint="eastAsia"/>
          </w:rPr>
          <w:t>19</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0951" w:history="1">
        <w:r>
          <w:rPr>
            <w:rFonts w:ascii="宋体" w:eastAsia="宋体" w:hAnsi="宋体" w:cs="宋体" w:hint="eastAsia"/>
            <w:kern w:val="2"/>
            <w:szCs w:val="28"/>
          </w:rPr>
          <w:t>6.3 质保期后的技术服务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_Toc10951 </w:instrText>
        </w:r>
        <w:r>
          <w:rPr>
            <w:rFonts w:ascii="宋体" w:eastAsia="宋体" w:hAnsi="宋体" w:cs="宋体" w:hint="eastAsia"/>
          </w:rPr>
          <w:fldChar w:fldCharType="separate"/>
        </w:r>
        <w:r>
          <w:rPr>
            <w:rFonts w:ascii="宋体" w:eastAsia="宋体" w:hAnsi="宋体" w:cs="宋体" w:hint="eastAsia"/>
          </w:rPr>
          <w:t>19</w:t>
        </w:r>
        <w:r>
          <w:rPr>
            <w:rFonts w:ascii="宋体" w:eastAsia="宋体" w:hAnsi="宋体" w:cs="宋体" w:hint="eastAsia"/>
          </w:rPr>
          <w:fldChar w:fldCharType="end"/>
        </w:r>
      </w:hyperlink>
    </w:p>
    <w:p>
      <w:pPr>
        <w:pStyle w:val="TOC1"/>
        <w:tabs>
          <w:tab w:val="clear" w:pos="630"/>
          <w:tab w:val="clear" w:pos="8296"/>
          <w:tab w:val="right" w:leader="dot" w:pos="8306"/>
        </w:tabs>
        <w:spacing w:line="240" w:lineRule="auto"/>
        <w:rPr>
          <w:rFonts w:ascii="宋体" w:eastAsia="宋体" w:hAnsi="宋体" w:cs="宋体" w:hint="eastAsia"/>
        </w:rPr>
      </w:pPr>
      <w:hyperlink w:anchor="_Toc28691" w:history="1">
        <w:r>
          <w:rPr>
            <w:rFonts w:ascii="宋体" w:eastAsia="宋体" w:hAnsi="宋体" w:cs="宋体" w:hint="eastAsia"/>
            <w:kern w:val="2"/>
            <w:szCs w:val="32"/>
          </w:rPr>
          <w:t>七 施工现场组织机构</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_Toc28691 </w:instrText>
        </w:r>
        <w:r>
          <w:rPr>
            <w:rFonts w:ascii="宋体" w:eastAsia="宋体" w:hAnsi="宋体" w:cs="宋体" w:hint="eastAsia"/>
          </w:rPr>
          <w:fldChar w:fldCharType="separate"/>
        </w:r>
        <w:r>
          <w:rPr>
            <w:rFonts w:ascii="宋体" w:eastAsia="宋体" w:hAnsi="宋体" w:cs="宋体" w:hint="eastAsia"/>
          </w:rPr>
          <w:t>20</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2121" w:history="1">
        <w:r>
          <w:rPr>
            <w:rFonts w:ascii="宋体" w:eastAsia="宋体" w:hAnsi="宋体" w:cs="宋体" w:hint="eastAsia"/>
            <w:szCs w:val="24"/>
            <w:lang w:val="en-US" w:eastAsia="zh-CN"/>
          </w:rPr>
          <w:t>7</w:t>
        </w:r>
        <w:r>
          <w:rPr>
            <w:rFonts w:ascii="宋体" w:eastAsia="宋体" w:hAnsi="宋体" w:cs="宋体" w:hint="eastAsia"/>
            <w:szCs w:val="24"/>
          </w:rPr>
          <w:t>.</w:t>
        </w:r>
        <w:r>
          <w:rPr>
            <w:rFonts w:ascii="宋体" w:eastAsia="宋体" w:hAnsi="宋体" w:cs="宋体" w:hint="eastAsia"/>
            <w:szCs w:val="24"/>
            <w:lang w:val="en-US" w:eastAsia="zh-CN"/>
          </w:rPr>
          <w:t>1</w:t>
        </w:r>
        <w:r>
          <w:rPr>
            <w:rFonts w:ascii="宋体" w:eastAsia="宋体" w:hAnsi="宋体" w:cs="宋体" w:hint="eastAsia"/>
            <w:szCs w:val="24"/>
          </w:rPr>
          <w:t>现场组织</w:t>
        </w:r>
        <w:r>
          <w:rPr>
            <w:rFonts w:ascii="宋体" w:eastAsia="宋体" w:hAnsi="宋体" w:cs="宋体" w:hint="eastAsia"/>
            <w:szCs w:val="24"/>
            <w:lang w:val="en-US" w:eastAsia="zh-CN"/>
          </w:rPr>
          <w:t>结构</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_Toc2121 </w:instrText>
        </w:r>
        <w:r>
          <w:rPr>
            <w:rFonts w:ascii="宋体" w:eastAsia="宋体" w:hAnsi="宋体" w:cs="宋体" w:hint="eastAsia"/>
          </w:rPr>
          <w:fldChar w:fldCharType="separate"/>
        </w:r>
        <w:r>
          <w:rPr>
            <w:rFonts w:ascii="宋体" w:eastAsia="宋体" w:hAnsi="宋体" w:cs="宋体" w:hint="eastAsia"/>
          </w:rPr>
          <w:t>20</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739" w:history="1">
        <w:r>
          <w:rPr>
            <w:rFonts w:ascii="宋体" w:eastAsia="宋体" w:hAnsi="宋体" w:cs="宋体" w:hint="eastAsia"/>
            <w:szCs w:val="24"/>
            <w:lang w:val="en-US" w:eastAsia="zh-CN"/>
          </w:rPr>
          <w:t>7</w:t>
        </w:r>
        <w:r>
          <w:rPr>
            <w:rFonts w:ascii="宋体" w:eastAsia="宋体" w:hAnsi="宋体" w:cs="宋体" w:hint="eastAsia"/>
            <w:szCs w:val="24"/>
          </w:rPr>
          <w:t>.2现场组织管理</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_Toc1739 </w:instrText>
        </w:r>
        <w:r>
          <w:rPr>
            <w:rFonts w:ascii="宋体" w:eastAsia="宋体" w:hAnsi="宋体" w:cs="宋体" w:hint="eastAsia"/>
          </w:rPr>
          <w:fldChar w:fldCharType="separate"/>
        </w:r>
        <w:r>
          <w:rPr>
            <w:rFonts w:ascii="宋体" w:eastAsia="宋体" w:hAnsi="宋体" w:cs="宋体" w:hint="eastAsia"/>
          </w:rPr>
          <w:t>21</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30599" w:history="1">
        <w:r>
          <w:rPr>
            <w:rFonts w:ascii="宋体" w:eastAsia="宋体" w:hAnsi="宋体" w:cs="宋体" w:hint="eastAsia"/>
            <w:szCs w:val="24"/>
            <w:lang w:val="en-US" w:eastAsia="zh-CN"/>
          </w:rPr>
          <w:t>7</w:t>
        </w:r>
        <w:r>
          <w:rPr>
            <w:rFonts w:ascii="宋体" w:eastAsia="宋体" w:hAnsi="宋体" w:cs="宋体" w:hint="eastAsia"/>
            <w:szCs w:val="24"/>
          </w:rPr>
          <w:t>.3主要职责范围</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_Toc30599 </w:instrText>
        </w:r>
        <w:r>
          <w:rPr>
            <w:rFonts w:ascii="宋体" w:eastAsia="宋体" w:hAnsi="宋体" w:cs="宋体" w:hint="eastAsia"/>
          </w:rPr>
          <w:fldChar w:fldCharType="separate"/>
        </w:r>
        <w:r>
          <w:rPr>
            <w:rFonts w:ascii="宋体" w:eastAsia="宋体" w:hAnsi="宋体" w:cs="宋体" w:hint="eastAsia"/>
          </w:rPr>
          <w:t>21</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23420" w:history="1">
        <w:r>
          <w:rPr>
            <w:rFonts w:ascii="宋体" w:eastAsia="宋体" w:hAnsi="宋体" w:cs="宋体" w:hint="eastAsia"/>
            <w:szCs w:val="24"/>
            <w:lang w:val="en-US" w:eastAsia="zh-CN"/>
          </w:rPr>
          <w:t>7</w:t>
        </w:r>
        <w:r>
          <w:rPr>
            <w:rFonts w:ascii="宋体" w:eastAsia="宋体" w:hAnsi="宋体" w:cs="宋体" w:hint="eastAsia"/>
            <w:szCs w:val="24"/>
          </w:rPr>
          <w:t>.4公司本部对本项目的保障作用</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_Toc23420 </w:instrText>
        </w:r>
        <w:r>
          <w:rPr>
            <w:rFonts w:ascii="宋体" w:eastAsia="宋体" w:hAnsi="宋体" w:cs="宋体" w:hint="eastAsia"/>
          </w:rPr>
          <w:fldChar w:fldCharType="separate"/>
        </w:r>
        <w:r>
          <w:rPr>
            <w:rFonts w:ascii="宋体" w:eastAsia="宋体" w:hAnsi="宋体" w:cs="宋体" w:hint="eastAsia"/>
          </w:rPr>
          <w:t>22</w:t>
        </w:r>
        <w:r>
          <w:rPr>
            <w:rFonts w:ascii="宋体" w:eastAsia="宋体" w:hAnsi="宋体" w:cs="宋体" w:hint="eastAsia"/>
          </w:rPr>
          <w:fldChar w:fldCharType="end"/>
        </w:r>
      </w:hyperlink>
    </w:p>
    <w:p>
      <w:pPr>
        <w:pStyle w:val="TOC1"/>
        <w:tabs>
          <w:tab w:val="clear" w:pos="630"/>
          <w:tab w:val="clear" w:pos="8296"/>
          <w:tab w:val="right" w:leader="dot" w:pos="8306"/>
        </w:tabs>
        <w:spacing w:line="240" w:lineRule="auto"/>
        <w:rPr>
          <w:rFonts w:ascii="宋体" w:eastAsia="宋体" w:hAnsi="宋体" w:cs="宋体" w:hint="eastAsia"/>
        </w:rPr>
      </w:pPr>
      <w:hyperlink w:anchor="_Toc23632" w:history="1">
        <w:r>
          <w:rPr>
            <w:rFonts w:ascii="宋体" w:eastAsia="宋体" w:hAnsi="宋体" w:cs="宋体" w:hint="eastAsia"/>
            <w:lang w:val="en-US" w:eastAsia="zh-CN"/>
          </w:rPr>
          <w:t>八</w:t>
        </w:r>
        <w:r>
          <w:rPr>
            <w:rFonts w:ascii="宋体" w:eastAsia="宋体" w:hAnsi="宋体" w:cs="宋体" w:hint="eastAsia"/>
          </w:rPr>
          <w:t>施工方案</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_Toc23632 </w:instrText>
        </w:r>
        <w:r>
          <w:rPr>
            <w:rFonts w:ascii="宋体" w:eastAsia="宋体" w:hAnsi="宋体" w:cs="宋体" w:hint="eastAsia"/>
          </w:rPr>
          <w:fldChar w:fldCharType="separate"/>
        </w:r>
        <w:r>
          <w:rPr>
            <w:rFonts w:ascii="宋体" w:eastAsia="宋体" w:hAnsi="宋体" w:cs="宋体" w:hint="eastAsia"/>
          </w:rPr>
          <w:t>22</w:t>
        </w:r>
        <w:r>
          <w:rPr>
            <w:rFonts w:ascii="宋体" w:eastAsia="宋体" w:hAnsi="宋体" w:cs="宋体" w:hint="eastAsia"/>
          </w:rPr>
          <w:fldChar w:fldCharType="end"/>
        </w:r>
      </w:hyperlink>
    </w:p>
    <w:p>
      <w:pPr>
        <w:pStyle w:val="TOC1"/>
        <w:tabs>
          <w:tab w:val="clear" w:pos="630"/>
          <w:tab w:val="clear" w:pos="8296"/>
          <w:tab w:val="right" w:leader="dot" w:pos="8306"/>
        </w:tabs>
        <w:spacing w:line="240" w:lineRule="auto"/>
        <w:rPr>
          <w:rFonts w:ascii="宋体" w:eastAsia="宋体" w:hAnsi="宋体" w:cs="宋体" w:hint="eastAsia"/>
        </w:rPr>
      </w:pPr>
      <w:hyperlink w:anchor="_Toc9773" w:history="1">
        <w:r>
          <w:rPr>
            <w:rFonts w:ascii="宋体" w:eastAsia="宋体" w:hAnsi="宋体" w:cs="宋体" w:hint="eastAsia"/>
            <w:bCs/>
            <w:lang w:val="en-US" w:eastAsia="zh-CN"/>
          </w:rPr>
          <w:t>8</w:t>
        </w:r>
        <w:r>
          <w:rPr>
            <w:rFonts w:ascii="宋体" w:eastAsia="宋体" w:hAnsi="宋体" w:cs="宋体" w:hint="eastAsia"/>
            <w:bCs/>
          </w:rPr>
          <w:t>.1总则</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_Toc9773 </w:instrText>
        </w:r>
        <w:r>
          <w:rPr>
            <w:rFonts w:ascii="宋体" w:eastAsia="宋体" w:hAnsi="宋体" w:cs="宋体" w:hint="eastAsia"/>
          </w:rPr>
          <w:fldChar w:fldCharType="separate"/>
        </w:r>
        <w:r>
          <w:rPr>
            <w:rFonts w:ascii="宋体" w:eastAsia="宋体" w:hAnsi="宋体" w:cs="宋体" w:hint="eastAsia"/>
          </w:rPr>
          <w:t>22</w:t>
        </w:r>
        <w:r>
          <w:rPr>
            <w:rFonts w:ascii="宋体" w:eastAsia="宋体" w:hAnsi="宋体" w:cs="宋体" w:hint="eastAsia"/>
          </w:rPr>
          <w:fldChar w:fldCharType="end"/>
        </w:r>
      </w:hyperlink>
    </w:p>
    <w:p>
      <w:pPr>
        <w:pStyle w:val="TOC1"/>
        <w:tabs>
          <w:tab w:val="clear" w:pos="630"/>
          <w:tab w:val="clear" w:pos="8296"/>
          <w:tab w:val="right" w:leader="dot" w:pos="8306"/>
        </w:tabs>
        <w:spacing w:line="240" w:lineRule="auto"/>
        <w:rPr>
          <w:rFonts w:ascii="宋体" w:eastAsia="宋体" w:hAnsi="宋体" w:cs="宋体" w:hint="eastAsia"/>
        </w:rPr>
        <w:sectPr>
          <w:headerReference w:type="default" r:id="rId10"/>
          <w:footerReference w:type="default" r:id="rId11"/>
          <w:type w:val="nextPage"/>
          <w:pgSz w:w="11906" w:h="16838"/>
          <w:pgMar w:top="1440" w:right="1800" w:bottom="1440" w:left="1800" w:header="851" w:footer="992" w:gutter="0"/>
          <w:pgNumType w:fmt="decimal" w:start="2"/>
          <w:cols w:num="1" w:space="720"/>
          <w:titlePg w:val="0"/>
          <w:docGrid w:type="lines" w:linePitch="312" w:charSpace="0"/>
        </w:sectPr>
      </w:pPr>
      <w:hyperlink w:anchor="_Toc11320" w:history="1">
        <w:r>
          <w:rPr>
            <w:rFonts w:ascii="宋体" w:eastAsia="宋体" w:hAnsi="宋体" w:cs="宋体" w:hint="eastAsia"/>
            <w:bCs/>
            <w:lang w:val="en-US" w:eastAsia="zh-CN"/>
          </w:rPr>
          <w:t>8</w:t>
        </w:r>
        <w:r>
          <w:rPr>
            <w:rFonts w:ascii="宋体" w:eastAsia="宋体" w:hAnsi="宋体" w:cs="宋体" w:hint="eastAsia"/>
            <w:bCs/>
          </w:rPr>
          <w:t>.2施工流程</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_Toc11320 </w:instrText>
        </w:r>
        <w:r>
          <w:rPr>
            <w:rFonts w:ascii="宋体" w:eastAsia="宋体" w:hAnsi="宋体" w:cs="宋体" w:hint="eastAsia"/>
          </w:rPr>
          <w:fldChar w:fldCharType="separate"/>
        </w:r>
        <w:r>
          <w:rPr>
            <w:rFonts w:ascii="宋体" w:eastAsia="宋体" w:hAnsi="宋体" w:cs="宋体" w:hint="eastAsia"/>
          </w:rPr>
          <w:t>22</w:t>
        </w:r>
        <w:r>
          <w:rPr>
            <w:rFonts w:ascii="宋体" w:eastAsia="宋体" w:hAnsi="宋体" w:cs="宋体" w:hint="eastAsia"/>
          </w:rPr>
          <w:fldChar w:fldCharType="end"/>
        </w:r>
      </w:hyperlink>
    </w:p>
    <w:p>
      <w:pPr>
        <w:pStyle w:val="TOC1"/>
        <w:tabs>
          <w:tab w:val="clear" w:pos="630"/>
          <w:tab w:val="clear" w:pos="8296"/>
          <w:tab w:val="right" w:leader="dot" w:pos="8306"/>
        </w:tabs>
        <w:spacing w:line="240" w:lineRule="auto"/>
        <w:rPr>
          <w:rFonts w:ascii="宋体" w:eastAsia="宋体" w:hAnsi="宋体" w:cs="宋体" w:hint="eastAsia"/>
        </w:rPr>
      </w:pPr>
      <w:hyperlink w:anchor="_Toc21797" w:history="1">
        <w:r>
          <w:rPr>
            <w:rFonts w:ascii="宋体" w:eastAsia="宋体" w:hAnsi="宋体" w:cs="宋体" w:hint="eastAsia"/>
            <w:bCs/>
            <w:lang w:val="en-US" w:eastAsia="zh-CN"/>
          </w:rPr>
          <w:t>8</w:t>
        </w:r>
        <w:r>
          <w:rPr>
            <w:rFonts w:ascii="宋体" w:eastAsia="宋体" w:hAnsi="宋体" w:cs="宋体" w:hint="eastAsia"/>
            <w:bCs/>
          </w:rPr>
          <w:t>.3施工前的准备</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_Toc21797 </w:instrText>
        </w:r>
        <w:r>
          <w:rPr>
            <w:rFonts w:ascii="宋体" w:eastAsia="宋体" w:hAnsi="宋体" w:cs="宋体" w:hint="eastAsia"/>
          </w:rPr>
          <w:fldChar w:fldCharType="separate"/>
        </w:r>
        <w:r>
          <w:rPr>
            <w:rFonts w:ascii="宋体" w:eastAsia="宋体" w:hAnsi="宋体" w:cs="宋体" w:hint="eastAsia"/>
          </w:rPr>
          <w:t>22</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4180" w:history="1">
        <w:r>
          <w:rPr>
            <w:rFonts w:ascii="宋体" w:eastAsia="宋体" w:hAnsi="宋体" w:cs="宋体" w:hint="eastAsia"/>
            <w:szCs w:val="24"/>
            <w:lang w:val="en-US" w:eastAsia="zh-CN"/>
          </w:rPr>
          <w:t>8</w:t>
        </w:r>
        <w:r>
          <w:rPr>
            <w:rFonts w:ascii="宋体" w:eastAsia="宋体" w:hAnsi="宋体" w:cs="宋体" w:hint="eastAsia"/>
            <w:szCs w:val="24"/>
          </w:rPr>
          <w:t>.3.1施工工具的准备</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_Toc14180 </w:instrText>
        </w:r>
        <w:r>
          <w:rPr>
            <w:rFonts w:ascii="宋体" w:eastAsia="宋体" w:hAnsi="宋体" w:cs="宋体" w:hint="eastAsia"/>
          </w:rPr>
          <w:fldChar w:fldCharType="separate"/>
        </w:r>
        <w:r>
          <w:rPr>
            <w:rFonts w:ascii="宋体" w:eastAsia="宋体" w:hAnsi="宋体" w:cs="宋体" w:hint="eastAsia"/>
          </w:rPr>
          <w:t>22</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3842" w:history="1">
        <w:r>
          <w:rPr>
            <w:rFonts w:ascii="宋体" w:eastAsia="宋体" w:hAnsi="宋体" w:cs="宋体" w:hint="eastAsia"/>
            <w:szCs w:val="24"/>
            <w:lang w:val="en-US" w:eastAsia="zh-CN"/>
          </w:rPr>
          <w:t>8</w:t>
        </w:r>
        <w:r>
          <w:rPr>
            <w:rFonts w:ascii="宋体" w:eastAsia="宋体" w:hAnsi="宋体" w:cs="宋体" w:hint="eastAsia"/>
            <w:szCs w:val="24"/>
          </w:rPr>
          <w:t>.3.2施工计划安排</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_Toc3842 </w:instrText>
        </w:r>
        <w:r>
          <w:rPr>
            <w:rFonts w:ascii="宋体" w:eastAsia="宋体" w:hAnsi="宋体" w:cs="宋体" w:hint="eastAsia"/>
          </w:rPr>
          <w:fldChar w:fldCharType="separate"/>
        </w:r>
        <w:r>
          <w:rPr>
            <w:rFonts w:ascii="宋体" w:eastAsia="宋体" w:hAnsi="宋体" w:cs="宋体" w:hint="eastAsia"/>
          </w:rPr>
          <w:t>23</w:t>
        </w:r>
        <w:r>
          <w:rPr>
            <w:rFonts w:ascii="宋体" w:eastAsia="宋体" w:hAnsi="宋体" w:cs="宋体" w:hint="eastAsia"/>
          </w:rPr>
          <w:fldChar w:fldCharType="end"/>
        </w:r>
      </w:hyperlink>
    </w:p>
    <w:p>
      <w:pPr>
        <w:pStyle w:val="TOC1"/>
        <w:tabs>
          <w:tab w:val="clear" w:pos="630"/>
          <w:tab w:val="clear" w:pos="8296"/>
          <w:tab w:val="right" w:leader="dot" w:pos="8306"/>
        </w:tabs>
        <w:spacing w:line="240" w:lineRule="auto"/>
        <w:rPr>
          <w:rFonts w:ascii="宋体" w:eastAsia="宋体" w:hAnsi="宋体" w:cs="宋体" w:hint="eastAsia"/>
        </w:rPr>
      </w:pPr>
      <w:hyperlink w:anchor="_Toc3270" w:history="1">
        <w:r>
          <w:rPr>
            <w:rFonts w:ascii="宋体" w:eastAsia="宋体" w:hAnsi="宋体" w:cs="宋体" w:hint="eastAsia"/>
            <w:bCs/>
            <w:lang w:val="en-US" w:eastAsia="zh-CN"/>
          </w:rPr>
          <w:t>8</w:t>
        </w:r>
        <w:r>
          <w:rPr>
            <w:rFonts w:ascii="宋体" w:eastAsia="宋体" w:hAnsi="宋体" w:cs="宋体" w:hint="eastAsia"/>
            <w:bCs/>
          </w:rPr>
          <w:t>.4 到货验收</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_Toc3270 </w:instrText>
        </w:r>
        <w:r>
          <w:rPr>
            <w:rFonts w:ascii="宋体" w:eastAsia="宋体" w:hAnsi="宋体" w:cs="宋体" w:hint="eastAsia"/>
          </w:rPr>
          <w:fldChar w:fldCharType="separate"/>
        </w:r>
        <w:r>
          <w:rPr>
            <w:rFonts w:ascii="宋体" w:eastAsia="宋体" w:hAnsi="宋体" w:cs="宋体" w:hint="eastAsia"/>
          </w:rPr>
          <w:t>23</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18071" w:history="1">
        <w:r>
          <w:rPr>
            <w:rFonts w:ascii="宋体" w:eastAsia="宋体" w:hAnsi="宋体" w:cs="宋体" w:hint="eastAsia"/>
            <w:szCs w:val="24"/>
            <w:lang w:val="en-US" w:eastAsia="zh-CN"/>
          </w:rPr>
          <w:t>8</w:t>
        </w:r>
        <w:r>
          <w:rPr>
            <w:rFonts w:ascii="宋体" w:eastAsia="宋体" w:hAnsi="宋体" w:cs="宋体" w:hint="eastAsia"/>
            <w:szCs w:val="24"/>
          </w:rPr>
          <w:t>.4.1现场清点设备</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_Toc18071 </w:instrText>
        </w:r>
        <w:r>
          <w:rPr>
            <w:rFonts w:ascii="宋体" w:eastAsia="宋体" w:hAnsi="宋体" w:cs="宋体" w:hint="eastAsia"/>
          </w:rPr>
          <w:fldChar w:fldCharType="separate"/>
        </w:r>
        <w:r>
          <w:rPr>
            <w:rFonts w:ascii="宋体" w:eastAsia="宋体" w:hAnsi="宋体" w:cs="宋体" w:hint="eastAsia"/>
          </w:rPr>
          <w:t>23</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31995" w:history="1">
        <w:r>
          <w:rPr>
            <w:rFonts w:ascii="宋体" w:eastAsia="宋体" w:hAnsi="宋体" w:cs="宋体" w:hint="eastAsia"/>
            <w:szCs w:val="24"/>
            <w:lang w:val="en-US" w:eastAsia="zh-CN"/>
          </w:rPr>
          <w:t>8</w:t>
        </w:r>
        <w:r>
          <w:rPr>
            <w:rFonts w:ascii="宋体" w:eastAsia="宋体" w:hAnsi="宋体" w:cs="宋体" w:hint="eastAsia"/>
            <w:szCs w:val="24"/>
          </w:rPr>
          <w:t>.4.2签字确认</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_Toc31995 </w:instrText>
        </w:r>
        <w:r>
          <w:rPr>
            <w:rFonts w:ascii="宋体" w:eastAsia="宋体" w:hAnsi="宋体" w:cs="宋体" w:hint="eastAsia"/>
          </w:rPr>
          <w:fldChar w:fldCharType="separate"/>
        </w:r>
        <w:r>
          <w:rPr>
            <w:rFonts w:ascii="宋体" w:eastAsia="宋体" w:hAnsi="宋体" w:cs="宋体" w:hint="eastAsia"/>
          </w:rPr>
          <w:t>24</w:t>
        </w:r>
        <w:r>
          <w:rPr>
            <w:rFonts w:ascii="宋体" w:eastAsia="宋体" w:hAnsi="宋体" w:cs="宋体" w:hint="eastAsia"/>
          </w:rPr>
          <w:fldChar w:fldCharType="end"/>
        </w:r>
      </w:hyperlink>
    </w:p>
    <w:p>
      <w:pPr>
        <w:pStyle w:val="TOC1"/>
        <w:tabs>
          <w:tab w:val="clear" w:pos="630"/>
          <w:tab w:val="clear" w:pos="8296"/>
          <w:tab w:val="right" w:leader="dot" w:pos="8306"/>
        </w:tabs>
        <w:spacing w:line="240" w:lineRule="auto"/>
        <w:rPr>
          <w:rFonts w:ascii="宋体" w:eastAsia="宋体" w:hAnsi="宋体" w:cs="宋体" w:hint="eastAsia"/>
        </w:rPr>
      </w:pPr>
      <w:hyperlink w:anchor="_Toc30392" w:history="1">
        <w:r>
          <w:rPr>
            <w:rFonts w:ascii="宋体" w:eastAsia="宋体" w:hAnsi="宋体" w:cs="宋体" w:hint="eastAsia"/>
            <w:bCs/>
            <w:lang w:val="en-US" w:eastAsia="zh-CN"/>
          </w:rPr>
          <w:t>8</w:t>
        </w:r>
        <w:r>
          <w:rPr>
            <w:rFonts w:ascii="宋体" w:eastAsia="宋体" w:hAnsi="宋体" w:cs="宋体" w:hint="eastAsia"/>
            <w:bCs/>
          </w:rPr>
          <w:t>.5硬件组屏加电调试</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_Toc30392 </w:instrText>
        </w:r>
        <w:r>
          <w:rPr>
            <w:rFonts w:ascii="宋体" w:eastAsia="宋体" w:hAnsi="宋体" w:cs="宋体" w:hint="eastAsia"/>
          </w:rPr>
          <w:fldChar w:fldCharType="separate"/>
        </w:r>
        <w:r>
          <w:rPr>
            <w:rFonts w:ascii="宋体" w:eastAsia="宋体" w:hAnsi="宋体" w:cs="宋体" w:hint="eastAsia"/>
          </w:rPr>
          <w:t>24</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6516" w:history="1">
        <w:r>
          <w:rPr>
            <w:rFonts w:ascii="宋体" w:eastAsia="宋体" w:hAnsi="宋体" w:cs="宋体" w:hint="eastAsia"/>
            <w:szCs w:val="24"/>
          </w:rPr>
          <w:t>4.5.1 注意事项</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_Toc6516 </w:instrText>
        </w:r>
        <w:r>
          <w:rPr>
            <w:rFonts w:ascii="宋体" w:eastAsia="宋体" w:hAnsi="宋体" w:cs="宋体" w:hint="eastAsia"/>
          </w:rPr>
          <w:fldChar w:fldCharType="separate"/>
        </w:r>
        <w:r>
          <w:rPr>
            <w:rFonts w:ascii="宋体" w:eastAsia="宋体" w:hAnsi="宋体" w:cs="宋体" w:hint="eastAsia"/>
          </w:rPr>
          <w:t>24</w:t>
        </w:r>
        <w:r>
          <w:rPr>
            <w:rFonts w:ascii="宋体" w:eastAsia="宋体" w:hAnsi="宋体" w:cs="宋体" w:hint="eastAsia"/>
          </w:rPr>
          <w:fldChar w:fldCharType="end"/>
        </w:r>
      </w:hyperlink>
    </w:p>
    <w:p>
      <w:pPr>
        <w:pStyle w:val="TOC2"/>
        <w:tabs>
          <w:tab w:val="clear" w:pos="1050"/>
          <w:tab w:val="clear" w:pos="8296"/>
          <w:tab w:val="right" w:leader="dot" w:pos="8306"/>
        </w:tabs>
        <w:spacing w:line="240" w:lineRule="auto"/>
        <w:rPr>
          <w:rFonts w:ascii="宋体" w:eastAsia="宋体" w:hAnsi="宋体" w:cs="宋体" w:hint="eastAsia"/>
        </w:rPr>
      </w:pPr>
      <w:hyperlink w:anchor="_Toc3416" w:history="1">
        <w:r>
          <w:rPr>
            <w:rFonts w:ascii="宋体" w:eastAsia="宋体" w:hAnsi="宋体" w:cs="宋体" w:hint="eastAsia"/>
            <w:szCs w:val="21"/>
            <w:lang w:val="en-US" w:eastAsia="zh-CN"/>
          </w:rPr>
          <w:t>8</w:t>
        </w:r>
        <w:r>
          <w:rPr>
            <w:rFonts w:ascii="宋体" w:eastAsia="宋体" w:hAnsi="宋体" w:cs="宋体" w:hint="eastAsia"/>
            <w:szCs w:val="21"/>
          </w:rPr>
          <w:t>.5.2 安装流程</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_Toc3416 </w:instrText>
        </w:r>
        <w:r>
          <w:rPr>
            <w:rFonts w:ascii="宋体" w:eastAsia="宋体" w:hAnsi="宋体" w:cs="宋体" w:hint="eastAsia"/>
          </w:rPr>
          <w:fldChar w:fldCharType="separate"/>
        </w:r>
        <w:r>
          <w:rPr>
            <w:rFonts w:ascii="宋体" w:eastAsia="宋体" w:hAnsi="宋体" w:cs="宋体" w:hint="eastAsia"/>
          </w:rPr>
          <w:t>24</w:t>
        </w:r>
        <w:r>
          <w:rPr>
            <w:rFonts w:ascii="宋体" w:eastAsia="宋体" w:hAnsi="宋体" w:cs="宋体" w:hint="eastAsia"/>
          </w:rPr>
          <w:fldChar w:fldCharType="end"/>
        </w:r>
      </w:hyperlink>
    </w:p>
    <w:p>
      <w:pPr>
        <w:spacing w:line="240" w:lineRule="auto"/>
        <w:rPr>
          <w:rFonts w:ascii="宋体" w:hAnsi="宋体" w:cs="宋体" w:hint="eastAsia"/>
          <w:sz w:val="24"/>
          <w:szCs w:val="24"/>
        </w:rPr>
        <w:sectPr>
          <w:headerReference w:type="default" r:id="rId12"/>
          <w:footerReference w:type="default" r:id="rId13"/>
          <w:type w:val="nextPage"/>
          <w:pgSz w:w="11906" w:h="16838"/>
          <w:pgMar w:top="1440" w:right="1800" w:bottom="1440" w:left="1800" w:header="851" w:footer="992" w:gutter="0"/>
          <w:pgNumType w:fmt="decimal" w:start="3"/>
          <w:cols w:num="1" w:space="720"/>
          <w:titlePg w:val="0"/>
          <w:docGrid w:type="lines" w:linePitch="312" w:charSpace="0"/>
        </w:sectPr>
      </w:pPr>
      <w:r>
        <w:rPr>
          <w:rFonts w:ascii="宋体" w:eastAsia="宋体" w:hAnsi="宋体" w:cs="宋体" w:hint="eastAsia"/>
          <w:szCs w:val="24"/>
        </w:rPr>
        <w:fldChar w:fldCharType="end"/>
      </w:r>
    </w:p>
    <w:p>
      <w:pPr>
        <w:sectPr>
          <w:headerReference w:type="default" r:id="rId14"/>
          <w:footerReference w:type="default" r:id="rId15"/>
          <w:type w:val="continuous"/>
          <w:pgSz w:w="11906" w:h="16838"/>
          <w:pgMar w:top="1440" w:right="1800" w:bottom="1440" w:left="1800" w:header="851" w:footer="567" w:gutter="0"/>
          <w:pgNumType w:fmt="decimal" w:start="0" w:chapStyle="1"/>
          <w:cols w:num="1" w:space="425"/>
          <w:titlePg/>
          <w:docGrid w:type="lines" w:linePitch="312" w:charSpace="0"/>
        </w:sectPr>
      </w:pPr>
    </w:p>
    <w:p>
      <w:pPr>
        <w:numPr>
          <w:ilvl w:val="0"/>
          <w:numId w:val="3"/>
        </w:numPr>
        <w:tabs>
          <w:tab w:val="left" w:pos="420"/>
        </w:tabs>
        <w:spacing w:line="240" w:lineRule="auto"/>
        <w:ind w:left="420" w:hanging="420"/>
        <w:jc w:val="center"/>
        <w:outlineLvl w:val="0"/>
        <w:rPr>
          <w:rFonts w:ascii="黑体" w:eastAsia="黑体" w:hAnsi="华文仿宋"/>
          <w:b/>
          <w:kern w:val="2"/>
          <w:sz w:val="28"/>
          <w:szCs w:val="32"/>
        </w:rPr>
      </w:pPr>
      <w:bookmarkStart w:id="0" w:name="_Toc19580"/>
      <w:r>
        <w:rPr>
          <w:rFonts w:ascii="黑体" w:eastAsia="黑体" w:hAnsi="华文仿宋" w:hint="eastAsia"/>
          <w:b/>
          <w:kern w:val="2"/>
          <w:sz w:val="28"/>
          <w:szCs w:val="32"/>
        </w:rPr>
        <w:t>背景概述</w:t>
      </w:r>
      <w:bookmarkEnd w:id="0"/>
    </w:p>
    <w:p>
      <w:pPr>
        <w:tabs>
          <w:tab w:val="left" w:pos="425"/>
        </w:tabs>
        <w:spacing w:line="360" w:lineRule="auto"/>
        <w:jc w:val="both"/>
        <w:outlineLvl w:val="1"/>
        <w:rPr>
          <w:rFonts w:ascii="黑体" w:eastAsia="黑体" w:hAnsi="华文仿宋"/>
          <w:kern w:val="2"/>
          <w:sz w:val="24"/>
          <w:szCs w:val="28"/>
        </w:rPr>
      </w:pPr>
      <w:bookmarkStart w:id="1" w:name="_Toc7836"/>
      <w:r>
        <w:rPr>
          <w:rFonts w:ascii="黑体" w:eastAsia="黑体" w:hAnsi="华文仿宋" w:hint="eastAsia"/>
          <w:kern w:val="2"/>
          <w:sz w:val="24"/>
          <w:szCs w:val="28"/>
        </w:rPr>
        <w:t>1.1电源系统</w:t>
      </w:r>
      <w:bookmarkEnd w:id="1"/>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变电站电力电源系统分为直流电源、交流电源，其中直流电源又可分为直流操作电源、直流通信电源。直流操作电源系统是变电站中非常重要的一种二次设备，它的主要任务是给继电保护、开关合分及控制提供不间断连续可靠的操作电源，确保继电保护、通信设备的正常运行；而直流通信电源又为站内所有网络设备提供能源，确保站内设备通讯的可靠性，其性能和质量的好坏直接影响关系到电网的稳定运行和设备安全。</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蓄电池是电力电源系统中直流供电系统的重要组成部分，作为整个直流系统的后备电源，他是整个电源系统的最后一道供电保障，在交流电失电或其它事故状态下蓄电池组一旦出现问题，整个供电系统将面临瘫痪的可能，会造成设备停运甚至其它重大运行事故。因此，蓄电池的稳定性和在放电过程中能提供给负载的实际容量对确保电力设备的安全运行具有十分重要的意义。</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以前，变电站大多为有人员值班，通过定期对设备运行状态进行检查，以便于及时发现并且解决一些异常情况，保障变电站的安全稳定运行。随着无人值班变电站的推广，尽管调度中心可以通过远动通道方式获得变电站运行状态，但是在直流电源部分，调度中心获得的重要信息不足或不细，比如充电机故障、直流绝缘接地、控合母电压、馈线故障、蓄电池性能等，系统无法全面准确的获知电源系统运行状况，而且，在系统刚出现运行异常时反应不足，直至异常升级时系统故障才上发调度，而此时，可能已对电力系统造成很大影响。同时，随着变电站数量的增多，维护人员数量相对不足，对设备的维护检修得不到很好的保证，这种运维的难度、成本将逐步提高，而且存在很大的安全隐患。</w:t>
      </w:r>
    </w:p>
    <w:p>
      <w:pPr>
        <w:tabs>
          <w:tab w:val="left" w:pos="425"/>
        </w:tabs>
        <w:spacing w:line="360" w:lineRule="auto"/>
        <w:jc w:val="both"/>
        <w:outlineLvl w:val="1"/>
        <w:rPr>
          <w:rFonts w:ascii="黑体" w:eastAsia="黑体" w:hAnsi="华文仿宋"/>
          <w:kern w:val="2"/>
          <w:sz w:val="24"/>
          <w:szCs w:val="28"/>
        </w:rPr>
      </w:pPr>
      <w:bookmarkStart w:id="2" w:name="_Toc19023"/>
      <w:r>
        <w:rPr>
          <w:rFonts w:ascii="黑体" w:eastAsia="黑体" w:hAnsi="华文仿宋" w:hint="eastAsia"/>
          <w:kern w:val="2"/>
          <w:sz w:val="24"/>
          <w:szCs w:val="28"/>
        </w:rPr>
        <w:t>1.2电源系统隐患点</w:t>
      </w:r>
      <w:bookmarkEnd w:id="2"/>
    </w:p>
    <w:p>
      <w:pPr>
        <w:spacing w:line="360" w:lineRule="auto"/>
        <w:ind w:firstLine="420" w:firstLineChars="200"/>
        <w:rPr>
          <w:rFonts w:ascii="华文细黑" w:eastAsia="华文细黑" w:hAnsi="华文细黑"/>
          <w:color w:val="FF0000"/>
          <w:szCs w:val="24"/>
        </w:rPr>
      </w:pPr>
      <w:r>
        <w:rPr>
          <w:rFonts w:ascii="华文细黑" w:eastAsia="华文细黑" w:hAnsi="华文细黑" w:hint="eastAsia"/>
          <w:szCs w:val="24"/>
        </w:rPr>
        <w:t>经过多年对电源系统及蓄电池的研究，我们发现不</w:t>
      </w:r>
      <w:r>
        <w:rPr>
          <w:rFonts w:ascii="华文细黑" w:eastAsia="华文细黑" w:hAnsi="华文细黑" w:hint="eastAsia"/>
          <w:color w:val="000000" w:themeColor="text1"/>
          <w:szCs w:val="24"/>
        </w:rPr>
        <w:t>同区域、不同客户对电源系统及蓄电池的理解不同，有些地方采用常规手段对系统进行运维管理，有些也试点一些监测方法，但我们仍发现有这样的问题:</w:t>
      </w:r>
    </w:p>
    <w:p>
      <w:pPr>
        <w:pStyle w:val="ListParagraph"/>
        <w:numPr>
          <w:ilvl w:val="0"/>
          <w:numId w:val="4"/>
        </w:numPr>
        <w:spacing w:line="360" w:lineRule="auto"/>
        <w:ind w:firstLineChars="0"/>
        <w:rPr>
          <w:rFonts w:ascii="华文细黑" w:eastAsia="华文细黑" w:hAnsi="华文细黑"/>
          <w:szCs w:val="21"/>
        </w:rPr>
      </w:pPr>
      <w:r>
        <w:rPr>
          <w:rFonts w:ascii="华文细黑" w:eastAsia="华文细黑" w:hAnsi="华文细黑" w:hint="eastAsia"/>
          <w:szCs w:val="21"/>
        </w:rPr>
        <w:t>数据采集不全面，监控点不细，存在监测盲点，未统一监控和管理；</w:t>
      </w:r>
    </w:p>
    <w:p>
      <w:pPr>
        <w:pStyle w:val="ListParagraph"/>
        <w:numPr>
          <w:ilvl w:val="0"/>
          <w:numId w:val="4"/>
        </w:numPr>
        <w:spacing w:line="360" w:lineRule="auto"/>
        <w:ind w:firstLineChars="0"/>
        <w:rPr>
          <w:rFonts w:ascii="华文细黑" w:eastAsia="华文细黑" w:hAnsi="华文细黑"/>
          <w:szCs w:val="21"/>
        </w:rPr>
        <w:sectPr>
          <w:headerReference w:type="default" r:id="rId16"/>
          <w:footerReference w:type="default" r:id="rId17"/>
          <w:type w:val="nextPage"/>
          <w:pgSz w:w="11906" w:h="16838"/>
          <w:pgMar w:top="1440" w:right="1800" w:bottom="1440" w:left="1800" w:header="851" w:footer="567" w:gutter="0"/>
          <w:pgNumType w:fmt="decimal" w:start="1" w:chapStyle="1"/>
          <w:cols w:num="1" w:space="425"/>
          <w:titlePg w:val="0"/>
          <w:docGrid w:type="lines" w:linePitch="312" w:charSpace="0"/>
        </w:sectPr>
      </w:pPr>
      <w:r>
        <w:rPr>
          <w:rFonts w:ascii="华文细黑" w:eastAsia="华文细黑" w:hAnsi="华文细黑" w:hint="eastAsia"/>
          <w:szCs w:val="21"/>
        </w:rPr>
        <w:t>各电源监测子系统独立，未统一综合评估电源系统性能；</w:t>
      </w:r>
    </w:p>
    <w:p>
      <w:pPr>
        <w:pStyle w:val="ListParagraph"/>
        <w:numPr>
          <w:ilvl w:val="0"/>
          <w:numId w:val="4"/>
        </w:numPr>
        <w:spacing w:line="360" w:lineRule="auto"/>
        <w:ind w:firstLineChars="0"/>
        <w:rPr>
          <w:rFonts w:ascii="华文细黑" w:eastAsia="华文细黑" w:hAnsi="华文细黑"/>
          <w:szCs w:val="21"/>
        </w:rPr>
      </w:pPr>
      <w:r>
        <w:rPr>
          <w:rFonts w:ascii="华文细黑" w:eastAsia="华文细黑" w:hAnsi="华文细黑" w:hint="eastAsia"/>
          <w:szCs w:val="21"/>
        </w:rPr>
        <w:t>电源系统中的蓄电池组存在很大安全隐患，也未被重视；</w:t>
      </w:r>
    </w:p>
    <w:p>
      <w:pPr>
        <w:pStyle w:val="ListParagraph"/>
        <w:numPr>
          <w:ilvl w:val="0"/>
          <w:numId w:val="4"/>
        </w:numPr>
        <w:spacing w:line="360" w:lineRule="auto"/>
        <w:ind w:firstLineChars="0"/>
        <w:rPr>
          <w:rFonts w:ascii="华文细黑" w:eastAsia="华文细黑" w:hAnsi="华文细黑"/>
          <w:szCs w:val="21"/>
        </w:rPr>
      </w:pPr>
      <w:r>
        <w:rPr>
          <w:rFonts w:ascii="华文细黑" w:eastAsia="华文细黑" w:hAnsi="华文细黑" w:hint="eastAsia"/>
          <w:szCs w:val="21"/>
        </w:rPr>
        <w:t>人工巡检存在运维难、成本高、不实时、不安全等缺点。</w:t>
      </w:r>
    </w:p>
    <w:p>
      <w:pPr>
        <w:tabs>
          <w:tab w:val="left" w:pos="425"/>
        </w:tabs>
        <w:spacing w:line="360" w:lineRule="auto"/>
        <w:jc w:val="both"/>
        <w:outlineLvl w:val="1"/>
        <w:rPr>
          <w:rFonts w:ascii="黑体" w:eastAsia="黑体" w:hAnsi="华文仿宋"/>
          <w:kern w:val="2"/>
          <w:sz w:val="24"/>
          <w:szCs w:val="28"/>
        </w:rPr>
      </w:pPr>
      <w:bookmarkStart w:id="3" w:name="_Toc15856"/>
      <w:r>
        <w:rPr>
          <w:rFonts w:ascii="黑体" w:eastAsia="黑体" w:hAnsi="华文仿宋" w:hint="eastAsia"/>
          <w:kern w:val="2"/>
          <w:sz w:val="24"/>
          <w:szCs w:val="28"/>
        </w:rPr>
        <w:t>1.3规范要求</w:t>
      </w:r>
      <w:bookmarkEnd w:id="3"/>
    </w:p>
    <w:p>
      <w:pPr>
        <w:pStyle w:val="Heading3"/>
        <w:spacing w:before="0" w:after="0" w:line="240" w:lineRule="auto"/>
        <w:rPr>
          <w:rFonts w:ascii="黑体" w:eastAsia="黑体" w:hAnsi="黑体"/>
          <w:b w:val="0"/>
          <w:sz w:val="21"/>
          <w:szCs w:val="24"/>
        </w:rPr>
      </w:pPr>
      <w:bookmarkStart w:id="4" w:name="_Toc350369193"/>
      <w:r>
        <w:rPr>
          <w:rFonts w:ascii="黑体" w:eastAsia="黑体" w:hAnsi="黑体" w:hint="eastAsia"/>
          <w:b w:val="0"/>
          <w:sz w:val="21"/>
          <w:szCs w:val="24"/>
        </w:rPr>
        <w:t>1.3.1</w:t>
      </w:r>
      <w:bookmarkEnd w:id="4"/>
      <w:r>
        <w:rPr>
          <w:rFonts w:ascii="黑体" w:eastAsia="黑体" w:hAnsi="黑体" w:hint="eastAsia"/>
          <w:b w:val="0"/>
          <w:sz w:val="21"/>
          <w:szCs w:val="24"/>
        </w:rPr>
        <w:t>《智能变电站一体化监控系统功能规范 Q/GDW 678 -2011》</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其中涉及如下相关描述：</w:t>
      </w:r>
    </w:p>
    <w:p>
      <w:pPr>
        <w:spacing w:line="360" w:lineRule="auto"/>
        <w:ind w:left="210" w:firstLine="210"/>
        <w:rPr>
          <w:rFonts w:ascii="华文细黑" w:eastAsia="华文细黑" w:hAnsi="华文细黑"/>
          <w:szCs w:val="21"/>
        </w:rPr>
      </w:pPr>
      <w:r>
        <w:rPr>
          <w:rFonts w:ascii="华文细黑" w:eastAsia="华文细黑" w:hAnsi="华文细黑" w:hint="eastAsia"/>
          <w:szCs w:val="21"/>
        </w:rPr>
        <w:t>11.2 电源监测</w:t>
      </w:r>
    </w:p>
    <w:p>
      <w:pPr>
        <w:spacing w:line="360" w:lineRule="auto"/>
        <w:ind w:left="210" w:firstLine="210"/>
        <w:rPr>
          <w:rFonts w:ascii="华文细黑" w:eastAsia="华文细黑" w:hAnsi="华文细黑"/>
          <w:szCs w:val="21"/>
        </w:rPr>
      </w:pPr>
      <w:r>
        <w:rPr>
          <w:rFonts w:ascii="华文细黑" w:eastAsia="华文细黑" w:hAnsi="华文细黑" w:hint="eastAsia"/>
          <w:szCs w:val="21"/>
        </w:rPr>
        <w:t>电源监测应明确检测对象和范围，要求如下：</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a）监测范围包括:交流电源、直流电源、通信电源、逆变电源、绿色电源等；</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b）电源运行状态信息包括：三相交流输入电压、充电装置输出电压、充电装置输出电流、母线电压、电池电压、电池电流、各模块输出电压电流、各种位置信号、各种故障信息、单体电池电压、电池组温度等；</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c）电源告警信息包括：交流输入过压、欠压、缺相，直流母线过压、欠压，电池组过压、欠压，模块故障，电池单体过压、欠压等；</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d）绿色电源监测信息包括：系统母线电压、累积电量、变压器输入输出电流、逆变器输入输出电压、输入输出电流、汇流箱输入输出电流（光伏发电）、风机运行状态（风力发电）等。</w:t>
      </w:r>
    </w:p>
    <w:p>
      <w:pPr>
        <w:pStyle w:val="Heading3"/>
        <w:spacing w:before="0" w:after="0" w:line="240" w:lineRule="auto"/>
        <w:rPr>
          <w:rFonts w:ascii="黑体" w:eastAsia="黑体" w:hAnsi="黑体"/>
          <w:b w:val="0"/>
          <w:sz w:val="21"/>
          <w:szCs w:val="24"/>
        </w:rPr>
      </w:pPr>
      <w:r>
        <w:rPr>
          <w:rFonts w:ascii="黑体" w:eastAsia="黑体" w:hAnsi="黑体" w:hint="eastAsia"/>
          <w:b w:val="0"/>
          <w:sz w:val="21"/>
          <w:szCs w:val="24"/>
        </w:rPr>
        <w:t>1.3.2《变电站直流电源系统技术标准</w:t>
      </w:r>
      <w:r>
        <w:rPr>
          <w:rFonts w:ascii="黑体" w:eastAsia="黑体" w:hAnsi="黑体"/>
          <w:b w:val="0"/>
          <w:sz w:val="21"/>
          <w:szCs w:val="24"/>
        </w:rPr>
        <w:t>Q/GDW06 1170301-2009</w:t>
      </w:r>
      <w:r>
        <w:rPr>
          <w:rFonts w:ascii="黑体" w:eastAsia="黑体" w:hAnsi="黑体" w:hint="eastAsia"/>
          <w:b w:val="0"/>
          <w:sz w:val="21"/>
          <w:szCs w:val="24"/>
        </w:rPr>
        <w:t>》</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其中涉及如下相关描述：</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5.1.13 蓄电池组应配备蓄电池在线监测装置，监测蓄电池单体的电压、内阻、容量和环境等信息，综合分析蓄电池的运行状况，并通过标准通信口将信息上传至远方监控系统。</w:t>
      </w:r>
    </w:p>
    <w:p>
      <w:pPr>
        <w:spacing w:line="360" w:lineRule="auto"/>
        <w:ind w:firstLine="420" w:firstLineChars="200"/>
        <w:rPr>
          <w:rFonts w:ascii="华文细黑" w:eastAsia="华文细黑" w:hAnsi="华文细黑"/>
          <w:szCs w:val="24"/>
        </w:rPr>
        <w:sectPr>
          <w:headerReference w:type="default" r:id="rId18"/>
          <w:footerReference w:type="default" r:id="rId19"/>
          <w:type w:val="nextPage"/>
          <w:pgSz w:w="11906" w:h="16838"/>
          <w:pgMar w:top="1440" w:right="1800" w:bottom="1440" w:left="1800" w:header="851" w:footer="567" w:gutter="0"/>
          <w:pgNumType w:fmt="decimal" w:start="2" w:chapStyle="1"/>
          <w:cols w:num="1" w:space="425"/>
          <w:titlePg w:val="0"/>
          <w:docGrid w:type="lines" w:linePitch="312" w:charSpace="0"/>
        </w:sectPr>
      </w:pPr>
      <w:r>
        <w:rPr>
          <w:rFonts w:ascii="华文细黑" w:eastAsia="华文细黑" w:hAnsi="华文细黑" w:hint="eastAsia"/>
          <w:szCs w:val="24"/>
        </w:rPr>
        <w:t>5.1.14 逐步推广直流电源远程监控系统，实现对直流电源系统的远程监控、故障诊断、应急调节、数据分析等功能，直流电源设备应能够与监控系统通信，通信规约宜采用IEC60870-5-103、IEC61850 等规约。重要信息通过硬接点方式接入变电站监控系统。《</w:t>
      </w:r>
      <w:r>
        <w:rPr>
          <w:rFonts w:ascii="华文细黑" w:eastAsia="华文细黑" w:hAnsi="华文细黑"/>
          <w:szCs w:val="24"/>
        </w:rPr>
        <w:t xml:space="preserve">IEEE Std 1188-2005 </w:t>
      </w:r>
      <w:r>
        <w:rPr>
          <w:rFonts w:ascii="华文细黑" w:eastAsia="华文细黑" w:hAnsi="华文细黑" w:hint="eastAsia"/>
          <w:szCs w:val="24"/>
        </w:rPr>
        <w:t>站用阀控铅酸（</w:t>
      </w:r>
      <w:r>
        <w:rPr>
          <w:rFonts w:ascii="华文细黑" w:eastAsia="华文细黑" w:hAnsi="华文细黑"/>
          <w:szCs w:val="24"/>
        </w:rPr>
        <w:t>VRLA</w:t>
      </w:r>
      <w:r>
        <w:rPr>
          <w:rFonts w:ascii="华文细黑" w:eastAsia="华文细黑" w:hAnsi="华文细黑" w:hint="eastAsia"/>
          <w:szCs w:val="24"/>
        </w:rPr>
        <w:t>）蓄电池的维护、测试和更换方法》第</w:t>
      </w:r>
      <w:r>
        <w:rPr>
          <w:rFonts w:ascii="华文细黑" w:eastAsia="华文细黑" w:hAnsi="华文细黑" w:hint="eastAsia"/>
          <w:szCs w:val="24"/>
        </w:rPr>
        <w:t xml:space="preserve"> 5</w:t>
      </w:r>
      <w:r>
        <w:rPr>
          <w:rFonts w:ascii="华文细黑" w:eastAsia="华文细黑" w:hAnsi="华文细黑" w:hint="eastAsia"/>
          <w:szCs w:val="24"/>
        </w:rPr>
        <w:t xml:space="preserve"> 条论述：适当的维护能延长电池的寿命，并有助于确定其容量是否满足设计要求。蓄电池的良好维护规程能提供有效的数值来决定电池的更换。在IEEE1188-2005</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 xml:space="preserve"> 中详细规定了对阀控式铅酸蓄电池的维护要进行月、季、年度的检查。</w:t>
      </w:r>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所以，通过电源系统现状分析，为了能彻底解决无人值守变电站中电源系统的安全隐患，应该建设一套变电站直流电源远程监控及维护系统，实现对电源系统整体实时监测功能，保证直流系统的可靠性与安全性。本方案实施后可以达到下面的效果：</w:t>
      </w:r>
    </w:p>
    <w:p>
      <w:pPr>
        <w:pStyle w:val="ListParagraph"/>
        <w:numPr>
          <w:ilvl w:val="0"/>
          <w:numId w:val="25"/>
        </w:numPr>
        <w:spacing w:line="360" w:lineRule="auto"/>
        <w:ind w:firstLineChars="0"/>
        <w:rPr>
          <w:rFonts w:ascii="华文细黑" w:eastAsia="华文细黑" w:hAnsi="华文细黑"/>
          <w:szCs w:val="21"/>
        </w:rPr>
      </w:pPr>
      <w:r>
        <w:rPr>
          <w:rFonts w:ascii="华文细黑" w:eastAsia="华文细黑" w:hAnsi="华文细黑" w:hint="eastAsia"/>
          <w:szCs w:val="21"/>
        </w:rPr>
        <w:t>完善采集电源系统数据，统一分析，综合评估系统安全性；</w:t>
      </w:r>
    </w:p>
    <w:p>
      <w:pPr>
        <w:pStyle w:val="ListParagraph"/>
        <w:numPr>
          <w:ilvl w:val="0"/>
          <w:numId w:val="25"/>
        </w:numPr>
        <w:spacing w:line="360" w:lineRule="auto"/>
        <w:ind w:firstLineChars="0"/>
        <w:rPr>
          <w:rFonts w:ascii="华文细黑" w:eastAsia="华文细黑" w:hAnsi="华文细黑"/>
          <w:szCs w:val="21"/>
        </w:rPr>
      </w:pPr>
      <w:r>
        <w:rPr>
          <w:rFonts w:ascii="华文细黑" w:eastAsia="华文细黑" w:hAnsi="华文细黑" w:hint="eastAsia"/>
          <w:szCs w:val="21"/>
        </w:rPr>
        <w:t>统一对蓄电池组进行监控，分析评估蓄电池组性能，降低蓄电池组安全隐患；</w:t>
      </w:r>
    </w:p>
    <w:p>
      <w:pPr>
        <w:pStyle w:val="ListParagraph"/>
        <w:numPr>
          <w:ilvl w:val="0"/>
          <w:numId w:val="25"/>
        </w:numPr>
        <w:spacing w:line="360" w:lineRule="auto"/>
        <w:ind w:firstLineChars="0"/>
        <w:rPr>
          <w:rFonts w:ascii="华文细黑" w:eastAsia="华文细黑" w:hAnsi="华文细黑"/>
          <w:szCs w:val="21"/>
        </w:rPr>
      </w:pPr>
      <w:r>
        <w:rPr>
          <w:rFonts w:ascii="华文细黑" w:eastAsia="华文细黑" w:hAnsi="华文细黑" w:hint="eastAsia"/>
          <w:szCs w:val="21"/>
        </w:rPr>
        <w:t>蓄电池电压均衡及定期活化，延长蓄电池使用寿命；</w:t>
      </w:r>
    </w:p>
    <w:p>
      <w:pPr>
        <w:pStyle w:val="ListParagraph"/>
        <w:numPr>
          <w:ilvl w:val="0"/>
          <w:numId w:val="25"/>
        </w:numPr>
        <w:spacing w:line="360" w:lineRule="auto"/>
        <w:ind w:firstLineChars="0"/>
        <w:rPr>
          <w:rFonts w:ascii="华文细黑" w:eastAsia="华文细黑" w:hAnsi="华文细黑"/>
          <w:szCs w:val="21"/>
        </w:rPr>
        <w:sectPr>
          <w:headerReference w:type="default" r:id="rId20"/>
          <w:footerReference w:type="default" r:id="rId21"/>
          <w:type w:val="nextPage"/>
          <w:pgSz w:w="11906" w:h="16838"/>
          <w:pgMar w:top="1440" w:right="1800" w:bottom="1440" w:left="1800" w:header="851" w:footer="567" w:gutter="0"/>
          <w:pgNumType w:fmt="decimal" w:start="3" w:chapStyle="1"/>
          <w:cols w:num="1" w:space="425"/>
          <w:titlePg w:val="0"/>
          <w:docGrid w:type="lines" w:linePitch="312" w:charSpace="0"/>
        </w:sectPr>
      </w:pPr>
      <w:r>
        <w:rPr>
          <w:rFonts w:ascii="华文细黑" w:eastAsia="华文细黑" w:hAnsi="华文细黑" w:hint="eastAsia"/>
          <w:szCs w:val="21"/>
        </w:rPr>
        <w:t>建立实时在线运维方式，降低系统运维成本，提高运维安全性和效率。</w:t>
      </w:r>
    </w:p>
    <w:p>
      <w:pPr>
        <w:numPr>
          <w:ilvl w:val="0"/>
          <w:numId w:val="3"/>
        </w:numPr>
        <w:tabs>
          <w:tab w:val="left" w:pos="420"/>
        </w:tabs>
        <w:spacing w:line="240" w:lineRule="auto"/>
        <w:jc w:val="center"/>
        <w:outlineLvl w:val="0"/>
        <w:rPr>
          <w:rFonts w:ascii="黑体" w:eastAsia="黑体" w:hAnsi="华文仿宋"/>
          <w:b/>
          <w:kern w:val="2"/>
          <w:sz w:val="28"/>
          <w:szCs w:val="32"/>
        </w:rPr>
      </w:pPr>
      <w:bookmarkStart w:id="5" w:name="_Toc10258"/>
      <w:r>
        <w:rPr>
          <w:rFonts w:ascii="黑体" w:eastAsia="黑体" w:hAnsi="华文仿宋" w:hint="eastAsia"/>
          <w:b/>
          <w:kern w:val="2"/>
          <w:sz w:val="28"/>
          <w:szCs w:val="32"/>
        </w:rPr>
        <w:t>解决方案</w:t>
      </w:r>
      <w:bookmarkEnd w:id="5"/>
    </w:p>
    <w:p>
      <w:pPr>
        <w:tabs>
          <w:tab w:val="left" w:pos="425"/>
        </w:tabs>
        <w:spacing w:line="360" w:lineRule="auto"/>
        <w:jc w:val="both"/>
        <w:outlineLvl w:val="1"/>
        <w:rPr>
          <w:rFonts w:ascii="黑体" w:eastAsia="黑体" w:hAnsi="华文仿宋"/>
          <w:kern w:val="2"/>
          <w:sz w:val="24"/>
          <w:szCs w:val="28"/>
        </w:rPr>
      </w:pPr>
      <w:bookmarkStart w:id="6" w:name="_Toc24329"/>
      <w:r>
        <w:rPr>
          <w:rFonts w:ascii="黑体" w:eastAsia="黑体" w:hAnsi="华文仿宋" w:hint="eastAsia"/>
          <w:kern w:val="2"/>
          <w:sz w:val="24"/>
          <w:szCs w:val="28"/>
        </w:rPr>
        <w:t>2.1方案描述</w:t>
      </w:r>
      <w:bookmarkEnd w:id="6"/>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直流电源远程监控及维护系统是我公司自主研发，充分利用当代先进的嵌入式计算机技术和实时以太网通信技术，可实时监控直流电源系统控母、合母电压、负荷电流、交流状态、充电机运行状态（如充电机均浮充状态、电压、电流、模块故障告警、绝缘监察报警、交流断电等信息）、整组蓄电池电压、电流、单体电池电压、内阻、温度及各路馈线开关的工作状态等重要参数，并配合动态直流系统模拟图，直观监控直流系统运行参数及运行状态。同时，该方案实现对电源系统的远程维护功能，远程对直流运行模式进行调整，在线对蓄电池均衡管理，延长电池寿命；同时支持蓄电池在线核容、充放电管理等功能。</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系统整体架构图如下：</w:t>
      </w:r>
    </w:p>
    <w:p>
      <w:pPr>
        <w:spacing w:line="360" w:lineRule="auto"/>
        <w:rPr>
          <w:rFonts w:ascii="华文细黑" w:eastAsia="华文细黑" w:hAnsi="华文细黑"/>
          <w:szCs w:val="24"/>
        </w:rPr>
      </w:pPr>
      <w:r>
        <w:drawing>
          <wp:inline distT="0" distB="0" distL="0" distR="0">
            <wp:extent cx="5274310" cy="3789680"/>
            <wp:effectExtent l="0" t="0" r="2540" b="127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22" cstate="print"/>
                    <a:stretch>
                      <a:fillRect/>
                    </a:stretch>
                  </pic:blipFill>
                  <pic:spPr>
                    <a:xfrm>
                      <a:off x="0" y="0"/>
                      <a:ext cx="5274310" cy="3789689"/>
                    </a:xfrm>
                    <a:prstGeom prst="rect">
                      <a:avLst/>
                    </a:prstGeom>
                  </pic:spPr>
                </pic:pic>
              </a:graphicData>
            </a:graphic>
          </wp:inline>
        </w:drawing>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设备层：由变电站一系列一次设备或者相关二次设备构成，比如馈线支路及其开关、蓄电池组、充电机、绝缘监测设备等；</w:t>
      </w:r>
    </w:p>
    <w:p>
      <w:pPr>
        <w:spacing w:line="360" w:lineRule="auto"/>
        <w:ind w:firstLine="420" w:firstLineChars="200"/>
        <w:rPr>
          <w:rFonts w:ascii="华文细黑" w:eastAsia="华文细黑" w:hAnsi="华文细黑"/>
          <w:szCs w:val="24"/>
        </w:rPr>
        <w:sectPr>
          <w:headerReference w:type="default" r:id="rId23"/>
          <w:footerReference w:type="default" r:id="rId24"/>
          <w:type w:val="nextPage"/>
          <w:pgSz w:w="11906" w:h="16838"/>
          <w:pgMar w:top="1440" w:right="1800" w:bottom="1440" w:left="1800" w:header="851" w:footer="567" w:gutter="0"/>
          <w:pgNumType w:fmt="decimal" w:start="4" w:chapStyle="1"/>
          <w:cols w:num="1" w:space="425"/>
          <w:titlePg w:val="0"/>
          <w:docGrid w:type="lines" w:linePitch="312" w:charSpace="0"/>
        </w:sectPr>
      </w:pP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监控层：由一系列监测设备构成，主要包括电源总控管理装置、蓄电池监测装置、容量监测装置构成，来完成电源监控和电源维护功能。其中电源总控管理装置主要完成对电源系统运行参数的监控，比如控母、合母电压、负荷电流、交流状态、馈线状态等，实现对设备层的采集、汇总、分析，同时具备多种串口、网络接口实现与其他智能设备的通信，完成对整个电源系统的统一监测、综合分析。蓄电池监测装置可完成对蓄电池的在线监测管理功能，比如采集组压、电流、单体电池电压、内阻、温度等，并具备在线均衡管理功能，延长电池使用寿命。容量监测装置可实现对蓄电池组的在线核容功能，准确评估蓄电池性能。</w:t>
      </w:r>
      <w:r>
        <w:rPr>
          <w:rFonts w:ascii="华文细黑" w:eastAsia="华文细黑" w:hAnsi="华文细黑" w:hint="eastAsia"/>
          <w:szCs w:val="24"/>
        </w:rPr>
        <w:t xml:space="preserve"> </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应用层：该层实现了单个或多个变电站电源系统数据的统一监控和管理，提供友好的人机界面和窗口，支持主站监控软件的常规功能，方便客户对整个直流系统进行管理。同时提供多种接口，实现系统数据的第三方接入和转出。</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本方案提供的系统可以帮助您全面深入了解和监控您的系统，对设备状态进行实时掌控。同时，本系统的使用，能帮助您在系统正常运行时延长蓄电池的使用寿命，若发现有性能异常时能及时告知您进行更换或者处理，减少设备故障的概率，同时我们现在正在研究单电池自动维护技术，帮助您电源系统故障时的应急处理，避免故障的发生。</w:t>
      </w:r>
    </w:p>
    <w:p>
      <w:pPr>
        <w:tabs>
          <w:tab w:val="left" w:pos="425"/>
        </w:tabs>
        <w:spacing w:line="360" w:lineRule="auto"/>
        <w:jc w:val="both"/>
        <w:outlineLvl w:val="1"/>
        <w:rPr>
          <w:rFonts w:ascii="黑体" w:eastAsia="黑体" w:hAnsi="华文仿宋"/>
          <w:kern w:val="2"/>
          <w:sz w:val="24"/>
          <w:szCs w:val="28"/>
        </w:rPr>
      </w:pPr>
      <w:bookmarkStart w:id="7" w:name="_Toc19645"/>
      <w:r>
        <w:rPr>
          <w:rFonts w:ascii="黑体" w:eastAsia="黑体" w:hAnsi="华文仿宋" w:hint="eastAsia"/>
          <w:kern w:val="2"/>
          <w:sz w:val="24"/>
          <w:szCs w:val="28"/>
        </w:rPr>
        <w:t>2.2系统组成</w:t>
      </w:r>
      <w:bookmarkEnd w:id="7"/>
    </w:p>
    <w:tbl>
      <w:tblPr>
        <w:tblStyle w:val="TableNormal"/>
        <w:tblW w:w="7588" w:type="dxa"/>
        <w:jc w:val="center"/>
        <w:tblInd w:w="582" w:type="dxa"/>
        <w:tblLayout w:type="fixed"/>
        <w:tblCellMar>
          <w:top w:w="0" w:type="dxa"/>
          <w:left w:w="108" w:type="dxa"/>
          <w:bottom w:w="0" w:type="dxa"/>
          <w:right w:w="108" w:type="dxa"/>
        </w:tblCellMar>
      </w:tblPr>
      <w:tblGrid>
        <w:gridCol w:w="664"/>
        <w:gridCol w:w="2058"/>
        <w:gridCol w:w="4114"/>
        <w:gridCol w:w="752"/>
      </w:tblGrid>
      <w:tr>
        <w:tblPrEx>
          <w:tblW w:w="7588" w:type="dxa"/>
          <w:jc w:val="center"/>
          <w:tblInd w:w="582" w:type="dxa"/>
          <w:tblLayout w:type="fixed"/>
          <w:tblCellMar>
            <w:top w:w="0" w:type="dxa"/>
            <w:left w:w="108" w:type="dxa"/>
            <w:bottom w:w="0" w:type="dxa"/>
            <w:right w:w="108" w:type="dxa"/>
          </w:tblCellMar>
        </w:tblPrEx>
        <w:trPr>
          <w:trHeight w:val="311"/>
          <w:jc w:val="center"/>
        </w:trPr>
        <w:tc>
          <w:tcPr>
            <w:tcW w:w="664" w:type="dxa"/>
            <w:tcBorders>
              <w:top w:val="single" w:sz="4" w:space="0" w:color="auto"/>
              <w:left w:val="single" w:sz="4" w:space="0" w:color="auto"/>
              <w:bottom w:val="single" w:sz="4" w:space="0" w:color="auto"/>
              <w:right w:val="single" w:sz="4" w:space="0" w:color="auto"/>
            </w:tcBorders>
            <w:shd w:val="clear" w:color="000000" w:fill="D9D9D9"/>
            <w:noWrap/>
            <w:vAlign w:val="bottom"/>
          </w:tcPr>
          <w:p>
            <w:pPr>
              <w:widowControl/>
              <w:spacing w:line="240" w:lineRule="auto"/>
              <w:jc w:val="center"/>
              <w:rPr>
                <w:rFonts w:ascii="楷体" w:eastAsia="楷体" w:hAnsi="楷体" w:cs="宋体"/>
                <w:color w:val="000000"/>
                <w:sz w:val="20"/>
                <w:szCs w:val="22"/>
              </w:rPr>
            </w:pPr>
            <w:r>
              <w:rPr>
                <w:rFonts w:ascii="楷体" w:eastAsia="楷体" w:hAnsi="楷体" w:cs="宋体" w:hint="eastAsia"/>
                <w:color w:val="000000"/>
                <w:sz w:val="20"/>
                <w:szCs w:val="22"/>
              </w:rPr>
              <w:t>序号</w:t>
            </w:r>
          </w:p>
        </w:tc>
        <w:tc>
          <w:tcPr>
            <w:tcW w:w="2058" w:type="dxa"/>
            <w:tcBorders>
              <w:top w:val="single" w:sz="4" w:space="0" w:color="auto"/>
              <w:left w:val="nil"/>
              <w:bottom w:val="single" w:sz="4" w:space="0" w:color="auto"/>
              <w:right w:val="single" w:sz="4" w:space="0" w:color="auto"/>
            </w:tcBorders>
            <w:shd w:val="clear" w:color="000000" w:fill="D9D9D9"/>
            <w:noWrap/>
            <w:vAlign w:val="bottom"/>
          </w:tcPr>
          <w:p>
            <w:pPr>
              <w:widowControl/>
              <w:spacing w:line="240" w:lineRule="auto"/>
              <w:jc w:val="center"/>
              <w:rPr>
                <w:rFonts w:ascii="楷体" w:eastAsia="楷体" w:hAnsi="楷体" w:cs="宋体"/>
                <w:color w:val="000000"/>
                <w:sz w:val="20"/>
                <w:szCs w:val="22"/>
              </w:rPr>
            </w:pPr>
            <w:r>
              <w:rPr>
                <w:rFonts w:ascii="楷体" w:eastAsia="楷体" w:hAnsi="楷体" w:cs="宋体" w:hint="eastAsia"/>
                <w:color w:val="000000"/>
                <w:sz w:val="20"/>
                <w:szCs w:val="22"/>
              </w:rPr>
              <w:t>名称</w:t>
            </w:r>
          </w:p>
        </w:tc>
        <w:tc>
          <w:tcPr>
            <w:tcW w:w="4114" w:type="dxa"/>
            <w:tcBorders>
              <w:top w:val="single" w:sz="4" w:space="0" w:color="auto"/>
              <w:left w:val="nil"/>
              <w:bottom w:val="single" w:sz="4" w:space="0" w:color="auto"/>
              <w:right w:val="single" w:sz="4" w:space="0" w:color="auto"/>
            </w:tcBorders>
            <w:shd w:val="clear" w:color="000000" w:fill="D9D9D9"/>
            <w:noWrap/>
            <w:vAlign w:val="bottom"/>
          </w:tcPr>
          <w:p>
            <w:pPr>
              <w:widowControl/>
              <w:spacing w:line="240" w:lineRule="auto"/>
              <w:jc w:val="center"/>
              <w:rPr>
                <w:rFonts w:ascii="楷体" w:eastAsia="楷体" w:hAnsi="楷体" w:cs="宋体"/>
                <w:color w:val="000000"/>
                <w:sz w:val="20"/>
                <w:szCs w:val="22"/>
              </w:rPr>
            </w:pPr>
            <w:r>
              <w:rPr>
                <w:rFonts w:ascii="楷体" w:eastAsia="楷体" w:hAnsi="楷体" w:cs="宋体" w:hint="eastAsia"/>
                <w:color w:val="000000"/>
                <w:sz w:val="20"/>
                <w:szCs w:val="22"/>
              </w:rPr>
              <w:t>功能</w:t>
            </w:r>
          </w:p>
        </w:tc>
        <w:tc>
          <w:tcPr>
            <w:tcW w:w="752" w:type="dxa"/>
            <w:tcBorders>
              <w:top w:val="single" w:sz="4" w:space="0" w:color="auto"/>
              <w:left w:val="nil"/>
              <w:bottom w:val="single" w:sz="4" w:space="0" w:color="auto"/>
              <w:right w:val="single" w:sz="4" w:space="0" w:color="auto"/>
            </w:tcBorders>
            <w:shd w:val="clear" w:color="000000" w:fill="D9D9D9"/>
          </w:tcPr>
          <w:p>
            <w:pPr>
              <w:widowControl/>
              <w:spacing w:line="240" w:lineRule="auto"/>
              <w:jc w:val="center"/>
              <w:rPr>
                <w:rFonts w:ascii="楷体" w:eastAsia="楷体" w:hAnsi="楷体" w:cs="宋体"/>
                <w:color w:val="000000"/>
                <w:sz w:val="20"/>
                <w:szCs w:val="22"/>
              </w:rPr>
            </w:pPr>
            <w:r>
              <w:rPr>
                <w:rFonts w:ascii="楷体" w:eastAsia="楷体" w:hAnsi="楷体" w:cs="宋体" w:hint="eastAsia"/>
                <w:color w:val="000000"/>
                <w:sz w:val="20"/>
                <w:szCs w:val="22"/>
              </w:rPr>
              <w:t>备注</w:t>
            </w:r>
          </w:p>
        </w:tc>
      </w:tr>
      <w:tr>
        <w:tblPrEx>
          <w:tblW w:w="7588" w:type="dxa"/>
          <w:jc w:val="center"/>
          <w:tblInd w:w="582" w:type="dxa"/>
          <w:tblLayout w:type="fixed"/>
          <w:tblCellMar>
            <w:top w:w="0" w:type="dxa"/>
            <w:left w:w="108" w:type="dxa"/>
            <w:bottom w:w="0" w:type="dxa"/>
            <w:right w:w="108" w:type="dxa"/>
          </w:tblCellMar>
        </w:tblPrEx>
        <w:trPr>
          <w:trHeight w:val="311"/>
          <w:jc w:val="center"/>
        </w:trPr>
        <w:tc>
          <w:tcPr>
            <w:tcW w:w="664" w:type="dxa"/>
            <w:tcBorders>
              <w:top w:val="nil"/>
              <w:left w:val="single" w:sz="4" w:space="0" w:color="auto"/>
              <w:bottom w:val="single" w:sz="4" w:space="0" w:color="auto"/>
              <w:right w:val="single" w:sz="4" w:space="0" w:color="auto"/>
            </w:tcBorders>
            <w:shd w:val="clear" w:color="auto" w:fill="auto"/>
            <w:noWrap/>
            <w:vAlign w:val="bottom"/>
          </w:tcPr>
          <w:p>
            <w:pPr>
              <w:widowControl/>
              <w:spacing w:line="240" w:lineRule="auto"/>
              <w:jc w:val="center"/>
              <w:rPr>
                <w:rFonts w:ascii="楷体" w:eastAsia="楷体" w:hAnsi="楷体" w:cs="宋体"/>
                <w:color w:val="000000"/>
                <w:sz w:val="20"/>
                <w:szCs w:val="22"/>
              </w:rPr>
            </w:pPr>
            <w:r>
              <w:rPr>
                <w:rFonts w:ascii="楷体" w:eastAsia="楷体" w:hAnsi="楷体" w:cs="宋体" w:hint="eastAsia"/>
                <w:color w:val="000000"/>
                <w:sz w:val="20"/>
                <w:szCs w:val="22"/>
              </w:rPr>
              <w:t>1</w:t>
            </w:r>
          </w:p>
        </w:tc>
        <w:tc>
          <w:tcPr>
            <w:tcW w:w="2058" w:type="dxa"/>
            <w:tcBorders>
              <w:top w:val="nil"/>
              <w:left w:val="nil"/>
              <w:bottom w:val="single" w:sz="4" w:space="0" w:color="auto"/>
              <w:right w:val="single" w:sz="4" w:space="0" w:color="auto"/>
            </w:tcBorders>
            <w:shd w:val="clear" w:color="auto" w:fill="auto"/>
            <w:noWrap/>
            <w:vAlign w:val="bottom"/>
          </w:tcPr>
          <w:p>
            <w:pPr>
              <w:widowControl/>
              <w:spacing w:line="240" w:lineRule="auto"/>
              <w:rPr>
                <w:rFonts w:ascii="楷体" w:eastAsia="楷体" w:hAnsi="楷体" w:cs="宋体"/>
                <w:color w:val="000000"/>
                <w:sz w:val="20"/>
                <w:szCs w:val="22"/>
              </w:rPr>
            </w:pPr>
            <w:r>
              <w:rPr>
                <w:rFonts w:ascii="楷体" w:eastAsia="楷体" w:hAnsi="楷体" w:cs="宋体" w:hint="eastAsia"/>
                <w:color w:val="000000"/>
                <w:sz w:val="20"/>
                <w:szCs w:val="22"/>
              </w:rPr>
              <w:t>电源总控管理装置</w:t>
            </w:r>
          </w:p>
        </w:tc>
        <w:tc>
          <w:tcPr>
            <w:tcW w:w="4114" w:type="dxa"/>
            <w:tcBorders>
              <w:top w:val="nil"/>
              <w:left w:val="nil"/>
              <w:bottom w:val="single" w:sz="4" w:space="0" w:color="auto"/>
              <w:right w:val="single" w:sz="4" w:space="0" w:color="auto"/>
            </w:tcBorders>
            <w:shd w:val="clear" w:color="auto" w:fill="auto"/>
            <w:noWrap/>
            <w:vAlign w:val="bottom"/>
          </w:tcPr>
          <w:p>
            <w:pPr>
              <w:widowControl/>
              <w:spacing w:line="240" w:lineRule="auto"/>
              <w:rPr>
                <w:rFonts w:ascii="楷体" w:eastAsia="楷体" w:hAnsi="楷体" w:cs="宋体"/>
                <w:color w:val="000000"/>
                <w:sz w:val="20"/>
                <w:szCs w:val="22"/>
              </w:rPr>
            </w:pPr>
            <w:r>
              <w:rPr>
                <w:rFonts w:ascii="楷体" w:eastAsia="楷体" w:hAnsi="楷体" w:cs="宋体" w:hint="eastAsia"/>
                <w:color w:val="000000"/>
                <w:sz w:val="20"/>
                <w:szCs w:val="22"/>
              </w:rPr>
              <w:t>数据集中监控主机，开关量、模拟量监测，控制出口，充电机管理、通信管理等</w:t>
            </w:r>
          </w:p>
        </w:tc>
        <w:tc>
          <w:tcPr>
            <w:tcW w:w="752" w:type="dxa"/>
            <w:tcBorders>
              <w:top w:val="nil"/>
              <w:left w:val="nil"/>
              <w:bottom w:val="single" w:sz="4" w:space="0" w:color="auto"/>
              <w:right w:val="single" w:sz="4" w:space="0" w:color="auto"/>
            </w:tcBorders>
          </w:tcPr>
          <w:p>
            <w:pPr>
              <w:widowControl/>
              <w:spacing w:line="240" w:lineRule="auto"/>
              <w:jc w:val="center"/>
              <w:rPr>
                <w:rFonts w:ascii="楷体" w:eastAsia="楷体" w:hAnsi="楷体" w:cs="宋体"/>
                <w:color w:val="000000"/>
                <w:sz w:val="20"/>
                <w:szCs w:val="22"/>
              </w:rPr>
            </w:pPr>
          </w:p>
        </w:tc>
      </w:tr>
      <w:tr>
        <w:tblPrEx>
          <w:tblW w:w="7588" w:type="dxa"/>
          <w:jc w:val="center"/>
          <w:tblInd w:w="582" w:type="dxa"/>
          <w:tblLayout w:type="fixed"/>
          <w:tblCellMar>
            <w:top w:w="0" w:type="dxa"/>
            <w:left w:w="108" w:type="dxa"/>
            <w:bottom w:w="0" w:type="dxa"/>
            <w:right w:w="108" w:type="dxa"/>
          </w:tblCellMar>
        </w:tblPrEx>
        <w:trPr>
          <w:trHeight w:val="311"/>
          <w:jc w:val="center"/>
        </w:trPr>
        <w:tc>
          <w:tcPr>
            <w:tcW w:w="664" w:type="dxa"/>
            <w:tcBorders>
              <w:top w:val="nil"/>
              <w:left w:val="single" w:sz="4" w:space="0" w:color="auto"/>
              <w:bottom w:val="single" w:sz="4" w:space="0" w:color="auto"/>
              <w:right w:val="single" w:sz="4" w:space="0" w:color="auto"/>
            </w:tcBorders>
            <w:shd w:val="clear" w:color="auto" w:fill="auto"/>
            <w:noWrap/>
            <w:vAlign w:val="bottom"/>
          </w:tcPr>
          <w:p>
            <w:pPr>
              <w:widowControl/>
              <w:spacing w:line="240" w:lineRule="auto"/>
              <w:jc w:val="center"/>
              <w:rPr>
                <w:rFonts w:ascii="楷体" w:eastAsia="楷体" w:hAnsi="楷体" w:cs="宋体"/>
                <w:color w:val="000000"/>
                <w:sz w:val="20"/>
                <w:szCs w:val="22"/>
              </w:rPr>
            </w:pPr>
            <w:r>
              <w:rPr>
                <w:rFonts w:ascii="楷体" w:eastAsia="楷体" w:hAnsi="楷体" w:cs="宋体" w:hint="eastAsia"/>
                <w:color w:val="000000"/>
                <w:sz w:val="20"/>
                <w:szCs w:val="22"/>
              </w:rPr>
              <w:t>2</w:t>
            </w:r>
          </w:p>
        </w:tc>
        <w:tc>
          <w:tcPr>
            <w:tcW w:w="2058" w:type="dxa"/>
            <w:tcBorders>
              <w:top w:val="nil"/>
              <w:left w:val="nil"/>
              <w:bottom w:val="single" w:sz="4" w:space="0" w:color="auto"/>
              <w:right w:val="single" w:sz="4" w:space="0" w:color="auto"/>
            </w:tcBorders>
            <w:shd w:val="clear" w:color="auto" w:fill="auto"/>
            <w:noWrap/>
            <w:vAlign w:val="bottom"/>
          </w:tcPr>
          <w:p>
            <w:pPr>
              <w:widowControl/>
              <w:spacing w:line="240" w:lineRule="auto"/>
              <w:rPr>
                <w:rFonts w:ascii="楷体" w:eastAsia="楷体" w:hAnsi="楷体" w:cs="宋体"/>
                <w:color w:val="000000"/>
                <w:sz w:val="20"/>
                <w:szCs w:val="22"/>
              </w:rPr>
            </w:pPr>
            <w:r>
              <w:rPr>
                <w:rFonts w:ascii="楷体" w:eastAsia="楷体" w:hAnsi="楷体" w:cs="宋体" w:hint="eastAsia"/>
                <w:color w:val="000000"/>
                <w:sz w:val="20"/>
                <w:szCs w:val="22"/>
              </w:rPr>
              <w:t>蓄电池监测装置</w:t>
            </w:r>
          </w:p>
        </w:tc>
        <w:tc>
          <w:tcPr>
            <w:tcW w:w="4114" w:type="dxa"/>
            <w:tcBorders>
              <w:top w:val="nil"/>
              <w:left w:val="nil"/>
              <w:bottom w:val="single" w:sz="4" w:space="0" w:color="auto"/>
              <w:right w:val="single" w:sz="4" w:space="0" w:color="auto"/>
            </w:tcBorders>
            <w:shd w:val="clear" w:color="auto" w:fill="auto"/>
            <w:noWrap/>
            <w:vAlign w:val="bottom"/>
          </w:tcPr>
          <w:p>
            <w:pPr>
              <w:widowControl/>
              <w:spacing w:line="240" w:lineRule="auto"/>
              <w:rPr>
                <w:rFonts w:ascii="楷体" w:eastAsia="楷体" w:hAnsi="楷体" w:cs="宋体"/>
                <w:color w:val="000000"/>
                <w:sz w:val="20"/>
                <w:szCs w:val="22"/>
              </w:rPr>
            </w:pPr>
            <w:r>
              <w:rPr>
                <w:rFonts w:ascii="楷体" w:eastAsia="楷体" w:hAnsi="楷体" w:cs="宋体" w:hint="eastAsia"/>
                <w:color w:val="000000"/>
                <w:sz w:val="20"/>
                <w:szCs w:val="22"/>
              </w:rPr>
              <w:t>蓄电池电压、内阻、电流采集，均衡管理</w:t>
            </w:r>
          </w:p>
        </w:tc>
        <w:tc>
          <w:tcPr>
            <w:tcW w:w="752" w:type="dxa"/>
            <w:tcBorders>
              <w:top w:val="nil"/>
              <w:left w:val="nil"/>
              <w:bottom w:val="single" w:sz="4" w:space="0" w:color="auto"/>
              <w:right w:val="single" w:sz="4" w:space="0" w:color="auto"/>
            </w:tcBorders>
          </w:tcPr>
          <w:p>
            <w:pPr>
              <w:widowControl/>
              <w:spacing w:line="240" w:lineRule="auto"/>
              <w:jc w:val="center"/>
              <w:rPr>
                <w:rFonts w:ascii="楷体" w:eastAsia="楷体" w:hAnsi="楷体" w:cs="宋体"/>
                <w:color w:val="000000"/>
                <w:sz w:val="20"/>
                <w:szCs w:val="22"/>
              </w:rPr>
            </w:pPr>
          </w:p>
        </w:tc>
      </w:tr>
      <w:tr>
        <w:tblPrEx>
          <w:tblW w:w="7588" w:type="dxa"/>
          <w:jc w:val="center"/>
          <w:tblInd w:w="582" w:type="dxa"/>
          <w:tblLayout w:type="fixed"/>
          <w:tblCellMar>
            <w:top w:w="0" w:type="dxa"/>
            <w:left w:w="108" w:type="dxa"/>
            <w:bottom w:w="0" w:type="dxa"/>
            <w:right w:w="108" w:type="dxa"/>
          </w:tblCellMar>
        </w:tblPrEx>
        <w:trPr>
          <w:trHeight w:val="311"/>
          <w:jc w:val="center"/>
        </w:trPr>
        <w:tc>
          <w:tcPr>
            <w:tcW w:w="664" w:type="dxa"/>
            <w:tcBorders>
              <w:top w:val="nil"/>
              <w:left w:val="single" w:sz="4" w:space="0" w:color="auto"/>
              <w:bottom w:val="single" w:sz="4" w:space="0" w:color="auto"/>
              <w:right w:val="single" w:sz="4" w:space="0" w:color="auto"/>
            </w:tcBorders>
            <w:shd w:val="clear" w:color="auto" w:fill="auto"/>
            <w:noWrap/>
            <w:vAlign w:val="bottom"/>
          </w:tcPr>
          <w:p>
            <w:pPr>
              <w:widowControl/>
              <w:spacing w:line="240" w:lineRule="auto"/>
              <w:jc w:val="center"/>
              <w:rPr>
                <w:rFonts w:ascii="楷体" w:eastAsia="楷体" w:hAnsi="楷体" w:cs="宋体"/>
                <w:color w:val="000000"/>
                <w:sz w:val="20"/>
                <w:szCs w:val="22"/>
              </w:rPr>
            </w:pPr>
            <w:r>
              <w:rPr>
                <w:rFonts w:ascii="楷体" w:eastAsia="楷体" w:hAnsi="楷体" w:cs="宋体" w:hint="eastAsia"/>
                <w:color w:val="000000"/>
                <w:sz w:val="20"/>
                <w:szCs w:val="22"/>
              </w:rPr>
              <w:t>3</w:t>
            </w:r>
          </w:p>
        </w:tc>
        <w:tc>
          <w:tcPr>
            <w:tcW w:w="2058" w:type="dxa"/>
            <w:tcBorders>
              <w:top w:val="nil"/>
              <w:left w:val="nil"/>
              <w:bottom w:val="single" w:sz="4" w:space="0" w:color="auto"/>
              <w:right w:val="single" w:sz="4" w:space="0" w:color="auto"/>
            </w:tcBorders>
            <w:shd w:val="clear" w:color="auto" w:fill="auto"/>
            <w:noWrap/>
            <w:vAlign w:val="bottom"/>
          </w:tcPr>
          <w:p>
            <w:pPr>
              <w:widowControl/>
              <w:spacing w:line="240" w:lineRule="auto"/>
              <w:rPr>
                <w:rFonts w:ascii="楷体" w:eastAsia="楷体" w:hAnsi="楷体" w:cs="宋体"/>
                <w:color w:val="000000"/>
                <w:sz w:val="20"/>
                <w:szCs w:val="22"/>
              </w:rPr>
            </w:pPr>
            <w:r>
              <w:rPr>
                <w:rFonts w:ascii="楷体" w:eastAsia="楷体" w:hAnsi="楷体" w:cs="宋体" w:hint="eastAsia"/>
                <w:color w:val="000000"/>
                <w:sz w:val="20"/>
                <w:szCs w:val="22"/>
              </w:rPr>
              <w:t>蓄电池容量监测装置</w:t>
            </w:r>
          </w:p>
        </w:tc>
        <w:tc>
          <w:tcPr>
            <w:tcW w:w="4114" w:type="dxa"/>
            <w:tcBorders>
              <w:top w:val="nil"/>
              <w:left w:val="nil"/>
              <w:bottom w:val="single" w:sz="4" w:space="0" w:color="auto"/>
              <w:right w:val="single" w:sz="4" w:space="0" w:color="auto"/>
            </w:tcBorders>
            <w:shd w:val="clear" w:color="auto" w:fill="auto"/>
            <w:noWrap/>
            <w:vAlign w:val="bottom"/>
          </w:tcPr>
          <w:p>
            <w:pPr>
              <w:widowControl/>
              <w:spacing w:line="240" w:lineRule="auto"/>
              <w:rPr>
                <w:rFonts w:ascii="楷体" w:eastAsia="楷体" w:hAnsi="楷体" w:cs="宋体"/>
                <w:color w:val="000000"/>
                <w:sz w:val="20"/>
                <w:szCs w:val="22"/>
              </w:rPr>
            </w:pPr>
            <w:r>
              <w:rPr>
                <w:rFonts w:ascii="楷体" w:eastAsia="楷体" w:hAnsi="楷体" w:cs="宋体" w:hint="eastAsia"/>
                <w:color w:val="000000"/>
                <w:sz w:val="20"/>
                <w:szCs w:val="22"/>
              </w:rPr>
              <w:t>蓄电池核对性放电</w:t>
            </w:r>
          </w:p>
        </w:tc>
        <w:tc>
          <w:tcPr>
            <w:tcW w:w="752" w:type="dxa"/>
            <w:tcBorders>
              <w:top w:val="nil"/>
              <w:left w:val="nil"/>
              <w:bottom w:val="single" w:sz="4" w:space="0" w:color="auto"/>
              <w:right w:val="single" w:sz="4" w:space="0" w:color="auto"/>
            </w:tcBorders>
          </w:tcPr>
          <w:p>
            <w:pPr>
              <w:widowControl/>
              <w:spacing w:line="240" w:lineRule="auto"/>
              <w:jc w:val="center"/>
              <w:rPr>
                <w:rFonts w:ascii="楷体" w:eastAsia="楷体" w:hAnsi="楷体" w:cs="宋体"/>
                <w:color w:val="000000"/>
                <w:sz w:val="20"/>
                <w:szCs w:val="22"/>
              </w:rPr>
            </w:pPr>
          </w:p>
        </w:tc>
      </w:tr>
      <w:tr>
        <w:tblPrEx>
          <w:tblW w:w="7588" w:type="dxa"/>
          <w:jc w:val="center"/>
          <w:tblInd w:w="582" w:type="dxa"/>
          <w:tblLayout w:type="fixed"/>
          <w:tblCellMar>
            <w:top w:w="0" w:type="dxa"/>
            <w:left w:w="108" w:type="dxa"/>
            <w:bottom w:w="0" w:type="dxa"/>
            <w:right w:w="108" w:type="dxa"/>
          </w:tblCellMar>
        </w:tblPrEx>
        <w:trPr>
          <w:trHeight w:val="311"/>
          <w:jc w:val="center"/>
        </w:trPr>
        <w:tc>
          <w:tcPr>
            <w:tcW w:w="664" w:type="dxa"/>
            <w:tcBorders>
              <w:top w:val="nil"/>
              <w:left w:val="single" w:sz="4" w:space="0" w:color="auto"/>
              <w:bottom w:val="single" w:sz="4" w:space="0" w:color="auto"/>
              <w:right w:val="single" w:sz="4" w:space="0" w:color="auto"/>
            </w:tcBorders>
            <w:shd w:val="clear" w:color="auto" w:fill="auto"/>
            <w:noWrap/>
            <w:vAlign w:val="bottom"/>
          </w:tcPr>
          <w:p>
            <w:pPr>
              <w:widowControl/>
              <w:spacing w:line="240" w:lineRule="auto"/>
              <w:jc w:val="center"/>
              <w:rPr>
                <w:rFonts w:ascii="楷体" w:eastAsia="楷体" w:hAnsi="楷体" w:cs="宋体"/>
                <w:color w:val="000000"/>
                <w:sz w:val="20"/>
                <w:szCs w:val="22"/>
              </w:rPr>
            </w:pPr>
            <w:r>
              <w:rPr>
                <w:rFonts w:ascii="楷体" w:eastAsia="楷体" w:hAnsi="楷体" w:cs="宋体" w:hint="eastAsia"/>
                <w:color w:val="000000"/>
                <w:sz w:val="20"/>
                <w:szCs w:val="22"/>
              </w:rPr>
              <w:t>4</w:t>
            </w:r>
          </w:p>
        </w:tc>
        <w:tc>
          <w:tcPr>
            <w:tcW w:w="2058" w:type="dxa"/>
            <w:tcBorders>
              <w:top w:val="nil"/>
              <w:left w:val="nil"/>
              <w:bottom w:val="single" w:sz="4" w:space="0" w:color="auto"/>
              <w:right w:val="single" w:sz="4" w:space="0" w:color="auto"/>
            </w:tcBorders>
            <w:shd w:val="clear" w:color="auto" w:fill="auto"/>
            <w:noWrap/>
            <w:vAlign w:val="bottom"/>
          </w:tcPr>
          <w:p>
            <w:pPr>
              <w:widowControl/>
              <w:spacing w:line="240" w:lineRule="auto"/>
              <w:rPr>
                <w:rFonts w:ascii="楷体" w:eastAsia="楷体" w:hAnsi="楷体" w:cs="宋体"/>
                <w:color w:val="000000"/>
                <w:sz w:val="20"/>
                <w:szCs w:val="22"/>
              </w:rPr>
            </w:pPr>
            <w:r>
              <w:rPr>
                <w:rFonts w:ascii="楷体" w:eastAsia="楷体" w:hAnsi="楷体" w:cs="宋体" w:hint="eastAsia"/>
                <w:color w:val="000000"/>
                <w:sz w:val="20"/>
                <w:szCs w:val="22"/>
              </w:rPr>
              <w:t>直流远程监控软件</w:t>
            </w:r>
          </w:p>
        </w:tc>
        <w:tc>
          <w:tcPr>
            <w:tcW w:w="4114" w:type="dxa"/>
            <w:tcBorders>
              <w:top w:val="nil"/>
              <w:left w:val="nil"/>
              <w:bottom w:val="single" w:sz="4" w:space="0" w:color="auto"/>
              <w:right w:val="single" w:sz="4" w:space="0" w:color="auto"/>
            </w:tcBorders>
            <w:shd w:val="clear" w:color="auto" w:fill="auto"/>
            <w:noWrap/>
            <w:vAlign w:val="bottom"/>
          </w:tcPr>
          <w:p>
            <w:pPr>
              <w:widowControl/>
              <w:spacing w:line="240" w:lineRule="auto"/>
              <w:rPr>
                <w:rFonts w:ascii="楷体" w:eastAsia="楷体" w:hAnsi="楷体" w:cs="宋体"/>
                <w:color w:val="000000"/>
                <w:sz w:val="20"/>
                <w:szCs w:val="22"/>
              </w:rPr>
            </w:pPr>
            <w:r>
              <w:rPr>
                <w:rFonts w:ascii="楷体" w:eastAsia="楷体" w:hAnsi="楷体" w:cs="宋体" w:hint="eastAsia"/>
                <w:color w:val="000000"/>
                <w:sz w:val="20"/>
                <w:szCs w:val="22"/>
              </w:rPr>
              <w:t>统一对直流电源系统数据监控、处理、保存、展示，报表、曲线等</w:t>
            </w:r>
          </w:p>
        </w:tc>
        <w:tc>
          <w:tcPr>
            <w:tcW w:w="752" w:type="dxa"/>
            <w:tcBorders>
              <w:top w:val="nil"/>
              <w:left w:val="nil"/>
              <w:bottom w:val="single" w:sz="4" w:space="0" w:color="auto"/>
              <w:right w:val="single" w:sz="4" w:space="0" w:color="auto"/>
            </w:tcBorders>
          </w:tcPr>
          <w:p>
            <w:pPr>
              <w:widowControl/>
              <w:spacing w:line="240" w:lineRule="auto"/>
              <w:jc w:val="center"/>
              <w:rPr>
                <w:rFonts w:ascii="楷体" w:eastAsia="楷体" w:hAnsi="楷体" w:cs="宋体"/>
                <w:color w:val="000000"/>
                <w:sz w:val="20"/>
                <w:szCs w:val="22"/>
              </w:rPr>
            </w:pPr>
          </w:p>
        </w:tc>
      </w:tr>
      <w:tr>
        <w:tblPrEx>
          <w:tblW w:w="7588" w:type="dxa"/>
          <w:jc w:val="center"/>
          <w:tblInd w:w="582" w:type="dxa"/>
          <w:tblLayout w:type="fixed"/>
          <w:tblCellMar>
            <w:top w:w="0" w:type="dxa"/>
            <w:left w:w="108" w:type="dxa"/>
            <w:bottom w:w="0" w:type="dxa"/>
            <w:right w:w="108" w:type="dxa"/>
          </w:tblCellMar>
        </w:tblPrEx>
        <w:trPr>
          <w:trHeight w:val="311"/>
          <w:jc w:val="center"/>
        </w:trPr>
        <w:tc>
          <w:tcPr>
            <w:tcW w:w="664" w:type="dxa"/>
            <w:tcBorders>
              <w:top w:val="nil"/>
              <w:left w:val="single" w:sz="4" w:space="0" w:color="auto"/>
              <w:bottom w:val="single" w:sz="4" w:space="0" w:color="auto"/>
              <w:right w:val="single" w:sz="4" w:space="0" w:color="auto"/>
            </w:tcBorders>
            <w:shd w:val="clear" w:color="auto" w:fill="auto"/>
            <w:noWrap/>
            <w:vAlign w:val="bottom"/>
          </w:tcPr>
          <w:p>
            <w:pPr>
              <w:widowControl/>
              <w:spacing w:line="240" w:lineRule="auto"/>
              <w:jc w:val="center"/>
              <w:rPr>
                <w:rFonts w:ascii="楷体" w:eastAsia="楷体" w:hAnsi="楷体" w:cs="宋体"/>
                <w:color w:val="000000"/>
                <w:sz w:val="20"/>
                <w:szCs w:val="22"/>
              </w:rPr>
            </w:pPr>
            <w:r>
              <w:rPr>
                <w:rFonts w:ascii="楷体" w:eastAsia="楷体" w:hAnsi="楷体" w:cs="宋体" w:hint="eastAsia"/>
                <w:color w:val="000000"/>
                <w:sz w:val="20"/>
                <w:szCs w:val="22"/>
              </w:rPr>
              <w:t>5</w:t>
            </w:r>
          </w:p>
        </w:tc>
        <w:tc>
          <w:tcPr>
            <w:tcW w:w="2058" w:type="dxa"/>
            <w:tcBorders>
              <w:top w:val="nil"/>
              <w:left w:val="nil"/>
              <w:bottom w:val="single" w:sz="4" w:space="0" w:color="auto"/>
              <w:right w:val="single" w:sz="4" w:space="0" w:color="auto"/>
            </w:tcBorders>
            <w:shd w:val="clear" w:color="auto" w:fill="auto"/>
            <w:noWrap/>
            <w:vAlign w:val="bottom"/>
          </w:tcPr>
          <w:p>
            <w:pPr>
              <w:widowControl/>
              <w:spacing w:line="240" w:lineRule="auto"/>
              <w:rPr>
                <w:rFonts w:ascii="楷体" w:eastAsia="楷体" w:hAnsi="楷体" w:cs="宋体"/>
                <w:color w:val="000000"/>
                <w:sz w:val="20"/>
                <w:szCs w:val="22"/>
              </w:rPr>
            </w:pPr>
            <w:r>
              <w:rPr>
                <w:rFonts w:ascii="楷体" w:eastAsia="楷体" w:hAnsi="楷体" w:cs="宋体" w:hint="eastAsia"/>
                <w:color w:val="000000"/>
                <w:sz w:val="20"/>
                <w:szCs w:val="22"/>
              </w:rPr>
              <w:t>监控服务器</w:t>
            </w:r>
          </w:p>
        </w:tc>
        <w:tc>
          <w:tcPr>
            <w:tcW w:w="4114" w:type="dxa"/>
            <w:tcBorders>
              <w:top w:val="nil"/>
              <w:left w:val="nil"/>
              <w:bottom w:val="single" w:sz="4" w:space="0" w:color="auto"/>
              <w:right w:val="single" w:sz="4" w:space="0" w:color="auto"/>
            </w:tcBorders>
            <w:shd w:val="clear" w:color="auto" w:fill="auto"/>
            <w:noWrap/>
            <w:vAlign w:val="bottom"/>
          </w:tcPr>
          <w:p>
            <w:pPr>
              <w:widowControl/>
              <w:spacing w:line="240" w:lineRule="auto"/>
              <w:rPr>
                <w:rFonts w:ascii="楷体" w:eastAsia="楷体" w:hAnsi="楷体" w:cs="宋体"/>
                <w:color w:val="000000"/>
                <w:sz w:val="20"/>
                <w:szCs w:val="22"/>
              </w:rPr>
            </w:pPr>
            <w:r>
              <w:rPr>
                <w:rFonts w:ascii="楷体" w:eastAsia="楷体" w:hAnsi="楷体" w:cs="宋体" w:hint="eastAsia"/>
                <w:color w:val="000000"/>
                <w:sz w:val="20"/>
                <w:szCs w:val="22"/>
              </w:rPr>
              <w:t>软件运行的硬件环境</w:t>
            </w:r>
          </w:p>
        </w:tc>
        <w:tc>
          <w:tcPr>
            <w:tcW w:w="752" w:type="dxa"/>
            <w:tcBorders>
              <w:top w:val="nil"/>
              <w:left w:val="nil"/>
              <w:bottom w:val="single" w:sz="4" w:space="0" w:color="auto"/>
              <w:right w:val="single" w:sz="4" w:space="0" w:color="auto"/>
            </w:tcBorders>
          </w:tcPr>
          <w:p>
            <w:pPr>
              <w:widowControl/>
              <w:spacing w:line="240" w:lineRule="auto"/>
              <w:jc w:val="center"/>
              <w:rPr>
                <w:rFonts w:ascii="楷体" w:eastAsia="楷体" w:hAnsi="楷体" w:cs="宋体"/>
                <w:color w:val="000000"/>
                <w:sz w:val="20"/>
                <w:szCs w:val="22"/>
              </w:rPr>
            </w:pPr>
          </w:p>
        </w:tc>
      </w:tr>
      <w:tr>
        <w:tblPrEx>
          <w:tblW w:w="7588" w:type="dxa"/>
          <w:jc w:val="center"/>
          <w:tblInd w:w="582" w:type="dxa"/>
          <w:tblLayout w:type="fixed"/>
          <w:tblCellMar>
            <w:top w:w="0" w:type="dxa"/>
            <w:left w:w="108" w:type="dxa"/>
            <w:bottom w:w="0" w:type="dxa"/>
            <w:right w:w="108" w:type="dxa"/>
          </w:tblCellMar>
        </w:tblPrEx>
        <w:trPr>
          <w:trHeight w:val="311"/>
          <w:jc w:val="center"/>
        </w:trPr>
        <w:tc>
          <w:tcPr>
            <w:tcW w:w="664" w:type="dxa"/>
            <w:tcBorders>
              <w:top w:val="nil"/>
              <w:left w:val="single" w:sz="4" w:space="0" w:color="auto"/>
              <w:bottom w:val="single" w:sz="4" w:space="0" w:color="auto"/>
              <w:right w:val="single" w:sz="4" w:space="0" w:color="auto"/>
            </w:tcBorders>
            <w:shd w:val="clear" w:color="auto" w:fill="auto"/>
            <w:noWrap/>
            <w:vAlign w:val="bottom"/>
          </w:tcPr>
          <w:p>
            <w:pPr>
              <w:widowControl/>
              <w:spacing w:line="240" w:lineRule="auto"/>
              <w:jc w:val="center"/>
              <w:rPr>
                <w:rFonts w:ascii="楷体" w:eastAsia="楷体" w:hAnsi="楷体" w:cs="宋体"/>
                <w:color w:val="000000"/>
                <w:sz w:val="20"/>
                <w:szCs w:val="22"/>
              </w:rPr>
            </w:pPr>
            <w:r>
              <w:rPr>
                <w:rFonts w:ascii="楷体" w:eastAsia="楷体" w:hAnsi="楷体" w:cs="宋体" w:hint="eastAsia"/>
                <w:color w:val="000000"/>
                <w:sz w:val="20"/>
                <w:szCs w:val="22"/>
              </w:rPr>
              <w:t>6</w:t>
            </w:r>
          </w:p>
        </w:tc>
        <w:tc>
          <w:tcPr>
            <w:tcW w:w="2058" w:type="dxa"/>
            <w:tcBorders>
              <w:top w:val="nil"/>
              <w:left w:val="nil"/>
              <w:bottom w:val="single" w:sz="4" w:space="0" w:color="auto"/>
              <w:right w:val="single" w:sz="4" w:space="0" w:color="auto"/>
            </w:tcBorders>
            <w:shd w:val="clear" w:color="auto" w:fill="auto"/>
            <w:noWrap/>
            <w:vAlign w:val="bottom"/>
          </w:tcPr>
          <w:p>
            <w:pPr>
              <w:widowControl/>
              <w:spacing w:line="240" w:lineRule="auto"/>
              <w:rPr>
                <w:rFonts w:ascii="楷体" w:eastAsia="楷体" w:hAnsi="楷体" w:cs="宋体"/>
                <w:color w:val="000000"/>
                <w:sz w:val="20"/>
                <w:szCs w:val="22"/>
              </w:rPr>
            </w:pPr>
            <w:r>
              <w:rPr>
                <w:rFonts w:ascii="楷体" w:eastAsia="楷体" w:hAnsi="楷体" w:cs="宋体" w:hint="eastAsia"/>
                <w:color w:val="000000"/>
                <w:sz w:val="20"/>
                <w:szCs w:val="22"/>
              </w:rPr>
              <w:t>其他配件</w:t>
            </w:r>
          </w:p>
        </w:tc>
        <w:tc>
          <w:tcPr>
            <w:tcW w:w="4114" w:type="dxa"/>
            <w:tcBorders>
              <w:top w:val="nil"/>
              <w:left w:val="nil"/>
              <w:bottom w:val="single" w:sz="4" w:space="0" w:color="auto"/>
              <w:right w:val="single" w:sz="4" w:space="0" w:color="auto"/>
            </w:tcBorders>
            <w:shd w:val="clear" w:color="auto" w:fill="auto"/>
            <w:noWrap/>
            <w:vAlign w:val="bottom"/>
          </w:tcPr>
          <w:p>
            <w:pPr>
              <w:widowControl/>
              <w:spacing w:line="240" w:lineRule="auto"/>
              <w:rPr>
                <w:rFonts w:ascii="楷体" w:eastAsia="楷体" w:hAnsi="楷体" w:cs="宋体"/>
                <w:color w:val="000000"/>
                <w:sz w:val="20"/>
                <w:szCs w:val="22"/>
              </w:rPr>
            </w:pPr>
            <w:r>
              <w:rPr>
                <w:rFonts w:ascii="楷体" w:eastAsia="楷体" w:hAnsi="楷体" w:cs="宋体" w:hint="eastAsia"/>
                <w:color w:val="000000"/>
                <w:sz w:val="20"/>
                <w:szCs w:val="22"/>
              </w:rPr>
              <w:t>屏柜、线缆等</w:t>
            </w:r>
          </w:p>
        </w:tc>
        <w:tc>
          <w:tcPr>
            <w:tcW w:w="752" w:type="dxa"/>
            <w:tcBorders>
              <w:top w:val="nil"/>
              <w:left w:val="nil"/>
              <w:bottom w:val="single" w:sz="4" w:space="0" w:color="auto"/>
              <w:right w:val="single" w:sz="4" w:space="0" w:color="auto"/>
            </w:tcBorders>
          </w:tcPr>
          <w:p>
            <w:pPr>
              <w:widowControl/>
              <w:spacing w:line="240" w:lineRule="auto"/>
              <w:jc w:val="center"/>
              <w:rPr>
                <w:rFonts w:ascii="楷体" w:eastAsia="楷体" w:hAnsi="楷体" w:cs="宋体"/>
                <w:color w:val="000000"/>
                <w:sz w:val="20"/>
                <w:szCs w:val="22"/>
              </w:rPr>
            </w:pPr>
          </w:p>
        </w:tc>
      </w:tr>
    </w:tbl>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本方案适用于电力变电站直流电源系统，不仅面向110kV 及以下电压等级（1组蓄电池1套充电机）的变电站，也适合220kV及以上（2组蓄电池2套充电机、2组蓄电池3套充电机）的变电站。</w:t>
      </w:r>
    </w:p>
    <w:p>
      <w:pPr>
        <w:tabs>
          <w:tab w:val="left" w:pos="425"/>
        </w:tabs>
        <w:spacing w:line="360" w:lineRule="auto"/>
        <w:jc w:val="both"/>
        <w:outlineLvl w:val="1"/>
        <w:rPr>
          <w:rFonts w:ascii="黑体" w:eastAsia="黑体" w:hAnsi="华文仿宋"/>
          <w:kern w:val="2"/>
          <w:sz w:val="24"/>
          <w:szCs w:val="28"/>
        </w:rPr>
      </w:pPr>
      <w:bookmarkStart w:id="8" w:name="_Toc13253"/>
      <w:r>
        <w:rPr>
          <w:rFonts w:ascii="黑体" w:eastAsia="黑体" w:hAnsi="华文仿宋" w:hint="eastAsia"/>
          <w:kern w:val="2"/>
          <w:sz w:val="24"/>
          <w:szCs w:val="28"/>
        </w:rPr>
        <w:t>2.3系统功能</w:t>
      </w:r>
      <w:bookmarkEnd w:id="8"/>
    </w:p>
    <w:p>
      <w:pPr>
        <w:spacing w:line="360" w:lineRule="auto"/>
        <w:ind w:firstLine="420" w:firstLineChars="200"/>
        <w:rPr>
          <w:rFonts w:ascii="华文细黑" w:eastAsia="华文细黑" w:hAnsi="华文细黑"/>
          <w:szCs w:val="24"/>
        </w:rPr>
        <w:sectPr>
          <w:headerReference w:type="default" r:id="rId25"/>
          <w:footerReference w:type="default" r:id="rId26"/>
          <w:type w:val="nextPage"/>
          <w:pgSz w:w="11906" w:h="16838"/>
          <w:pgMar w:top="1440" w:right="1800" w:bottom="1440" w:left="1800" w:header="851" w:footer="567" w:gutter="0"/>
          <w:pgNumType w:fmt="decimal" w:start="5" w:chapStyle="1"/>
          <w:cols w:num="1" w:space="425"/>
          <w:titlePg w:val="0"/>
          <w:docGrid w:type="lines" w:linePitch="312" w:charSpace="0"/>
        </w:sectPr>
      </w:pPr>
      <w:r>
        <w:rPr>
          <w:rFonts w:ascii="华文细黑" w:eastAsia="华文细黑" w:hAnsi="华文细黑" w:hint="eastAsia"/>
          <w:szCs w:val="24"/>
        </w:rPr>
        <w:t>该直流电源远程监控及维护系统是对现有变电站直流电源系统精细管理、全面监控、在线监测、运维方便的基础上提出，主要实现如下功能。</w:t>
      </w:r>
    </w:p>
    <w:p>
      <w:pPr>
        <w:pStyle w:val="Heading3"/>
        <w:spacing w:before="0" w:after="0" w:line="240" w:lineRule="auto"/>
        <w:rPr>
          <w:rFonts w:ascii="黑体" w:eastAsia="黑体" w:hAnsi="黑体"/>
          <w:b w:val="0"/>
          <w:sz w:val="21"/>
          <w:szCs w:val="24"/>
        </w:rPr>
      </w:pPr>
      <w:r>
        <w:rPr>
          <w:rFonts w:ascii="黑体" w:eastAsia="黑体" w:hAnsi="黑体" w:hint="eastAsia"/>
          <w:b w:val="0"/>
          <w:sz w:val="21"/>
          <w:szCs w:val="24"/>
        </w:rPr>
        <w:t>2.3.1 电源系统统一监控</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可实时监控直流电源系统控母、合母电压、负荷电流、交流状态、充电机运行状态（如充电机均浮充状态、电压、电流、模块故障告警、绝缘监察报警、交流断电等信息）、整组蓄电池电压、电流、单体电池电压、内阻、温度及各路馈线开关的工作状态等重要参数，并配合动态直流系统模拟图，直观监控直流系统运行参数及运行状态，数据统一分析，系统综合评估。</w:t>
      </w:r>
    </w:p>
    <w:p>
      <w:pPr>
        <w:pStyle w:val="Heading3"/>
        <w:spacing w:before="0" w:after="0" w:line="240" w:lineRule="auto"/>
        <w:rPr>
          <w:rFonts w:ascii="黑体" w:eastAsia="黑体" w:hAnsi="黑体"/>
          <w:b w:val="0"/>
          <w:sz w:val="21"/>
          <w:szCs w:val="24"/>
        </w:rPr>
      </w:pPr>
      <w:r>
        <w:rPr>
          <w:rFonts w:ascii="黑体" w:eastAsia="黑体" w:hAnsi="黑体" w:hint="eastAsia"/>
          <w:b w:val="0"/>
          <w:sz w:val="21"/>
          <w:szCs w:val="24"/>
        </w:rPr>
        <w:t>2.3.2 电源系统远程维护</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系统可远程调整直流系统运行模式，远程控制直流母线状态切换，远程蓄电池组核对性容量试验，远程控制充电机均/浮充状态，远程设置充电机参数等功能，提高了系统运维的自动化水平，改变了原来需要耗费大量人力物力的人工现场操作才能完成的工作模式，大大减少减轻运维人员的工作量，并且最大限度地减少人工现场操作带来的误操作，给系统安全运行提供了有利保证，为变电站无人值守提供可靠保障。</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系统通过蓄电池监测装置、蓄电池容量监测装置及相关电动操作机构的配合，对原有直流回路略做修改即可实现远程自动的电源维护功能，示意图简单如下。</w:t>
      </w:r>
    </w:p>
    <w:p>
      <w:pPr>
        <w:spacing w:line="360" w:lineRule="auto"/>
        <w:rPr>
          <w:rFonts w:ascii="华文细黑" w:eastAsia="华文细黑" w:hAnsi="华文细黑"/>
          <w:szCs w:val="24"/>
        </w:rPr>
      </w:pPr>
      <w:r>
        <w:drawing>
          <wp:inline distT="0" distB="0" distL="0" distR="0">
            <wp:extent cx="5274310" cy="3624580"/>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27" cstate="print"/>
                    <a:stretch>
                      <a:fillRect/>
                    </a:stretch>
                  </pic:blipFill>
                  <pic:spPr>
                    <a:xfrm>
                      <a:off x="0" y="0"/>
                      <a:ext cx="5274310" cy="3624867"/>
                    </a:xfrm>
                    <a:prstGeom prst="rect">
                      <a:avLst/>
                    </a:prstGeom>
                  </pic:spPr>
                </pic:pic>
              </a:graphicData>
            </a:graphic>
          </wp:inline>
        </w:drawing>
      </w:r>
    </w:p>
    <w:p>
      <w:pPr>
        <w:pStyle w:val="Heading3"/>
        <w:spacing w:before="0" w:after="0" w:line="240" w:lineRule="auto"/>
        <w:rPr>
          <w:rFonts w:ascii="黑体" w:eastAsia="黑体" w:hAnsi="黑体"/>
          <w:b w:val="0"/>
          <w:sz w:val="21"/>
          <w:szCs w:val="24"/>
        </w:rPr>
      </w:pPr>
      <w:r>
        <w:rPr>
          <w:rFonts w:ascii="黑体" w:eastAsia="黑体" w:hAnsi="黑体" w:hint="eastAsia"/>
          <w:b w:val="0"/>
          <w:sz w:val="21"/>
          <w:szCs w:val="24"/>
        </w:rPr>
        <w:t>2.3.3 在线均衡与活化</w:t>
      </w:r>
    </w:p>
    <w:p>
      <w:pPr>
        <w:spacing w:line="360" w:lineRule="auto"/>
        <w:ind w:firstLine="420" w:firstLineChars="200"/>
        <w:rPr>
          <w:rFonts w:ascii="华文细黑" w:eastAsia="华文细黑" w:hAnsi="华文细黑"/>
          <w:szCs w:val="24"/>
        </w:rPr>
        <w:sectPr>
          <w:headerReference w:type="default" r:id="rId28"/>
          <w:footerReference w:type="default" r:id="rId29"/>
          <w:type w:val="nextPage"/>
          <w:pgSz w:w="11906" w:h="16838"/>
          <w:pgMar w:top="1440" w:right="1800" w:bottom="1440" w:left="1800" w:header="851" w:footer="567" w:gutter="0"/>
          <w:pgNumType w:fmt="decimal" w:start="6" w:chapStyle="1"/>
          <w:cols w:num="1" w:space="425"/>
          <w:titlePg w:val="0"/>
          <w:docGrid w:type="lines" w:linePitch="312" w:charSpace="0"/>
        </w:sectPr>
      </w:pP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该系统是蓄电池检测和维护的一种新手段，可实现变电站直流系统中蓄电池组的在线监控和均衡管理，实时在线监测单体电池电压、温度、内阻，自动根据容量调节每只蓄电池的充电电流的大小，使每节电池处于同等的工作状态，防止电池过充、欠充，避免蓄电池组出现长期不均衡而损坏电池，具有电池连接故障及单体电池故障诊断能力，从而达到蓄电池在线维护管理，使蓄电池组始终保持在最佳运行状态。将蓄电池“定期维护检修”转变为“状态维护检修”，实现了对蓄电池的科学化管理，大大延长了蓄电池的使用寿命，提高蓄电池组的可靠性。</w:t>
      </w:r>
    </w:p>
    <w:p>
      <w:pPr>
        <w:pStyle w:val="Heading3"/>
        <w:spacing w:before="0" w:after="0" w:line="240" w:lineRule="auto"/>
        <w:rPr>
          <w:rFonts w:ascii="黑体" w:eastAsia="黑体" w:hAnsi="黑体"/>
          <w:b w:val="0"/>
          <w:sz w:val="21"/>
          <w:szCs w:val="24"/>
        </w:rPr>
      </w:pPr>
      <w:r>
        <w:rPr>
          <w:rFonts w:ascii="黑体" w:eastAsia="黑体" w:hAnsi="黑体" w:hint="eastAsia"/>
          <w:b w:val="0"/>
          <w:sz w:val="21"/>
          <w:szCs w:val="24"/>
        </w:rPr>
        <w:t>2.3.4 蓄电池内阻监测、性能评估</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本方案采用了多循环的在线测试技术，这也是我们的核心技术。其工作原理是将一组电池组分成多个循环，每次测量内阻时先对第一个循环进行放电，结束后再对第二个循环进行放电，直至最后一个循环。在放电的同时，系统高速采集每节电池（或每单小组）的放电曲线，取得压降后测出每节电池的内阻。放电负载采用了恒流负载，确保电压变化时每次放电的电流不变。系统实时在线监测电源系统的后备蓄电池</w:t>
      </w:r>
      <w:r>
        <w:rPr>
          <w:rFonts w:ascii="华文细黑" w:eastAsia="华文细黑" w:hAnsi="华文细黑" w:hint="eastAsia"/>
          <w:color w:val="000000" w:themeColor="text1"/>
          <w:szCs w:val="24"/>
        </w:rPr>
        <w:t>内阻，</w:t>
      </w:r>
      <w:r>
        <w:rPr>
          <w:rFonts w:ascii="华文细黑" w:eastAsia="华文细黑" w:hAnsi="华文细黑" w:hint="eastAsia"/>
          <w:szCs w:val="24"/>
        </w:rPr>
        <w:t>以此评估蓄电池运行状况，发现落后电池，提前预警，消除系统隐患。</w:t>
      </w:r>
    </w:p>
    <w:p>
      <w:pPr>
        <w:spacing w:line="360" w:lineRule="auto"/>
        <w:ind w:firstLine="420" w:firstLineChars="200"/>
        <w:rPr>
          <w:rFonts w:ascii="华文细黑" w:eastAsia="华文细黑" w:hAnsi="华文细黑"/>
          <w:szCs w:val="24"/>
        </w:rPr>
      </w:pPr>
      <w:r>
        <w:rPr>
          <w:rFonts w:ascii="华文细黑" w:eastAsia="华文细黑" w:hAnsi="华文细黑" w:hint="eastAsia"/>
          <w:szCs w:val="24"/>
        </w:rPr>
        <w:t>系统可以被设成间隔一定时间自动测量一次内阻，无需人工干预。所以此种测量方法的优势是：</w:t>
      </w:r>
    </w:p>
    <w:p>
      <w:pPr>
        <w:pStyle w:val="ListParagraph"/>
        <w:numPr>
          <w:ilvl w:val="0"/>
          <w:numId w:val="6"/>
        </w:numPr>
        <w:spacing w:line="360" w:lineRule="auto"/>
        <w:ind w:firstLineChars="0"/>
        <w:rPr>
          <w:rFonts w:ascii="华文细黑" w:eastAsia="华文细黑" w:hAnsi="华文细黑"/>
          <w:szCs w:val="24"/>
        </w:rPr>
      </w:pPr>
      <w:r>
        <w:rPr>
          <w:rFonts w:ascii="华文细黑" w:eastAsia="华文细黑" w:hAnsi="华文细黑" w:hint="eastAsia"/>
          <w:szCs w:val="24"/>
        </w:rPr>
        <w:t>自动测量，无须人工干预；</w:t>
      </w:r>
    </w:p>
    <w:p>
      <w:pPr>
        <w:pStyle w:val="ListParagraph"/>
        <w:numPr>
          <w:ilvl w:val="0"/>
          <w:numId w:val="6"/>
        </w:numPr>
        <w:spacing w:line="360" w:lineRule="auto"/>
        <w:ind w:firstLineChars="0"/>
        <w:rPr>
          <w:rFonts w:ascii="华文细黑" w:eastAsia="华文细黑" w:hAnsi="华文细黑"/>
          <w:szCs w:val="24"/>
        </w:rPr>
      </w:pPr>
      <w:r>
        <w:rPr>
          <w:rFonts w:ascii="华文细黑" w:eastAsia="华文细黑" w:hAnsi="华文细黑" w:hint="eastAsia"/>
          <w:szCs w:val="24"/>
        </w:rPr>
        <w:t>准确快捷；</w:t>
      </w:r>
    </w:p>
    <w:p>
      <w:pPr>
        <w:pStyle w:val="ListParagraph"/>
        <w:numPr>
          <w:ilvl w:val="0"/>
          <w:numId w:val="6"/>
        </w:numPr>
        <w:spacing w:line="360" w:lineRule="auto"/>
        <w:ind w:firstLineChars="0"/>
        <w:rPr>
          <w:rFonts w:ascii="华文细黑" w:eastAsia="华文细黑" w:hAnsi="华文细黑"/>
          <w:szCs w:val="24"/>
        </w:rPr>
      </w:pPr>
      <w:r>
        <w:rPr>
          <w:rFonts w:ascii="华文细黑" w:eastAsia="华文细黑" w:hAnsi="华文细黑" w:hint="eastAsia"/>
          <w:szCs w:val="24"/>
        </w:rPr>
        <w:t>安全可靠。</w:t>
      </w:r>
    </w:p>
    <w:p>
      <w:pPr>
        <w:pStyle w:val="Heading3"/>
        <w:spacing w:before="0" w:after="0" w:line="240" w:lineRule="auto"/>
        <w:rPr>
          <w:rFonts w:ascii="黑体" w:eastAsia="黑体" w:hAnsi="黑体"/>
          <w:b w:val="0"/>
          <w:sz w:val="21"/>
          <w:szCs w:val="24"/>
        </w:rPr>
      </w:pPr>
      <w:r>
        <w:rPr>
          <w:rFonts w:ascii="黑体" w:eastAsia="黑体" w:hAnsi="黑体" w:hint="eastAsia"/>
          <w:b w:val="0"/>
          <w:sz w:val="21"/>
          <w:szCs w:val="24"/>
        </w:rPr>
        <w:t>2.3.5 实时监测与告警</w:t>
      </w:r>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系统从各监测单元到主站系统采取分级采集、分级处理，各级均能独立计算与分析，支持客户自定义的告警触发功能，告警方式多样。</w:t>
      </w:r>
    </w:p>
    <w:p>
      <w:pPr>
        <w:pStyle w:val="ListParagraph"/>
        <w:numPr>
          <w:ilvl w:val="0"/>
          <w:numId w:val="7"/>
        </w:numPr>
        <w:spacing w:line="360" w:lineRule="auto"/>
        <w:ind w:firstLineChars="0"/>
        <w:rPr>
          <w:rFonts w:ascii="华文细黑" w:eastAsia="华文细黑" w:hAnsi="华文细黑"/>
          <w:szCs w:val="21"/>
        </w:rPr>
      </w:pPr>
      <w:r>
        <w:rPr>
          <w:rFonts w:ascii="华文细黑" w:eastAsia="华文细黑" w:hAnsi="华文细黑" w:hint="eastAsia"/>
          <w:szCs w:val="21"/>
        </w:rPr>
        <w:t>当监测到蓄电池某个参数超限时，监测装置触摸屏界面上会显示告警内容，对应干接点闭合，同时相应告警指示灯点亮。</w:t>
      </w:r>
    </w:p>
    <w:p>
      <w:pPr>
        <w:pStyle w:val="ListParagraph"/>
        <w:numPr>
          <w:ilvl w:val="0"/>
          <w:numId w:val="7"/>
        </w:numPr>
        <w:spacing w:line="360" w:lineRule="auto"/>
        <w:ind w:firstLineChars="0"/>
        <w:rPr>
          <w:rFonts w:ascii="华文细黑" w:eastAsia="华文细黑" w:hAnsi="华文细黑"/>
          <w:szCs w:val="21"/>
        </w:rPr>
      </w:pPr>
      <w:r>
        <w:rPr>
          <w:rFonts w:ascii="华文细黑" w:eastAsia="华文细黑" w:hAnsi="华文细黑" w:hint="eastAsia"/>
          <w:szCs w:val="21"/>
        </w:rPr>
        <w:t>如果安装了基于WINDOWS的监测软件，软件会自动弹出告警界面。</w:t>
      </w:r>
    </w:p>
    <w:p>
      <w:pPr>
        <w:pStyle w:val="ListParagraph"/>
        <w:numPr>
          <w:ilvl w:val="0"/>
          <w:numId w:val="7"/>
        </w:numPr>
        <w:spacing w:line="360" w:lineRule="auto"/>
        <w:ind w:firstLineChars="0"/>
        <w:rPr>
          <w:rFonts w:ascii="华文细黑" w:eastAsia="华文细黑" w:hAnsi="华文细黑"/>
          <w:szCs w:val="21"/>
        </w:rPr>
      </w:pPr>
      <w:r>
        <w:rPr>
          <w:rFonts w:ascii="华文细黑" w:eastAsia="华文细黑" w:hAnsi="华文细黑" w:hint="eastAsia"/>
          <w:szCs w:val="21"/>
        </w:rPr>
        <w:t>可将干接点接到第三方监测系统上，实现统一平台告警。</w:t>
      </w:r>
    </w:p>
    <w:p>
      <w:pPr>
        <w:pStyle w:val="Heading3"/>
        <w:spacing w:before="0" w:after="0" w:line="240" w:lineRule="auto"/>
        <w:rPr>
          <w:rFonts w:ascii="黑体" w:eastAsia="黑体" w:hAnsi="黑体"/>
          <w:b w:val="0"/>
          <w:sz w:val="21"/>
          <w:szCs w:val="24"/>
        </w:rPr>
      </w:pPr>
      <w:r>
        <w:rPr>
          <w:rFonts w:ascii="黑体" w:eastAsia="黑体" w:hAnsi="黑体" w:hint="eastAsia"/>
          <w:b w:val="0"/>
          <w:sz w:val="21"/>
          <w:szCs w:val="24"/>
        </w:rPr>
        <w:t>2.3.6 多接口管理功能</w:t>
      </w:r>
    </w:p>
    <w:p>
      <w:pPr>
        <w:spacing w:line="360" w:lineRule="auto"/>
        <w:ind w:firstLine="420" w:firstLineChars="200"/>
        <w:rPr>
          <w:rFonts w:ascii="华文细黑" w:eastAsia="华文细黑" w:hAnsi="华文细黑"/>
          <w:szCs w:val="21"/>
        </w:rPr>
        <w:sectPr>
          <w:headerReference w:type="default" r:id="rId30"/>
          <w:footerReference w:type="default" r:id="rId31"/>
          <w:type w:val="nextPage"/>
          <w:pgSz w:w="11906" w:h="16838"/>
          <w:pgMar w:top="1440" w:right="1800" w:bottom="1440" w:left="1800" w:header="851" w:footer="567" w:gutter="0"/>
          <w:pgNumType w:fmt="decimal" w:start="7" w:chapStyle="1"/>
          <w:cols w:num="1" w:space="425"/>
          <w:titlePg w:val="0"/>
          <w:docGrid w:type="lines" w:linePitch="312" w:charSpace="0"/>
        </w:sectPr>
      </w:pPr>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系统通信功能强大，支持多行业应用要求；强大的通信接口可灵活转入转出各种数据。其中监测装置提供2个以太网口，支持多客户端通讯要求，网口光电可灵活配置，同时还提供3个串口；电源总控管理装置支持5个以太网口，8个串口，均支持IEC61850、IEC101、IEC103、IEC104、ModBus等多种规约。</w:t>
      </w:r>
    </w:p>
    <w:p>
      <w:pPr>
        <w:spacing w:line="360" w:lineRule="auto"/>
        <w:ind w:firstLine="420" w:firstLineChars="200"/>
        <w:rPr>
          <w:rFonts w:ascii="华文细黑" w:eastAsia="华文细黑" w:hAnsi="华文细黑"/>
          <w:szCs w:val="21"/>
        </w:rPr>
        <w:sectPr>
          <w:headerReference w:type="default" r:id="rId32"/>
          <w:footerReference w:type="default" r:id="rId33"/>
          <w:type w:val="nextPage"/>
          <w:pgSz w:w="11906" w:h="16838"/>
          <w:pgMar w:top="1440" w:right="1800" w:bottom="1440" w:left="1800" w:header="851" w:footer="567" w:gutter="0"/>
          <w:pgNumType w:fmt="decimal" w:start="8" w:chapStyle="1"/>
          <w:cols w:num="1" w:space="425"/>
          <w:titlePg w:val="0"/>
          <w:docGrid w:type="lines" w:linePitch="312" w:charSpace="0"/>
        </w:sectPr>
      </w:pPr>
      <w:r>
        <w:rPr>
          <w:rFonts w:ascii="华文细黑" w:eastAsia="华文细黑" w:hAnsi="华文细黑" w:hint="eastAsia"/>
          <w:szCs w:val="21"/>
        </w:rPr>
        <w:t>系统可通过上述接口实现与第三方监控系统的通讯，也可转入自有的后台监控系统。</w:t>
      </w:r>
    </w:p>
    <w:p>
      <w:pPr>
        <w:pStyle w:val="ListParagraph"/>
        <w:numPr>
          <w:ilvl w:val="0"/>
          <w:numId w:val="0"/>
        </w:numPr>
        <w:tabs>
          <w:tab w:val="left" w:pos="420"/>
        </w:tabs>
        <w:spacing w:line="240" w:lineRule="auto"/>
        <w:ind w:left="360" w:firstLineChars="0"/>
        <w:jc w:val="center"/>
        <w:outlineLvl w:val="0"/>
        <w:rPr>
          <w:rFonts w:ascii="黑体" w:eastAsia="黑体" w:hAnsi="华文仿宋"/>
          <w:b/>
          <w:kern w:val="2"/>
          <w:sz w:val="28"/>
          <w:szCs w:val="32"/>
        </w:rPr>
      </w:pPr>
      <w:bookmarkStart w:id="9" w:name="_Toc30322"/>
      <w:r>
        <w:rPr>
          <w:rFonts w:ascii="黑体" w:eastAsia="黑体" w:hAnsi="华文仿宋" w:hint="eastAsia"/>
          <w:b/>
          <w:kern w:val="2"/>
          <w:sz w:val="28"/>
          <w:szCs w:val="32"/>
        </w:rPr>
        <w:t>本方案技术优势</w:t>
      </w:r>
      <w:bookmarkEnd w:id="9"/>
    </w:p>
    <w:p>
      <w:pPr>
        <w:tabs>
          <w:tab w:val="left" w:pos="425"/>
        </w:tabs>
        <w:spacing w:line="360" w:lineRule="auto"/>
        <w:jc w:val="both"/>
        <w:outlineLvl w:val="1"/>
        <w:rPr>
          <w:rFonts w:ascii="黑体" w:eastAsia="黑体" w:hAnsi="华文仿宋"/>
          <w:kern w:val="2"/>
          <w:sz w:val="24"/>
          <w:szCs w:val="28"/>
        </w:rPr>
      </w:pPr>
      <w:bookmarkStart w:id="10" w:name="_Toc315881678"/>
      <w:bookmarkStart w:id="11" w:name="_Toc28306"/>
      <w:r>
        <w:rPr>
          <w:rFonts w:ascii="黑体" w:eastAsia="黑体" w:hAnsi="华文仿宋" w:hint="eastAsia"/>
          <w:kern w:val="2"/>
          <w:sz w:val="24"/>
          <w:szCs w:val="28"/>
        </w:rPr>
        <w:t>3.1</w:t>
      </w:r>
      <w:bookmarkEnd w:id="10"/>
      <w:r>
        <w:rPr>
          <w:rFonts w:ascii="黑体" w:eastAsia="黑体" w:hAnsi="华文仿宋" w:hint="eastAsia"/>
          <w:kern w:val="2"/>
          <w:sz w:val="24"/>
          <w:szCs w:val="28"/>
        </w:rPr>
        <w:t xml:space="preserve"> 全面监测、统一监控评估</w:t>
      </w:r>
      <w:bookmarkEnd w:id="11"/>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系统对电源系统进行全方位细致监测，整体评估系统可靠性，提高了系统运维的自动化水平及系统性能预测的准确性。</w:t>
      </w:r>
    </w:p>
    <w:p>
      <w:pPr>
        <w:tabs>
          <w:tab w:val="left" w:pos="425"/>
        </w:tabs>
        <w:spacing w:line="360" w:lineRule="auto"/>
        <w:jc w:val="both"/>
        <w:outlineLvl w:val="1"/>
        <w:rPr>
          <w:rFonts w:ascii="黑体" w:eastAsia="黑体" w:hAnsi="华文仿宋"/>
          <w:kern w:val="2"/>
          <w:sz w:val="24"/>
          <w:szCs w:val="28"/>
        </w:rPr>
      </w:pPr>
      <w:bookmarkStart w:id="12" w:name="_Toc3948"/>
      <w:r>
        <w:rPr>
          <w:rFonts w:ascii="黑体" w:eastAsia="黑体" w:hAnsi="华文仿宋" w:hint="eastAsia"/>
          <w:kern w:val="2"/>
          <w:sz w:val="24"/>
          <w:szCs w:val="28"/>
        </w:rPr>
        <w:t>3.2 重视蓄电池、提高系统可靠性</w:t>
      </w:r>
      <w:bookmarkEnd w:id="12"/>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系统通过定期监测蓄电池内阻，纵向评估蓄电池性能，对落后电池实时监测并实时预警，降低了电源系统中后备电池的故障隐患，排除系统潜在故障点，提高了系统可用性和可靠性。</w:t>
      </w:r>
    </w:p>
    <w:p>
      <w:pPr>
        <w:tabs>
          <w:tab w:val="left" w:pos="425"/>
        </w:tabs>
        <w:spacing w:line="360" w:lineRule="auto"/>
        <w:jc w:val="both"/>
        <w:outlineLvl w:val="1"/>
        <w:rPr>
          <w:rFonts w:ascii="黑体" w:eastAsia="黑体" w:hAnsi="华文仿宋"/>
          <w:kern w:val="2"/>
          <w:sz w:val="24"/>
          <w:szCs w:val="28"/>
        </w:rPr>
      </w:pPr>
      <w:bookmarkStart w:id="13" w:name="_Toc29723"/>
      <w:r>
        <w:rPr>
          <w:rFonts w:ascii="黑体" w:eastAsia="黑体" w:hAnsi="华文仿宋" w:hint="eastAsia"/>
          <w:kern w:val="2"/>
          <w:sz w:val="24"/>
          <w:szCs w:val="28"/>
        </w:rPr>
        <w:t>3.3 远程操控、提高运维自动化水平</w:t>
      </w:r>
      <w:bookmarkEnd w:id="13"/>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系统实现对电源系统的管理功能，可实现电源系统运行方式的调整，远程实现对蓄电池组切换及核容试验，远程实现充电机浮充状态的转换，可完全代替人工操作，安全可靠，为无人值班变电站的推广打好了基础。</w:t>
      </w:r>
    </w:p>
    <w:p>
      <w:pPr>
        <w:tabs>
          <w:tab w:val="left" w:pos="425"/>
        </w:tabs>
        <w:spacing w:line="360" w:lineRule="auto"/>
        <w:jc w:val="both"/>
        <w:outlineLvl w:val="1"/>
        <w:rPr>
          <w:rFonts w:ascii="黑体" w:eastAsia="黑体" w:hAnsi="华文仿宋"/>
          <w:kern w:val="2"/>
          <w:sz w:val="24"/>
          <w:szCs w:val="28"/>
        </w:rPr>
      </w:pPr>
      <w:bookmarkStart w:id="14" w:name="_Toc315881679"/>
      <w:bookmarkStart w:id="15" w:name="_Toc1930"/>
      <w:r>
        <w:rPr>
          <w:rFonts w:ascii="黑体" w:eastAsia="黑体" w:hAnsi="华文仿宋" w:hint="eastAsia"/>
          <w:kern w:val="2"/>
          <w:sz w:val="24"/>
          <w:szCs w:val="28"/>
        </w:rPr>
        <w:t>3.4 高稳定、高安全性</w:t>
      </w:r>
      <w:bookmarkEnd w:id="14"/>
      <w:bookmarkEnd w:id="15"/>
    </w:p>
    <w:p>
      <w:pPr>
        <w:pStyle w:val="ListParagraph"/>
        <w:numPr>
          <w:ilvl w:val="0"/>
          <w:numId w:val="26"/>
        </w:numPr>
        <w:spacing w:line="360" w:lineRule="auto"/>
        <w:ind w:firstLineChars="0"/>
        <w:rPr>
          <w:rFonts w:ascii="华文细黑" w:eastAsia="华文细黑" w:hAnsi="华文细黑"/>
          <w:szCs w:val="21"/>
        </w:rPr>
      </w:pPr>
      <w:r>
        <w:rPr>
          <w:rFonts w:ascii="华文细黑" w:eastAsia="华文细黑" w:hAnsi="华文细黑" w:hint="eastAsia"/>
          <w:szCs w:val="21"/>
        </w:rPr>
        <w:t>该系统采用嵌入式软硬件设计平台，平台经过近十年的应用证明其可靠性、稳定性是非常好的，同时经过多个项目应用的考验，已经充分说明该系列产品的稳定可靠。</w:t>
      </w:r>
    </w:p>
    <w:p>
      <w:pPr>
        <w:pStyle w:val="ListParagraph"/>
        <w:numPr>
          <w:ilvl w:val="0"/>
          <w:numId w:val="26"/>
        </w:numPr>
        <w:spacing w:line="360" w:lineRule="auto"/>
        <w:ind w:firstLineChars="0"/>
        <w:rPr>
          <w:rFonts w:ascii="华文细黑" w:eastAsia="华文细黑" w:hAnsi="华文细黑"/>
          <w:szCs w:val="21"/>
        </w:rPr>
      </w:pPr>
      <w:r>
        <w:rPr>
          <w:rFonts w:ascii="华文细黑" w:eastAsia="华文细黑" w:hAnsi="华文细黑" w:hint="eastAsia"/>
          <w:szCs w:val="21"/>
        </w:rPr>
        <w:t>系统对充电系统和工作回路无任何干扰，电压采集线不与被监测电池直接连接，中间由欧姆电阻连接，彻底杜绝了测量电缆自身短路或装置的故障带来的电池自放电、现场出现火花、人员触电、蓄电池的伤害等危险；采集单元各检测通道采用高阻抗输入方式，检测回路的电流小于微安级，对蓄电池无不良影响。</w:t>
      </w:r>
    </w:p>
    <w:p>
      <w:pPr>
        <w:pStyle w:val="ListParagraph"/>
        <w:numPr>
          <w:ilvl w:val="0"/>
          <w:numId w:val="26"/>
        </w:numPr>
        <w:spacing w:line="360" w:lineRule="auto"/>
        <w:ind w:firstLineChars="0"/>
        <w:rPr>
          <w:rFonts w:ascii="华文细黑" w:eastAsia="华文细黑" w:hAnsi="华文细黑"/>
          <w:szCs w:val="21"/>
        </w:rPr>
      </w:pPr>
      <w:r>
        <w:rPr>
          <w:rFonts w:ascii="华文细黑" w:eastAsia="华文细黑" w:hAnsi="华文细黑" w:hint="eastAsia"/>
          <w:szCs w:val="21"/>
        </w:rPr>
        <w:t>系统能完全独立于被监测设备而正常工作，功耗低，对供电系统要求不高，不影响用户正常供电线路。</w:t>
      </w:r>
    </w:p>
    <w:p>
      <w:pPr>
        <w:pStyle w:val="ListParagraph"/>
        <w:numPr>
          <w:ilvl w:val="0"/>
          <w:numId w:val="26"/>
        </w:numPr>
        <w:spacing w:line="360" w:lineRule="auto"/>
        <w:ind w:firstLineChars="0"/>
        <w:rPr>
          <w:rFonts w:ascii="华文细黑" w:eastAsia="华文细黑" w:hAnsi="华文细黑"/>
          <w:szCs w:val="21"/>
        </w:rPr>
      </w:pPr>
      <w:r>
        <w:rPr>
          <w:rFonts w:ascii="华文细黑" w:eastAsia="华文细黑" w:hAnsi="华文细黑" w:hint="eastAsia"/>
          <w:szCs w:val="21"/>
        </w:rPr>
        <w:t>具有防过压、过流、高频磁场干扰特性，要求系统工作电压范围宽，防过流、过压能力强，系统设计有防浪涌电路，可在高频强磁场工作环境下正常运行。</w:t>
      </w:r>
    </w:p>
    <w:p>
      <w:pPr>
        <w:pStyle w:val="ListParagraph"/>
        <w:numPr>
          <w:ilvl w:val="0"/>
          <w:numId w:val="26"/>
        </w:numPr>
        <w:spacing w:line="360" w:lineRule="auto"/>
        <w:ind w:firstLineChars="0"/>
        <w:rPr>
          <w:rFonts w:ascii="华文细黑" w:eastAsia="华文细黑" w:hAnsi="华文细黑"/>
          <w:szCs w:val="21"/>
        </w:rPr>
      </w:pPr>
      <w:r>
        <w:rPr>
          <w:rFonts w:ascii="华文细黑" w:eastAsia="华文细黑" w:hAnsi="华文细黑" w:hint="eastAsia"/>
          <w:szCs w:val="21"/>
        </w:rPr>
        <w:t>系统一体化设计，安装方便，在线可维护性强，在线维护时不影响被监测设备的正常工作。</w:t>
      </w:r>
    </w:p>
    <w:p>
      <w:pPr>
        <w:pStyle w:val="ListParagraph"/>
        <w:numPr>
          <w:ilvl w:val="0"/>
          <w:numId w:val="26"/>
        </w:numPr>
        <w:spacing w:line="360" w:lineRule="auto"/>
        <w:ind w:firstLineChars="0"/>
        <w:rPr>
          <w:rFonts w:ascii="华文细黑" w:eastAsia="华文细黑" w:hAnsi="华文细黑"/>
          <w:szCs w:val="21"/>
        </w:rPr>
        <w:sectPr>
          <w:headerReference w:type="default" r:id="rId34"/>
          <w:footerReference w:type="default" r:id="rId35"/>
          <w:type w:val="nextPage"/>
          <w:pgSz w:w="11906" w:h="16838"/>
          <w:pgMar w:top="1440" w:right="1800" w:bottom="1440" w:left="1800" w:header="851" w:footer="567" w:gutter="0"/>
          <w:pgNumType w:fmt="decimal" w:start="9" w:chapStyle="1"/>
          <w:cols w:num="1" w:space="425"/>
          <w:titlePg w:val="0"/>
          <w:docGrid w:type="lines" w:linePitch="312" w:charSpace="0"/>
        </w:sectPr>
      </w:pPr>
    </w:p>
    <w:p>
      <w:pPr>
        <w:pStyle w:val="ListParagraph"/>
        <w:numPr>
          <w:ilvl w:val="0"/>
          <w:numId w:val="0"/>
        </w:numPr>
        <w:spacing w:line="360" w:lineRule="auto"/>
        <w:ind w:left="840" w:firstLineChars="0"/>
        <w:rPr>
          <w:rFonts w:ascii="华文细黑" w:eastAsia="华文细黑" w:hAnsi="华文细黑"/>
          <w:szCs w:val="21"/>
        </w:rPr>
      </w:pPr>
      <w:r>
        <w:rPr>
          <w:rFonts w:ascii="华文细黑" w:eastAsia="华文细黑" w:hAnsi="华文细黑" w:hint="eastAsia"/>
          <w:szCs w:val="21"/>
        </w:rPr>
        <w:t>系统应采用阻燃特性良好的元器件，使得系统本身的短路过流等原因造成的故障不会引起明火燃烧。</w:t>
      </w:r>
    </w:p>
    <w:p>
      <w:pPr>
        <w:tabs>
          <w:tab w:val="left" w:pos="425"/>
        </w:tabs>
        <w:spacing w:line="360" w:lineRule="auto"/>
        <w:jc w:val="both"/>
        <w:outlineLvl w:val="1"/>
        <w:rPr>
          <w:rFonts w:ascii="黑体" w:eastAsia="黑体" w:hAnsi="华文仿宋"/>
          <w:kern w:val="2"/>
          <w:sz w:val="24"/>
          <w:szCs w:val="28"/>
        </w:rPr>
      </w:pPr>
      <w:bookmarkStart w:id="16" w:name="_Toc315881680"/>
      <w:bookmarkStart w:id="17" w:name="_Toc826"/>
      <w:r>
        <w:rPr>
          <w:rFonts w:ascii="黑体" w:eastAsia="黑体" w:hAnsi="华文仿宋" w:hint="eastAsia"/>
          <w:kern w:val="2"/>
          <w:sz w:val="24"/>
          <w:szCs w:val="28"/>
        </w:rPr>
        <w:t>3.</w:t>
      </w:r>
      <w:bookmarkEnd w:id="16"/>
      <w:r>
        <w:rPr>
          <w:rFonts w:ascii="黑体" w:eastAsia="黑体" w:hAnsi="华文仿宋" w:hint="eastAsia"/>
          <w:kern w:val="2"/>
          <w:sz w:val="24"/>
          <w:szCs w:val="28"/>
        </w:rPr>
        <w:t>5 权威检测、性能突出</w:t>
      </w:r>
      <w:bookmarkEnd w:id="17"/>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系统已经过国家电力行业权威机构认证，功能及性能均达到国家标准要求，性能突出。</w:t>
      </w:r>
    </w:p>
    <w:p>
      <w:pPr>
        <w:tabs>
          <w:tab w:val="left" w:pos="425"/>
        </w:tabs>
        <w:spacing w:line="360" w:lineRule="auto"/>
        <w:jc w:val="both"/>
        <w:outlineLvl w:val="1"/>
        <w:rPr>
          <w:rFonts w:ascii="黑体" w:eastAsia="黑体" w:hAnsi="华文仿宋"/>
          <w:kern w:val="2"/>
          <w:sz w:val="24"/>
          <w:szCs w:val="28"/>
        </w:rPr>
      </w:pPr>
      <w:bookmarkStart w:id="18" w:name="_Toc16099"/>
      <w:bookmarkStart w:id="19" w:name="_Toc315881682"/>
      <w:r>
        <w:rPr>
          <w:rFonts w:ascii="黑体" w:eastAsia="黑体" w:hAnsi="华文仿宋" w:hint="eastAsia"/>
          <w:kern w:val="2"/>
          <w:sz w:val="24"/>
          <w:szCs w:val="28"/>
        </w:rPr>
        <w:t>3.6 在线均衡管理、内阻测试</w:t>
      </w:r>
      <w:bookmarkEnd w:id="18"/>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系统在线自动均衡电池组中的每只电池，使各电池电压保持一致，避免了蓄电池组出现长期不均衡而损坏电池的情况，让蓄电池组始终处在最佳运行状态，保障电池运行达到设计寿命，大大提高蓄电池的安全性，降低了蓄电池的更换成本。</w:t>
      </w:r>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同时，我们采用分段多循环内阻监测技术可以实现完全自动在线测试内阻。其工作原理是将一组电池组分成多个循环，每次测量内阻时先对第一个循环进行放电，结束后再对第二个循环进行放电，直至最后一个循环。在放电的同时，系统高速采集每节电池（或每单小组）的放电曲线，取得压降后测出每节电池的内阻。放电负载采用了恒流负载，确保电压变化时每次放电的电流不变。</w:t>
      </w:r>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系统可以被设成间隔一定时间自动测量一次内阻，无需人工干预。所以此种测量方法的优势是：</w:t>
      </w:r>
    </w:p>
    <w:p>
      <w:pPr>
        <w:pStyle w:val="ListParagraph"/>
        <w:numPr>
          <w:ilvl w:val="1"/>
          <w:numId w:val="27"/>
        </w:numPr>
        <w:spacing w:line="360" w:lineRule="auto"/>
        <w:ind w:firstLineChars="0"/>
        <w:rPr>
          <w:rFonts w:ascii="华文细黑" w:eastAsia="华文细黑" w:hAnsi="华文细黑"/>
          <w:szCs w:val="21"/>
        </w:rPr>
      </w:pPr>
      <w:r>
        <w:rPr>
          <w:rFonts w:ascii="华文细黑" w:eastAsia="华文细黑" w:hAnsi="华文细黑" w:hint="eastAsia"/>
          <w:szCs w:val="21"/>
        </w:rPr>
        <w:t>自动测量，无须人工干预；</w:t>
      </w:r>
    </w:p>
    <w:p>
      <w:pPr>
        <w:pStyle w:val="ListParagraph"/>
        <w:numPr>
          <w:ilvl w:val="1"/>
          <w:numId w:val="27"/>
        </w:numPr>
        <w:spacing w:line="360" w:lineRule="auto"/>
        <w:ind w:firstLineChars="0"/>
        <w:rPr>
          <w:rFonts w:ascii="华文细黑" w:eastAsia="华文细黑" w:hAnsi="华文细黑"/>
          <w:szCs w:val="21"/>
        </w:rPr>
      </w:pPr>
      <w:r>
        <w:rPr>
          <w:rFonts w:ascii="华文细黑" w:eastAsia="华文细黑" w:hAnsi="华文细黑" w:hint="eastAsia"/>
          <w:szCs w:val="21"/>
        </w:rPr>
        <w:t>准确快捷；</w:t>
      </w:r>
    </w:p>
    <w:p>
      <w:pPr>
        <w:pStyle w:val="ListParagraph"/>
        <w:numPr>
          <w:ilvl w:val="1"/>
          <w:numId w:val="27"/>
        </w:numPr>
        <w:spacing w:line="360" w:lineRule="auto"/>
        <w:ind w:firstLineChars="0"/>
        <w:rPr>
          <w:rFonts w:ascii="华文细黑" w:eastAsia="华文细黑" w:hAnsi="华文细黑"/>
          <w:szCs w:val="21"/>
        </w:rPr>
      </w:pPr>
      <w:r>
        <w:rPr>
          <w:rFonts w:ascii="华文细黑" w:eastAsia="华文细黑" w:hAnsi="华文细黑" w:hint="eastAsia"/>
          <w:szCs w:val="21"/>
        </w:rPr>
        <w:t>安全可靠。</w:t>
      </w:r>
    </w:p>
    <w:p>
      <w:pPr>
        <w:spacing w:line="360" w:lineRule="auto"/>
        <w:jc w:val="center"/>
        <w:rPr>
          <w:rFonts w:ascii="华文细黑" w:eastAsia="华文细黑" w:hAnsi="华文细黑"/>
          <w:szCs w:val="21"/>
        </w:rPr>
      </w:pPr>
      <w:r>
        <w:drawing>
          <wp:inline distT="0" distB="0" distL="0" distR="0">
            <wp:extent cx="3686175" cy="21431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6" cstate="print"/>
                    <a:stretch>
                      <a:fillRect/>
                    </a:stretch>
                  </pic:blipFill>
                  <pic:spPr>
                    <a:xfrm>
                      <a:off x="0" y="0"/>
                      <a:ext cx="3686175" cy="2143125"/>
                    </a:xfrm>
                    <a:prstGeom prst="rect">
                      <a:avLst/>
                    </a:prstGeom>
                  </pic:spPr>
                </pic:pic>
              </a:graphicData>
            </a:graphic>
          </wp:inline>
        </w:drawing>
      </w:r>
    </w:p>
    <w:p>
      <w:pPr>
        <w:tabs>
          <w:tab w:val="left" w:pos="425"/>
        </w:tabs>
        <w:spacing w:line="360" w:lineRule="auto"/>
        <w:jc w:val="both"/>
        <w:outlineLvl w:val="1"/>
        <w:rPr>
          <w:rFonts w:ascii="黑体" w:eastAsia="黑体" w:hAnsi="华文仿宋"/>
          <w:kern w:val="2"/>
          <w:sz w:val="24"/>
          <w:szCs w:val="28"/>
        </w:rPr>
        <w:sectPr>
          <w:headerReference w:type="default" r:id="rId37"/>
          <w:footerReference w:type="default" r:id="rId38"/>
          <w:type w:val="nextPage"/>
          <w:pgSz w:w="11906" w:h="16838"/>
          <w:pgMar w:top="1440" w:right="1800" w:bottom="1440" w:left="1800" w:header="851" w:footer="567" w:gutter="0"/>
          <w:pgNumType w:fmt="decimal" w:start="10" w:chapStyle="1"/>
          <w:cols w:num="1" w:space="425"/>
          <w:titlePg w:val="0"/>
          <w:docGrid w:type="lines" w:linePitch="312" w:charSpace="0"/>
        </w:sectPr>
      </w:pPr>
      <w:bookmarkStart w:id="20" w:name="_Toc19880"/>
      <w:r>
        <w:rPr>
          <w:rFonts w:ascii="黑体" w:eastAsia="黑体" w:hAnsi="华文仿宋" w:hint="eastAsia"/>
          <w:kern w:val="2"/>
          <w:sz w:val="24"/>
          <w:szCs w:val="28"/>
        </w:rPr>
        <w:t>3.7 高精度电压采集技术</w:t>
      </w:r>
      <w:bookmarkEnd w:id="19"/>
      <w:bookmarkEnd w:id="20"/>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电压检测采用16位并行A/D转换技术，无开关或继电器切换，实现了高速及高稳定采集，精度可高达0.1%。采集单元前后级采用了光电隔离，避免前端对后端电路的干扰，保证系统安全可靠。</w:t>
      </w:r>
    </w:p>
    <w:p>
      <w:pPr>
        <w:tabs>
          <w:tab w:val="left" w:pos="425"/>
        </w:tabs>
        <w:spacing w:line="360" w:lineRule="auto"/>
        <w:jc w:val="both"/>
        <w:outlineLvl w:val="1"/>
        <w:rPr>
          <w:rFonts w:ascii="黑体" w:eastAsia="黑体" w:hAnsi="华文仿宋"/>
          <w:kern w:val="2"/>
          <w:sz w:val="24"/>
          <w:szCs w:val="28"/>
        </w:rPr>
      </w:pPr>
      <w:bookmarkStart w:id="21" w:name="_Toc315881683"/>
      <w:bookmarkStart w:id="22" w:name="_Toc12874"/>
      <w:r>
        <w:rPr>
          <w:rFonts w:ascii="黑体" w:eastAsia="黑体" w:hAnsi="华文仿宋" w:hint="eastAsia"/>
          <w:kern w:val="2"/>
          <w:sz w:val="24"/>
          <w:szCs w:val="28"/>
        </w:rPr>
        <w:t>3.8 监测设备内置智能分析功能</w:t>
      </w:r>
      <w:bookmarkEnd w:id="21"/>
      <w:bookmarkEnd w:id="22"/>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大部分的蓄电池监测产品都通过后台软件来分析数据，这种方式的好处是实现起来比较容易，但存在下面的缺点：</w:t>
      </w:r>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与监测设备通信中断或软件死机不能正常接收数据时，分析的基础数据会丢失，无法进行分析，造成整个系统瘫痪。</w:t>
      </w:r>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如要将监测设备直接接入第三方监控系统时，就没有分析功能或实现起来非常复杂。</w:t>
      </w:r>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为了解决这个问题，我们将分析功能内置到监测设备内，设备每月自动会对每节电池的电压、内阻等进行分析，自动生成报告找出需要更换的电池并提出维护建议。使分析功能完全独立于后台软件，分析结果可以直接上传给第三方监测系统。</w:t>
      </w:r>
    </w:p>
    <w:p>
      <w:pPr>
        <w:tabs>
          <w:tab w:val="left" w:pos="425"/>
        </w:tabs>
        <w:spacing w:line="360" w:lineRule="auto"/>
        <w:jc w:val="both"/>
        <w:outlineLvl w:val="1"/>
        <w:rPr>
          <w:rFonts w:ascii="黑体" w:eastAsia="黑体" w:hAnsi="华文仿宋"/>
          <w:kern w:val="2"/>
          <w:sz w:val="24"/>
          <w:szCs w:val="28"/>
        </w:rPr>
      </w:pPr>
      <w:bookmarkStart w:id="23" w:name="_Toc315881684"/>
      <w:bookmarkStart w:id="24" w:name="_Toc3843"/>
      <w:r>
        <w:rPr>
          <w:rFonts w:ascii="黑体" w:eastAsia="黑体" w:hAnsi="华文仿宋" w:hint="eastAsia"/>
          <w:kern w:val="2"/>
          <w:sz w:val="24"/>
          <w:szCs w:val="28"/>
        </w:rPr>
        <w:t>3.9 大容量数据存储空间</w:t>
      </w:r>
      <w:bookmarkEnd w:id="23"/>
      <w:bookmarkEnd w:id="24"/>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监测设备可以对保存电压、内阻、报警记录及分析报告等，一旦后台服务器出故障，也可确保关键数据不会丢失。</w:t>
      </w:r>
    </w:p>
    <w:p>
      <w:pPr>
        <w:tabs>
          <w:tab w:val="left" w:pos="425"/>
        </w:tabs>
        <w:spacing w:line="360" w:lineRule="auto"/>
        <w:jc w:val="both"/>
        <w:outlineLvl w:val="1"/>
        <w:rPr>
          <w:rFonts w:ascii="黑体" w:eastAsia="黑体" w:hAnsi="华文仿宋"/>
          <w:kern w:val="2"/>
          <w:sz w:val="24"/>
          <w:szCs w:val="28"/>
        </w:rPr>
      </w:pPr>
      <w:bookmarkStart w:id="25" w:name="_Toc315881685"/>
      <w:bookmarkStart w:id="26" w:name="_Toc24750"/>
      <w:r>
        <w:rPr>
          <w:rFonts w:ascii="黑体" w:eastAsia="黑体" w:hAnsi="华文仿宋" w:hint="eastAsia"/>
          <w:kern w:val="2"/>
          <w:sz w:val="24"/>
          <w:szCs w:val="28"/>
        </w:rPr>
        <w:t>3.</w:t>
      </w:r>
      <w:bookmarkEnd w:id="25"/>
      <w:r>
        <w:rPr>
          <w:rFonts w:ascii="黑体" w:eastAsia="黑体" w:hAnsi="华文仿宋" w:hint="eastAsia"/>
          <w:kern w:val="2"/>
          <w:sz w:val="24"/>
          <w:szCs w:val="28"/>
        </w:rPr>
        <w:t>10 接口丰富</w:t>
      </w:r>
      <w:bookmarkEnd w:id="26"/>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监测设备可以完全独立运行，无需后台软件支持，并能直接对数据进行分析生成分析报告，这些数据通过通讯口可以直接上传给第三方监测系统，并提供3路RS232/RS485接口、2路网络接口，支持光电转换，支持CDT、MODBUS等多种规约。</w:t>
      </w:r>
    </w:p>
    <w:p>
      <w:pPr>
        <w:tabs>
          <w:tab w:val="left" w:pos="425"/>
        </w:tabs>
        <w:spacing w:line="360" w:lineRule="auto"/>
        <w:jc w:val="both"/>
        <w:outlineLvl w:val="1"/>
        <w:rPr>
          <w:rFonts w:ascii="黑体" w:eastAsia="黑体" w:hAnsi="华文仿宋"/>
          <w:kern w:val="2"/>
          <w:sz w:val="24"/>
          <w:szCs w:val="28"/>
        </w:rPr>
      </w:pPr>
      <w:bookmarkStart w:id="27" w:name="_Toc23835"/>
      <w:r>
        <w:rPr>
          <w:rFonts w:ascii="黑体" w:eastAsia="黑体" w:hAnsi="华文仿宋" w:hint="eastAsia"/>
          <w:kern w:val="2"/>
          <w:sz w:val="24"/>
          <w:szCs w:val="28"/>
        </w:rPr>
        <w:t>3.11 系统自检</w:t>
      </w:r>
      <w:bookmarkEnd w:id="27"/>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装置实时软硬件检测，若硬件或软件有问题会实时报警并产生事项，并点亮装置界面的故障指示灯，以提示设备故障。设备提供软硬件看门狗，在设备故障时以便顺利恢复工作。</w:t>
      </w:r>
    </w:p>
    <w:p>
      <w:pPr>
        <w:tabs>
          <w:tab w:val="left" w:pos="425"/>
        </w:tabs>
        <w:spacing w:line="360" w:lineRule="auto"/>
        <w:jc w:val="both"/>
        <w:outlineLvl w:val="1"/>
        <w:rPr>
          <w:rFonts w:ascii="黑体" w:eastAsia="黑体" w:hAnsi="华文仿宋"/>
          <w:kern w:val="2"/>
          <w:sz w:val="24"/>
          <w:szCs w:val="28"/>
        </w:rPr>
      </w:pPr>
      <w:bookmarkStart w:id="28" w:name="_Toc22710"/>
      <w:r>
        <w:rPr>
          <w:rFonts w:ascii="黑体" w:eastAsia="黑体" w:hAnsi="华文仿宋" w:hint="eastAsia"/>
          <w:kern w:val="2"/>
          <w:sz w:val="24"/>
          <w:szCs w:val="28"/>
        </w:rPr>
        <w:t>3.12 界面友好</w:t>
      </w:r>
      <w:bookmarkEnd w:id="28"/>
    </w:p>
    <w:p>
      <w:pPr>
        <w:spacing w:line="360" w:lineRule="auto"/>
        <w:ind w:firstLine="420" w:firstLineChars="200"/>
        <w:rPr>
          <w:rFonts w:ascii="华文细黑" w:eastAsia="华文细黑" w:hAnsi="华文细黑"/>
          <w:szCs w:val="21"/>
        </w:rPr>
      </w:pPr>
      <w:r>
        <w:rPr>
          <w:rFonts w:ascii="华文细黑" w:eastAsia="华文细黑" w:hAnsi="华文细黑" w:hint="eastAsia"/>
          <w:szCs w:val="21"/>
        </w:rPr>
        <w:t>系统采用真彩触摸屏显示，界面显示清晰，美观。同时支持配置工具在线配置参数，操作方便。</w:t>
      </w:r>
      <w:r>
        <w:rPr>
          <w:rFonts w:ascii="华文细黑" w:eastAsia="华文细黑" w:hAnsi="华文细黑"/>
          <w:szCs w:val="21"/>
        </w:rPr>
        <w:br/>
      </w:r>
      <w:r>
        <w:rPr>
          <w:rFonts w:ascii="华文细黑" w:eastAsia="华文细黑" w:hAnsi="华文细黑"/>
          <w:szCs w:val="21"/>
        </w:rPr>
        <w:br/>
      </w:r>
    </w:p>
    <w:p>
      <w:pPr>
        <w:widowControl/>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9" w:history="1">
        <w:r>
          <w:rPr>
            <w:rFonts w:ascii="SimSun" w:eastAsia="SimSun" w:hAnsi="SimSun" w:cs="SimSun"/>
            <w:b/>
            <w:bCs/>
            <w:color w:val="0000EE"/>
            <w:sz w:val="30"/>
            <w:szCs w:val="30"/>
            <w:u w:val="single" w:color="0000EE"/>
          </w:rPr>
          <w:t>https://d.book118.com/528107033110006043</w:t>
        </w:r>
      </w:hyperlink>
    </w:p>
    <w:p>
      <w:pPr>
        <w:spacing w:line="360" w:lineRule="auto"/>
        <w:ind w:firstLine="420" w:firstLineChars="200"/>
        <w:rPr>
          <w:rFonts w:ascii="华文细黑" w:eastAsia="华文细黑" w:hAnsi="华文细黑"/>
          <w:szCs w:val="21"/>
        </w:rPr>
      </w:pPr>
    </w:p>
    <w:sectPr>
      <w:headerReference w:type="default" r:id="rId40"/>
      <w:footerReference w:type="default" r:id="rId41"/>
      <w:type w:val="nextPage"/>
      <w:pgSz w:w="11906" w:h="16838"/>
      <w:pgMar w:top="1440" w:right="1800" w:bottom="1440" w:left="1800" w:header="851" w:footer="567" w:gutter="0"/>
      <w:pgNumType w:fmt="decimal" w:start="11" w:chapStyle="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仿宋">
    <w:panose1 w:val="02010600040101010101"/>
    <w:charset w:val="86"/>
    <w:family w:val="auto"/>
    <w:pitch w:val="default"/>
    <w:sig w:usb0="00000287" w:usb1="080F0000" w:usb2="00000000" w:usb3="00000000" w:csb0="0004009F" w:csb1="DFD70000"/>
  </w:font>
  <w:font w:name="长城仿宋">
    <w:altName w:val="黑体"/>
    <w:panose1 w:val="00000000000000000000"/>
    <w:charset w:val="86"/>
    <w:family w:val="modern"/>
    <w:pitch w:val="default"/>
    <w:sig w:usb0="00000000" w:usb1="00000000" w:usb2="0000001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华文彩云">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2051"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2051"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2049"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p>
    <w:pP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2049"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p>
    <w:pPr>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2049"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p>
    <w:pPr>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hd w:val="pct10" w:color="auto" w:fill="FFFFFF"/>
      </w:rPr>
    </w:pPr>
    <w:r>
      <w:rPr>
        <w:sz w:val="18"/>
      </w:rPr>
      <w:pict>
        <v:shapetype id="_x0000_t202" coordsize="21600,21600" o:spt="202" path="m,l,21600r21600,l21600,xe">
          <v:stroke joinstyle="miter"/>
          <v:path gradientshapeok="t" o:connecttype="rect"/>
        </v:shapetype>
        <v:shape id="_x0000_s2052"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pBdr>
                    <w:top w:val="none" w:sz="0" w:space="1" w:color="auto"/>
                    <w:left w:val="none" w:sz="0" w:space="0" w:color="auto"/>
                    <w:bottom w:val="none" w:sz="0" w:space="0" w:color="auto"/>
                    <w:right w:val="none" w:sz="0" w:space="0" w:color="auto"/>
                    <w:between w:val="none" w:sz="0" w:space="0" w:color="auto"/>
                  </w:pBd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hd w:val="pct10" w:color="auto" w:fill="FFFFFF"/>
      </w:rPr>
    </w:pPr>
    <w:r>
      <w:rPr>
        <w:sz w:val="18"/>
      </w:rPr>
      <w:pict>
        <v:shapetype id="_x0000_t202" coordsize="21600,21600" o:spt="202" path="m,l,21600r21600,l21600,xe">
          <v:stroke joinstyle="miter"/>
          <v:path gradientshapeok="t" o:connecttype="rect"/>
        </v:shapetype>
        <v:shape id="_x0000_s2052"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pBdr>
                    <w:top w:val="none" w:sz="0" w:space="1" w:color="auto"/>
                    <w:left w:val="none" w:sz="0" w:space="0" w:color="auto"/>
                    <w:bottom w:val="none" w:sz="0" w:space="0" w:color="auto"/>
                    <w:right w:val="none" w:sz="0" w:space="0" w:color="auto"/>
                    <w:between w:val="none" w:sz="0" w:space="0" w:color="auto"/>
                  </w:pBd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hd w:val="pct10" w:color="auto" w:fill="FFFFFF"/>
      </w:rPr>
    </w:pPr>
    <w:r>
      <w:rPr>
        <w:sz w:val="18"/>
      </w:rPr>
      <w:pict>
        <v:shapetype id="_x0000_t202" coordsize="21600,21600" o:spt="202" path="m,l,21600r21600,l21600,xe">
          <v:stroke joinstyle="miter"/>
          <v:path gradientshapeok="t" o:connecttype="rect"/>
        </v:shapetype>
        <v:shape id="_x0000_s2052"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pBdr>
                    <w:top w:val="none" w:sz="0" w:space="1" w:color="auto"/>
                    <w:left w:val="none" w:sz="0" w:space="0" w:color="auto"/>
                    <w:bottom w:val="none" w:sz="0" w:space="0" w:color="auto"/>
                    <w:right w:val="none" w:sz="0" w:space="0" w:color="auto"/>
                    <w:between w:val="none" w:sz="0" w:space="0" w:color="auto"/>
                  </w:pBd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hd w:val="pct10" w:color="auto" w:fill="FFFFFF"/>
      </w:rPr>
    </w:pPr>
    <w:r>
      <w:rPr>
        <w:sz w:val="18"/>
      </w:rPr>
      <w:pict>
        <v:shapetype id="_x0000_t202" coordsize="21600,21600" o:spt="202" path="m,l,21600r21600,l21600,xe">
          <v:stroke joinstyle="miter"/>
          <v:path gradientshapeok="t" o:connecttype="rect"/>
        </v:shapetype>
        <v:shape id="_x0000_s2052"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pBdr>
                    <w:top w:val="none" w:sz="0" w:space="1" w:color="auto"/>
                    <w:left w:val="none" w:sz="0" w:space="0" w:color="auto"/>
                    <w:bottom w:val="none" w:sz="0" w:space="0" w:color="auto"/>
                    <w:right w:val="none" w:sz="0" w:space="0" w:color="auto"/>
                    <w:between w:val="none" w:sz="0" w:space="0" w:color="auto"/>
                  </w:pBd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hd w:val="pct10" w:color="auto" w:fill="FFFFFF"/>
      </w:rPr>
    </w:pPr>
    <w:r>
      <w:rPr>
        <w:sz w:val="18"/>
      </w:rPr>
      <w:pict>
        <v:shapetype id="_x0000_t202" coordsize="21600,21600" o:spt="202" path="m,l,21600r21600,l21600,xe">
          <v:stroke joinstyle="miter"/>
          <v:path gradientshapeok="t" o:connecttype="rect"/>
        </v:shapetype>
        <v:shape id="_x0000_s2052" o:spid="_x0000_s205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pBdr>
                    <w:top w:val="none" w:sz="0" w:space="1" w:color="auto"/>
                    <w:left w:val="none" w:sz="0" w:space="0" w:color="auto"/>
                    <w:bottom w:val="none" w:sz="0" w:space="0" w:color="auto"/>
                    <w:right w:val="none" w:sz="0" w:space="0" w:color="auto"/>
                    <w:between w:val="none" w:sz="0" w:space="0" w:color="auto"/>
                  </w:pBd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hd w:val="pct10" w:color="auto" w:fill="FFFFFF"/>
      </w:rPr>
    </w:pPr>
    <w:r>
      <w:rPr>
        <w:sz w:val="18"/>
      </w:rPr>
      <w:pict>
        <v:shapetype id="_x0000_t202" coordsize="21600,21600" o:spt="202" path="m,l,21600r21600,l21600,xe">
          <v:stroke joinstyle="miter"/>
          <v:path gradientshapeok="t" o:connecttype="rect"/>
        </v:shapetype>
        <v:shape id="_x0000_s2052" o:spid="_x0000_s2059" type="#_x0000_t202" style="width:2in;height:2in;margin-top:0;margin-left:0;mso-height-relative:page;mso-position-horizontal:center;mso-position-horizontal-relative:margin;mso-width-relative:page;mso-wrap-style:none;position:absolute;z-index:251668480" coordsize="21600,21600" filled="f" stroked="f">
          <o:lock v:ext="edit" aspectratio="f"/>
          <v:textbox style="mso-fit-shape-to-text:t" inset="0,0,0,0">
            <w:txbxContent>
              <w:p>
                <w:pPr>
                  <w:pStyle w:val="Footer"/>
                  <w:pBdr>
                    <w:top w:val="none" w:sz="0" w:space="1" w:color="auto"/>
                    <w:left w:val="none" w:sz="0" w:space="0" w:color="auto"/>
                    <w:bottom w:val="none" w:sz="0" w:space="0" w:color="auto"/>
                    <w:right w:val="none" w:sz="0" w:space="0" w:color="auto"/>
                    <w:between w:val="none" w:sz="0" w:space="0" w:color="auto"/>
                  </w:pBd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hd w:val="pct10" w:color="auto" w:fill="FFFFFF"/>
      </w:rPr>
    </w:pPr>
    <w:r>
      <w:rPr>
        <w:sz w:val="18"/>
      </w:rPr>
      <w:pict>
        <v:shapetype id="_x0000_t202" coordsize="21600,21600" o:spt="202" path="m,l,21600r21600,l21600,xe">
          <v:stroke joinstyle="miter"/>
          <v:path gradientshapeok="t" o:connecttype="rect"/>
        </v:shapetype>
        <v:shape id="_x0000_s2052" o:spid="_x0000_s2060" type="#_x0000_t202" style="width:2in;height:2in;margin-top:0;margin-left:0;mso-height-relative:page;mso-position-horizontal:center;mso-position-horizontal-relative:margin;mso-width-relative:page;mso-wrap-style:none;position:absolute;z-index:251669504" coordsize="21600,21600" filled="f" stroked="f">
          <o:lock v:ext="edit" aspectratio="f"/>
          <v:textbox style="mso-fit-shape-to-text:t" inset="0,0,0,0">
            <w:txbxContent>
              <w:p>
                <w:pPr>
                  <w:pStyle w:val="Footer"/>
                  <w:pBdr>
                    <w:top w:val="none" w:sz="0" w:space="1" w:color="auto"/>
                    <w:left w:val="none" w:sz="0" w:space="0" w:color="auto"/>
                    <w:bottom w:val="none" w:sz="0" w:space="0" w:color="auto"/>
                    <w:right w:val="none" w:sz="0" w:space="0" w:color="auto"/>
                    <w:between w:val="none" w:sz="0" w:space="0" w:color="auto"/>
                  </w:pBd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hd w:val="pct10" w:color="auto" w:fill="FFFFFF"/>
      </w:rPr>
    </w:pPr>
    <w:r>
      <w:rPr>
        <w:sz w:val="18"/>
      </w:rPr>
      <w:pict>
        <v:shapetype id="_x0000_t202" coordsize="21600,21600" o:spt="202" path="m,l,21600r21600,l21600,xe">
          <v:stroke joinstyle="miter"/>
          <v:path gradientshapeok="t" o:connecttype="rect"/>
        </v:shapetype>
        <v:shape id="_x0000_s2052" o:spid="_x0000_s2061" type="#_x0000_t202" style="width:2in;height:2in;margin-top:0;margin-left:0;mso-height-relative:page;mso-position-horizontal:center;mso-position-horizontal-relative:margin;mso-width-relative:page;mso-wrap-style:none;position:absolute;z-index:251670528" coordsize="21600,21600" filled="f" stroked="f">
          <o:lock v:ext="edit" aspectratio="f"/>
          <v:textbox style="mso-fit-shape-to-text:t" inset="0,0,0,0">
            <w:txbxContent>
              <w:p>
                <w:pPr>
                  <w:pStyle w:val="Footer"/>
                  <w:pBdr>
                    <w:top w:val="none" w:sz="0" w:space="1" w:color="auto"/>
                    <w:left w:val="none" w:sz="0" w:space="0" w:color="auto"/>
                    <w:bottom w:val="none" w:sz="0" w:space="0" w:color="auto"/>
                    <w:right w:val="none" w:sz="0" w:space="0" w:color="auto"/>
                    <w:between w:val="none" w:sz="0" w:space="0" w:color="auto"/>
                  </w:pBd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hd w:val="pct10" w:color="auto" w:fill="FFFFFF"/>
      </w:rPr>
    </w:pPr>
    <w:r>
      <w:rPr>
        <w:sz w:val="18"/>
      </w:rPr>
      <w:pict>
        <v:shapetype id="_x0000_t202" coordsize="21600,21600" o:spt="202" path="m,l,21600r21600,l21600,xe">
          <v:stroke joinstyle="miter"/>
          <v:path gradientshapeok="t" o:connecttype="rect"/>
        </v:shapetype>
        <v:shape id="_x0000_s2052" o:spid="_x0000_s2062" type="#_x0000_t202" style="width:2in;height:2in;margin-top:0;margin-left:0;mso-height-relative:page;mso-position-horizontal:center;mso-position-horizontal-relative:margin;mso-width-relative:page;mso-wrap-style:none;position:absolute;z-index:251671552" coordsize="21600,21600" filled="f" stroked="f">
          <o:lock v:ext="edit" aspectratio="f"/>
          <v:textbox style="mso-fit-shape-to-text:t" inset="0,0,0,0">
            <w:txbxContent>
              <w:p>
                <w:pPr>
                  <w:pStyle w:val="Footer"/>
                  <w:pBdr>
                    <w:top w:val="none" w:sz="0" w:space="1" w:color="auto"/>
                    <w:left w:val="none" w:sz="0" w:space="0" w:color="auto"/>
                    <w:bottom w:val="none" w:sz="0" w:space="0" w:color="auto"/>
                    <w:right w:val="none" w:sz="0" w:space="0" w:color="auto"/>
                    <w:between w:val="none" w:sz="0" w:space="0" w:color="auto"/>
                  </w:pBd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hd w:val="pct10" w:color="auto" w:fill="FFFFFF"/>
      </w:rPr>
    </w:pPr>
    <w:r>
      <w:rPr>
        <w:sz w:val="18"/>
      </w:rPr>
      <w:pict>
        <v:shapetype id="_x0000_t202" coordsize="21600,21600" o:spt="202" path="m,l,21600r21600,l21600,xe">
          <v:stroke joinstyle="miter"/>
          <v:path gradientshapeok="t" o:connecttype="rect"/>
        </v:shapetype>
        <v:shape id="_x0000_s2052" o:spid="_x0000_s2063" type="#_x0000_t202" style="width:2in;height:2in;margin-top:0;margin-left:0;mso-height-relative:page;mso-position-horizontal:center;mso-position-horizontal-relative:margin;mso-width-relative:page;mso-wrap-style:none;position:absolute;z-index:251672576" coordsize="21600,21600" filled="f" stroked="f">
          <o:lock v:ext="edit" aspectratio="f"/>
          <v:textbox style="mso-fit-shape-to-text:t" inset="0,0,0,0">
            <w:txbxContent>
              <w:p>
                <w:pPr>
                  <w:pStyle w:val="Footer"/>
                  <w:pBdr>
                    <w:top w:val="none" w:sz="0" w:space="1" w:color="auto"/>
                    <w:left w:val="none" w:sz="0" w:space="0" w:color="auto"/>
                    <w:bottom w:val="none" w:sz="0" w:space="0" w:color="auto"/>
                    <w:right w:val="none" w:sz="0" w:space="0" w:color="auto"/>
                    <w:between w:val="none" w:sz="0" w:space="0" w:color="auto"/>
                  </w:pBd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hd w:val="pct10" w:color="auto" w:fill="FFFFFF"/>
      </w:rPr>
    </w:pPr>
    <w:r>
      <w:rPr>
        <w:sz w:val="18"/>
      </w:rPr>
      <w:pict>
        <v:shapetype id="_x0000_t202" coordsize="21600,21600" o:spt="202" path="m,l,21600r21600,l21600,xe">
          <v:stroke joinstyle="miter"/>
          <v:path gradientshapeok="t" o:connecttype="rect"/>
        </v:shapetype>
        <v:shape id="_x0000_s2052" o:spid="_x0000_s2064" type="#_x0000_t202" style="width:2in;height:2in;margin-top:0;margin-left:0;mso-height-relative:page;mso-position-horizontal:center;mso-position-horizontal-relative:margin;mso-width-relative:page;mso-wrap-style:none;position:absolute;z-index:251673600" coordsize="21600,21600" filled="f" stroked="f">
          <o:lock v:ext="edit" aspectratio="f"/>
          <v:textbox style="mso-fit-shape-to-text:t" inset="0,0,0,0">
            <w:txbxContent>
              <w:p>
                <w:pPr>
                  <w:pStyle w:val="Footer"/>
                  <w:pBdr>
                    <w:top w:val="none" w:sz="0" w:space="1" w:color="auto"/>
                    <w:left w:val="none" w:sz="0" w:space="0" w:color="auto"/>
                    <w:bottom w:val="none" w:sz="0" w:space="0" w:color="auto"/>
                    <w:right w:val="none" w:sz="0" w:space="0" w:color="auto"/>
                    <w:between w:val="none" w:sz="0" w:space="0" w:color="auto"/>
                  </w:pBd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hd w:val="pct10" w:color="auto" w:fill="FFFFFF"/>
      </w:rPr>
    </w:pPr>
    <w:r>
      <w:rPr>
        <w:sz w:val="18"/>
      </w:rPr>
      <w:pict>
        <v:shapetype id="_x0000_t202" coordsize="21600,21600" o:spt="202" path="m,l,21600r21600,l21600,xe">
          <v:stroke joinstyle="miter"/>
          <v:path gradientshapeok="t" o:connecttype="rect"/>
        </v:shapetype>
        <v:shape id="_x0000_s2052" o:spid="_x0000_s2065" type="#_x0000_t202" style="width:2in;height:2in;margin-top:0;margin-left:0;mso-height-relative:page;mso-position-horizontal:center;mso-position-horizontal-relative:margin;mso-width-relative:page;mso-wrap-style:none;position:absolute;z-index:251674624" coordsize="21600,21600" filled="f" stroked="f">
          <o:lock v:ext="edit" aspectratio="f"/>
          <v:textbox style="mso-fit-shape-to-text:t" inset="0,0,0,0">
            <w:txbxContent>
              <w:p>
                <w:pPr>
                  <w:pStyle w:val="Footer"/>
                  <w:pBdr>
                    <w:top w:val="none" w:sz="0" w:space="1" w:color="auto"/>
                    <w:left w:val="none" w:sz="0" w:space="0" w:color="auto"/>
                    <w:bottom w:val="none" w:sz="0" w:space="0" w:color="auto"/>
                    <w:right w:val="none" w:sz="0" w:space="0" w:color="auto"/>
                    <w:between w:val="none" w:sz="0" w:space="0" w:color="auto"/>
                  </w:pBd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pPr>
    <w:r>
      <w:rPr>
        <w:rFonts w:hint="eastAsia"/>
      </w:rPr>
      <w:t xml:space="preserve">                                                  </w:t>
    </w:r>
    <w:r>
      <w:rPr>
        <w:rFonts w:ascii="华文新魏" w:eastAsia="华文新魏" w:hAnsi="华文楷体" w:hint="eastAsia"/>
      </w:rPr>
      <w:t>监控系统施工组织方案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pPr>
    <w:r>
      <w:rPr>
        <w:rFonts w:hint="eastAsia"/>
      </w:rPr>
      <w:t xml:space="preserve">                                                  </w:t>
    </w:r>
    <w:r>
      <w:rPr>
        <w:rFonts w:ascii="华文新魏" w:eastAsia="华文新魏" w:hAnsi="华文楷体" w:hint="eastAsia"/>
      </w:rPr>
      <w:t>监控系统施工组织方案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pPr>
    <w:r>
      <w:rPr>
        <w:rFonts w:hint="eastAsia"/>
      </w:rPr>
      <w:t xml:space="preserve">                                                  </w:t>
    </w:r>
    <w:r>
      <w:rPr>
        <w:rFonts w:ascii="华文新魏" w:eastAsia="华文新魏" w:hAnsi="华文楷体" w:hint="eastAsia"/>
      </w:rPr>
      <w:t>监控系统施工组织方案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pPr>
    <w:r>
      <w:rPr>
        <w:rFonts w:hint="eastAsia"/>
      </w:rPr>
      <w:t xml:space="preserve">                                                  </w:t>
    </w:r>
    <w:r>
      <w:rPr>
        <w:rFonts w:ascii="华文新魏" w:eastAsia="华文新魏" w:hAnsi="华文楷体" w:hint="eastAsia"/>
      </w:rPr>
      <w:t>监控系统施工组织方案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pPr>
    <w:r>
      <w:rPr>
        <w:rFonts w:hint="eastAsia"/>
      </w:rPr>
      <w:t xml:space="preserve">                                                  </w:t>
    </w:r>
    <w:r>
      <w:rPr>
        <w:rFonts w:ascii="华文新魏" w:eastAsia="华文新魏" w:hAnsi="华文楷体" w:hint="eastAsia"/>
      </w:rPr>
      <w:t>监控系统施工组织方案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pPr>
    <w:r>
      <w:rPr>
        <w:rFonts w:hint="eastAsia"/>
      </w:rPr>
      <w:t xml:space="preserve">                                                  </w:t>
    </w:r>
    <w:r>
      <w:rPr>
        <w:rFonts w:ascii="华文新魏" w:eastAsia="华文新魏" w:hAnsi="华文楷体" w:hint="eastAsia"/>
      </w:rPr>
      <w:t>监控系统施工组织方案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pPr>
    <w:r>
      <w:rPr>
        <w:rFonts w:hint="eastAsia"/>
      </w:rPr>
      <w:t xml:space="preserve">                                                  </w:t>
    </w:r>
    <w:r>
      <w:rPr>
        <w:rFonts w:ascii="华文新魏" w:eastAsia="华文新魏" w:hAnsi="华文楷体" w:hint="eastAsia"/>
      </w:rPr>
      <w:t>监控系统施工组织方案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pPr>
    <w:r>
      <w:rPr>
        <w:rFonts w:hint="eastAsia"/>
      </w:rPr>
      <w:t xml:space="preserve">                                                  </w:t>
    </w:r>
    <w:r>
      <w:rPr>
        <w:rFonts w:ascii="华文新魏" w:eastAsia="华文新魏" w:hAnsi="华文楷体" w:hint="eastAsia"/>
      </w:rPr>
      <w:t>监控系统施工组织方案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pPr>
    <w:r>
      <w:rPr>
        <w:rFonts w:hint="eastAsia"/>
      </w:rPr>
      <w:t xml:space="preserve">                                                  </w:t>
    </w:r>
    <w:r>
      <w:rPr>
        <w:rFonts w:ascii="华文新魏" w:eastAsia="华文新魏" w:hAnsi="华文楷体" w:hint="eastAsia"/>
      </w:rPr>
      <w:t>监控系统施工组织方案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pPr>
    <w:r>
      <w:rPr>
        <w:rFonts w:hint="eastAsia"/>
      </w:rPr>
      <w:t xml:space="preserve">                                                  </w:t>
    </w:r>
    <w:r>
      <w:rPr>
        <w:rFonts w:ascii="华文新魏" w:eastAsia="华文新魏" w:hAnsi="华文楷体" w:hint="eastAsia"/>
      </w:rPr>
      <w:t>监控系统施工组织方案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pPr>
    <w:r>
      <w:rPr>
        <w:rFonts w:hint="eastAsia"/>
      </w:rPr>
      <w:t xml:space="preserve">                                                  </w:t>
    </w:r>
    <w:r>
      <w:rPr>
        <w:rFonts w:ascii="华文新魏" w:eastAsia="华文新魏" w:hAnsi="华文楷体" w:hint="eastAsia"/>
      </w:rPr>
      <w:t>监控系统施工组织方案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pPr>
    <w:r>
      <w:rPr>
        <w:rFonts w:hint="eastAsia"/>
      </w:rPr>
      <w:t xml:space="preserve">                                                  </w:t>
    </w:r>
    <w:r>
      <w:rPr>
        <w:rFonts w:ascii="华文新魏" w:eastAsia="华文新魏" w:hAnsi="华文楷体" w:hint="eastAsia"/>
      </w:rPr>
      <w:t>监控系统施工组织方案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pPr>
    <w:r>
      <w:rPr>
        <w:rFonts w:hint="eastAsia"/>
      </w:rPr>
      <w:t xml:space="preserve">                                                  </w:t>
    </w:r>
    <w:r>
      <w:rPr>
        <w:rFonts w:ascii="华文新魏" w:eastAsia="华文新魏" w:hAnsi="华文楷体" w:hint="eastAsia"/>
      </w:rPr>
      <w:t>监控系统施工组织方案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pPr>
    <w:r>
      <w:rPr>
        <w:rFonts w:hint="eastAsia"/>
      </w:rPr>
      <w:t xml:space="preserve">                                                  </w:t>
    </w:r>
    <w:r>
      <w:rPr>
        <w:rFonts w:ascii="华文新魏" w:eastAsia="华文新魏" w:hAnsi="华文楷体" w:hint="eastAsia"/>
      </w:rPr>
      <w:t>监控系统施工组织方案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ordWrap w:val="0"/>
      <w:jc w:val="right"/>
    </w:pPr>
    <w:r>
      <w:rPr>
        <w:rFonts w:hint="eastAsia"/>
      </w:rPr>
      <w:t xml:space="preserve">                                                  </w:t>
    </w:r>
    <w:r>
      <w:rPr>
        <w:rFonts w:ascii="华文新魏" w:eastAsia="华文新魏" w:hAnsi="华文楷体" w:hint="eastAsia"/>
      </w:rPr>
      <w:t>监控系统施工组织方案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3"/>
    <w:multiLevelType w:val="multilevel"/>
    <w:tmpl w:val="00000003"/>
    <w:lvl w:ilvl="0">
      <w:start w:val="1"/>
      <w:numFmt w:val="chineseCountingThousand"/>
      <w:lvlText w:val="%1"/>
      <w:lvlJc w:val="left"/>
      <w:pPr>
        <w:ind w:left="360" w:hanging="360"/>
      </w:pPr>
      <w:rPr>
        <w:rFonts w:hint="eastAsia"/>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00000009"/>
    <w:multiLevelType w:val="multilevel"/>
    <w:tmpl w:val="00000009"/>
    <w:lvl w:ilvl="0">
      <w:start w:val="2"/>
      <w:numFmt w:val="decimal"/>
      <w:lvlText w:val="(%1)"/>
      <w:lvlJc w:val="left"/>
      <w:pPr>
        <w:tabs>
          <w:tab w:val="left" w:pos="630"/>
        </w:tabs>
        <w:ind w:left="630" w:hanging="630"/>
      </w:pPr>
      <w:rPr>
        <w:rFonts w:hint="default"/>
      </w:rPr>
    </w:lvl>
    <w:lvl w:ilvl="1">
      <w:start w:val="1"/>
      <w:numFmt w:val="bullet"/>
      <w:lvlText w:val=""/>
      <w:lvlJc w:val="left"/>
      <w:pPr>
        <w:tabs>
          <w:tab w:val="left" w:pos="1555"/>
        </w:tabs>
        <w:ind w:left="1555" w:hanging="420"/>
      </w:pPr>
      <w:rPr>
        <w:rFonts w:ascii="Wingdings" w:hAnsi="Wingdings" w:hint="default"/>
      </w:rPr>
    </w:lvl>
    <w:lvl w:ilvl="2">
      <w:start w:val="1"/>
      <w:numFmt w:val="lowerRoman"/>
      <w:lvlText w:val="%3."/>
      <w:lvlJc w:val="right"/>
      <w:pPr>
        <w:tabs>
          <w:tab w:val="left" w:pos="840"/>
        </w:tabs>
        <w:ind w:left="840" w:hanging="420"/>
      </w:pPr>
    </w:lvl>
    <w:lvl w:ilvl="3">
      <w:start w:val="1"/>
      <w:numFmt w:val="decimal"/>
      <w:lvlText w:val="%4."/>
      <w:lvlJc w:val="left"/>
      <w:pPr>
        <w:tabs>
          <w:tab w:val="left" w:pos="1260"/>
        </w:tabs>
        <w:ind w:left="1260" w:hanging="420"/>
      </w:pPr>
    </w:lvl>
    <w:lvl w:ilvl="4">
      <w:start w:val="1"/>
      <w:numFmt w:val="lowerLetter"/>
      <w:lvlText w:val="%5)"/>
      <w:lvlJc w:val="left"/>
      <w:pPr>
        <w:tabs>
          <w:tab w:val="left" w:pos="1680"/>
        </w:tabs>
        <w:ind w:left="1680" w:hanging="420"/>
      </w:pPr>
    </w:lvl>
    <w:lvl w:ilvl="5">
      <w:start w:val="1"/>
      <w:numFmt w:val="lowerRoman"/>
      <w:lvlText w:val="%6."/>
      <w:lvlJc w:val="right"/>
      <w:pPr>
        <w:tabs>
          <w:tab w:val="left" w:pos="2100"/>
        </w:tabs>
        <w:ind w:left="2100" w:hanging="420"/>
      </w:pPr>
    </w:lvl>
    <w:lvl w:ilvl="6">
      <w:start w:val="1"/>
      <w:numFmt w:val="decimal"/>
      <w:lvlText w:val="%7."/>
      <w:lvlJc w:val="left"/>
      <w:pPr>
        <w:tabs>
          <w:tab w:val="left" w:pos="2520"/>
        </w:tabs>
        <w:ind w:left="2520" w:hanging="420"/>
      </w:pPr>
    </w:lvl>
    <w:lvl w:ilvl="7">
      <w:start w:val="1"/>
      <w:numFmt w:val="lowerLetter"/>
      <w:lvlText w:val="%8)"/>
      <w:lvlJc w:val="left"/>
      <w:pPr>
        <w:tabs>
          <w:tab w:val="left" w:pos="2940"/>
        </w:tabs>
        <w:ind w:left="2940" w:hanging="420"/>
      </w:pPr>
    </w:lvl>
    <w:lvl w:ilvl="8">
      <w:start w:val="1"/>
      <w:numFmt w:val="lowerRoman"/>
      <w:lvlText w:val="%9."/>
      <w:lvlJc w:val="right"/>
      <w:pPr>
        <w:tabs>
          <w:tab w:val="left" w:pos="3360"/>
        </w:tabs>
        <w:ind w:left="3360" w:hanging="420"/>
      </w:pPr>
    </w:lvl>
  </w:abstractNum>
  <w:abstractNum w:abstractNumId="2">
    <w:nsid w:val="00000014"/>
    <w:multiLevelType w:val="multilevel"/>
    <w:tmpl w:val="00000014"/>
    <w:lvl w:ilvl="0">
      <w:start w:val="1"/>
      <w:numFmt w:val="bullet"/>
      <w:lvlText w:val=""/>
      <w:lvlJc w:val="left"/>
      <w:pPr>
        <w:ind w:left="846" w:hanging="420"/>
      </w:pPr>
      <w:rPr>
        <w:rFonts w:ascii="Wingdings" w:hAnsi="Wingdings" w:hint="default"/>
      </w:rPr>
    </w:lvl>
    <w:lvl w:ilvl="1">
      <w:start w:val="1"/>
      <w:numFmt w:val="bullet"/>
      <w:lvlText w:val=""/>
      <w:lvlJc w:val="left"/>
      <w:pPr>
        <w:ind w:left="1266" w:hanging="420"/>
      </w:pPr>
      <w:rPr>
        <w:rFonts w:ascii="Wingdings" w:hAnsi="Wingdings" w:hint="default"/>
      </w:rPr>
    </w:lvl>
    <w:lvl w:ilvl="2">
      <w:start w:val="1"/>
      <w:numFmt w:val="bullet"/>
      <w:lvlText w:val=""/>
      <w:lvlJc w:val="left"/>
      <w:pPr>
        <w:ind w:left="1686" w:hanging="420"/>
      </w:pPr>
      <w:rPr>
        <w:rFonts w:ascii="Wingdings" w:hAnsi="Wingdings" w:hint="default"/>
      </w:rPr>
    </w:lvl>
    <w:lvl w:ilvl="3">
      <w:start w:val="1"/>
      <w:numFmt w:val="bullet"/>
      <w:lvlText w:val=""/>
      <w:lvlJc w:val="left"/>
      <w:pPr>
        <w:ind w:left="2106" w:hanging="420"/>
      </w:pPr>
      <w:rPr>
        <w:rFonts w:ascii="Wingdings" w:hAnsi="Wingdings" w:hint="default"/>
      </w:rPr>
    </w:lvl>
    <w:lvl w:ilvl="4">
      <w:start w:val="1"/>
      <w:numFmt w:val="bullet"/>
      <w:lvlText w:val=""/>
      <w:lvlJc w:val="left"/>
      <w:pPr>
        <w:ind w:left="2526" w:hanging="420"/>
      </w:pPr>
      <w:rPr>
        <w:rFonts w:ascii="Wingdings" w:hAnsi="Wingdings" w:hint="default"/>
      </w:rPr>
    </w:lvl>
    <w:lvl w:ilvl="5">
      <w:start w:val="1"/>
      <w:numFmt w:val="bullet"/>
      <w:lvlText w:val=""/>
      <w:lvlJc w:val="left"/>
      <w:pPr>
        <w:ind w:left="2946" w:hanging="420"/>
      </w:pPr>
      <w:rPr>
        <w:rFonts w:ascii="Wingdings" w:hAnsi="Wingdings" w:hint="default"/>
      </w:rPr>
    </w:lvl>
    <w:lvl w:ilvl="6">
      <w:start w:val="1"/>
      <w:numFmt w:val="bullet"/>
      <w:lvlText w:val=""/>
      <w:lvlJc w:val="left"/>
      <w:pPr>
        <w:ind w:left="3366" w:hanging="420"/>
      </w:pPr>
      <w:rPr>
        <w:rFonts w:ascii="Wingdings" w:hAnsi="Wingdings" w:hint="default"/>
      </w:rPr>
    </w:lvl>
    <w:lvl w:ilvl="7">
      <w:start w:val="1"/>
      <w:numFmt w:val="bullet"/>
      <w:lvlText w:val=""/>
      <w:lvlJc w:val="left"/>
      <w:pPr>
        <w:ind w:left="3786" w:hanging="420"/>
      </w:pPr>
      <w:rPr>
        <w:rFonts w:ascii="Wingdings" w:hAnsi="Wingdings" w:hint="default"/>
      </w:rPr>
    </w:lvl>
    <w:lvl w:ilvl="8">
      <w:start w:val="1"/>
      <w:numFmt w:val="bullet"/>
      <w:lvlText w:val=""/>
      <w:lvlJc w:val="left"/>
      <w:pPr>
        <w:ind w:left="4206" w:hanging="420"/>
      </w:pPr>
      <w:rPr>
        <w:rFonts w:ascii="Wingdings" w:hAnsi="Wingdings" w:hint="default"/>
      </w:rPr>
    </w:lvl>
  </w:abstractNum>
  <w:abstractNum w:abstractNumId="3">
    <w:nsid w:val="01990389"/>
    <w:multiLevelType w:val="multilevel"/>
    <w:tmpl w:val="01990389"/>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4">
    <w:nsid w:val="0842701A"/>
    <w:multiLevelType w:val="multilevel"/>
    <w:tmpl w:val="0842701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nsid w:val="11DF952B"/>
    <w:multiLevelType w:val="multilevel"/>
    <w:tmpl w:val="01990389"/>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6">
    <w:nsid w:val="13C93C36"/>
    <w:multiLevelType w:val="multilevel"/>
    <w:tmpl w:val="13C93C36"/>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7">
    <w:nsid w:val="14257178"/>
    <w:multiLevelType w:val="multilevel"/>
    <w:tmpl w:val="1425717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nsid w:val="18263195"/>
    <w:multiLevelType w:val="multilevel"/>
    <w:tmpl w:val="18263195"/>
    <w:lvl w:ilvl="0">
      <w:start w:val="1"/>
      <w:numFmt w:val="bullet"/>
      <w:lvlText w:val=""/>
      <w:lvlJc w:val="left"/>
      <w:pPr>
        <w:ind w:left="473" w:hanging="420"/>
      </w:pPr>
      <w:rPr>
        <w:rFonts w:ascii="Wingdings" w:hAnsi="Wingdings" w:hint="default"/>
      </w:rPr>
    </w:lvl>
    <w:lvl w:ilvl="1">
      <w:start w:val="1"/>
      <w:numFmt w:val="bullet"/>
      <w:lvlText w:val=""/>
      <w:lvlJc w:val="left"/>
      <w:pPr>
        <w:ind w:left="893" w:hanging="420"/>
      </w:pPr>
      <w:rPr>
        <w:rFonts w:ascii="Wingdings" w:hAnsi="Wingdings" w:hint="default"/>
      </w:rPr>
    </w:lvl>
    <w:lvl w:ilvl="2">
      <w:start w:val="1"/>
      <w:numFmt w:val="bullet"/>
      <w:lvlText w:val=""/>
      <w:lvlJc w:val="left"/>
      <w:pPr>
        <w:ind w:left="1313" w:hanging="420"/>
      </w:pPr>
      <w:rPr>
        <w:rFonts w:ascii="Wingdings" w:hAnsi="Wingdings" w:hint="default"/>
      </w:rPr>
    </w:lvl>
    <w:lvl w:ilvl="3">
      <w:start w:val="1"/>
      <w:numFmt w:val="bullet"/>
      <w:lvlText w:val=""/>
      <w:lvlJc w:val="left"/>
      <w:pPr>
        <w:ind w:left="1733" w:hanging="420"/>
      </w:pPr>
      <w:rPr>
        <w:rFonts w:ascii="Wingdings" w:hAnsi="Wingdings" w:hint="default"/>
      </w:rPr>
    </w:lvl>
    <w:lvl w:ilvl="4">
      <w:start w:val="1"/>
      <w:numFmt w:val="bullet"/>
      <w:lvlText w:val=""/>
      <w:lvlJc w:val="left"/>
      <w:pPr>
        <w:ind w:left="2153" w:hanging="420"/>
      </w:pPr>
      <w:rPr>
        <w:rFonts w:ascii="Wingdings" w:hAnsi="Wingdings" w:hint="default"/>
      </w:rPr>
    </w:lvl>
    <w:lvl w:ilvl="5">
      <w:start w:val="1"/>
      <w:numFmt w:val="bullet"/>
      <w:lvlText w:val=""/>
      <w:lvlJc w:val="left"/>
      <w:pPr>
        <w:ind w:left="2573" w:hanging="420"/>
      </w:pPr>
      <w:rPr>
        <w:rFonts w:ascii="Wingdings" w:hAnsi="Wingdings" w:hint="default"/>
      </w:rPr>
    </w:lvl>
    <w:lvl w:ilvl="6">
      <w:start w:val="1"/>
      <w:numFmt w:val="bullet"/>
      <w:lvlText w:val=""/>
      <w:lvlJc w:val="left"/>
      <w:pPr>
        <w:ind w:left="2993" w:hanging="420"/>
      </w:pPr>
      <w:rPr>
        <w:rFonts w:ascii="Wingdings" w:hAnsi="Wingdings" w:hint="default"/>
      </w:rPr>
    </w:lvl>
    <w:lvl w:ilvl="7">
      <w:start w:val="1"/>
      <w:numFmt w:val="bullet"/>
      <w:lvlText w:val=""/>
      <w:lvlJc w:val="left"/>
      <w:pPr>
        <w:ind w:left="3413" w:hanging="420"/>
      </w:pPr>
      <w:rPr>
        <w:rFonts w:ascii="Wingdings" w:hAnsi="Wingdings" w:hint="default"/>
      </w:rPr>
    </w:lvl>
    <w:lvl w:ilvl="8">
      <w:start w:val="1"/>
      <w:numFmt w:val="bullet"/>
      <w:lvlText w:val=""/>
      <w:lvlJc w:val="left"/>
      <w:pPr>
        <w:ind w:left="3833" w:hanging="420"/>
      </w:pPr>
      <w:rPr>
        <w:rFonts w:ascii="Wingdings" w:hAnsi="Wingdings" w:hint="default"/>
      </w:rPr>
    </w:lvl>
  </w:abstractNum>
  <w:abstractNum w:abstractNumId="9">
    <w:nsid w:val="1AB421F2"/>
    <w:multiLevelType w:val="multilevel"/>
    <w:tmpl w:val="1AB421F2"/>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200CC678"/>
    <w:multiLevelType w:val="multilevel"/>
    <w:tmpl w:val="2D315BC2"/>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27B17475"/>
    <w:multiLevelType w:val="multilevel"/>
    <w:tmpl w:val="27B17475"/>
    <w:lvl w:ilvl="0">
      <w:start w:val="1"/>
      <w:numFmt w:val="decimal"/>
      <w:lvlText w:val="%1)"/>
      <w:lvlJc w:val="left"/>
      <w:pPr>
        <w:ind w:left="630" w:hanging="420"/>
      </w:pPr>
    </w:lvl>
    <w:lvl w:ilvl="1">
      <w:start w:val="1"/>
      <w:numFmt w:val="lowerLetter"/>
      <w:lvlText w:val="%2)"/>
      <w:lvlJc w:val="left"/>
      <w:pPr>
        <w:ind w:left="1050" w:hanging="420"/>
      </w:pPr>
    </w:lvl>
    <w:lvl w:ilvl="2">
      <w:start w:val="1"/>
      <w:numFmt w:val="lowerRoman"/>
      <w:lvlText w:val="%3."/>
      <w:lvlJc w:val="right"/>
      <w:pPr>
        <w:ind w:left="1470" w:hanging="420"/>
      </w:pPr>
    </w:lvl>
    <w:lvl w:ilvl="3">
      <w:start w:val="1"/>
      <w:numFmt w:val="decimal"/>
      <w:lvlText w:val="%4."/>
      <w:lvlJc w:val="left"/>
      <w:pPr>
        <w:ind w:left="1890" w:hanging="420"/>
      </w:pPr>
    </w:lvl>
    <w:lvl w:ilvl="4">
      <w:start w:val="1"/>
      <w:numFmt w:val="lowerLetter"/>
      <w:lvlText w:val="%5)"/>
      <w:lvlJc w:val="left"/>
      <w:pPr>
        <w:ind w:left="2310" w:hanging="420"/>
      </w:pPr>
    </w:lvl>
    <w:lvl w:ilvl="5">
      <w:start w:val="1"/>
      <w:numFmt w:val="lowerRoman"/>
      <w:lvlText w:val="%6."/>
      <w:lvlJc w:val="right"/>
      <w:pPr>
        <w:ind w:left="2730" w:hanging="420"/>
      </w:pPr>
    </w:lvl>
    <w:lvl w:ilvl="6">
      <w:start w:val="1"/>
      <w:numFmt w:val="decimal"/>
      <w:lvlText w:val="%7."/>
      <w:lvlJc w:val="left"/>
      <w:pPr>
        <w:ind w:left="3150" w:hanging="420"/>
      </w:pPr>
    </w:lvl>
    <w:lvl w:ilvl="7">
      <w:start w:val="1"/>
      <w:numFmt w:val="lowerLetter"/>
      <w:lvlText w:val="%8)"/>
      <w:lvlJc w:val="left"/>
      <w:pPr>
        <w:ind w:left="3570" w:hanging="420"/>
      </w:pPr>
    </w:lvl>
    <w:lvl w:ilvl="8">
      <w:start w:val="1"/>
      <w:numFmt w:val="lowerRoman"/>
      <w:lvlText w:val="%9."/>
      <w:lvlJc w:val="right"/>
      <w:pPr>
        <w:ind w:left="3990" w:hanging="420"/>
      </w:pPr>
    </w:lvl>
  </w:abstractNum>
  <w:abstractNum w:abstractNumId="12">
    <w:nsid w:val="2B7A2869"/>
    <w:multiLevelType w:val="multilevel"/>
    <w:tmpl w:val="2B7A2869"/>
    <w:lvl w:ilvl="0">
      <w:start w:val="1"/>
      <w:numFmt w:val="decimal"/>
      <w:lvlText w:val="%1"/>
      <w:lvlJc w:val="left"/>
      <w:pPr>
        <w:tabs>
          <w:tab w:val="left" w:pos="425"/>
        </w:tabs>
        <w:ind w:left="425" w:hanging="425"/>
      </w:pPr>
      <w:rPr>
        <w:rFonts w:hint="eastAsia"/>
      </w:rPr>
    </w:lvl>
    <w:lvl w:ilvl="1">
      <w:start w:val="1"/>
      <w:numFmt w:val="decimal"/>
      <w:lvlText w:val="%1.%2"/>
      <w:lvlJc w:val="left"/>
      <w:pPr>
        <w:tabs>
          <w:tab w:val="left" w:pos="992"/>
        </w:tabs>
        <w:ind w:left="992" w:hanging="567"/>
      </w:pPr>
      <w:rPr>
        <w:rFonts w:hint="eastAsia"/>
        <w:sz w:val="21"/>
        <w:szCs w:val="21"/>
      </w:rPr>
    </w:lvl>
    <w:lvl w:ilvl="2">
      <w:start w:val="1"/>
      <w:numFmt w:val="decimal"/>
      <w:pStyle w:val="a5"/>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3">
    <w:nsid w:val="2D315BC2"/>
    <w:multiLevelType w:val="multilevel"/>
    <w:tmpl w:val="2D315BC2"/>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310E2994"/>
    <w:multiLevelType w:val="multilevel"/>
    <w:tmpl w:val="310E2994"/>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5">
    <w:nsid w:val="31967B08"/>
    <w:multiLevelType w:val="multilevel"/>
    <w:tmpl w:val="31967B08"/>
    <w:lvl w:ilvl="0">
      <w:start w:val="1"/>
      <w:numFmt w:val="bullet"/>
      <w:lvlText w:val=""/>
      <w:lvlJc w:val="left"/>
      <w:pPr>
        <w:ind w:left="420" w:hanging="420"/>
      </w:pPr>
      <w:rPr>
        <w:rFonts w:ascii="Wingdings" w:hAnsi="Wingdings" w:hint="default"/>
      </w:rPr>
    </w:lvl>
    <w:lvl w:ilvl="1">
      <w:start w:val="0"/>
      <w:numFmt w:val="bullet"/>
      <w:lvlText w:val="◆"/>
      <w:lvlJc w:val="left"/>
      <w:pPr>
        <w:ind w:left="780" w:hanging="360"/>
      </w:pPr>
      <w:rPr>
        <w:rFonts w:ascii="华文细黑" w:eastAsia="华文细黑" w:hAnsi="华文细黑" w:cs="Times New Roman" w:hint="eastAsia"/>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33311878"/>
    <w:multiLevelType w:val="multilevel"/>
    <w:tmpl w:val="3331187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7">
    <w:nsid w:val="351C24D2"/>
    <w:multiLevelType w:val="multilevel"/>
    <w:tmpl w:val="351C24D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8">
    <w:nsid w:val="39610DD0"/>
    <w:multiLevelType w:val="multilevel"/>
    <w:tmpl w:val="39610DD0"/>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9">
    <w:nsid w:val="3A35511C"/>
    <w:multiLevelType w:val="multilevel"/>
    <w:tmpl w:val="3A35511C"/>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nsid w:val="3FE45BC4"/>
    <w:multiLevelType w:val="multilevel"/>
    <w:tmpl w:val="3FE45BC4"/>
    <w:lvl w:ilvl="0">
      <w:start w:val="1"/>
      <w:numFmt w:val="decimal"/>
      <w:lvlText w:val="%1)"/>
      <w:lvlJc w:val="left"/>
      <w:pPr>
        <w:ind w:left="630" w:hanging="420"/>
      </w:pPr>
    </w:lvl>
    <w:lvl w:ilvl="1">
      <w:start w:val="1"/>
      <w:numFmt w:val="lowerLetter"/>
      <w:lvlText w:val="%2)"/>
      <w:lvlJc w:val="left"/>
      <w:pPr>
        <w:ind w:left="1050" w:hanging="420"/>
      </w:pPr>
    </w:lvl>
    <w:lvl w:ilvl="2">
      <w:start w:val="1"/>
      <w:numFmt w:val="lowerRoman"/>
      <w:lvlText w:val="%3."/>
      <w:lvlJc w:val="right"/>
      <w:pPr>
        <w:ind w:left="1470" w:hanging="420"/>
      </w:pPr>
    </w:lvl>
    <w:lvl w:ilvl="3">
      <w:start w:val="1"/>
      <w:numFmt w:val="decimal"/>
      <w:lvlText w:val="%4."/>
      <w:lvlJc w:val="left"/>
      <w:pPr>
        <w:ind w:left="1890" w:hanging="420"/>
      </w:pPr>
    </w:lvl>
    <w:lvl w:ilvl="4">
      <w:start w:val="1"/>
      <w:numFmt w:val="lowerLetter"/>
      <w:lvlText w:val="%5)"/>
      <w:lvlJc w:val="left"/>
      <w:pPr>
        <w:ind w:left="2310" w:hanging="420"/>
      </w:pPr>
    </w:lvl>
    <w:lvl w:ilvl="5">
      <w:start w:val="1"/>
      <w:numFmt w:val="lowerRoman"/>
      <w:lvlText w:val="%6."/>
      <w:lvlJc w:val="right"/>
      <w:pPr>
        <w:ind w:left="2730" w:hanging="420"/>
      </w:pPr>
    </w:lvl>
    <w:lvl w:ilvl="6">
      <w:start w:val="1"/>
      <w:numFmt w:val="decimal"/>
      <w:lvlText w:val="%7."/>
      <w:lvlJc w:val="left"/>
      <w:pPr>
        <w:ind w:left="3150" w:hanging="420"/>
      </w:pPr>
    </w:lvl>
    <w:lvl w:ilvl="7">
      <w:start w:val="1"/>
      <w:numFmt w:val="lowerLetter"/>
      <w:lvlText w:val="%8)"/>
      <w:lvlJc w:val="left"/>
      <w:pPr>
        <w:ind w:left="3570" w:hanging="420"/>
      </w:pPr>
    </w:lvl>
    <w:lvl w:ilvl="8">
      <w:start w:val="1"/>
      <w:numFmt w:val="lowerRoman"/>
      <w:lvlText w:val="%9."/>
      <w:lvlJc w:val="right"/>
      <w:pPr>
        <w:ind w:left="3990" w:hanging="420"/>
      </w:pPr>
    </w:lvl>
  </w:abstractNum>
  <w:abstractNum w:abstractNumId="21">
    <w:nsid w:val="48F1672B"/>
    <w:multiLevelType w:val="multilevel"/>
    <w:tmpl w:val="1AB421F2"/>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nsid w:val="48F93325"/>
    <w:multiLevelType w:val="multilevel"/>
    <w:tmpl w:val="48F9332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3">
    <w:nsid w:val="52F60174"/>
    <w:multiLevelType w:val="multilevel"/>
    <w:tmpl w:val="52F60174"/>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4">
    <w:nsid w:val="6F0E344E"/>
    <w:multiLevelType w:val="multilevel"/>
    <w:tmpl w:val="6F0E344E"/>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72266865"/>
    <w:multiLevelType w:val="multilevel"/>
    <w:tmpl w:val="72266865"/>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6">
    <w:nsid w:val="77EB34C2"/>
    <w:multiLevelType w:val="multilevel"/>
    <w:tmpl w:val="77EB34C2"/>
    <w:lvl w:ilvl="0">
      <w:start w:val="1"/>
      <w:numFmt w:val="decimal"/>
      <w:pStyle w:val="a0"/>
      <w:lvlText w:val="%1"/>
      <w:lvlJc w:val="left"/>
      <w:pPr>
        <w:tabs>
          <w:tab w:val="left" w:pos="425"/>
        </w:tabs>
        <w:ind w:left="425" w:hanging="425"/>
      </w:pPr>
      <w:rPr>
        <w:rFonts w:hint="eastAsia"/>
      </w:rPr>
    </w:lvl>
    <w:lvl w:ilvl="1">
      <w:start w:val="1"/>
      <w:numFmt w:val="decimal"/>
      <w:pStyle w:val="a1"/>
      <w:lvlText w:val="%1.%2"/>
      <w:lvlJc w:val="left"/>
      <w:pPr>
        <w:tabs>
          <w:tab w:val="left" w:pos="992"/>
        </w:tabs>
        <w:ind w:left="992" w:hanging="567"/>
      </w:pPr>
      <w:rPr>
        <w:rFonts w:hint="eastAsia"/>
        <w:sz w:val="21"/>
        <w:szCs w:val="21"/>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26"/>
  </w:num>
  <w:num w:numId="2">
    <w:abstractNumId w:val="12"/>
  </w:num>
  <w:num w:numId="3">
    <w:abstractNumId w:val="0"/>
  </w:num>
  <w:num w:numId="4">
    <w:abstractNumId w:val="19"/>
  </w:num>
  <w:num w:numId="5">
    <w:abstractNumId w:val="3"/>
  </w:num>
  <w:num w:numId="6">
    <w:abstractNumId w:val="6"/>
  </w:num>
  <w:num w:numId="7">
    <w:abstractNumId w:val="18"/>
  </w:num>
  <w:num w:numId="8">
    <w:abstractNumId w:val="13"/>
  </w:num>
  <w:num w:numId="9">
    <w:abstractNumId w:val="9"/>
  </w:num>
  <w:num w:numId="10">
    <w:abstractNumId w:val="25"/>
  </w:num>
  <w:num w:numId="11">
    <w:abstractNumId w:val="2"/>
  </w:num>
  <w:num w:numId="12">
    <w:abstractNumId w:val="15"/>
  </w:num>
  <w:num w:numId="13">
    <w:abstractNumId w:val="24"/>
  </w:num>
  <w:num w:numId="14">
    <w:abstractNumId w:val="20"/>
  </w:num>
  <w:num w:numId="15">
    <w:abstractNumId w:val="1"/>
  </w:num>
  <w:num w:numId="16">
    <w:abstractNumId w:val="11"/>
  </w:num>
  <w:num w:numId="17">
    <w:abstractNumId w:val="7"/>
  </w:num>
  <w:num w:numId="18">
    <w:abstractNumId w:val="17"/>
  </w:num>
  <w:num w:numId="19">
    <w:abstractNumId w:val="16"/>
  </w:num>
  <w:num w:numId="20">
    <w:abstractNumId w:val="23"/>
  </w:num>
  <w:num w:numId="21">
    <w:abstractNumId w:val="8"/>
  </w:num>
  <w:num w:numId="22">
    <w:abstractNumId w:val="4"/>
  </w:num>
  <w:num w:numId="23">
    <w:abstractNumId w:val="14"/>
  </w:num>
  <w:num w:numId="24">
    <w:abstractNumId w:val="22"/>
  </w:num>
  <w:num w:numId="25">
    <w:abstractNumId w:val="5"/>
  </w:num>
  <w:num w:numId="26">
    <w:abstractNumId w:val="10"/>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210"/>
  <w:drawingGridHorizontalSpacing w:val="105"/>
  <w:drawingGridVerticalSpacing w:val="156"/>
  <w:noPunctuationKerning/>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60F"/>
    <w:rsid w:val="00004043"/>
    <w:rsid w:val="00005C51"/>
    <w:rsid w:val="00007787"/>
    <w:rsid w:val="00011951"/>
    <w:rsid w:val="00011E01"/>
    <w:rsid w:val="00026CEF"/>
    <w:rsid w:val="00030F69"/>
    <w:rsid w:val="00031760"/>
    <w:rsid w:val="00032AFD"/>
    <w:rsid w:val="000348C5"/>
    <w:rsid w:val="000376EF"/>
    <w:rsid w:val="0003777B"/>
    <w:rsid w:val="00040E3B"/>
    <w:rsid w:val="0004193C"/>
    <w:rsid w:val="000452C8"/>
    <w:rsid w:val="00056C04"/>
    <w:rsid w:val="00056F2F"/>
    <w:rsid w:val="000614D1"/>
    <w:rsid w:val="00062F58"/>
    <w:rsid w:val="000714CD"/>
    <w:rsid w:val="00071AF6"/>
    <w:rsid w:val="0007275E"/>
    <w:rsid w:val="00074EEC"/>
    <w:rsid w:val="000757F8"/>
    <w:rsid w:val="00076113"/>
    <w:rsid w:val="00077B2D"/>
    <w:rsid w:val="0008213B"/>
    <w:rsid w:val="000828F8"/>
    <w:rsid w:val="00087461"/>
    <w:rsid w:val="0008754B"/>
    <w:rsid w:val="0009120C"/>
    <w:rsid w:val="00092CF1"/>
    <w:rsid w:val="00094EF5"/>
    <w:rsid w:val="000960CD"/>
    <w:rsid w:val="00097FA2"/>
    <w:rsid w:val="000A08B5"/>
    <w:rsid w:val="000A2561"/>
    <w:rsid w:val="000A6B3C"/>
    <w:rsid w:val="000B46DD"/>
    <w:rsid w:val="000B6C53"/>
    <w:rsid w:val="000C27B6"/>
    <w:rsid w:val="000C393E"/>
    <w:rsid w:val="000C396D"/>
    <w:rsid w:val="000C54BC"/>
    <w:rsid w:val="000C690C"/>
    <w:rsid w:val="000C7C0B"/>
    <w:rsid w:val="000D047F"/>
    <w:rsid w:val="000D4D33"/>
    <w:rsid w:val="000D7636"/>
    <w:rsid w:val="000D76DB"/>
    <w:rsid w:val="000D79C5"/>
    <w:rsid w:val="000D7B9B"/>
    <w:rsid w:val="000E078A"/>
    <w:rsid w:val="000E15BE"/>
    <w:rsid w:val="000E17CC"/>
    <w:rsid w:val="000E421C"/>
    <w:rsid w:val="000E50BD"/>
    <w:rsid w:val="000F1256"/>
    <w:rsid w:val="000F656C"/>
    <w:rsid w:val="000F6DB5"/>
    <w:rsid w:val="000F734C"/>
    <w:rsid w:val="0010196A"/>
    <w:rsid w:val="001064B7"/>
    <w:rsid w:val="0011177B"/>
    <w:rsid w:val="00122665"/>
    <w:rsid w:val="0012411A"/>
    <w:rsid w:val="00125357"/>
    <w:rsid w:val="001351C8"/>
    <w:rsid w:val="00135F77"/>
    <w:rsid w:val="00143891"/>
    <w:rsid w:val="00145DDB"/>
    <w:rsid w:val="00150463"/>
    <w:rsid w:val="001576DE"/>
    <w:rsid w:val="00160206"/>
    <w:rsid w:val="001643A0"/>
    <w:rsid w:val="00165E6A"/>
    <w:rsid w:val="0017213C"/>
    <w:rsid w:val="00172A27"/>
    <w:rsid w:val="00175605"/>
    <w:rsid w:val="00175884"/>
    <w:rsid w:val="0017693A"/>
    <w:rsid w:val="001809F3"/>
    <w:rsid w:val="00180FB0"/>
    <w:rsid w:val="001845BD"/>
    <w:rsid w:val="001853F7"/>
    <w:rsid w:val="0018586D"/>
    <w:rsid w:val="00187027"/>
    <w:rsid w:val="0019638A"/>
    <w:rsid w:val="00197A4C"/>
    <w:rsid w:val="001A0DA2"/>
    <w:rsid w:val="001A1111"/>
    <w:rsid w:val="001A47AC"/>
    <w:rsid w:val="001A54A5"/>
    <w:rsid w:val="001A7ABF"/>
    <w:rsid w:val="001B1F4E"/>
    <w:rsid w:val="001B2134"/>
    <w:rsid w:val="001C6697"/>
    <w:rsid w:val="001D0A20"/>
    <w:rsid w:val="001D1832"/>
    <w:rsid w:val="001D6C15"/>
    <w:rsid w:val="001D73FC"/>
    <w:rsid w:val="001E0C86"/>
    <w:rsid w:val="001F000A"/>
    <w:rsid w:val="001F26CA"/>
    <w:rsid w:val="001F2DC3"/>
    <w:rsid w:val="001F4B9E"/>
    <w:rsid w:val="001F6B89"/>
    <w:rsid w:val="001F797E"/>
    <w:rsid w:val="00201488"/>
    <w:rsid w:val="0020257A"/>
    <w:rsid w:val="00205132"/>
    <w:rsid w:val="00206952"/>
    <w:rsid w:val="00207931"/>
    <w:rsid w:val="00207D2B"/>
    <w:rsid w:val="00211E56"/>
    <w:rsid w:val="00212EAF"/>
    <w:rsid w:val="002133AB"/>
    <w:rsid w:val="002160AC"/>
    <w:rsid w:val="00233E4E"/>
    <w:rsid w:val="002358BC"/>
    <w:rsid w:val="00237D9D"/>
    <w:rsid w:val="00240B00"/>
    <w:rsid w:val="00245449"/>
    <w:rsid w:val="00246209"/>
    <w:rsid w:val="002522AD"/>
    <w:rsid w:val="00257EF5"/>
    <w:rsid w:val="002702C8"/>
    <w:rsid w:val="00271F4C"/>
    <w:rsid w:val="00274F28"/>
    <w:rsid w:val="00275647"/>
    <w:rsid w:val="00276F1B"/>
    <w:rsid w:val="002804D7"/>
    <w:rsid w:val="002821B6"/>
    <w:rsid w:val="00282C8C"/>
    <w:rsid w:val="00284B2B"/>
    <w:rsid w:val="002850F0"/>
    <w:rsid w:val="002866A7"/>
    <w:rsid w:val="00291352"/>
    <w:rsid w:val="0029397E"/>
    <w:rsid w:val="0029519F"/>
    <w:rsid w:val="0029546A"/>
    <w:rsid w:val="00295BD7"/>
    <w:rsid w:val="002A0EE6"/>
    <w:rsid w:val="002A1129"/>
    <w:rsid w:val="002A2AE6"/>
    <w:rsid w:val="002A4ABE"/>
    <w:rsid w:val="002A7EED"/>
    <w:rsid w:val="002B7040"/>
    <w:rsid w:val="002B7743"/>
    <w:rsid w:val="002C0656"/>
    <w:rsid w:val="002C0D1D"/>
    <w:rsid w:val="002C44CE"/>
    <w:rsid w:val="002C606D"/>
    <w:rsid w:val="002C72EB"/>
    <w:rsid w:val="002C7C50"/>
    <w:rsid w:val="002E78BD"/>
    <w:rsid w:val="002F30D5"/>
    <w:rsid w:val="002F5646"/>
    <w:rsid w:val="002F6D5E"/>
    <w:rsid w:val="002F7657"/>
    <w:rsid w:val="002F7866"/>
    <w:rsid w:val="0030227B"/>
    <w:rsid w:val="003041EC"/>
    <w:rsid w:val="00306224"/>
    <w:rsid w:val="003079FE"/>
    <w:rsid w:val="00312413"/>
    <w:rsid w:val="0031556C"/>
    <w:rsid w:val="0032202C"/>
    <w:rsid w:val="00327AD0"/>
    <w:rsid w:val="00333819"/>
    <w:rsid w:val="003377C9"/>
    <w:rsid w:val="00337F37"/>
    <w:rsid w:val="0034422E"/>
    <w:rsid w:val="00353768"/>
    <w:rsid w:val="003541BC"/>
    <w:rsid w:val="00360336"/>
    <w:rsid w:val="0037326A"/>
    <w:rsid w:val="00374B33"/>
    <w:rsid w:val="00376F57"/>
    <w:rsid w:val="003773E6"/>
    <w:rsid w:val="00382D2A"/>
    <w:rsid w:val="00382E82"/>
    <w:rsid w:val="00384F1A"/>
    <w:rsid w:val="00394E64"/>
    <w:rsid w:val="003A09C3"/>
    <w:rsid w:val="003A17C7"/>
    <w:rsid w:val="003A35F7"/>
    <w:rsid w:val="003A4128"/>
    <w:rsid w:val="003A6E95"/>
    <w:rsid w:val="003A7767"/>
    <w:rsid w:val="003B0255"/>
    <w:rsid w:val="003B0300"/>
    <w:rsid w:val="003B4CF7"/>
    <w:rsid w:val="003C0428"/>
    <w:rsid w:val="003C12B4"/>
    <w:rsid w:val="003C3993"/>
    <w:rsid w:val="003C4B17"/>
    <w:rsid w:val="003C5015"/>
    <w:rsid w:val="003C6B91"/>
    <w:rsid w:val="003C6C29"/>
    <w:rsid w:val="003D03A8"/>
    <w:rsid w:val="003D0E9D"/>
    <w:rsid w:val="003D38B2"/>
    <w:rsid w:val="003D52D9"/>
    <w:rsid w:val="003E24A6"/>
    <w:rsid w:val="003E605D"/>
    <w:rsid w:val="003F0CB9"/>
    <w:rsid w:val="003F1BFB"/>
    <w:rsid w:val="00403ED3"/>
    <w:rsid w:val="00404437"/>
    <w:rsid w:val="0040522C"/>
    <w:rsid w:val="00413479"/>
    <w:rsid w:val="004163A8"/>
    <w:rsid w:val="00417010"/>
    <w:rsid w:val="00417124"/>
    <w:rsid w:val="00417B1E"/>
    <w:rsid w:val="00421EC3"/>
    <w:rsid w:val="004256A5"/>
    <w:rsid w:val="00425D26"/>
    <w:rsid w:val="0042747E"/>
    <w:rsid w:val="004354D5"/>
    <w:rsid w:val="00441A35"/>
    <w:rsid w:val="00443B9E"/>
    <w:rsid w:val="00444437"/>
    <w:rsid w:val="00445DA6"/>
    <w:rsid w:val="00455DD9"/>
    <w:rsid w:val="00456768"/>
    <w:rsid w:val="00464F16"/>
    <w:rsid w:val="00466485"/>
    <w:rsid w:val="00467B8A"/>
    <w:rsid w:val="00470140"/>
    <w:rsid w:val="00484D90"/>
    <w:rsid w:val="004954CC"/>
    <w:rsid w:val="00496C37"/>
    <w:rsid w:val="004A5A87"/>
    <w:rsid w:val="004A5B14"/>
    <w:rsid w:val="004B08E4"/>
    <w:rsid w:val="004B1D04"/>
    <w:rsid w:val="004B3CC8"/>
    <w:rsid w:val="004C26B2"/>
    <w:rsid w:val="004C3F8D"/>
    <w:rsid w:val="004C53B7"/>
    <w:rsid w:val="004D115B"/>
    <w:rsid w:val="004D18AE"/>
    <w:rsid w:val="004D2C6F"/>
    <w:rsid w:val="004D3D1A"/>
    <w:rsid w:val="004D5031"/>
    <w:rsid w:val="004D786B"/>
    <w:rsid w:val="004D7EBE"/>
    <w:rsid w:val="004E216A"/>
    <w:rsid w:val="004E2616"/>
    <w:rsid w:val="004E2644"/>
    <w:rsid w:val="004E4CFF"/>
    <w:rsid w:val="004E52AA"/>
    <w:rsid w:val="004E600E"/>
    <w:rsid w:val="004E7110"/>
    <w:rsid w:val="004E798D"/>
    <w:rsid w:val="004F15A4"/>
    <w:rsid w:val="004F2C1D"/>
    <w:rsid w:val="004F5063"/>
    <w:rsid w:val="004F544D"/>
    <w:rsid w:val="00500188"/>
    <w:rsid w:val="00502359"/>
    <w:rsid w:val="00504947"/>
    <w:rsid w:val="00504B4D"/>
    <w:rsid w:val="0050604F"/>
    <w:rsid w:val="00506532"/>
    <w:rsid w:val="00507AF2"/>
    <w:rsid w:val="00507DDA"/>
    <w:rsid w:val="00511581"/>
    <w:rsid w:val="00512F12"/>
    <w:rsid w:val="00512F63"/>
    <w:rsid w:val="005131D2"/>
    <w:rsid w:val="00520282"/>
    <w:rsid w:val="005222A0"/>
    <w:rsid w:val="005227BB"/>
    <w:rsid w:val="00522951"/>
    <w:rsid w:val="0052379B"/>
    <w:rsid w:val="00527DEA"/>
    <w:rsid w:val="005325D5"/>
    <w:rsid w:val="0053519C"/>
    <w:rsid w:val="005372F9"/>
    <w:rsid w:val="005460F7"/>
    <w:rsid w:val="00547AC2"/>
    <w:rsid w:val="005508A8"/>
    <w:rsid w:val="00555AD8"/>
    <w:rsid w:val="0055652E"/>
    <w:rsid w:val="00563F4C"/>
    <w:rsid w:val="00564856"/>
    <w:rsid w:val="00566004"/>
    <w:rsid w:val="00567043"/>
    <w:rsid w:val="005700E6"/>
    <w:rsid w:val="005703CC"/>
    <w:rsid w:val="00571CDC"/>
    <w:rsid w:val="00581D50"/>
    <w:rsid w:val="005830AF"/>
    <w:rsid w:val="0058447F"/>
    <w:rsid w:val="005916C1"/>
    <w:rsid w:val="0059312C"/>
    <w:rsid w:val="00597BF3"/>
    <w:rsid w:val="005B1FA8"/>
    <w:rsid w:val="005B2F35"/>
    <w:rsid w:val="005B41A9"/>
    <w:rsid w:val="005B6AA0"/>
    <w:rsid w:val="005B7832"/>
    <w:rsid w:val="005C0203"/>
    <w:rsid w:val="005C22CF"/>
    <w:rsid w:val="005C32BE"/>
    <w:rsid w:val="005D3CAD"/>
    <w:rsid w:val="005D7E6B"/>
    <w:rsid w:val="005E29E2"/>
    <w:rsid w:val="005E709B"/>
    <w:rsid w:val="005F2E86"/>
    <w:rsid w:val="005F4838"/>
    <w:rsid w:val="005F7041"/>
    <w:rsid w:val="00606DBB"/>
    <w:rsid w:val="00611608"/>
    <w:rsid w:val="00613008"/>
    <w:rsid w:val="00614A6D"/>
    <w:rsid w:val="006154EF"/>
    <w:rsid w:val="00627D8C"/>
    <w:rsid w:val="006343C6"/>
    <w:rsid w:val="00634960"/>
    <w:rsid w:val="006369B1"/>
    <w:rsid w:val="00637D95"/>
    <w:rsid w:val="0064084D"/>
    <w:rsid w:val="00644383"/>
    <w:rsid w:val="00645730"/>
    <w:rsid w:val="00646031"/>
    <w:rsid w:val="0065061A"/>
    <w:rsid w:val="00651717"/>
    <w:rsid w:val="00651FEC"/>
    <w:rsid w:val="00652446"/>
    <w:rsid w:val="00653285"/>
    <w:rsid w:val="00654076"/>
    <w:rsid w:val="00654DC1"/>
    <w:rsid w:val="00657D98"/>
    <w:rsid w:val="0066053C"/>
    <w:rsid w:val="00661AF6"/>
    <w:rsid w:val="00663A58"/>
    <w:rsid w:val="00670B26"/>
    <w:rsid w:val="00674491"/>
    <w:rsid w:val="00687931"/>
    <w:rsid w:val="006905EE"/>
    <w:rsid w:val="00691BE0"/>
    <w:rsid w:val="00694BD0"/>
    <w:rsid w:val="00695322"/>
    <w:rsid w:val="0069716B"/>
    <w:rsid w:val="006A1374"/>
    <w:rsid w:val="006A1482"/>
    <w:rsid w:val="006A20E1"/>
    <w:rsid w:val="006A2823"/>
    <w:rsid w:val="006B5767"/>
    <w:rsid w:val="006B7DD3"/>
    <w:rsid w:val="006C20F0"/>
    <w:rsid w:val="006C3A7F"/>
    <w:rsid w:val="006D3B79"/>
    <w:rsid w:val="006D5C6B"/>
    <w:rsid w:val="006D61D2"/>
    <w:rsid w:val="006D7801"/>
    <w:rsid w:val="006E08D2"/>
    <w:rsid w:val="006E27B1"/>
    <w:rsid w:val="006E2C76"/>
    <w:rsid w:val="006E3D56"/>
    <w:rsid w:val="006E749A"/>
    <w:rsid w:val="006E7687"/>
    <w:rsid w:val="006F676F"/>
    <w:rsid w:val="007067C5"/>
    <w:rsid w:val="00707592"/>
    <w:rsid w:val="00710845"/>
    <w:rsid w:val="00712657"/>
    <w:rsid w:val="0071512C"/>
    <w:rsid w:val="007205A9"/>
    <w:rsid w:val="00725CAC"/>
    <w:rsid w:val="0072630F"/>
    <w:rsid w:val="00730333"/>
    <w:rsid w:val="00735536"/>
    <w:rsid w:val="00735EE5"/>
    <w:rsid w:val="00737018"/>
    <w:rsid w:val="007420E6"/>
    <w:rsid w:val="00745384"/>
    <w:rsid w:val="007509BB"/>
    <w:rsid w:val="007530E6"/>
    <w:rsid w:val="0076572F"/>
    <w:rsid w:val="00766A40"/>
    <w:rsid w:val="00771D63"/>
    <w:rsid w:val="00776104"/>
    <w:rsid w:val="0077670F"/>
    <w:rsid w:val="00787F24"/>
    <w:rsid w:val="00790CBD"/>
    <w:rsid w:val="00792AB9"/>
    <w:rsid w:val="00795B1A"/>
    <w:rsid w:val="007961DD"/>
    <w:rsid w:val="007A167B"/>
    <w:rsid w:val="007A1DA9"/>
    <w:rsid w:val="007B10C7"/>
    <w:rsid w:val="007B1756"/>
    <w:rsid w:val="007B2042"/>
    <w:rsid w:val="007C0F7B"/>
    <w:rsid w:val="007C1370"/>
    <w:rsid w:val="007C3553"/>
    <w:rsid w:val="007D0C08"/>
    <w:rsid w:val="007D30D6"/>
    <w:rsid w:val="007D43C0"/>
    <w:rsid w:val="007E28F8"/>
    <w:rsid w:val="007E2C21"/>
    <w:rsid w:val="007F1CAE"/>
    <w:rsid w:val="007F2116"/>
    <w:rsid w:val="007F4B18"/>
    <w:rsid w:val="00806C59"/>
    <w:rsid w:val="00807DCD"/>
    <w:rsid w:val="00813366"/>
    <w:rsid w:val="008152B0"/>
    <w:rsid w:val="00816ADC"/>
    <w:rsid w:val="008174B8"/>
    <w:rsid w:val="00817ABE"/>
    <w:rsid w:val="00821611"/>
    <w:rsid w:val="0082427C"/>
    <w:rsid w:val="0082795D"/>
    <w:rsid w:val="00832674"/>
    <w:rsid w:val="00834291"/>
    <w:rsid w:val="00834B64"/>
    <w:rsid w:val="00840091"/>
    <w:rsid w:val="008414DE"/>
    <w:rsid w:val="008425D1"/>
    <w:rsid w:val="00843F3D"/>
    <w:rsid w:val="00853171"/>
    <w:rsid w:val="00855A1B"/>
    <w:rsid w:val="00855A60"/>
    <w:rsid w:val="00856001"/>
    <w:rsid w:val="00862C91"/>
    <w:rsid w:val="008632FF"/>
    <w:rsid w:val="008663DF"/>
    <w:rsid w:val="00867B19"/>
    <w:rsid w:val="00871623"/>
    <w:rsid w:val="00872BB0"/>
    <w:rsid w:val="00873532"/>
    <w:rsid w:val="00874D44"/>
    <w:rsid w:val="00875F17"/>
    <w:rsid w:val="00876152"/>
    <w:rsid w:val="0087717C"/>
    <w:rsid w:val="008773BE"/>
    <w:rsid w:val="00877AD5"/>
    <w:rsid w:val="00882B59"/>
    <w:rsid w:val="00883E8A"/>
    <w:rsid w:val="00884BF5"/>
    <w:rsid w:val="00890AAB"/>
    <w:rsid w:val="0089280F"/>
    <w:rsid w:val="00894F51"/>
    <w:rsid w:val="008A03C3"/>
    <w:rsid w:val="008A18C6"/>
    <w:rsid w:val="008A6261"/>
    <w:rsid w:val="008B2A62"/>
    <w:rsid w:val="008B3FCB"/>
    <w:rsid w:val="008B6FDC"/>
    <w:rsid w:val="008C53D8"/>
    <w:rsid w:val="008D1EED"/>
    <w:rsid w:val="008D2688"/>
    <w:rsid w:val="008D2C7A"/>
    <w:rsid w:val="008D7BE9"/>
    <w:rsid w:val="008E19AC"/>
    <w:rsid w:val="008E2D78"/>
    <w:rsid w:val="008E7143"/>
    <w:rsid w:val="008E77A3"/>
    <w:rsid w:val="008F6E6F"/>
    <w:rsid w:val="008F7BF3"/>
    <w:rsid w:val="008F7D93"/>
    <w:rsid w:val="00901EA3"/>
    <w:rsid w:val="00902170"/>
    <w:rsid w:val="00904806"/>
    <w:rsid w:val="00904981"/>
    <w:rsid w:val="00905F12"/>
    <w:rsid w:val="00907B60"/>
    <w:rsid w:val="00912D17"/>
    <w:rsid w:val="00913AC3"/>
    <w:rsid w:val="00913EA8"/>
    <w:rsid w:val="0091442D"/>
    <w:rsid w:val="00915DBB"/>
    <w:rsid w:val="00916D64"/>
    <w:rsid w:val="009220EA"/>
    <w:rsid w:val="00924EB5"/>
    <w:rsid w:val="00927AB2"/>
    <w:rsid w:val="00927CA4"/>
    <w:rsid w:val="009304B4"/>
    <w:rsid w:val="00930FF7"/>
    <w:rsid w:val="009321E2"/>
    <w:rsid w:val="00933638"/>
    <w:rsid w:val="009343D5"/>
    <w:rsid w:val="009348C4"/>
    <w:rsid w:val="0094556B"/>
    <w:rsid w:val="0094577E"/>
    <w:rsid w:val="00951385"/>
    <w:rsid w:val="009553BE"/>
    <w:rsid w:val="00957BEF"/>
    <w:rsid w:val="00962450"/>
    <w:rsid w:val="00962C6A"/>
    <w:rsid w:val="009728EE"/>
    <w:rsid w:val="0098045B"/>
    <w:rsid w:val="0098205B"/>
    <w:rsid w:val="00985B30"/>
    <w:rsid w:val="00986BD3"/>
    <w:rsid w:val="00990E6B"/>
    <w:rsid w:val="009A0F32"/>
    <w:rsid w:val="009A0FC2"/>
    <w:rsid w:val="009A4817"/>
    <w:rsid w:val="009B181E"/>
    <w:rsid w:val="009C1BEE"/>
    <w:rsid w:val="009C352C"/>
    <w:rsid w:val="009C3760"/>
    <w:rsid w:val="009C4094"/>
    <w:rsid w:val="009C7D65"/>
    <w:rsid w:val="009D0583"/>
    <w:rsid w:val="009D462A"/>
    <w:rsid w:val="009D6C81"/>
    <w:rsid w:val="009E34CE"/>
    <w:rsid w:val="009F194E"/>
    <w:rsid w:val="009F1EC5"/>
    <w:rsid w:val="009F6919"/>
    <w:rsid w:val="009F7145"/>
    <w:rsid w:val="00A00B91"/>
    <w:rsid w:val="00A01436"/>
    <w:rsid w:val="00A04C39"/>
    <w:rsid w:val="00A0668D"/>
    <w:rsid w:val="00A069A3"/>
    <w:rsid w:val="00A06E83"/>
    <w:rsid w:val="00A138DF"/>
    <w:rsid w:val="00A17EA6"/>
    <w:rsid w:val="00A209E2"/>
    <w:rsid w:val="00A23F03"/>
    <w:rsid w:val="00A23F7D"/>
    <w:rsid w:val="00A34840"/>
    <w:rsid w:val="00A34BE7"/>
    <w:rsid w:val="00A3694F"/>
    <w:rsid w:val="00A43165"/>
    <w:rsid w:val="00A5328B"/>
    <w:rsid w:val="00A57BDB"/>
    <w:rsid w:val="00A63F11"/>
    <w:rsid w:val="00A64E84"/>
    <w:rsid w:val="00A65E87"/>
    <w:rsid w:val="00A678B3"/>
    <w:rsid w:val="00A829DF"/>
    <w:rsid w:val="00A87CBF"/>
    <w:rsid w:val="00A91588"/>
    <w:rsid w:val="00A93EBF"/>
    <w:rsid w:val="00A9615B"/>
    <w:rsid w:val="00AA3E63"/>
    <w:rsid w:val="00AA4FFE"/>
    <w:rsid w:val="00AB1608"/>
    <w:rsid w:val="00AB527A"/>
    <w:rsid w:val="00AB5F04"/>
    <w:rsid w:val="00AB70F4"/>
    <w:rsid w:val="00AC00AB"/>
    <w:rsid w:val="00AC61C2"/>
    <w:rsid w:val="00AC6FF4"/>
    <w:rsid w:val="00AD22ED"/>
    <w:rsid w:val="00AD2D8F"/>
    <w:rsid w:val="00AD43F7"/>
    <w:rsid w:val="00AE0A88"/>
    <w:rsid w:val="00AE2A61"/>
    <w:rsid w:val="00AE5D14"/>
    <w:rsid w:val="00AE5E5C"/>
    <w:rsid w:val="00AF10F0"/>
    <w:rsid w:val="00AF3598"/>
    <w:rsid w:val="00AF5A03"/>
    <w:rsid w:val="00B001AC"/>
    <w:rsid w:val="00B00484"/>
    <w:rsid w:val="00B00A15"/>
    <w:rsid w:val="00B032D1"/>
    <w:rsid w:val="00B05084"/>
    <w:rsid w:val="00B055C9"/>
    <w:rsid w:val="00B061A4"/>
    <w:rsid w:val="00B06DCF"/>
    <w:rsid w:val="00B132A1"/>
    <w:rsid w:val="00B14645"/>
    <w:rsid w:val="00B16567"/>
    <w:rsid w:val="00B16DE9"/>
    <w:rsid w:val="00B213F1"/>
    <w:rsid w:val="00B31462"/>
    <w:rsid w:val="00B32839"/>
    <w:rsid w:val="00B33C5B"/>
    <w:rsid w:val="00B3603A"/>
    <w:rsid w:val="00B36B1F"/>
    <w:rsid w:val="00B40217"/>
    <w:rsid w:val="00B423A1"/>
    <w:rsid w:val="00B51B04"/>
    <w:rsid w:val="00B548F9"/>
    <w:rsid w:val="00B614E6"/>
    <w:rsid w:val="00B6240B"/>
    <w:rsid w:val="00B64298"/>
    <w:rsid w:val="00B661A5"/>
    <w:rsid w:val="00B66D07"/>
    <w:rsid w:val="00B6767E"/>
    <w:rsid w:val="00B677CB"/>
    <w:rsid w:val="00B7059E"/>
    <w:rsid w:val="00B70803"/>
    <w:rsid w:val="00B71E09"/>
    <w:rsid w:val="00B7293B"/>
    <w:rsid w:val="00B73C05"/>
    <w:rsid w:val="00B80D31"/>
    <w:rsid w:val="00B902DC"/>
    <w:rsid w:val="00B9082D"/>
    <w:rsid w:val="00B931DF"/>
    <w:rsid w:val="00B95964"/>
    <w:rsid w:val="00B96E91"/>
    <w:rsid w:val="00B972C1"/>
    <w:rsid w:val="00B97CCC"/>
    <w:rsid w:val="00BA0A19"/>
    <w:rsid w:val="00BA2C38"/>
    <w:rsid w:val="00BA3C60"/>
    <w:rsid w:val="00BA66BB"/>
    <w:rsid w:val="00BA6D55"/>
    <w:rsid w:val="00BB44B8"/>
    <w:rsid w:val="00BB71E4"/>
    <w:rsid w:val="00BB79F7"/>
    <w:rsid w:val="00BC10AB"/>
    <w:rsid w:val="00BC139A"/>
    <w:rsid w:val="00BC291A"/>
    <w:rsid w:val="00BC3CBF"/>
    <w:rsid w:val="00BC4865"/>
    <w:rsid w:val="00BC5777"/>
    <w:rsid w:val="00BC5DC2"/>
    <w:rsid w:val="00BC6B5B"/>
    <w:rsid w:val="00BD136F"/>
    <w:rsid w:val="00BD5B80"/>
    <w:rsid w:val="00BD5EC8"/>
    <w:rsid w:val="00BD671D"/>
    <w:rsid w:val="00BD7182"/>
    <w:rsid w:val="00BD7D48"/>
    <w:rsid w:val="00BE0C42"/>
    <w:rsid w:val="00BE15AB"/>
    <w:rsid w:val="00BE2B52"/>
    <w:rsid w:val="00BE5A06"/>
    <w:rsid w:val="00BE68BA"/>
    <w:rsid w:val="00BF081C"/>
    <w:rsid w:val="00BF116D"/>
    <w:rsid w:val="00BF47A6"/>
    <w:rsid w:val="00BF609C"/>
    <w:rsid w:val="00C017B1"/>
    <w:rsid w:val="00C04E71"/>
    <w:rsid w:val="00C054C8"/>
    <w:rsid w:val="00C05B39"/>
    <w:rsid w:val="00C07DF9"/>
    <w:rsid w:val="00C11503"/>
    <w:rsid w:val="00C12147"/>
    <w:rsid w:val="00C25C8D"/>
    <w:rsid w:val="00C36B0B"/>
    <w:rsid w:val="00C40A78"/>
    <w:rsid w:val="00C44CBF"/>
    <w:rsid w:val="00C44D06"/>
    <w:rsid w:val="00C46C12"/>
    <w:rsid w:val="00C4765B"/>
    <w:rsid w:val="00C550D4"/>
    <w:rsid w:val="00C603A6"/>
    <w:rsid w:val="00C6052E"/>
    <w:rsid w:val="00C646A2"/>
    <w:rsid w:val="00C67A0E"/>
    <w:rsid w:val="00C7308C"/>
    <w:rsid w:val="00C74596"/>
    <w:rsid w:val="00C80AFC"/>
    <w:rsid w:val="00C875E9"/>
    <w:rsid w:val="00C90D09"/>
    <w:rsid w:val="00C93F38"/>
    <w:rsid w:val="00CA1EC5"/>
    <w:rsid w:val="00CA2AF8"/>
    <w:rsid w:val="00CA3763"/>
    <w:rsid w:val="00CA4D90"/>
    <w:rsid w:val="00CA61B9"/>
    <w:rsid w:val="00CA6913"/>
    <w:rsid w:val="00CA6B96"/>
    <w:rsid w:val="00CA7964"/>
    <w:rsid w:val="00CB0C35"/>
    <w:rsid w:val="00CB5446"/>
    <w:rsid w:val="00CB6073"/>
    <w:rsid w:val="00CB7700"/>
    <w:rsid w:val="00CC0687"/>
    <w:rsid w:val="00CC0739"/>
    <w:rsid w:val="00CC5C61"/>
    <w:rsid w:val="00CD00B6"/>
    <w:rsid w:val="00CD4546"/>
    <w:rsid w:val="00CE0089"/>
    <w:rsid w:val="00CE26B9"/>
    <w:rsid w:val="00CE2ACB"/>
    <w:rsid w:val="00CE2D44"/>
    <w:rsid w:val="00CE4EE3"/>
    <w:rsid w:val="00CE5FD3"/>
    <w:rsid w:val="00CE62A3"/>
    <w:rsid w:val="00CE65F7"/>
    <w:rsid w:val="00CF0F22"/>
    <w:rsid w:val="00CF1B46"/>
    <w:rsid w:val="00CF1C56"/>
    <w:rsid w:val="00D0311B"/>
    <w:rsid w:val="00D044FC"/>
    <w:rsid w:val="00D04878"/>
    <w:rsid w:val="00D048DD"/>
    <w:rsid w:val="00D122F4"/>
    <w:rsid w:val="00D1454E"/>
    <w:rsid w:val="00D169DA"/>
    <w:rsid w:val="00D22763"/>
    <w:rsid w:val="00D26B2A"/>
    <w:rsid w:val="00D31DF3"/>
    <w:rsid w:val="00D32FE1"/>
    <w:rsid w:val="00D348A9"/>
    <w:rsid w:val="00D3713A"/>
    <w:rsid w:val="00D410A7"/>
    <w:rsid w:val="00D4447C"/>
    <w:rsid w:val="00D45220"/>
    <w:rsid w:val="00D4567B"/>
    <w:rsid w:val="00D45D07"/>
    <w:rsid w:val="00D47120"/>
    <w:rsid w:val="00D55717"/>
    <w:rsid w:val="00D55E14"/>
    <w:rsid w:val="00D56F80"/>
    <w:rsid w:val="00D611EF"/>
    <w:rsid w:val="00D637CF"/>
    <w:rsid w:val="00D70F09"/>
    <w:rsid w:val="00D725AE"/>
    <w:rsid w:val="00D7603E"/>
    <w:rsid w:val="00D8693E"/>
    <w:rsid w:val="00D925D5"/>
    <w:rsid w:val="00D931C2"/>
    <w:rsid w:val="00D9593E"/>
    <w:rsid w:val="00DA0111"/>
    <w:rsid w:val="00DB00A0"/>
    <w:rsid w:val="00DB17AF"/>
    <w:rsid w:val="00DB281F"/>
    <w:rsid w:val="00DB4F75"/>
    <w:rsid w:val="00DB5F05"/>
    <w:rsid w:val="00DC2CB1"/>
    <w:rsid w:val="00DC47D0"/>
    <w:rsid w:val="00DC5B7D"/>
    <w:rsid w:val="00DC6CAC"/>
    <w:rsid w:val="00DD329F"/>
    <w:rsid w:val="00DD3DDF"/>
    <w:rsid w:val="00DD74F0"/>
    <w:rsid w:val="00DD7B19"/>
    <w:rsid w:val="00DE1EF0"/>
    <w:rsid w:val="00DE2A98"/>
    <w:rsid w:val="00DE42FD"/>
    <w:rsid w:val="00DE4B4C"/>
    <w:rsid w:val="00DE4D40"/>
    <w:rsid w:val="00DE6193"/>
    <w:rsid w:val="00DF7438"/>
    <w:rsid w:val="00E000C0"/>
    <w:rsid w:val="00E03AED"/>
    <w:rsid w:val="00E15D95"/>
    <w:rsid w:val="00E17310"/>
    <w:rsid w:val="00E27446"/>
    <w:rsid w:val="00E27E1F"/>
    <w:rsid w:val="00E27F84"/>
    <w:rsid w:val="00E34E5A"/>
    <w:rsid w:val="00E3591D"/>
    <w:rsid w:val="00E4420B"/>
    <w:rsid w:val="00E470C7"/>
    <w:rsid w:val="00E50682"/>
    <w:rsid w:val="00E54513"/>
    <w:rsid w:val="00E56A9B"/>
    <w:rsid w:val="00E616A9"/>
    <w:rsid w:val="00E6462B"/>
    <w:rsid w:val="00E712B6"/>
    <w:rsid w:val="00E72067"/>
    <w:rsid w:val="00E73253"/>
    <w:rsid w:val="00E75D6D"/>
    <w:rsid w:val="00E77BFD"/>
    <w:rsid w:val="00E8267B"/>
    <w:rsid w:val="00E84C1F"/>
    <w:rsid w:val="00E87D04"/>
    <w:rsid w:val="00E90255"/>
    <w:rsid w:val="00E95E61"/>
    <w:rsid w:val="00E9619C"/>
    <w:rsid w:val="00E96A1C"/>
    <w:rsid w:val="00E96B5E"/>
    <w:rsid w:val="00EB3298"/>
    <w:rsid w:val="00EB36D9"/>
    <w:rsid w:val="00EC2A51"/>
    <w:rsid w:val="00EC37E6"/>
    <w:rsid w:val="00EC3BB1"/>
    <w:rsid w:val="00EC46AA"/>
    <w:rsid w:val="00EC46F4"/>
    <w:rsid w:val="00EC4A3F"/>
    <w:rsid w:val="00EC6CF9"/>
    <w:rsid w:val="00ED1E47"/>
    <w:rsid w:val="00EE33E1"/>
    <w:rsid w:val="00EE4981"/>
    <w:rsid w:val="00EF0ADD"/>
    <w:rsid w:val="00EF0E78"/>
    <w:rsid w:val="00F23471"/>
    <w:rsid w:val="00F23658"/>
    <w:rsid w:val="00F320AC"/>
    <w:rsid w:val="00F36340"/>
    <w:rsid w:val="00F4168F"/>
    <w:rsid w:val="00F42403"/>
    <w:rsid w:val="00F429FE"/>
    <w:rsid w:val="00F42A98"/>
    <w:rsid w:val="00F43318"/>
    <w:rsid w:val="00F43C3B"/>
    <w:rsid w:val="00F47802"/>
    <w:rsid w:val="00F47EB1"/>
    <w:rsid w:val="00F52F41"/>
    <w:rsid w:val="00F53BDA"/>
    <w:rsid w:val="00F54755"/>
    <w:rsid w:val="00F568D5"/>
    <w:rsid w:val="00F61EF9"/>
    <w:rsid w:val="00F630CC"/>
    <w:rsid w:val="00F66E9E"/>
    <w:rsid w:val="00F72D78"/>
    <w:rsid w:val="00F7467E"/>
    <w:rsid w:val="00F749F7"/>
    <w:rsid w:val="00F75C89"/>
    <w:rsid w:val="00F805E4"/>
    <w:rsid w:val="00F81CBA"/>
    <w:rsid w:val="00F85E07"/>
    <w:rsid w:val="00F866F4"/>
    <w:rsid w:val="00F92625"/>
    <w:rsid w:val="00F95E8B"/>
    <w:rsid w:val="00F969F2"/>
    <w:rsid w:val="00FA2EDA"/>
    <w:rsid w:val="00FA44D4"/>
    <w:rsid w:val="00FA4F52"/>
    <w:rsid w:val="00FB2355"/>
    <w:rsid w:val="00FB2B32"/>
    <w:rsid w:val="00FB30F6"/>
    <w:rsid w:val="00FB550A"/>
    <w:rsid w:val="00FC1077"/>
    <w:rsid w:val="00FC5821"/>
    <w:rsid w:val="00FC6BFA"/>
    <w:rsid w:val="00FD2AC6"/>
    <w:rsid w:val="00FD6E1D"/>
    <w:rsid w:val="00FD786A"/>
    <w:rsid w:val="00FE1B38"/>
    <w:rsid w:val="00FE42C0"/>
    <w:rsid w:val="00FE6030"/>
    <w:rsid w:val="00FE74A6"/>
    <w:rsid w:val="00FF0800"/>
    <w:rsid w:val="00FF2E20"/>
    <w:rsid w:val="00FF4357"/>
    <w:rsid w:val="00FF71C9"/>
    <w:rsid w:val="00FF7769"/>
    <w:rsid w:val="1FFA5FA6"/>
    <w:rsid w:val="26420E1F"/>
    <w:rsid w:val="459A6FA0"/>
    <w:rsid w:val="49351FC9"/>
    <w:rsid w:val="542578C5"/>
    <w:rsid w:val="55DF317F"/>
    <w:rsid w:val="57B864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lsdException w:name="toc 2" w:semiHidden="0" w:uiPriority="39" w:unhideWhenUsed="0"/>
    <w:lsdException w:name="toc 3" w:semiHidden="0" w:uiPriority="39" w:unhideWhenUsed="0"/>
    <w:lsdException w:name="toc 4" w:uiPriority="0" w:unhideWhenUsed="0"/>
    <w:lsdException w:name="toc 5" w:uiPriority="0" w:unhideWhenUsed="0"/>
    <w:lsdException w:name="toc 6" w:uiPriority="0" w:unhideWhenUsed="0"/>
    <w:lsdException w:name="toc 7" w:uiPriority="0" w:unhideWhenUsed="0"/>
    <w:lsdException w:name="toc 8" w:uiPriority="0" w:unhideWhenUsed="0"/>
    <w:lsdException w:name="toc 9" w:uiPriority="0" w:unhideWhenUsed="0"/>
    <w:lsdException w:name="Normal Indent" w:semiHidden="0" w:uiPriority="0" w:unhideWhenUsed="0"/>
    <w:lsdException w:name="footnote text"/>
    <w:lsdException w:name="annotation text" w:semiHidden="0" w:uiPriority="0" w:unhideWhenUsed="0"/>
    <w:lsdException w:name="header" w:semiHidden="0" w:uiPriority="0" w:unhideWhenUsed="0"/>
    <w:lsdException w:name="footer" w:semiHidden="0" w:unhideWhenUsed="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lsdException w:name="Body Text"/>
    <w:lsdException w:name="Body Text Indent" w:semiHidden="0" w:uiPriority="0" w:unhideWhenUsed="0"/>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semiHidden="0" w:uiPriority="0" w:unhideWhenUsed="0"/>
    <w:lsdException w:name="Body Text 3"/>
    <w:lsdException w:name="Body Text Indent 2" w:semiHidden="0" w:uiPriority="0" w:unhideWhenUsed="0"/>
    <w:lsdException w:name="Body Text Indent 3"/>
    <w:lsdException w:name="Block Text"/>
    <w:lsdException w:name="Hyperlink" w:semiHidden="0" w:unhideWhenUsed="0"/>
    <w:lsdException w:name="FollowedHyperlink"/>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lsdException w:name="E-mail Signature"/>
    <w:lsdException w:name="Normal (Web)" w:semiHidden="0" w:uiPriority="0" w:unhideWhenUsed="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240" w:lineRule="atLeast"/>
    </w:pPr>
    <w:rPr>
      <w:rFonts w:ascii="Times New Roman" w:eastAsia="宋体" w:hAnsi="Times New Roman" w:cs="Times New Roman"/>
      <w:sz w:val="21"/>
      <w:lang w:val="en-US" w:eastAsia="zh-CN" w:bidi="ar-SA"/>
    </w:rPr>
  </w:style>
  <w:style w:type="paragraph" w:styleId="Heading1">
    <w:name w:val="heading 1"/>
    <w:basedOn w:val="Normal"/>
    <w:next w:val="Normal"/>
    <w:link w:val="1Char"/>
    <w:qFormat/>
    <w:pPr>
      <w:keepNext/>
      <w:keepLines/>
      <w:spacing w:before="340" w:after="330" w:line="578" w:lineRule="atLeast"/>
      <w:outlineLvl w:val="0"/>
    </w:pPr>
    <w:rPr>
      <w:b/>
      <w:bCs/>
      <w:kern w:val="44"/>
      <w:sz w:val="44"/>
      <w:szCs w:val="44"/>
    </w:rPr>
  </w:style>
  <w:style w:type="paragraph" w:styleId="Heading2">
    <w:name w:val="heading 2"/>
    <w:basedOn w:val="Normal"/>
    <w:next w:val="NormalIndent"/>
    <w:link w:val="2Char0"/>
    <w:qFormat/>
    <w:pPr>
      <w:keepLines w:val="0"/>
      <w:spacing w:before="120" w:after="120" w:line="240" w:lineRule="atLeast"/>
      <w:outlineLvl w:val="1"/>
    </w:pPr>
    <w:rPr>
      <w:rFonts w:ascii="Arial" w:hAnsi="Arial"/>
      <w:sz w:val="21"/>
    </w:rPr>
  </w:style>
  <w:style w:type="paragraph" w:styleId="Heading3">
    <w:name w:val="heading 3"/>
    <w:basedOn w:val="Normal"/>
    <w:next w:val="NormalIndent"/>
    <w:link w:val="3Char"/>
    <w:qFormat/>
    <w:pPr>
      <w:keepNext/>
      <w:keepLines/>
      <w:spacing w:before="260" w:after="260" w:line="413" w:lineRule="auto"/>
      <w:jc w:val="both"/>
      <w:outlineLvl w:val="2"/>
    </w:pPr>
    <w:rPr>
      <w:b/>
      <w:bCs/>
      <w:kern w:val="2"/>
      <w:sz w:val="32"/>
      <w:szCs w:val="32"/>
    </w:rPr>
  </w:style>
  <w:style w:type="paragraph" w:styleId="Heading4">
    <w:name w:val="heading 4"/>
    <w:basedOn w:val="Normal"/>
    <w:next w:val="Normal"/>
    <w:link w:val="4Char0"/>
    <w:uiPriority w:val="9"/>
    <w:semiHidden/>
    <w:unhideWhenUsed/>
    <w:qFormat/>
    <w:pPr>
      <w:keepNext/>
      <w:keepLines/>
      <w:spacing w:before="280" w:after="290" w:line="376" w:lineRule="atLeast"/>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NormalIndent">
    <w:name w:val="Normal Indent"/>
    <w:basedOn w:val="Normal"/>
    <w:pPr>
      <w:ind w:left="900" w:hanging="900"/>
    </w:pPr>
  </w:style>
  <w:style w:type="paragraph" w:styleId="TOC7">
    <w:name w:val="toc 7"/>
    <w:basedOn w:val="Normal"/>
    <w:next w:val="Normal"/>
    <w:semiHidden/>
    <w:pPr>
      <w:spacing w:line="240" w:lineRule="auto"/>
      <w:ind w:left="2520" w:leftChars="1200"/>
      <w:jc w:val="both"/>
    </w:pPr>
    <w:rPr>
      <w:kern w:val="2"/>
      <w:szCs w:val="24"/>
    </w:rPr>
  </w:style>
  <w:style w:type="paragraph" w:styleId="DocumentMap">
    <w:name w:val="Document Map"/>
    <w:basedOn w:val="Normal"/>
    <w:link w:val="Char"/>
    <w:rPr>
      <w:rFonts w:ascii="宋体"/>
      <w:sz w:val="18"/>
      <w:szCs w:val="18"/>
    </w:rPr>
  </w:style>
  <w:style w:type="paragraph" w:styleId="CommentText">
    <w:name w:val="annotation text"/>
    <w:basedOn w:val="Normal"/>
    <w:link w:val="Char3"/>
  </w:style>
  <w:style w:type="paragraph" w:styleId="BodyTextIndent">
    <w:name w:val="Body Text Indent"/>
    <w:basedOn w:val="Normal"/>
    <w:link w:val="Char0"/>
    <w:pPr>
      <w:spacing w:line="360" w:lineRule="auto"/>
      <w:ind w:firstLine="420" w:firstLineChars="200"/>
    </w:pPr>
  </w:style>
  <w:style w:type="paragraph" w:styleId="TOC5">
    <w:name w:val="toc 5"/>
    <w:basedOn w:val="Normal"/>
    <w:next w:val="Normal"/>
    <w:semiHidden/>
    <w:pPr>
      <w:spacing w:line="240" w:lineRule="auto"/>
      <w:ind w:left="1680" w:leftChars="800"/>
      <w:jc w:val="both"/>
    </w:pPr>
    <w:rPr>
      <w:kern w:val="2"/>
      <w:szCs w:val="24"/>
    </w:rPr>
  </w:style>
  <w:style w:type="paragraph" w:styleId="TOC3">
    <w:name w:val="toc 3"/>
    <w:basedOn w:val="Normal"/>
    <w:next w:val="Normal"/>
    <w:uiPriority w:val="39"/>
    <w:pPr>
      <w:ind w:left="840" w:leftChars="400"/>
    </w:pPr>
  </w:style>
  <w:style w:type="paragraph" w:styleId="PlainText">
    <w:name w:val="Plain Text"/>
    <w:basedOn w:val="Normal"/>
    <w:link w:val="Char7"/>
    <w:pPr>
      <w:spacing w:line="240" w:lineRule="auto"/>
      <w:jc w:val="both"/>
    </w:pPr>
    <w:rPr>
      <w:rFonts w:ascii="宋体" w:hAnsi="Courier New"/>
      <w:kern w:val="2"/>
    </w:rPr>
  </w:style>
  <w:style w:type="paragraph" w:styleId="TOC8">
    <w:name w:val="toc 8"/>
    <w:basedOn w:val="Normal"/>
    <w:next w:val="Normal"/>
    <w:semiHidden/>
    <w:pPr>
      <w:spacing w:line="240" w:lineRule="auto"/>
      <w:ind w:left="2940" w:leftChars="1400"/>
      <w:jc w:val="both"/>
    </w:pPr>
    <w:rPr>
      <w:kern w:val="2"/>
      <w:szCs w:val="24"/>
    </w:rPr>
  </w:style>
  <w:style w:type="paragraph" w:styleId="BodyTextIndent2">
    <w:name w:val="Body Text Indent 2"/>
    <w:basedOn w:val="Normal"/>
    <w:link w:val="2Char2"/>
    <w:pPr>
      <w:spacing w:line="240" w:lineRule="auto"/>
      <w:ind w:firstLine="420" w:firstLineChars="200"/>
      <w:jc w:val="both"/>
    </w:pPr>
    <w:rPr>
      <w:kern w:val="2"/>
      <w:szCs w:val="24"/>
    </w:rPr>
  </w:style>
  <w:style w:type="paragraph" w:styleId="EndnoteText">
    <w:name w:val="endnote text"/>
    <w:basedOn w:val="Normal"/>
    <w:link w:val="Char6"/>
    <w:uiPriority w:val="99"/>
    <w:semiHidden/>
    <w:unhideWhenUsed/>
    <w:pPr>
      <w:snapToGrid w:val="0"/>
    </w:pPr>
  </w:style>
  <w:style w:type="paragraph" w:styleId="BalloonText">
    <w:name w:val="Balloon Text"/>
    <w:basedOn w:val="Normal"/>
    <w:link w:val="Char2"/>
    <w:pPr>
      <w:spacing w:line="240" w:lineRule="auto"/>
    </w:pPr>
    <w:rPr>
      <w:sz w:val="18"/>
      <w:szCs w:val="18"/>
    </w:rPr>
  </w:style>
  <w:style w:type="paragraph" w:styleId="Footer">
    <w:name w:val="footer"/>
    <w:basedOn w:val="Normal"/>
    <w:link w:val="Char1"/>
    <w:uiPriority w:val="99"/>
    <w:pPr>
      <w:pBdr>
        <w:top w:val="single" w:sz="6" w:space="1" w:color="auto"/>
      </w:pBdr>
      <w:shd w:val="pct5" w:color="auto" w:fill="auto"/>
      <w:tabs>
        <w:tab w:val="center" w:pos="4153"/>
        <w:tab w:val="right" w:pos="8306"/>
      </w:tabs>
      <w:snapToGrid w:val="0"/>
    </w:pPr>
    <w:rPr>
      <w:sz w:val="18"/>
      <w:szCs w:val="18"/>
      <w:shd w:val="pct5" w:color="auto" w:fill="auto"/>
    </w:rPr>
  </w:style>
  <w:style w:type="paragraph" w:styleId="Header">
    <w:name w:val="header"/>
    <w:basedOn w:val="Normal"/>
    <w:link w:val="Char4"/>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pPr>
      <w:tabs>
        <w:tab w:val="left" w:pos="630"/>
        <w:tab w:val="right" w:leader="dot" w:pos="8296"/>
      </w:tabs>
      <w:spacing w:line="360" w:lineRule="auto"/>
    </w:pPr>
    <w:rPr>
      <w:rFonts w:ascii="黑体" w:eastAsia="黑体" w:hAnsi="华文仿宋"/>
      <w:b/>
      <w:sz w:val="28"/>
      <w:szCs w:val="28"/>
    </w:rPr>
  </w:style>
  <w:style w:type="paragraph" w:styleId="TOC4">
    <w:name w:val="toc 4"/>
    <w:basedOn w:val="Normal"/>
    <w:next w:val="Normal"/>
    <w:semiHidden/>
    <w:pPr>
      <w:spacing w:line="240" w:lineRule="auto"/>
      <w:ind w:left="1260" w:leftChars="600"/>
      <w:jc w:val="both"/>
    </w:pPr>
    <w:rPr>
      <w:kern w:val="2"/>
      <w:szCs w:val="24"/>
    </w:rPr>
  </w:style>
  <w:style w:type="paragraph" w:styleId="FootnoteText">
    <w:name w:val="footnote text"/>
    <w:basedOn w:val="Normal"/>
    <w:link w:val="Char8"/>
    <w:uiPriority w:val="99"/>
    <w:semiHidden/>
    <w:unhideWhenUsed/>
    <w:pPr>
      <w:snapToGrid w:val="0"/>
    </w:pPr>
    <w:rPr>
      <w:sz w:val="18"/>
      <w:szCs w:val="18"/>
    </w:rPr>
  </w:style>
  <w:style w:type="paragraph" w:styleId="TOC6">
    <w:name w:val="toc 6"/>
    <w:basedOn w:val="Normal"/>
    <w:next w:val="Normal"/>
    <w:semiHidden/>
    <w:pPr>
      <w:spacing w:line="240" w:lineRule="auto"/>
      <w:ind w:left="2100" w:leftChars="1000"/>
      <w:jc w:val="both"/>
    </w:pPr>
    <w:rPr>
      <w:kern w:val="2"/>
      <w:szCs w:val="24"/>
    </w:rPr>
  </w:style>
  <w:style w:type="paragraph" w:styleId="TOC2">
    <w:name w:val="toc 2"/>
    <w:basedOn w:val="Normal"/>
    <w:next w:val="Normal"/>
    <w:uiPriority w:val="39"/>
    <w:pPr>
      <w:tabs>
        <w:tab w:val="left" w:pos="1050"/>
        <w:tab w:val="right" w:leader="dot" w:pos="8296"/>
      </w:tabs>
      <w:spacing w:line="360" w:lineRule="auto"/>
      <w:ind w:left="420" w:leftChars="200"/>
    </w:pPr>
    <w:rPr>
      <w:rFonts w:ascii="黑体" w:eastAsia="黑体" w:hAnsi="华文仿宋"/>
      <w:sz w:val="24"/>
      <w:szCs w:val="24"/>
    </w:rPr>
  </w:style>
  <w:style w:type="paragraph" w:styleId="TOC9">
    <w:name w:val="toc 9"/>
    <w:basedOn w:val="Normal"/>
    <w:next w:val="Normal"/>
    <w:semiHidden/>
    <w:pPr>
      <w:spacing w:line="240" w:lineRule="auto"/>
      <w:ind w:left="3360" w:leftChars="1600"/>
      <w:jc w:val="both"/>
    </w:pPr>
    <w:rPr>
      <w:kern w:val="2"/>
      <w:szCs w:val="24"/>
    </w:rPr>
  </w:style>
  <w:style w:type="paragraph" w:styleId="BodyText2">
    <w:name w:val="Body Text 2"/>
    <w:basedOn w:val="Normal"/>
    <w:link w:val="2Char"/>
    <w:pPr>
      <w:spacing w:after="120" w:line="480" w:lineRule="auto"/>
    </w:pPr>
  </w:style>
  <w:style w:type="paragraph" w:styleId="NormalWeb">
    <w:name w:val="Normal (Web)"/>
    <w:basedOn w:val="Normal"/>
    <w:pPr>
      <w:widowControl/>
      <w:spacing w:before="100" w:beforeAutospacing="1" w:after="100" w:afterAutospacing="1" w:line="240" w:lineRule="auto"/>
    </w:pPr>
    <w:rPr>
      <w:rFonts w:ascii="宋体" w:hAnsi="宋体"/>
      <w:sz w:val="24"/>
      <w:szCs w:val="24"/>
    </w:rPr>
  </w:style>
  <w:style w:type="paragraph" w:styleId="Title">
    <w:name w:val="Title"/>
    <w:basedOn w:val="Normal"/>
    <w:next w:val="Normal"/>
    <w:link w:val="Char5"/>
    <w:qFormat/>
    <w:pPr>
      <w:spacing w:line="240" w:lineRule="auto"/>
      <w:jc w:val="center"/>
    </w:pPr>
    <w:rPr>
      <w:rFonts w:ascii="Arial" w:hAnsi="Arial"/>
      <w:b/>
      <w:sz w:val="36"/>
    </w:rPr>
  </w:style>
  <w:style w:type="paragraph" w:styleId="CommentSubject">
    <w:name w:val="annotation subject"/>
    <w:basedOn w:val="CommentText"/>
    <w:next w:val="CommentText"/>
    <w:link w:val="Char9"/>
    <w:uiPriority w:val="99"/>
    <w:semiHidden/>
    <w:unhideWhenUsed/>
    <w:rPr>
      <w:b/>
      <w:bCs/>
    </w:rPr>
  </w:style>
  <w:style w:type="table" w:styleId="TableGrid">
    <w:name w:val="Table Grid"/>
    <w:basedOn w:val="TableNormal"/>
    <w:uiPriority w:val="5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b/>
      <w:bCs/>
    </w:rPr>
  </w:style>
  <w:style w:type="character" w:styleId="EndnoteReference">
    <w:name w:val="endnote reference"/>
    <w:uiPriority w:val="99"/>
    <w:semiHidden/>
    <w:unhideWhenUsed/>
    <w:rPr>
      <w:vertAlign w:val="superscript"/>
    </w:rPr>
  </w:style>
  <w:style w:type="character" w:styleId="PageNumber">
    <w:name w:val="page number"/>
    <w:basedOn w:val="DefaultParagraphFont"/>
  </w:style>
  <w:style w:type="character" w:styleId="FollowedHyperlink">
    <w:name w:val="FollowedHyperlink"/>
    <w:basedOn w:val="DefaultParagraphFont"/>
    <w:uiPriority w:val="99"/>
    <w:semiHidden/>
    <w:unhideWhenUsed/>
    <w:rPr>
      <w:color w:val="800080" w:themeColor="followedHyperlink"/>
      <w:u w:val="single"/>
    </w:rPr>
  </w:style>
  <w:style w:type="character" w:styleId="Hyperlink">
    <w:name w:val="Hyperlink"/>
    <w:uiPriority w:val="99"/>
    <w:rPr>
      <w:color w:val="0000FF"/>
      <w:u w:val="single"/>
    </w:rPr>
  </w:style>
  <w:style w:type="character" w:styleId="CommentReference">
    <w:name w:val="annotation reference"/>
    <w:basedOn w:val="DefaultParagraphFont"/>
    <w:uiPriority w:val="99"/>
    <w:semiHidden/>
    <w:unhideWhenUsed/>
    <w:rPr>
      <w:sz w:val="21"/>
      <w:szCs w:val="21"/>
    </w:rPr>
  </w:style>
  <w:style w:type="character" w:styleId="FootnoteReference">
    <w:name w:val="footnote reference"/>
    <w:basedOn w:val="DefaultParagraphFont"/>
    <w:uiPriority w:val="99"/>
    <w:semiHidden/>
    <w:unhideWhenUsed/>
    <w:rPr>
      <w:vertAlign w:val="superscript"/>
    </w:rPr>
  </w:style>
  <w:style w:type="character" w:customStyle="1" w:styleId="Char">
    <w:name w:val="文档结构图 Char"/>
    <w:link w:val="DocumentMap"/>
    <w:rPr>
      <w:rFonts w:ascii="宋体" w:eastAsia="宋体" w:hAnsi="Times New Roman" w:cs="Times New Roman"/>
      <w:kern w:val="0"/>
      <w:sz w:val="18"/>
      <w:szCs w:val="18"/>
    </w:rPr>
  </w:style>
  <w:style w:type="character" w:customStyle="1" w:styleId="2Char">
    <w:name w:val="正文文本 2 Char"/>
    <w:link w:val="BodyText2"/>
    <w:rPr>
      <w:rFonts w:ascii="Times New Roman" w:hAnsi="Times New Roman"/>
      <w:sz w:val="21"/>
    </w:rPr>
  </w:style>
  <w:style w:type="character" w:customStyle="1" w:styleId="Char0">
    <w:name w:val="正文文本缩进 Char"/>
    <w:link w:val="BodyTextIndent"/>
    <w:rPr>
      <w:rFonts w:ascii="Times New Roman" w:hAnsi="Times New Roman"/>
      <w:sz w:val="21"/>
    </w:rPr>
  </w:style>
  <w:style w:type="character" w:customStyle="1" w:styleId="Char1">
    <w:name w:val="页脚 Char"/>
    <w:link w:val="Footer"/>
    <w:uiPriority w:val="99"/>
    <w:rPr>
      <w:rFonts w:ascii="Times New Roman" w:hAnsi="Times New Roman"/>
      <w:sz w:val="18"/>
      <w:szCs w:val="18"/>
      <w:shd w:val="pct5" w:color="auto" w:fill="auto"/>
    </w:rPr>
  </w:style>
  <w:style w:type="character" w:customStyle="1" w:styleId="3Char">
    <w:name w:val="标题 3 Char"/>
    <w:link w:val="Heading3"/>
    <w:rPr>
      <w:b/>
      <w:bCs/>
      <w:kern w:val="2"/>
      <w:sz w:val="32"/>
      <w:szCs w:val="32"/>
    </w:rPr>
  </w:style>
  <w:style w:type="character" w:customStyle="1" w:styleId="Char2">
    <w:name w:val="批注框文本 Char"/>
    <w:link w:val="BalloonText"/>
    <w:rPr>
      <w:rFonts w:ascii="Times New Roman" w:eastAsia="宋体" w:hAnsi="Times New Roman" w:cs="Times New Roman"/>
      <w:kern w:val="0"/>
      <w:sz w:val="18"/>
      <w:szCs w:val="18"/>
    </w:rPr>
  </w:style>
  <w:style w:type="character" w:customStyle="1" w:styleId="3Char0">
    <w:name w:val="样式3 Char"/>
    <w:link w:val="3"/>
    <w:rPr>
      <w:rFonts w:ascii="Times New Roman" w:hAnsi="Times New Roman"/>
      <w:sz w:val="18"/>
      <w:szCs w:val="18"/>
      <w:shd w:val="pct5" w:color="auto" w:fill="auto"/>
    </w:rPr>
  </w:style>
  <w:style w:type="paragraph" w:customStyle="1" w:styleId="3">
    <w:name w:val="样式3"/>
    <w:basedOn w:val="Footer"/>
    <w:link w:val="3Char0"/>
    <w:pPr>
      <w:pBdr>
        <w:top w:val="single" w:sz="4" w:space="1" w:color="auto"/>
      </w:pBdr>
      <w:jc w:val="center"/>
    </w:pPr>
  </w:style>
  <w:style w:type="character" w:customStyle="1" w:styleId="Char3">
    <w:name w:val="批注文字 Char"/>
    <w:link w:val="CommentText"/>
    <w:rPr>
      <w:rFonts w:ascii="Times New Roman" w:hAnsi="Times New Roman"/>
      <w:sz w:val="21"/>
    </w:rPr>
  </w:style>
  <w:style w:type="character" w:customStyle="1" w:styleId="Char4">
    <w:name w:val="页眉 Char"/>
    <w:link w:val="Header"/>
    <w:rPr>
      <w:rFonts w:ascii="Times New Roman" w:hAnsi="Times New Roman"/>
      <w:sz w:val="18"/>
      <w:szCs w:val="18"/>
    </w:rPr>
  </w:style>
  <w:style w:type="character" w:customStyle="1" w:styleId="4Char">
    <w:name w:val="样式4 Char"/>
    <w:link w:val="4"/>
    <w:rPr>
      <w:rFonts w:ascii="Times New Roman" w:hAnsi="Times New Roman"/>
      <w:sz w:val="18"/>
      <w:szCs w:val="18"/>
    </w:rPr>
  </w:style>
  <w:style w:type="paragraph" w:customStyle="1" w:styleId="4">
    <w:name w:val="样式4"/>
    <w:basedOn w:val="Header"/>
    <w:link w:val="4Char"/>
    <w:pPr>
      <w:pBdr>
        <w:bottom w:val="none" w:sz="0" w:space="0" w:color="auto"/>
      </w:pBdr>
      <w:wordWrap w:val="0"/>
    </w:pPr>
  </w:style>
  <w:style w:type="character" w:customStyle="1" w:styleId="1Char">
    <w:name w:val="标题 1 Char"/>
    <w:link w:val="Heading1"/>
    <w:rPr>
      <w:rFonts w:ascii="Times New Roman" w:hAnsi="Times New Roman"/>
      <w:b/>
      <w:bCs/>
      <w:kern w:val="44"/>
      <w:sz w:val="44"/>
      <w:szCs w:val="44"/>
    </w:rPr>
  </w:style>
  <w:style w:type="character" w:customStyle="1" w:styleId="Char5">
    <w:name w:val="标题 Char"/>
    <w:link w:val="Title"/>
    <w:rPr>
      <w:rFonts w:ascii="Arial" w:eastAsia="宋体" w:hAnsi="Arial" w:cs="Times New Roman"/>
      <w:b/>
      <w:kern w:val="0"/>
      <w:sz w:val="36"/>
      <w:szCs w:val="20"/>
    </w:rPr>
  </w:style>
  <w:style w:type="character" w:customStyle="1" w:styleId="2Char0">
    <w:name w:val="标题 2 Char"/>
    <w:link w:val="Heading2"/>
    <w:rPr>
      <w:rFonts w:ascii="Arial" w:hAnsi="Arial"/>
      <w:b/>
      <w:sz w:val="21"/>
    </w:rPr>
  </w:style>
  <w:style w:type="character" w:customStyle="1" w:styleId="2Char1">
    <w:name w:val="样式2 Char"/>
    <w:link w:val="2"/>
    <w:rPr>
      <w:rFonts w:ascii="Times New Roman" w:hAnsi="Times New Roman"/>
      <w:sz w:val="18"/>
      <w:szCs w:val="18"/>
      <w:shd w:val="pct5" w:color="auto" w:fill="auto"/>
    </w:rPr>
  </w:style>
  <w:style w:type="paragraph" w:customStyle="1" w:styleId="2">
    <w:name w:val="样式2"/>
    <w:basedOn w:val="Footer"/>
    <w:link w:val="2Char1"/>
    <w:pPr>
      <w:pBdr>
        <w:top w:val="single" w:sz="4" w:space="1" w:color="auto"/>
        <w:left w:val="single" w:sz="4" w:space="4" w:color="auto"/>
        <w:bottom w:val="single" w:sz="4" w:space="1" w:color="auto"/>
        <w:right w:val="single" w:sz="4" w:space="4" w:color="auto"/>
      </w:pBdr>
      <w:jc w:val="center"/>
    </w:pPr>
  </w:style>
  <w:style w:type="character" w:customStyle="1" w:styleId="1Char0">
    <w:name w:val="样式1 Char"/>
    <w:link w:val="1"/>
    <w:rPr>
      <w:rFonts w:ascii="Times New Roman" w:hAnsi="Times New Roman"/>
      <w:sz w:val="18"/>
      <w:szCs w:val="18"/>
      <w:shd w:val="pct5" w:color="auto" w:fill="auto"/>
    </w:rPr>
  </w:style>
  <w:style w:type="paragraph" w:customStyle="1" w:styleId="1">
    <w:name w:val="样式1"/>
    <w:basedOn w:val="Footer"/>
    <w:link w:val="1Char0"/>
    <w:pPr>
      <w:jc w:val="center"/>
    </w:pPr>
  </w:style>
  <w:style w:type="paragraph" w:styleId="ListParagraph">
    <w:name w:val="List Paragraph"/>
    <w:basedOn w:val="Normal"/>
    <w:uiPriority w:val="34"/>
    <w:qFormat/>
    <w:pPr>
      <w:ind w:firstLine="420" w:firstLineChars="200"/>
    </w:pPr>
  </w:style>
  <w:style w:type="paragraph" w:customStyle="1" w:styleId="10">
    <w:name w:val="列出段落1"/>
    <w:basedOn w:val="Normal"/>
    <w:pPr>
      <w:ind w:firstLine="420" w:firstLineChars="200"/>
    </w:pPr>
  </w:style>
  <w:style w:type="paragraph" w:customStyle="1" w:styleId="Tabletext">
    <w:name w:val="Tabletext"/>
    <w:basedOn w:val="Normal"/>
    <w:pPr>
      <w:keepLines/>
      <w:spacing w:after="120"/>
    </w:pPr>
  </w:style>
  <w:style w:type="paragraph" w:customStyle="1" w:styleId="Paragraph1">
    <w:name w:val="Paragraph1"/>
    <w:basedOn w:val="Normal"/>
    <w:pPr>
      <w:spacing w:before="80" w:line="240" w:lineRule="auto"/>
      <w:jc w:val="both"/>
    </w:pPr>
  </w:style>
  <w:style w:type="character" w:customStyle="1" w:styleId="Char6">
    <w:name w:val="尾注文本 Char"/>
    <w:link w:val="EndnoteText"/>
    <w:uiPriority w:val="99"/>
    <w:semiHidden/>
    <w:rPr>
      <w:rFonts w:ascii="Times New Roman" w:hAnsi="Times New Roman"/>
      <w:sz w:val="21"/>
    </w:rPr>
  </w:style>
  <w:style w:type="paragraph" w:customStyle="1" w:styleId="a">
    <w:name w:val="大标题"/>
    <w:basedOn w:val="Heading1"/>
    <w:pPr>
      <w:spacing w:line="578" w:lineRule="auto"/>
      <w:jc w:val="center"/>
    </w:pPr>
    <w:rPr>
      <w:rFonts w:ascii="宋体" w:hAnsi="宋体"/>
      <w:sz w:val="32"/>
    </w:rPr>
  </w:style>
  <w:style w:type="paragraph" w:customStyle="1" w:styleId="a0">
    <w:name w:val="一级标题"/>
    <w:basedOn w:val="a"/>
    <w:pPr>
      <w:numPr>
        <w:ilvl w:val="0"/>
        <w:numId w:val="1"/>
      </w:numPr>
      <w:spacing w:before="0" w:after="0" w:line="720" w:lineRule="auto"/>
      <w:jc w:val="both"/>
    </w:pPr>
    <w:rPr>
      <w:sz w:val="28"/>
    </w:rPr>
  </w:style>
  <w:style w:type="paragraph" w:customStyle="1" w:styleId="a1">
    <w:name w:val="二级标题"/>
    <w:basedOn w:val="a0"/>
    <w:pPr>
      <w:numPr>
        <w:ilvl w:val="1"/>
      </w:numPr>
      <w:spacing w:line="240" w:lineRule="auto"/>
    </w:pPr>
    <w:rPr>
      <w:sz w:val="21"/>
    </w:rPr>
  </w:style>
  <w:style w:type="paragraph" w:customStyle="1" w:styleId="a2">
    <w:name w:val="文章目录"/>
    <w:basedOn w:val="TOC1"/>
    <w:pPr>
      <w:tabs>
        <w:tab w:val="left" w:pos="420"/>
        <w:tab w:val="clear" w:pos="630"/>
        <w:tab w:val="clear" w:pos="8296"/>
        <w:tab w:val="right" w:leader="dot" w:pos="13948"/>
      </w:tabs>
      <w:spacing w:line="240" w:lineRule="auto"/>
      <w:jc w:val="center"/>
    </w:pPr>
    <w:rPr>
      <w:rFonts w:ascii="宋体" w:eastAsia="宋体" w:hAnsi="宋体"/>
      <w:bCs/>
      <w:kern w:val="2"/>
      <w:szCs w:val="24"/>
    </w:rPr>
  </w:style>
  <w:style w:type="paragraph" w:customStyle="1" w:styleId="Style57">
    <w:name w:val="_Style 57"/>
    <w:rPr>
      <w:rFonts w:ascii="Calibri" w:eastAsia="宋体" w:hAnsi="Calibri" w:cs="Times New Roman"/>
      <w:lang w:val="en-US" w:eastAsia="zh-CN" w:bidi="ar-SA"/>
    </w:rPr>
  </w:style>
  <w:style w:type="paragraph" w:customStyle="1" w:styleId="font0">
    <w:name w:val="font0"/>
    <w:basedOn w:val="Normal"/>
    <w:pPr>
      <w:widowControl/>
      <w:spacing w:before="100" w:beforeAutospacing="1" w:after="100" w:afterAutospacing="1" w:line="240" w:lineRule="auto"/>
    </w:pPr>
    <w:rPr>
      <w:rFonts w:ascii="宋体" w:hAnsi="宋体" w:hint="eastAsia"/>
      <w:sz w:val="24"/>
      <w:szCs w:val="24"/>
    </w:rPr>
  </w:style>
  <w:style w:type="paragraph" w:customStyle="1" w:styleId="font5">
    <w:name w:val="font5"/>
    <w:basedOn w:val="Normal"/>
    <w:pPr>
      <w:widowControl/>
      <w:spacing w:before="100" w:beforeAutospacing="1" w:after="100" w:afterAutospacing="1" w:line="240" w:lineRule="auto"/>
    </w:pPr>
    <w:rPr>
      <w:rFonts w:ascii="宋体" w:hAnsi="宋体" w:hint="eastAsia"/>
      <w:sz w:val="24"/>
      <w:szCs w:val="24"/>
    </w:rPr>
  </w:style>
  <w:style w:type="paragraph" w:customStyle="1" w:styleId="font6">
    <w:name w:val="font6"/>
    <w:basedOn w:val="Normal"/>
    <w:pPr>
      <w:widowControl/>
      <w:spacing w:before="100" w:beforeAutospacing="1" w:after="100" w:afterAutospacing="1" w:line="240" w:lineRule="auto"/>
    </w:pPr>
    <w:rPr>
      <w:rFonts w:ascii="宋体" w:hAnsi="宋体" w:hint="eastAsia"/>
      <w:sz w:val="18"/>
      <w:szCs w:val="18"/>
    </w:rPr>
  </w:style>
  <w:style w:type="paragraph" w:customStyle="1" w:styleId="xl24">
    <w:name w:val="xl24"/>
    <w:basedOn w:val="Normal"/>
    <w:pPr>
      <w:widowControl/>
      <w:pBdr>
        <w:top w:val="single" w:sz="8" w:space="0" w:color="auto"/>
        <w:bottom w:val="single" w:sz="4" w:space="0" w:color="auto"/>
        <w:right w:val="single" w:sz="8" w:space="0" w:color="auto"/>
      </w:pBdr>
      <w:shd w:val="clear" w:color="auto" w:fill="CC99FF"/>
      <w:spacing w:before="100" w:beforeAutospacing="1" w:after="100" w:afterAutospacing="1" w:line="240" w:lineRule="auto"/>
    </w:pPr>
    <w:rPr>
      <w:rFonts w:ascii="宋体" w:hAnsi="宋体"/>
      <w:sz w:val="24"/>
      <w:szCs w:val="24"/>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宋体" w:hAnsi="宋体"/>
      <w:sz w:val="24"/>
      <w:szCs w:val="24"/>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sz w:val="24"/>
      <w:szCs w:val="24"/>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sz w:val="24"/>
      <w:szCs w:val="24"/>
    </w:rPr>
  </w:style>
  <w:style w:type="paragraph" w:customStyle="1" w:styleId="xl28">
    <w:name w:val="xl28"/>
    <w:basedOn w:val="Normal"/>
    <w:pPr>
      <w:widowControl/>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sz w:val="24"/>
      <w:szCs w:val="24"/>
    </w:rPr>
  </w:style>
  <w:style w:type="paragraph" w:customStyle="1" w:styleId="xl29">
    <w:name w:val="xl29"/>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宋体" w:hAnsi="宋体"/>
      <w:sz w:val="24"/>
      <w:szCs w:val="24"/>
    </w:rPr>
  </w:style>
  <w:style w:type="paragraph" w:customStyle="1" w:styleId="xl30">
    <w:name w:val="xl30"/>
    <w:basedOn w:val="Normal"/>
    <w:pPr>
      <w:widowControl/>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宋体" w:hAnsi="宋体"/>
      <w:sz w:val="24"/>
      <w:szCs w:val="24"/>
    </w:rPr>
  </w:style>
  <w:style w:type="paragraph" w:customStyle="1" w:styleId="xl31">
    <w:name w:val="xl31"/>
    <w:basedOn w:val="Normal"/>
    <w:pPr>
      <w:widowControl/>
      <w:pBdr>
        <w:top w:val="single" w:sz="8" w:space="0" w:color="auto"/>
        <w:left w:val="single" w:sz="8" w:space="0" w:color="auto"/>
        <w:bottom w:val="single" w:sz="4" w:space="0" w:color="auto"/>
        <w:right w:val="single" w:sz="4" w:space="0" w:color="auto"/>
      </w:pBdr>
      <w:shd w:val="clear" w:color="auto" w:fill="CC99FF"/>
      <w:spacing w:before="100" w:beforeAutospacing="1" w:after="100" w:afterAutospacing="1" w:line="240" w:lineRule="auto"/>
      <w:jc w:val="center"/>
    </w:pPr>
    <w:rPr>
      <w:rFonts w:ascii="宋体" w:hAnsi="宋体"/>
      <w:sz w:val="24"/>
      <w:szCs w:val="24"/>
    </w:rPr>
  </w:style>
  <w:style w:type="paragraph" w:customStyle="1" w:styleId="xl32">
    <w:name w:val="xl32"/>
    <w:basedOn w:val="Normal"/>
    <w:pPr>
      <w:widowControl/>
      <w:pBdr>
        <w:top w:val="single" w:sz="8" w:space="0" w:color="auto"/>
        <w:left w:val="single" w:sz="4" w:space="0" w:color="auto"/>
        <w:bottom w:val="single" w:sz="4" w:space="0" w:color="auto"/>
        <w:right w:val="single" w:sz="4" w:space="0" w:color="auto"/>
      </w:pBdr>
      <w:shd w:val="clear" w:color="auto" w:fill="CC99FF"/>
      <w:spacing w:before="100" w:beforeAutospacing="1" w:after="100" w:afterAutospacing="1" w:line="240" w:lineRule="auto"/>
      <w:jc w:val="center"/>
    </w:pPr>
    <w:rPr>
      <w:rFonts w:ascii="宋体" w:hAnsi="宋体"/>
      <w:sz w:val="24"/>
      <w:szCs w:val="24"/>
    </w:rPr>
  </w:style>
  <w:style w:type="paragraph" w:customStyle="1" w:styleId="11">
    <w:name w:val="正文 1"/>
    <w:basedOn w:val="Normal"/>
    <w:pPr>
      <w:widowControl/>
      <w:snapToGrid w:val="0"/>
      <w:spacing w:before="80" w:after="80" w:line="360" w:lineRule="auto"/>
      <w:ind w:left="1418"/>
      <w:jc w:val="both"/>
    </w:pPr>
    <w:rPr>
      <w:kern w:val="2"/>
    </w:rPr>
  </w:style>
  <w:style w:type="character" w:customStyle="1" w:styleId="2Char2">
    <w:name w:val="正文文本缩进 2 Char"/>
    <w:basedOn w:val="DefaultParagraphFont"/>
    <w:link w:val="BodyTextIndent2"/>
    <w:rPr>
      <w:rFonts w:ascii="Times New Roman" w:hAnsi="Times New Roman"/>
      <w:kern w:val="2"/>
      <w:sz w:val="21"/>
      <w:szCs w:val="24"/>
    </w:rPr>
  </w:style>
  <w:style w:type="paragraph" w:customStyle="1" w:styleId="style32">
    <w:name w:val="style32"/>
    <w:basedOn w:val="Normal"/>
    <w:pPr>
      <w:widowControl/>
      <w:spacing w:before="100" w:beforeAutospacing="1" w:after="100" w:afterAutospacing="1" w:line="240" w:lineRule="auto"/>
    </w:pPr>
    <w:rPr>
      <w:rFonts w:ascii="宋体" w:hAnsi="宋体" w:cs="宋体"/>
      <w:color w:val="333333"/>
      <w:sz w:val="24"/>
      <w:szCs w:val="24"/>
    </w:rPr>
  </w:style>
  <w:style w:type="character" w:customStyle="1" w:styleId="style321">
    <w:name w:val="style321"/>
    <w:basedOn w:val="DefaultParagraphFont"/>
    <w:rPr>
      <w:color w:val="333333"/>
    </w:rPr>
  </w:style>
  <w:style w:type="paragraph" w:customStyle="1" w:styleId="a3">
    <w:name w:val="文档正文"/>
    <w:basedOn w:val="Normal"/>
    <w:pPr>
      <w:adjustRightInd w:val="0"/>
      <w:spacing w:line="312" w:lineRule="atLeast"/>
      <w:ind w:firstLine="567"/>
      <w:jc w:val="both"/>
      <w:textAlignment w:val="baseline"/>
    </w:pPr>
    <w:rPr>
      <w:rFonts w:ascii="长城仿宋" w:eastAsia="长城仿宋"/>
      <w:sz w:val="28"/>
    </w:rPr>
  </w:style>
  <w:style w:type="character" w:customStyle="1" w:styleId="Char7">
    <w:name w:val="纯文本 Char"/>
    <w:basedOn w:val="DefaultParagraphFont"/>
    <w:link w:val="PlainText"/>
    <w:rPr>
      <w:rFonts w:ascii="宋体" w:hAnsi="Courier New"/>
      <w:kern w:val="2"/>
      <w:sz w:val="21"/>
    </w:rPr>
  </w:style>
  <w:style w:type="paragraph" w:customStyle="1" w:styleId="a4">
    <w:name w:val="È±Ê¡ÎÄ±¾"/>
    <w:basedOn w:val="Normal"/>
    <w:pPr>
      <w:widowControl/>
      <w:overflowPunct w:val="0"/>
      <w:autoSpaceDE w:val="0"/>
      <w:autoSpaceDN w:val="0"/>
      <w:adjustRightInd w:val="0"/>
      <w:spacing w:line="240" w:lineRule="auto"/>
      <w:textAlignment w:val="baseline"/>
    </w:pPr>
    <w:rPr>
      <w:sz w:val="24"/>
      <w:szCs w:val="24"/>
    </w:rPr>
  </w:style>
  <w:style w:type="paragraph" w:customStyle="1" w:styleId="a5">
    <w:name w:val="三级标题"/>
    <w:basedOn w:val="Heading3"/>
    <w:pPr>
      <w:keepLines w:val="0"/>
      <w:numPr>
        <w:ilvl w:val="2"/>
        <w:numId w:val="2"/>
      </w:numPr>
      <w:autoSpaceDE w:val="0"/>
      <w:autoSpaceDN w:val="0"/>
      <w:spacing w:beforeLines="50" w:after="0" w:line="240" w:lineRule="auto"/>
      <w:jc w:val="left"/>
    </w:pPr>
    <w:rPr>
      <w:rFonts w:ascii="Arial" w:hAnsi="Arial" w:cs="Arial"/>
      <w:bCs w:val="0"/>
      <w:color w:val="000000"/>
      <w:sz w:val="21"/>
      <w:szCs w:val="21"/>
    </w:rPr>
  </w:style>
  <w:style w:type="paragraph" w:customStyle="1" w:styleId="CharCharCharChar">
    <w:name w:val="Char Char Char Char"/>
    <w:basedOn w:val="Normal"/>
    <w:pPr>
      <w:spacing w:line="240" w:lineRule="auto"/>
      <w:jc w:val="both"/>
    </w:pPr>
    <w:rPr>
      <w:kern w:val="2"/>
      <w:szCs w:val="24"/>
    </w:rPr>
  </w:style>
  <w:style w:type="paragraph" w:styleId="NoSpacing">
    <w:name w:val="No Spacing"/>
    <w:uiPriority w:val="1"/>
    <w:qFormat/>
    <w:pPr>
      <w:widowControl w:val="0"/>
      <w:jc w:val="both"/>
    </w:pPr>
    <w:rPr>
      <w:rFonts w:ascii="Calibri" w:eastAsia="宋体" w:hAnsi="Calibri" w:cs="Times New Roman"/>
      <w:kern w:val="2"/>
      <w:sz w:val="21"/>
      <w:szCs w:val="22"/>
      <w:lang w:val="en-US" w:eastAsia="zh-CN" w:bidi="ar-SA"/>
    </w:rPr>
  </w:style>
  <w:style w:type="paragraph" w:customStyle="1" w:styleId="Default">
    <w:name w:val="Default"/>
    <w:pPr>
      <w:widowControl w:val="0"/>
      <w:autoSpaceDE w:val="0"/>
      <w:autoSpaceDN w:val="0"/>
      <w:adjustRightInd w:val="0"/>
    </w:pPr>
    <w:rPr>
      <w:rFonts w:ascii="Times New Roman" w:eastAsia="宋体" w:hAnsi="Times New Roman" w:cs="Times New Roman"/>
      <w:color w:val="000000"/>
      <w:sz w:val="24"/>
      <w:szCs w:val="24"/>
      <w:lang w:val="en-US" w:eastAsia="zh-CN" w:bidi="ar-SA"/>
    </w:rPr>
  </w:style>
  <w:style w:type="character" w:customStyle="1" w:styleId="4Char0">
    <w:name w:val="标题 4 Char"/>
    <w:basedOn w:val="DefaultParagraphFont"/>
    <w:link w:val="Heading4"/>
    <w:uiPriority w:val="9"/>
    <w:semiHidden/>
    <w:rPr>
      <w:rFonts w:asciiTheme="majorHAnsi" w:eastAsiaTheme="majorEastAsia" w:hAnsiTheme="majorHAnsi" w:cstheme="majorBidi"/>
      <w:b/>
      <w:bCs/>
      <w:sz w:val="28"/>
      <w:szCs w:val="28"/>
    </w:rPr>
  </w:style>
  <w:style w:type="character" w:customStyle="1" w:styleId="Char8">
    <w:name w:val="脚注文本 Char"/>
    <w:basedOn w:val="DefaultParagraphFont"/>
    <w:link w:val="FootnoteText"/>
    <w:uiPriority w:val="99"/>
    <w:semiHidden/>
    <w:rPr>
      <w:rFonts w:ascii="Times New Roman" w:hAnsi="Times New Roman"/>
      <w:sz w:val="18"/>
      <w:szCs w:val="18"/>
    </w:rPr>
  </w:style>
  <w:style w:type="character" w:customStyle="1" w:styleId="Char9">
    <w:name w:val="批注主题 Char"/>
    <w:basedOn w:val="Char3"/>
    <w:link w:val="CommentSubject"/>
    <w:uiPriority w:val="99"/>
    <w:semiHidden/>
    <w:rPr>
      <w:rFonts w:ascii="Times New Roman" w:hAnsi="Times New Roman"/>
      <w:b/>
      <w:bCs/>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header" Target="header4.xml" /><Relationship Id="rId15" Type="http://schemas.openxmlformats.org/officeDocument/2006/relationships/footer" Target="footer6.xml" /><Relationship Id="rId16" Type="http://schemas.openxmlformats.org/officeDocument/2006/relationships/header" Target="header5.xml" /><Relationship Id="rId17" Type="http://schemas.openxmlformats.org/officeDocument/2006/relationships/footer" Target="footer7.xml" /><Relationship Id="rId18" Type="http://schemas.openxmlformats.org/officeDocument/2006/relationships/header" Target="header6.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9.xml" /><Relationship Id="rId22" Type="http://schemas.openxmlformats.org/officeDocument/2006/relationships/image" Target="media/image1.png"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header" Target="header9.xml" /><Relationship Id="rId26" Type="http://schemas.openxmlformats.org/officeDocument/2006/relationships/footer" Target="footer11.xml" /><Relationship Id="rId27" Type="http://schemas.openxmlformats.org/officeDocument/2006/relationships/image" Target="media/image2.png" /><Relationship Id="rId28" Type="http://schemas.openxmlformats.org/officeDocument/2006/relationships/header" Target="header10.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3.xml" /><Relationship Id="rId32" Type="http://schemas.openxmlformats.org/officeDocument/2006/relationships/header" Target="header12.xml" /><Relationship Id="rId33" Type="http://schemas.openxmlformats.org/officeDocument/2006/relationships/footer" Target="footer14.xml" /><Relationship Id="rId34" Type="http://schemas.openxmlformats.org/officeDocument/2006/relationships/header" Target="header13.xml" /><Relationship Id="rId35" Type="http://schemas.openxmlformats.org/officeDocument/2006/relationships/footer" Target="footer15.xml" /><Relationship Id="rId36" Type="http://schemas.openxmlformats.org/officeDocument/2006/relationships/image" Target="media/image3.png" /><Relationship Id="rId37" Type="http://schemas.openxmlformats.org/officeDocument/2006/relationships/header" Target="header14.xml" /><Relationship Id="rId38" Type="http://schemas.openxmlformats.org/officeDocument/2006/relationships/footer" Target="footer16.xml" /><Relationship Id="rId39" Type="http://schemas.openxmlformats.org/officeDocument/2006/relationships/hyperlink" Target="https://d.book118.com/528107033110006043" TargetMode="External" /><Relationship Id="rId4" Type="http://schemas.openxmlformats.org/officeDocument/2006/relationships/customXml" Target="../customXml/item1.xml" /><Relationship Id="rId40" Type="http://schemas.openxmlformats.org/officeDocument/2006/relationships/header" Target="header15.xml" /><Relationship Id="rId41" Type="http://schemas.openxmlformats.org/officeDocument/2006/relationships/footer" Target="footer17.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1.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1" textRotate="1"/>
    <customShpInfo spid="_x0000_s2049" textRotate="1"/>
    <customShpInfo spid="_x0000_s2052" textRotate="1"/>
    <customShpInfo spid="_x0000_s1027"/>
    <customShpInfo spid="_x0000_s1028"/>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8CA17-81FE-4279-A113-572C310A01D3}">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1998</Words>
  <Characters>11390</Characters>
  <Application>Microsoft Office Word</Application>
  <DocSecurity>0</DocSecurity>
  <Lines>94</Lines>
  <Paragraphs>26</Paragraphs>
  <ScaleCrop>false</ScaleCrop>
  <Company>微软中国</Company>
  <LinksUpToDate>false</LinksUpToDate>
  <CharactersWithSpaces>13362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邓亚军</cp:lastModifiedBy>
  <cp:revision>935</cp:revision>
  <cp:lastPrinted>2013-01-14T05:22:00Z</cp:lastPrinted>
  <dcterms:created xsi:type="dcterms:W3CDTF">2012-06-25T09:14:00Z</dcterms:created>
  <dcterms:modified xsi:type="dcterms:W3CDTF">2019-07-22T02:36:07Z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