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2" w:line="221" w:lineRule="auto"/>
        <w:ind w:left="2749"/>
        <w:outlineLvl w:val="0"/>
        <w:rPr>
          <w:rFonts w:ascii="SimHei" w:eastAsia="SimHei" w:hAnsi="SimHei" w:cs="SimHei"/>
          <w:sz w:val="31"/>
          <w:szCs w:val="31"/>
        </w:rPr>
      </w:pPr>
      <w:r>
        <w:rPr>
          <w:rFonts w:ascii="SimHei" w:eastAsia="SimHei" w:hAnsi="SimHei" w:cs="SimHei"/>
          <w:b/>
          <w:bCs/>
          <w:spacing w:val="3"/>
          <w:sz w:val="31"/>
          <w:szCs w:val="31"/>
        </w:rPr>
        <w:t>钨精矿化学分析方法</w:t>
      </w:r>
    </w:p>
    <w:p>
      <w:pPr>
        <w:spacing w:before="39" w:line="222" w:lineRule="auto"/>
        <w:ind w:left="2449"/>
        <w:outlineLvl w:val="0"/>
        <w:rPr>
          <w:rFonts w:ascii="SimHei" w:eastAsia="SimHei" w:hAnsi="SimHei" w:cs="SimHei"/>
          <w:sz w:val="31"/>
          <w:szCs w:val="31"/>
        </w:rPr>
      </w:pPr>
      <w:r>
        <w:rPr>
          <w:rFonts w:ascii="SimHei" w:eastAsia="SimHei" w:hAnsi="SimHei" w:cs="SimHei"/>
          <w:b/>
          <w:bCs/>
          <w:sz w:val="31"/>
          <w:szCs w:val="31"/>
        </w:rPr>
        <w:t>第19部分：氟含量的测定</w:t>
      </w:r>
    </w:p>
    <w:p>
      <w:pPr>
        <w:spacing w:before="57" w:line="222" w:lineRule="auto"/>
        <w:ind w:left="3069"/>
        <w:outlineLvl w:val="0"/>
        <w:rPr>
          <w:rFonts w:ascii="SimHei" w:eastAsia="SimHei" w:hAnsi="SimHei" w:cs="SimHei"/>
          <w:sz w:val="31"/>
          <w:szCs w:val="31"/>
        </w:rPr>
      </w:pPr>
      <w:r>
        <w:rPr>
          <w:rFonts w:ascii="SimHei" w:eastAsia="SimHei" w:hAnsi="SimHei" w:cs="SimHei"/>
          <w:b/>
          <w:bCs/>
          <w:spacing w:val="3"/>
          <w:sz w:val="31"/>
          <w:szCs w:val="31"/>
        </w:rPr>
        <w:t>离子选择电极法</w:t>
      </w:r>
    </w:p>
    <w:p>
      <w:pPr>
        <w:spacing w:before="54" w:line="221" w:lineRule="auto"/>
        <w:ind w:left="3238"/>
        <w:rPr>
          <w:rFonts w:ascii="SimHei" w:eastAsia="SimHei" w:hAnsi="SimHei" w:cs="SimHei"/>
          <w:sz w:val="21"/>
          <w:szCs w:val="21"/>
        </w:rPr>
      </w:pPr>
      <w:r>
        <w:rPr>
          <w:rFonts w:ascii="SimHei" w:eastAsia="SimHei" w:hAnsi="SimHei" w:cs="SimHei"/>
          <w:b/>
          <w:bCs/>
          <w:spacing w:val="-3"/>
          <w:sz w:val="21"/>
          <w:szCs w:val="21"/>
        </w:rPr>
        <w:t>征求意见稿编制说明</w:t>
      </w:r>
    </w:p>
    <w:p>
      <w:pPr>
        <w:spacing w:line="292" w:lineRule="auto"/>
        <w:rPr>
          <w:rFonts w:ascii="Arial"/>
          <w:sz w:val="21"/>
        </w:rPr>
      </w:pPr>
    </w:p>
    <w:p>
      <w:pPr>
        <w:spacing w:before="68" w:line="222" w:lineRule="auto"/>
        <w:ind w:left="4"/>
        <w:rPr>
          <w:rFonts w:ascii="SimHei" w:eastAsia="SimHei" w:hAnsi="SimHei" w:cs="SimHei"/>
          <w:sz w:val="21"/>
          <w:szCs w:val="21"/>
        </w:rPr>
      </w:pPr>
      <w:r>
        <w:rPr>
          <w:rFonts w:ascii="SimHei" w:eastAsia="SimHei" w:hAnsi="SimHei" w:cs="SimHei"/>
          <w:spacing w:val="-2"/>
          <w:sz w:val="21"/>
          <w:szCs w:val="21"/>
        </w:rPr>
        <w:t>一、</w:t>
      </w:r>
      <w:r>
        <w:rPr>
          <w:rFonts w:ascii="SimHei" w:eastAsia="SimHei" w:hAnsi="SimHei" w:cs="SimHei"/>
          <w:spacing w:val="-2"/>
          <w:sz w:val="21"/>
          <w:szCs w:val="21"/>
        </w:rPr>
        <w:t xml:space="preserve"> </w:t>
      </w:r>
      <w:r>
        <w:rPr>
          <w:rFonts w:ascii="SimHei" w:eastAsia="SimHei" w:hAnsi="SimHei" w:cs="SimHei"/>
          <w:spacing w:val="-2"/>
          <w:sz w:val="21"/>
          <w:szCs w:val="21"/>
        </w:rPr>
        <w:t>工作简况</w:t>
      </w:r>
    </w:p>
    <w:p>
      <w:pPr>
        <w:spacing w:line="303" w:lineRule="auto"/>
        <w:rPr>
          <w:rFonts w:ascii="Arial"/>
          <w:sz w:val="21"/>
        </w:rPr>
      </w:pPr>
    </w:p>
    <w:p>
      <w:pPr>
        <w:spacing w:before="69" w:line="221" w:lineRule="auto"/>
        <w:ind w:left="8"/>
        <w:rPr>
          <w:rFonts w:ascii="SimHei" w:eastAsia="SimHei" w:hAnsi="SimHei" w:cs="SimHei"/>
          <w:sz w:val="21"/>
          <w:szCs w:val="21"/>
        </w:rPr>
      </w:pPr>
      <w:r>
        <w:rPr>
          <w:rFonts w:ascii="SimHei" w:eastAsia="SimHei" w:hAnsi="SimHei" w:cs="SimHei"/>
          <w:b/>
          <w:bCs/>
          <w:spacing w:val="-4"/>
          <w:sz w:val="21"/>
          <w:szCs w:val="21"/>
        </w:rPr>
        <w:t>1.1</w:t>
      </w:r>
      <w:r>
        <w:rPr>
          <w:rFonts w:ascii="SimHei" w:eastAsia="SimHei" w:hAnsi="SimHei" w:cs="SimHei"/>
          <w:spacing w:val="-4"/>
          <w:sz w:val="21"/>
          <w:szCs w:val="21"/>
        </w:rPr>
        <w:t xml:space="preserve">  </w:t>
      </w:r>
      <w:r>
        <w:rPr>
          <w:rFonts w:ascii="SimHei" w:eastAsia="SimHei" w:hAnsi="SimHei" w:cs="SimHei"/>
          <w:b/>
          <w:bCs/>
          <w:spacing w:val="-4"/>
          <w:sz w:val="21"/>
          <w:szCs w:val="21"/>
        </w:rPr>
        <w:t>任务来源</w:t>
      </w:r>
    </w:p>
    <w:p>
      <w:pPr>
        <w:pStyle w:val="BodyText"/>
        <w:spacing w:before="293" w:line="404" w:lineRule="auto"/>
        <w:ind w:left="4" w:right="41" w:firstLine="409"/>
        <w:jc w:val="both"/>
      </w:pPr>
      <w:r>
        <w:rPr>
          <w:spacing w:val="3"/>
        </w:rPr>
        <w:t>根据国标委《国家标准化管理委员会关于下达2022年第二批推荐性国家标准计划及相</w:t>
      </w:r>
      <w:r>
        <w:rPr>
          <w:spacing w:val="9"/>
        </w:rPr>
        <w:t xml:space="preserve"> </w:t>
      </w:r>
      <w:r>
        <w:rPr>
          <w:spacing w:val="8"/>
        </w:rPr>
        <w:t>关标准外文版计划的通知》(国标委发〔2022〕22号)的要求，由江西省钨与稀</w:t>
      </w:r>
      <w:r>
        <w:rPr>
          <w:spacing w:val="7"/>
        </w:rPr>
        <w:t>土产品质</w:t>
      </w:r>
      <w:r>
        <w:t xml:space="preserve"> </w:t>
      </w:r>
      <w:r>
        <w:rPr>
          <w:spacing w:val="14"/>
        </w:rPr>
        <w:t>量监督检验中心负责起草《钨精矿化学分析方法第19部分氟含量的测定离子</w:t>
      </w:r>
      <w:r>
        <w:rPr>
          <w:spacing w:val="13"/>
        </w:rPr>
        <w:t>选择电极</w:t>
      </w:r>
      <w:r>
        <w:t xml:space="preserve"> </w:t>
      </w:r>
      <w:r>
        <w:rPr>
          <w:spacing w:val="-3"/>
        </w:rPr>
        <w:t>法》国家标准，赣州有色研究所有限公司、广东科学院工业分析测试中心、湖南柿竹园有色</w:t>
      </w:r>
      <w:r>
        <w:rPr>
          <w:spacing w:val="17"/>
        </w:rPr>
        <w:t xml:space="preserve"> </w:t>
      </w:r>
      <w:r>
        <w:rPr>
          <w:spacing w:val="-2"/>
        </w:rPr>
        <w:t>金属有限责任公司、崇义章源钨业股份有限公司、赣州华兴</w:t>
      </w:r>
      <w:r>
        <w:rPr>
          <w:spacing w:val="-3"/>
        </w:rPr>
        <w:t>钨制品有限公司参与起草。计划</w:t>
      </w:r>
    </w:p>
    <w:p>
      <w:pPr>
        <w:pStyle w:val="BodyText"/>
        <w:spacing w:line="216" w:lineRule="auto"/>
        <w:ind w:left="4"/>
      </w:pPr>
      <w:r>
        <w:rPr>
          <w:spacing w:val="7"/>
        </w:rPr>
        <w:t>编号为20220737-T-610, 计划完成年</w:t>
      </w:r>
      <w:r>
        <w:rPr>
          <w:spacing w:val="6"/>
        </w:rPr>
        <w:t>限为2024年5月。</w:t>
      </w:r>
    </w:p>
    <w:p>
      <w:pPr>
        <w:spacing w:line="265" w:lineRule="auto"/>
        <w:rPr>
          <w:rFonts w:ascii="Arial"/>
          <w:sz w:val="21"/>
        </w:rPr>
      </w:pPr>
    </w:p>
    <w:p>
      <w:pPr>
        <w:spacing w:before="69" w:line="221" w:lineRule="auto"/>
        <w:ind w:left="4"/>
        <w:rPr>
          <w:rFonts w:ascii="SimHei" w:eastAsia="SimHei" w:hAnsi="SimHei" w:cs="SimHei"/>
          <w:sz w:val="21"/>
          <w:szCs w:val="21"/>
        </w:rPr>
      </w:pPr>
      <w:r>
        <w:rPr>
          <w:rFonts w:ascii="SimHei" w:eastAsia="SimHei" w:hAnsi="SimHei" w:cs="SimHei"/>
          <w:sz w:val="21"/>
          <w:szCs w:val="21"/>
        </w:rPr>
        <w:t>1.2</w:t>
      </w:r>
      <w:r>
        <w:rPr>
          <w:rFonts w:ascii="SimHei" w:eastAsia="SimHei" w:hAnsi="SimHei" w:cs="SimHei"/>
          <w:spacing w:val="97"/>
          <w:sz w:val="21"/>
          <w:szCs w:val="21"/>
        </w:rPr>
        <w:t xml:space="preserve"> </w:t>
      </w:r>
      <w:r>
        <w:rPr>
          <w:rFonts w:ascii="SimHei" w:eastAsia="SimHei" w:hAnsi="SimHei" w:cs="SimHei"/>
          <w:sz w:val="21"/>
          <w:szCs w:val="21"/>
        </w:rPr>
        <w:t>项目编制组单位变化情况</w:t>
      </w:r>
    </w:p>
    <w:p>
      <w:pPr>
        <w:pStyle w:val="BodyText"/>
        <w:spacing w:before="198" w:line="359" w:lineRule="auto"/>
        <w:ind w:left="4" w:firstLine="409"/>
        <w:jc w:val="both"/>
        <w:rPr>
          <w:rFonts w:ascii="SimHei" w:eastAsia="SimHei" w:hAnsi="SimHei" w:cs="SimHei"/>
        </w:rPr>
      </w:pPr>
      <w:r>
        <w:rPr>
          <w:spacing w:val="-2"/>
        </w:rPr>
        <w:t>根据标准编制工作任务量和实际情况，重新调整</w:t>
      </w:r>
      <w:r>
        <w:rPr>
          <w:spacing w:val="-3"/>
        </w:rPr>
        <w:t>了编制组结构，具体为：江西省钨与稀</w:t>
      </w:r>
      <w:r>
        <w:t xml:space="preserve"> </w:t>
      </w:r>
      <w:r>
        <w:rPr>
          <w:spacing w:val="-2"/>
        </w:rPr>
        <w:t>土产品质量监督检验中心、赣州冶研所检测技术服务有限公司、广东科</w:t>
      </w:r>
      <w:r>
        <w:rPr>
          <w:spacing w:val="-3"/>
        </w:rPr>
        <w:t>学院工业分析测试中</w:t>
      </w:r>
      <w:r>
        <w:t xml:space="preserve"> </w:t>
      </w:r>
      <w:r>
        <w:rPr>
          <w:spacing w:val="-3"/>
        </w:rPr>
        <w:t>心、紫金矿业集团股份有限公司、洛阳栾川</w:t>
      </w:r>
      <w:r>
        <w:rPr>
          <w:spacing w:val="-4"/>
        </w:rPr>
        <w:t>钼业集团股份有限公司、湖南柿竹园有色金属有</w:t>
      </w:r>
      <w:r>
        <w:t xml:space="preserve">  </w:t>
      </w:r>
      <w:r>
        <w:rPr>
          <w:spacing w:val="-6"/>
        </w:rPr>
        <w:t>限责任公司郴州钨制品分公司、江钨世泰科钨品有限公司、铜陵有色金</w:t>
      </w:r>
      <w:r>
        <w:rPr>
          <w:spacing w:val="-7"/>
        </w:rPr>
        <w:t>属集团控股有限公司、</w:t>
      </w:r>
      <w:r>
        <w:t xml:space="preserve"> </w:t>
      </w:r>
      <w:r>
        <w:rPr>
          <w:rFonts w:ascii="SimHei" w:eastAsia="SimHei" w:hAnsi="SimHei" w:cs="SimHei"/>
          <w:spacing w:val="-2"/>
        </w:rPr>
        <w:t>深圳市中金岭南有色金属股份有限公司丹霞</w:t>
      </w:r>
      <w:r>
        <w:rPr>
          <w:rFonts w:ascii="SimHei" w:eastAsia="SimHei" w:hAnsi="SimHei" w:cs="SimHei"/>
          <w:spacing w:val="-3"/>
        </w:rPr>
        <w:t>冶炼厂、赣州海盛钨业股份有限公司。该标准验</w:t>
      </w:r>
    </w:p>
    <w:p>
      <w:pPr>
        <w:pStyle w:val="BodyText"/>
        <w:spacing w:before="1" w:line="219" w:lineRule="auto"/>
        <w:ind w:left="4"/>
      </w:pPr>
      <w:r>
        <w:rPr>
          <w:spacing w:val="3"/>
        </w:rPr>
        <w:t>证单位情况见表1。</w:t>
      </w:r>
    </w:p>
    <w:p>
      <w:pPr>
        <w:pStyle w:val="BodyText"/>
        <w:spacing w:before="158" w:line="251" w:lineRule="auto"/>
        <w:ind w:left="3083" w:right="1522" w:hanging="1259"/>
      </w:pPr>
      <w:r>
        <w:rPr>
          <w:spacing w:val="-20"/>
        </w:rPr>
        <w:t>表1国家标准《钨精矿化学分析方法第19部分：氟含量的测定</w:t>
      </w:r>
      <w:r>
        <w:rPr>
          <w:spacing w:val="6"/>
        </w:rPr>
        <w:t xml:space="preserve"> </w:t>
      </w:r>
      <w:r>
        <w:rPr>
          <w:spacing w:val="-19"/>
          <w:w w:val="95"/>
        </w:rPr>
        <w:t>离子选择电极法》任务落实情况</w:t>
      </w:r>
    </w:p>
    <w:p>
      <w:pPr>
        <w:spacing w:line="118" w:lineRule="exact"/>
      </w:pPr>
    </w:p>
    <w:tbl>
      <w:tblPr>
        <w:tblStyle w:val="TableNormal"/>
        <w:tblW w:w="8250" w:type="dxa"/>
        <w:tblInd w:w="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23"/>
        <w:gridCol w:w="1628"/>
        <w:gridCol w:w="1248"/>
        <w:gridCol w:w="2028"/>
        <w:gridCol w:w="2023"/>
      </w:tblGrid>
      <w:tr>
        <w:tblPrEx>
          <w:tblW w:w="8250" w:type="dxa"/>
          <w:tblInd w:w="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90"/>
        </w:trPr>
        <w:tc>
          <w:tcPr>
            <w:tcW w:w="1323" w:type="dxa"/>
            <w:vAlign w:val="top"/>
          </w:tcPr>
          <w:p>
            <w:pPr>
              <w:spacing w:before="200" w:line="219" w:lineRule="auto"/>
              <w:ind w:left="97"/>
              <w:rPr>
                <w:rFonts w:ascii="SimSun" w:eastAsia="SimSun" w:hAnsi="SimSun" w:cs="SimSun"/>
                <w:sz w:val="19"/>
                <w:szCs w:val="19"/>
              </w:rPr>
            </w:pPr>
            <w:r>
              <w:rPr>
                <w:rFonts w:ascii="SimSun" w:eastAsia="SimSun" w:hAnsi="SimSun" w:cs="SimSun"/>
                <w:b/>
                <w:bCs/>
                <w:spacing w:val="-4"/>
                <w:sz w:val="19"/>
                <w:szCs w:val="19"/>
              </w:rPr>
              <w:t>项目计编号</w:t>
            </w:r>
          </w:p>
        </w:tc>
        <w:tc>
          <w:tcPr>
            <w:tcW w:w="1628" w:type="dxa"/>
            <w:vAlign w:val="top"/>
          </w:tcPr>
          <w:p>
            <w:pPr>
              <w:spacing w:before="200" w:line="220" w:lineRule="auto"/>
              <w:ind w:left="284"/>
              <w:rPr>
                <w:rFonts w:ascii="SimSun" w:eastAsia="SimSun" w:hAnsi="SimSun" w:cs="SimSun"/>
                <w:sz w:val="19"/>
                <w:szCs w:val="19"/>
              </w:rPr>
            </w:pPr>
            <w:r>
              <w:rPr>
                <w:rFonts w:ascii="SimSun" w:eastAsia="SimSun" w:hAnsi="SimSun" w:cs="SimSun"/>
                <w:b/>
                <w:bCs/>
                <w:spacing w:val="-4"/>
                <w:sz w:val="19"/>
                <w:szCs w:val="19"/>
              </w:rPr>
              <w:t>项目计划名称</w:t>
            </w:r>
          </w:p>
        </w:tc>
        <w:tc>
          <w:tcPr>
            <w:tcW w:w="1248" w:type="dxa"/>
            <w:vAlign w:val="top"/>
          </w:tcPr>
          <w:p>
            <w:pPr>
              <w:spacing w:before="200" w:line="219" w:lineRule="auto"/>
              <w:ind w:left="276"/>
              <w:rPr>
                <w:rFonts w:ascii="SimSun" w:eastAsia="SimSun" w:hAnsi="SimSun" w:cs="SimSun"/>
                <w:sz w:val="19"/>
                <w:szCs w:val="19"/>
              </w:rPr>
            </w:pPr>
            <w:r>
              <w:rPr>
                <w:rFonts w:ascii="SimSun" w:eastAsia="SimSun" w:hAnsi="SimSun" w:cs="SimSun"/>
                <w:b/>
                <w:bCs/>
                <w:spacing w:val="-4"/>
                <w:sz w:val="19"/>
                <w:szCs w:val="19"/>
              </w:rPr>
              <w:t>起草单位</w:t>
            </w:r>
          </w:p>
        </w:tc>
        <w:tc>
          <w:tcPr>
            <w:tcW w:w="2028" w:type="dxa"/>
            <w:vAlign w:val="top"/>
          </w:tcPr>
          <w:p>
            <w:pPr>
              <w:spacing w:before="200" w:line="219" w:lineRule="auto"/>
              <w:ind w:left="478"/>
              <w:rPr>
                <w:rFonts w:ascii="SimSun" w:eastAsia="SimSun" w:hAnsi="SimSun" w:cs="SimSun"/>
                <w:sz w:val="19"/>
                <w:szCs w:val="19"/>
              </w:rPr>
            </w:pPr>
            <w:r>
              <w:rPr>
                <w:rFonts w:ascii="SimSun" w:eastAsia="SimSun" w:hAnsi="SimSun" w:cs="SimSun"/>
                <w:b/>
                <w:bCs/>
                <w:spacing w:val="-4"/>
                <w:sz w:val="19"/>
                <w:szCs w:val="19"/>
              </w:rPr>
              <w:t>第一验证单位</w:t>
            </w:r>
          </w:p>
        </w:tc>
        <w:tc>
          <w:tcPr>
            <w:tcW w:w="2023" w:type="dxa"/>
            <w:vAlign w:val="top"/>
          </w:tcPr>
          <w:p>
            <w:pPr>
              <w:spacing w:before="200" w:line="219" w:lineRule="auto"/>
              <w:ind w:left="460"/>
              <w:rPr>
                <w:rFonts w:ascii="SimSun" w:eastAsia="SimSun" w:hAnsi="SimSun" w:cs="SimSun"/>
                <w:sz w:val="19"/>
                <w:szCs w:val="19"/>
              </w:rPr>
            </w:pPr>
            <w:r>
              <w:rPr>
                <w:rFonts w:ascii="SimSun" w:eastAsia="SimSun" w:hAnsi="SimSun" w:cs="SimSun"/>
                <w:b/>
                <w:bCs/>
                <w:spacing w:val="-4"/>
                <w:sz w:val="19"/>
                <w:szCs w:val="19"/>
              </w:rPr>
              <w:t>第二验证单位</w:t>
            </w:r>
          </w:p>
        </w:tc>
      </w:tr>
    </w:tbl>
    <w:p>
      <w:pPr>
        <w:rPr>
          <w:rFonts w:ascii="Arial"/>
          <w:sz w:val="21"/>
        </w:rPr>
      </w:pPr>
    </w:p>
    <w:p>
      <w:pPr>
        <w:rPr>
          <w:rFonts w:ascii="Arial" w:eastAsia="Arial" w:hAnsi="Arial" w:cs="Arial"/>
          <w:sz w:val="21"/>
          <w:szCs w:val="21"/>
        </w:rPr>
        <w:sectPr>
          <w:pgSz w:w="11900" w:h="16830"/>
          <w:pgMar w:top="1412" w:right="1754" w:bottom="0" w:left="1785" w:header="0" w:footer="0" w:gutter="0"/>
          <w:cols w:space="708"/>
        </w:sectPr>
      </w:pPr>
    </w:p>
    <w:p>
      <w:pPr>
        <w:spacing w:line="14" w:lineRule="exact"/>
      </w:pPr>
    </w:p>
    <w:tbl>
      <w:tblPr>
        <w:tblStyle w:val="TableNormal0"/>
        <w:tblW w:w="8250"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13"/>
        <w:gridCol w:w="1638"/>
        <w:gridCol w:w="1248"/>
        <w:gridCol w:w="2018"/>
        <w:gridCol w:w="2033"/>
      </w:tblGrid>
      <w:tr>
        <w:tblPrEx>
          <w:tblW w:w="8250"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59"/>
        </w:trPr>
        <w:tc>
          <w:tcPr>
            <w:tcW w:w="1313"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2" w:line="208" w:lineRule="auto"/>
              <w:ind w:left="95" w:right="77"/>
            </w:pPr>
            <w:r>
              <w:rPr>
                <w:spacing w:val="-1"/>
              </w:rPr>
              <w:t>20220737-T-6</w:t>
            </w:r>
            <w:r>
              <w:rPr>
                <w:spacing w:val="1"/>
              </w:rPr>
              <w:t xml:space="preserve"> </w:t>
            </w:r>
            <w:r>
              <w:rPr>
                <w:spacing w:val="-6"/>
              </w:rPr>
              <w:t>10</w:t>
            </w:r>
          </w:p>
        </w:tc>
        <w:tc>
          <w:tcPr>
            <w:tcW w:w="1638"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62" w:line="225" w:lineRule="auto"/>
              <w:ind w:left="112" w:right="110" w:firstLine="29"/>
              <w:jc w:val="both"/>
            </w:pPr>
            <w:r>
              <w:rPr>
                <w:spacing w:val="-1"/>
              </w:rPr>
              <w:t>钨精矿化学分析</w:t>
            </w:r>
            <w:r>
              <w:t xml:space="preserve"> </w:t>
            </w:r>
            <w:r>
              <w:rPr>
                <w:spacing w:val="9"/>
              </w:rPr>
              <w:t>方法第19部分：</w:t>
            </w:r>
            <w:r>
              <w:rPr>
                <w:spacing w:val="1"/>
              </w:rPr>
              <w:t xml:space="preserve"> </w:t>
            </w:r>
            <w:r>
              <w:rPr>
                <w:spacing w:val="3"/>
              </w:rPr>
              <w:t>氟含量的测定离</w:t>
            </w:r>
            <w:r>
              <w:t xml:space="preserve"> </w:t>
            </w:r>
            <w:r>
              <w:rPr>
                <w:spacing w:val="-2"/>
              </w:rPr>
              <w:t>子选择电极法</w:t>
            </w:r>
          </w:p>
        </w:tc>
        <w:tc>
          <w:tcPr>
            <w:tcW w:w="1248" w:type="dxa"/>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1" w:line="220" w:lineRule="auto"/>
              <w:ind w:left="93" w:right="128" w:firstLine="50"/>
              <w:jc w:val="both"/>
            </w:pPr>
            <w:r>
              <w:rPr>
                <w:spacing w:val="3"/>
              </w:rPr>
              <w:t>江西省钨与</w:t>
            </w:r>
            <w:r>
              <w:t xml:space="preserve"> </w:t>
            </w:r>
            <w:r>
              <w:rPr>
                <w:spacing w:val="4"/>
              </w:rPr>
              <w:t>稀土产品质</w:t>
            </w:r>
            <w:r>
              <w:t xml:space="preserve"> </w:t>
            </w:r>
            <w:r>
              <w:rPr>
                <w:spacing w:val="8"/>
              </w:rPr>
              <w:t>量监督检验</w:t>
            </w:r>
            <w:r>
              <w:rPr>
                <w:spacing w:val="1"/>
              </w:rPr>
              <w:t xml:space="preserve"> </w:t>
            </w:r>
            <w:r>
              <w:rPr>
                <w:spacing w:val="6"/>
              </w:rPr>
              <w:t>中心</w:t>
            </w:r>
          </w:p>
        </w:tc>
        <w:tc>
          <w:tcPr>
            <w:tcW w:w="2018"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2" w:line="400" w:lineRule="exact"/>
              <w:jc w:val="right"/>
            </w:pPr>
            <w:r>
              <w:rPr>
                <w:spacing w:val="-1"/>
                <w:position w:val="16"/>
              </w:rPr>
              <w:t>1.赣州冶研所检测技术</w:t>
            </w:r>
          </w:p>
          <w:p>
            <w:pPr>
              <w:pStyle w:val="TableText"/>
              <w:spacing w:line="219" w:lineRule="auto"/>
              <w:ind w:left="116"/>
            </w:pPr>
            <w:r>
              <w:rPr>
                <w:spacing w:val="2"/>
              </w:rPr>
              <w:t>服务有限公司</w:t>
            </w:r>
          </w:p>
          <w:p>
            <w:pPr>
              <w:pStyle w:val="TableText"/>
              <w:spacing w:before="153" w:line="421" w:lineRule="exact"/>
              <w:ind w:right="1"/>
              <w:jc w:val="right"/>
            </w:pPr>
            <w:r>
              <w:rPr>
                <w:spacing w:val="-1"/>
                <w:position w:val="17"/>
              </w:rPr>
              <w:t>2.广东科学院工业分析</w:t>
            </w:r>
          </w:p>
          <w:p>
            <w:pPr>
              <w:pStyle w:val="TableText"/>
              <w:spacing w:line="220" w:lineRule="auto"/>
              <w:ind w:left="116"/>
            </w:pPr>
            <w:r>
              <w:rPr>
                <w:spacing w:val="3"/>
              </w:rPr>
              <w:t>测试中心</w:t>
            </w:r>
          </w:p>
        </w:tc>
        <w:tc>
          <w:tcPr>
            <w:tcW w:w="2033" w:type="dxa"/>
            <w:vAlign w:val="top"/>
          </w:tcPr>
          <w:p>
            <w:pPr>
              <w:pStyle w:val="TableText"/>
              <w:spacing w:before="142" w:line="266" w:lineRule="auto"/>
              <w:ind w:left="86" w:right="55" w:hanging="29"/>
            </w:pPr>
            <w:r>
              <w:t>1.紫金矿业集团股份有</w:t>
            </w:r>
            <w:r>
              <w:rPr>
                <w:spacing w:val="8"/>
              </w:rPr>
              <w:t xml:space="preserve"> </w:t>
            </w:r>
            <w:r>
              <w:rPr>
                <w:spacing w:val="8"/>
              </w:rPr>
              <w:t>限公司</w:t>
            </w:r>
          </w:p>
          <w:p>
            <w:pPr>
              <w:pStyle w:val="TableText"/>
              <w:spacing w:before="132" w:line="265" w:lineRule="auto"/>
              <w:ind w:left="86" w:right="74" w:hanging="29"/>
            </w:pPr>
            <w:r>
              <w:rPr>
                <w:spacing w:val="-1"/>
              </w:rPr>
              <w:t>2.洛阳栾川钼业集团服</w:t>
            </w:r>
            <w:r>
              <w:t xml:space="preserve"> </w:t>
            </w:r>
            <w:r>
              <w:rPr>
                <w:spacing w:val="5"/>
              </w:rPr>
              <w:t>份有限公司</w:t>
            </w:r>
          </w:p>
          <w:p>
            <w:pPr>
              <w:pStyle w:val="TableText"/>
              <w:spacing w:before="133" w:line="278" w:lineRule="auto"/>
              <w:ind w:left="57" w:right="48"/>
              <w:jc w:val="both"/>
            </w:pPr>
            <w:r>
              <w:rPr>
                <w:spacing w:val="1"/>
              </w:rPr>
              <w:t>3.湖南柿竹园有色金属</w:t>
            </w:r>
            <w:r>
              <w:rPr>
                <w:spacing w:val="4"/>
              </w:rPr>
              <w:t xml:space="preserve"> </w:t>
            </w:r>
            <w:r>
              <w:rPr>
                <w:spacing w:val="1"/>
              </w:rPr>
              <w:t>有限责任公司郴州钨制</w:t>
            </w:r>
            <w:r>
              <w:rPr>
                <w:spacing w:val="5"/>
              </w:rPr>
              <w:t xml:space="preserve"> </w:t>
            </w:r>
            <w:r>
              <w:rPr>
                <w:spacing w:val="14"/>
              </w:rPr>
              <w:t>品分公司</w:t>
            </w:r>
          </w:p>
          <w:p>
            <w:pPr>
              <w:pStyle w:val="TableText"/>
              <w:spacing w:before="141" w:line="219" w:lineRule="auto"/>
              <w:ind w:left="57"/>
            </w:pPr>
            <w:r>
              <w:rPr>
                <w:spacing w:val="-1"/>
              </w:rPr>
              <w:t>4.江钨世秦科钨品有阻</w:t>
            </w:r>
          </w:p>
          <w:p>
            <w:pPr>
              <w:pStyle w:val="TableText"/>
              <w:spacing w:before="108" w:line="221" w:lineRule="auto"/>
              <w:ind w:left="87"/>
            </w:pPr>
            <w:r>
              <w:rPr>
                <w:spacing w:val="13"/>
              </w:rPr>
              <w:t>公司</w:t>
            </w:r>
          </w:p>
          <w:p>
            <w:pPr>
              <w:pStyle w:val="TableText"/>
              <w:spacing w:before="60" w:line="266" w:lineRule="auto"/>
              <w:ind w:left="106" w:right="76" w:hanging="49"/>
            </w:pPr>
            <w:r>
              <w:rPr>
                <w:spacing w:val="-2"/>
              </w:rPr>
              <w:t>5.铜陵有色金属集团控</w:t>
            </w:r>
            <w:r>
              <w:rPr>
                <w:spacing w:val="9"/>
              </w:rPr>
              <w:t xml:space="preserve"> </w:t>
            </w:r>
            <w:r>
              <w:rPr>
                <w:spacing w:val="5"/>
              </w:rPr>
              <w:t>股有限公司</w:t>
            </w:r>
          </w:p>
          <w:p>
            <w:pPr>
              <w:pStyle w:val="TableText"/>
              <w:spacing w:before="104" w:line="274" w:lineRule="auto"/>
              <w:ind w:left="57" w:right="73"/>
              <w:jc w:val="both"/>
            </w:pPr>
            <w:r>
              <w:rPr>
                <w:spacing w:val="-1"/>
              </w:rPr>
              <w:t>6.深圳市中金岭南有色</w:t>
            </w:r>
            <w:r>
              <w:rPr>
                <w:spacing w:val="1"/>
              </w:rPr>
              <w:t xml:space="preserve"> </w:t>
            </w:r>
            <w:r>
              <w:rPr>
                <w:spacing w:val="-1"/>
              </w:rPr>
              <w:t>金属股份有限公司丹霞</w:t>
            </w:r>
            <w:r>
              <w:t xml:space="preserve"> </w:t>
            </w:r>
            <w:r>
              <w:rPr>
                <w:spacing w:val="13"/>
              </w:rPr>
              <w:t>冶炼厂</w:t>
            </w:r>
          </w:p>
          <w:p>
            <w:pPr>
              <w:pStyle w:val="TableText"/>
              <w:spacing w:before="62" w:line="266" w:lineRule="auto"/>
              <w:ind w:left="86" w:right="55" w:hanging="29"/>
            </w:pPr>
            <w:r>
              <w:t>7.赣州海盛钨业股份有</w:t>
            </w:r>
            <w:r>
              <w:rPr>
                <w:spacing w:val="8"/>
              </w:rPr>
              <w:t xml:space="preserve"> </w:t>
            </w:r>
            <w:r>
              <w:rPr>
                <w:spacing w:val="8"/>
              </w:rPr>
              <w:t>限公司</w:t>
            </w:r>
          </w:p>
        </w:tc>
      </w:tr>
    </w:tbl>
    <w:p>
      <w:pPr>
        <w:spacing w:before="132" w:line="222" w:lineRule="auto"/>
        <w:ind w:left="94"/>
        <w:rPr>
          <w:rFonts w:ascii="SimHei" w:eastAsia="SimHei" w:hAnsi="SimHei" w:cs="SimHei"/>
          <w:sz w:val="21"/>
          <w:szCs w:val="21"/>
        </w:rPr>
      </w:pPr>
      <w:r>
        <w:rPr>
          <w:rFonts w:ascii="SimHei" w:eastAsia="SimHei" w:hAnsi="SimHei" w:cs="SimHei"/>
          <w:sz w:val="21"/>
          <w:szCs w:val="21"/>
        </w:rPr>
        <w:t>1.3</w:t>
      </w:r>
      <w:r>
        <w:rPr>
          <w:rFonts w:ascii="SimHei" w:eastAsia="SimHei" w:hAnsi="SimHei" w:cs="SimHei"/>
          <w:spacing w:val="80"/>
          <w:sz w:val="21"/>
          <w:szCs w:val="21"/>
        </w:rPr>
        <w:t xml:space="preserve"> </w:t>
      </w:r>
      <w:r>
        <w:rPr>
          <w:rFonts w:ascii="SimHei" w:eastAsia="SimHei" w:hAnsi="SimHei" w:cs="SimHei"/>
          <w:sz w:val="21"/>
          <w:szCs w:val="21"/>
        </w:rPr>
        <w:t>主要参加单位情况及其所作的工作</w:t>
      </w:r>
    </w:p>
    <w:p>
      <w:pPr>
        <w:pStyle w:val="BodyText"/>
        <w:spacing w:before="279" w:line="360" w:lineRule="auto"/>
        <w:ind w:left="94" w:right="27" w:firstLine="419"/>
        <w:jc w:val="both"/>
      </w:pPr>
      <w:r>
        <w:rPr>
          <w:spacing w:val="-3"/>
        </w:rPr>
        <w:t>标准起草单位江西省钨与稀土产品质量监督检验中心在标准的编制过程中，积极主动收</w:t>
      </w:r>
      <w:r>
        <w:rPr>
          <w:spacing w:val="1"/>
        </w:rPr>
        <w:t xml:space="preserve"> </w:t>
      </w:r>
      <w:r>
        <w:rPr>
          <w:spacing w:val="-3"/>
        </w:rPr>
        <w:t>集国内外相关技术标准，到一些有代表性的钨产业相关企业进行调研钨精矿产品标准相关指</w:t>
      </w:r>
      <w:r>
        <w:rPr>
          <w:spacing w:val="12"/>
        </w:rPr>
        <w:t xml:space="preserve"> </w:t>
      </w:r>
      <w:r>
        <w:rPr>
          <w:spacing w:val="-3"/>
        </w:rPr>
        <w:t>标的变化、检测及应用情况，并收集相关试验样品，通过相关试验统计数据编写试验报告和</w:t>
      </w:r>
    </w:p>
    <w:p>
      <w:pPr>
        <w:pStyle w:val="BodyText"/>
        <w:spacing w:line="218" w:lineRule="auto"/>
        <w:ind w:left="94"/>
      </w:pPr>
      <w:r>
        <w:t>标准文本草案。</w:t>
      </w:r>
    </w:p>
    <w:p>
      <w:pPr>
        <w:pStyle w:val="BodyText"/>
        <w:spacing w:before="143" w:line="360" w:lineRule="auto"/>
        <w:ind w:left="94" w:right="23" w:firstLine="419"/>
        <w:jc w:val="both"/>
      </w:pPr>
      <w:r>
        <w:rPr>
          <w:spacing w:val="-3"/>
        </w:rPr>
        <w:t>赣州冶研所检测技术服务有限公司、广东科学院工业分析测试中心、紫金矿业集团股份</w:t>
      </w:r>
      <w:r>
        <w:rPr>
          <w:spacing w:val="2"/>
        </w:rPr>
        <w:t xml:space="preserve"> </w:t>
      </w:r>
      <w:r>
        <w:rPr>
          <w:spacing w:val="-2"/>
        </w:rPr>
        <w:t>有限公司、洛阳栾川钼业集团股份有限公司、</w:t>
      </w:r>
      <w:r>
        <w:rPr>
          <w:spacing w:val="-3"/>
        </w:rPr>
        <w:t>湖南柿竹园有色金属有限责任公司郴州钨制品</w:t>
      </w:r>
      <w:r>
        <w:t xml:space="preserve"> </w:t>
      </w:r>
      <w:r>
        <w:rPr>
          <w:rFonts w:ascii="SimHei" w:eastAsia="SimHei" w:hAnsi="SimHei" w:cs="SimHei"/>
          <w:spacing w:val="-3"/>
        </w:rPr>
        <w:t>分公司、江钨世泰科钨品有限公司、铜陵有色金属集团控股有限公司、深圳市中金岭南有色</w:t>
      </w:r>
      <w:r>
        <w:rPr>
          <w:rFonts w:ascii="SimHei" w:eastAsia="SimHei" w:hAnsi="SimHei" w:cs="SimHei"/>
          <w:spacing w:val="14"/>
        </w:rPr>
        <w:t xml:space="preserve"> </w:t>
      </w:r>
      <w:r>
        <w:t>金属股份有限公司丹霞冶炼厂、赣州海盛钨业股份有限公司9家单</w:t>
      </w:r>
      <w:r>
        <w:rPr>
          <w:spacing w:val="-1"/>
        </w:rPr>
        <w:t>位积极配合起草单位进行</w:t>
      </w:r>
    </w:p>
    <w:p>
      <w:pPr>
        <w:pStyle w:val="BodyText"/>
        <w:spacing w:line="218" w:lineRule="auto"/>
        <w:ind w:left="94"/>
      </w:pPr>
      <w:r>
        <w:rPr>
          <w:spacing w:val="-1"/>
        </w:rPr>
        <w:t>标准验证工作，并提出宝贵的修改意见，对标准的编制</w:t>
      </w:r>
      <w:r>
        <w:rPr>
          <w:spacing w:val="-2"/>
        </w:rPr>
        <w:t>提供有力的支撑。</w:t>
      </w:r>
    </w:p>
    <w:p>
      <w:pPr>
        <w:pStyle w:val="BodyText"/>
        <w:spacing w:before="181" w:line="219" w:lineRule="auto"/>
        <w:ind w:left="514"/>
      </w:pPr>
      <w:r>
        <w:rPr>
          <w:spacing w:val="1"/>
        </w:rPr>
        <w:t>本标准主要起草人及其工作职责见表2。</w:t>
      </w:r>
    </w:p>
    <w:p>
      <w:pPr>
        <w:pStyle w:val="BodyText"/>
        <w:spacing w:before="201" w:line="219" w:lineRule="auto"/>
        <w:ind w:left="3144"/>
        <w:rPr>
          <w:sz w:val="18"/>
          <w:szCs w:val="18"/>
        </w:rPr>
      </w:pPr>
      <w:r>
        <w:rPr>
          <w:spacing w:val="10"/>
          <w:sz w:val="18"/>
          <w:szCs w:val="18"/>
        </w:rPr>
        <w:t>表2主要起草人及工作职责</w:t>
      </w:r>
    </w:p>
    <w:p>
      <w:pPr>
        <w:spacing w:line="24" w:lineRule="exact"/>
      </w:pPr>
    </w:p>
    <w:tbl>
      <w:tblPr>
        <w:tblStyle w:val="TableNormal0"/>
        <w:tblW w:w="8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3"/>
        <w:gridCol w:w="3346"/>
        <w:gridCol w:w="3890"/>
      </w:tblGrid>
      <w:tr>
        <w:tblPrEx>
          <w:tblW w:w="83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2"/>
        </w:trPr>
        <w:tc>
          <w:tcPr>
            <w:tcW w:w="1143" w:type="dxa"/>
            <w:vAlign w:val="top"/>
          </w:tcPr>
          <w:p>
            <w:pPr>
              <w:pStyle w:val="TableText"/>
              <w:spacing w:before="232" w:line="219" w:lineRule="auto"/>
              <w:ind w:left="265"/>
              <w:rPr>
                <w:sz w:val="18"/>
                <w:szCs w:val="18"/>
              </w:rPr>
            </w:pPr>
            <w:r>
              <w:rPr>
                <w:spacing w:val="-2"/>
                <w:sz w:val="18"/>
                <w:szCs w:val="18"/>
              </w:rPr>
              <w:t>起草人</w:t>
            </w:r>
          </w:p>
        </w:tc>
        <w:tc>
          <w:tcPr>
            <w:tcW w:w="3346" w:type="dxa"/>
            <w:vAlign w:val="top"/>
          </w:tcPr>
          <w:p>
            <w:pPr>
              <w:pStyle w:val="TableText"/>
              <w:spacing w:before="232" w:line="220" w:lineRule="auto"/>
              <w:ind w:left="1482"/>
              <w:rPr>
                <w:sz w:val="18"/>
                <w:szCs w:val="18"/>
              </w:rPr>
            </w:pPr>
            <w:r>
              <w:rPr>
                <w:spacing w:val="-3"/>
                <w:sz w:val="18"/>
                <w:szCs w:val="18"/>
              </w:rPr>
              <w:t>单位</w:t>
            </w:r>
          </w:p>
        </w:tc>
        <w:tc>
          <w:tcPr>
            <w:tcW w:w="3890" w:type="dxa"/>
            <w:vAlign w:val="top"/>
          </w:tcPr>
          <w:p>
            <w:pPr>
              <w:pStyle w:val="TableText"/>
              <w:spacing w:before="232" w:line="220" w:lineRule="auto"/>
              <w:ind w:left="1575"/>
              <w:rPr>
                <w:sz w:val="18"/>
                <w:szCs w:val="18"/>
              </w:rPr>
            </w:pPr>
            <w:r>
              <w:rPr>
                <w:spacing w:val="2"/>
                <w:sz w:val="18"/>
                <w:szCs w:val="18"/>
              </w:rPr>
              <w:t>工作职责</w:t>
            </w:r>
          </w:p>
        </w:tc>
      </w:tr>
      <w:tr>
        <w:tblPrEx>
          <w:tblW w:w="8379" w:type="dxa"/>
          <w:tblInd w:w="5" w:type="dxa"/>
          <w:tblLayout w:type="fixed"/>
        </w:tblPrEx>
        <w:trPr>
          <w:trHeight w:val="608"/>
        </w:trPr>
        <w:tc>
          <w:tcPr>
            <w:tcW w:w="1143" w:type="dxa"/>
            <w:vAlign w:val="top"/>
          </w:tcPr>
          <w:p>
            <w:pPr>
              <w:rPr>
                <w:rFonts w:ascii="Arial"/>
                <w:sz w:val="21"/>
              </w:rPr>
            </w:pPr>
          </w:p>
        </w:tc>
        <w:tc>
          <w:tcPr>
            <w:tcW w:w="3346" w:type="dxa"/>
            <w:vAlign w:val="top"/>
          </w:tcPr>
          <w:p>
            <w:pPr>
              <w:pStyle w:val="TableText"/>
              <w:spacing w:before="220" w:line="219" w:lineRule="auto"/>
              <w:ind w:left="131"/>
              <w:rPr>
                <w:sz w:val="18"/>
                <w:szCs w:val="18"/>
              </w:rPr>
            </w:pPr>
            <w:r>
              <w:rPr>
                <w:spacing w:val="-1"/>
                <w:sz w:val="18"/>
                <w:szCs w:val="18"/>
              </w:rPr>
              <w:t>江西省钨与稀土产品质量监督检验中心</w:t>
            </w:r>
          </w:p>
        </w:tc>
        <w:tc>
          <w:tcPr>
            <w:tcW w:w="3890" w:type="dxa"/>
            <w:vAlign w:val="top"/>
          </w:tcPr>
          <w:p>
            <w:pPr>
              <w:pStyle w:val="TableText"/>
              <w:spacing w:before="60" w:line="264" w:lineRule="auto"/>
              <w:ind w:left="1755" w:right="134" w:hanging="1620"/>
              <w:rPr>
                <w:sz w:val="18"/>
                <w:szCs w:val="18"/>
              </w:rPr>
            </w:pPr>
            <w:r>
              <w:rPr>
                <w:sz w:val="18"/>
                <w:szCs w:val="18"/>
              </w:rPr>
              <w:t>负责标准的试验方案制定、标准的编写及组织</w:t>
            </w:r>
            <w:r>
              <w:rPr>
                <w:spacing w:val="8"/>
                <w:sz w:val="18"/>
                <w:szCs w:val="18"/>
              </w:rPr>
              <w:t xml:space="preserve"> </w:t>
            </w:r>
            <w:r>
              <w:rPr>
                <w:spacing w:val="7"/>
                <w:sz w:val="18"/>
                <w:szCs w:val="18"/>
              </w:rPr>
              <w:t>协调</w:t>
            </w:r>
          </w:p>
        </w:tc>
      </w:tr>
      <w:tr>
        <w:tblPrEx>
          <w:tblW w:w="8379" w:type="dxa"/>
          <w:tblInd w:w="5" w:type="dxa"/>
          <w:tblLayout w:type="fixed"/>
        </w:tblPrEx>
        <w:trPr>
          <w:trHeight w:val="618"/>
        </w:trPr>
        <w:tc>
          <w:tcPr>
            <w:tcW w:w="1143" w:type="dxa"/>
            <w:vAlign w:val="top"/>
          </w:tcPr>
          <w:p>
            <w:pPr>
              <w:rPr>
                <w:rFonts w:ascii="Arial"/>
                <w:sz w:val="21"/>
              </w:rPr>
            </w:pPr>
          </w:p>
        </w:tc>
        <w:tc>
          <w:tcPr>
            <w:tcW w:w="3346" w:type="dxa"/>
            <w:vAlign w:val="top"/>
          </w:tcPr>
          <w:p>
            <w:pPr>
              <w:pStyle w:val="TableText"/>
              <w:spacing w:before="221" w:line="219" w:lineRule="auto"/>
              <w:ind w:left="312"/>
              <w:rPr>
                <w:sz w:val="18"/>
                <w:szCs w:val="18"/>
              </w:rPr>
            </w:pPr>
            <w:r>
              <w:rPr>
                <w:spacing w:val="1"/>
                <w:sz w:val="18"/>
                <w:szCs w:val="18"/>
              </w:rPr>
              <w:t>赣州冶研所检测技术服务有限公司</w:t>
            </w:r>
          </w:p>
        </w:tc>
        <w:tc>
          <w:tcPr>
            <w:tcW w:w="3890" w:type="dxa"/>
            <w:vAlign w:val="top"/>
          </w:tcPr>
          <w:p>
            <w:pPr>
              <w:pStyle w:val="TableText"/>
              <w:spacing w:before="222" w:line="219" w:lineRule="auto"/>
              <w:ind w:left="405"/>
              <w:rPr>
                <w:sz w:val="18"/>
                <w:szCs w:val="18"/>
              </w:rPr>
            </w:pPr>
            <w:r>
              <w:rPr>
                <w:spacing w:val="-1"/>
                <w:sz w:val="18"/>
                <w:szCs w:val="18"/>
              </w:rPr>
              <w:t>标准技术指标及主要内容的试验和确定</w:t>
            </w:r>
          </w:p>
        </w:tc>
      </w:tr>
      <w:tr>
        <w:tblPrEx>
          <w:tblW w:w="8379" w:type="dxa"/>
          <w:tblInd w:w="5" w:type="dxa"/>
          <w:tblLayout w:type="fixed"/>
        </w:tblPrEx>
        <w:trPr>
          <w:trHeight w:val="628"/>
        </w:trPr>
        <w:tc>
          <w:tcPr>
            <w:tcW w:w="1143" w:type="dxa"/>
            <w:vAlign w:val="top"/>
          </w:tcPr>
          <w:p>
            <w:pPr>
              <w:rPr>
                <w:rFonts w:ascii="Arial"/>
                <w:sz w:val="21"/>
              </w:rPr>
            </w:pPr>
          </w:p>
        </w:tc>
        <w:tc>
          <w:tcPr>
            <w:tcW w:w="3346" w:type="dxa"/>
            <w:vAlign w:val="top"/>
          </w:tcPr>
          <w:p>
            <w:pPr>
              <w:pStyle w:val="TableText"/>
              <w:spacing w:before="233" w:line="219" w:lineRule="auto"/>
              <w:ind w:left="491"/>
              <w:rPr>
                <w:sz w:val="18"/>
                <w:szCs w:val="18"/>
              </w:rPr>
            </w:pPr>
            <w:r>
              <w:rPr>
                <w:spacing w:val="-1"/>
                <w:sz w:val="18"/>
                <w:szCs w:val="18"/>
              </w:rPr>
              <w:t>广东科学院工业分析测试中心</w:t>
            </w:r>
          </w:p>
        </w:tc>
        <w:tc>
          <w:tcPr>
            <w:tcW w:w="3890" w:type="dxa"/>
            <w:vAlign w:val="top"/>
          </w:tcPr>
          <w:p>
            <w:pPr>
              <w:pStyle w:val="TableText"/>
              <w:spacing w:before="234" w:line="219" w:lineRule="auto"/>
              <w:ind w:left="405"/>
              <w:rPr>
                <w:sz w:val="18"/>
                <w:szCs w:val="18"/>
              </w:rPr>
            </w:pPr>
            <w:r>
              <w:rPr>
                <w:spacing w:val="-1"/>
                <w:sz w:val="18"/>
                <w:szCs w:val="18"/>
              </w:rPr>
              <w:t>标准技术指标及主要内容的试验和确定</w:t>
            </w:r>
          </w:p>
        </w:tc>
      </w:tr>
      <w:tr>
        <w:tblPrEx>
          <w:tblW w:w="8379" w:type="dxa"/>
          <w:tblInd w:w="5" w:type="dxa"/>
          <w:tblLayout w:type="fixed"/>
        </w:tblPrEx>
        <w:trPr>
          <w:trHeight w:val="613"/>
        </w:trPr>
        <w:tc>
          <w:tcPr>
            <w:tcW w:w="1143" w:type="dxa"/>
            <w:vAlign w:val="top"/>
          </w:tcPr>
          <w:p>
            <w:pPr>
              <w:rPr>
                <w:rFonts w:ascii="Arial"/>
                <w:sz w:val="21"/>
              </w:rPr>
            </w:pPr>
          </w:p>
        </w:tc>
        <w:tc>
          <w:tcPr>
            <w:tcW w:w="3346" w:type="dxa"/>
            <w:vAlign w:val="top"/>
          </w:tcPr>
          <w:p>
            <w:pPr>
              <w:pStyle w:val="TableText"/>
              <w:spacing w:before="226" w:line="219" w:lineRule="auto"/>
              <w:ind w:left="582"/>
              <w:rPr>
                <w:sz w:val="18"/>
                <w:szCs w:val="18"/>
              </w:rPr>
            </w:pPr>
            <w:r>
              <w:rPr>
                <w:spacing w:val="2"/>
                <w:sz w:val="18"/>
                <w:szCs w:val="18"/>
              </w:rPr>
              <w:t>紫金矿业集团股份有限公司</w:t>
            </w:r>
          </w:p>
        </w:tc>
        <w:tc>
          <w:tcPr>
            <w:tcW w:w="3890" w:type="dxa"/>
            <w:vAlign w:val="top"/>
          </w:tcPr>
          <w:p>
            <w:pPr>
              <w:pStyle w:val="TableText"/>
              <w:spacing w:before="225" w:line="219" w:lineRule="auto"/>
              <w:ind w:left="856"/>
              <w:rPr>
                <w:sz w:val="18"/>
                <w:szCs w:val="18"/>
              </w:rPr>
            </w:pPr>
            <w:r>
              <w:rPr>
                <w:spacing w:val="-1"/>
                <w:sz w:val="18"/>
                <w:szCs w:val="18"/>
              </w:rPr>
              <w:t>标准精密度试验，文本修改</w:t>
            </w:r>
          </w:p>
        </w:tc>
      </w:tr>
    </w:tbl>
    <w:p>
      <w:pPr>
        <w:rPr>
          <w:rFonts w:ascii="Arial"/>
          <w:sz w:val="21"/>
        </w:rPr>
      </w:pPr>
    </w:p>
    <w:p>
      <w:pPr>
        <w:rPr>
          <w:rFonts w:ascii="Arial" w:eastAsia="Arial" w:hAnsi="Arial" w:cs="Arial"/>
          <w:sz w:val="21"/>
          <w:szCs w:val="21"/>
        </w:rPr>
        <w:sectPr>
          <w:pgSz w:w="11900" w:h="16830"/>
          <w:pgMar w:top="1430" w:right="1785" w:bottom="0" w:left="1695" w:header="0" w:footer="0" w:gutter="0"/>
          <w:pgNumType w:start="2"/>
          <w:cols w:space="708"/>
        </w:sectPr>
      </w:pPr>
    </w:p>
    <w:tbl>
      <w:tblPr>
        <w:tblStyle w:val="TableNormal1"/>
        <w:tblW w:w="83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3"/>
        <w:gridCol w:w="3346"/>
        <w:gridCol w:w="3880"/>
      </w:tblGrid>
      <w:tr>
        <w:tblPrEx>
          <w:tblW w:w="83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3"/>
        </w:trPr>
        <w:tc>
          <w:tcPr>
            <w:tcW w:w="1143" w:type="dxa"/>
            <w:vAlign w:val="top"/>
          </w:tcPr>
          <w:p>
            <w:pPr>
              <w:rPr>
                <w:rFonts w:ascii="Arial"/>
                <w:sz w:val="21"/>
              </w:rPr>
            </w:pPr>
          </w:p>
        </w:tc>
        <w:tc>
          <w:tcPr>
            <w:tcW w:w="3346" w:type="dxa"/>
            <w:vAlign w:val="top"/>
          </w:tcPr>
          <w:p>
            <w:pPr>
              <w:pStyle w:val="TableText"/>
              <w:spacing w:before="232" w:line="219" w:lineRule="auto"/>
              <w:ind w:left="401"/>
              <w:rPr>
                <w:sz w:val="18"/>
                <w:szCs w:val="18"/>
              </w:rPr>
            </w:pPr>
            <w:r>
              <w:rPr>
                <w:spacing w:val="1"/>
                <w:sz w:val="18"/>
                <w:szCs w:val="18"/>
              </w:rPr>
              <w:t>洛阳栾川钼业集团股份有限公司</w:t>
            </w:r>
          </w:p>
        </w:tc>
        <w:tc>
          <w:tcPr>
            <w:tcW w:w="3880" w:type="dxa"/>
            <w:vAlign w:val="top"/>
          </w:tcPr>
          <w:p>
            <w:pPr>
              <w:pStyle w:val="TableText"/>
              <w:spacing w:before="231" w:line="219" w:lineRule="auto"/>
              <w:ind w:left="856"/>
              <w:rPr>
                <w:sz w:val="18"/>
                <w:szCs w:val="18"/>
              </w:rPr>
            </w:pPr>
            <w:r>
              <w:rPr>
                <w:spacing w:val="-1"/>
                <w:sz w:val="18"/>
                <w:szCs w:val="18"/>
              </w:rPr>
              <w:t>标准精密度试验，文本修改</w:t>
            </w:r>
          </w:p>
        </w:tc>
      </w:tr>
      <w:tr>
        <w:tblPrEx>
          <w:tblW w:w="8369" w:type="dxa"/>
          <w:tblInd w:w="5" w:type="dxa"/>
          <w:tblLayout w:type="fixed"/>
        </w:tblPrEx>
        <w:trPr>
          <w:trHeight w:val="628"/>
        </w:trPr>
        <w:tc>
          <w:tcPr>
            <w:tcW w:w="1143" w:type="dxa"/>
            <w:vAlign w:val="top"/>
          </w:tcPr>
          <w:p>
            <w:pPr>
              <w:rPr>
                <w:rFonts w:ascii="Arial"/>
                <w:sz w:val="21"/>
              </w:rPr>
            </w:pPr>
          </w:p>
        </w:tc>
        <w:tc>
          <w:tcPr>
            <w:tcW w:w="3346" w:type="dxa"/>
            <w:vAlign w:val="top"/>
          </w:tcPr>
          <w:p>
            <w:pPr>
              <w:pStyle w:val="TableText"/>
              <w:spacing w:before="78" w:line="264" w:lineRule="auto"/>
              <w:ind w:left="1120" w:right="123" w:hanging="989"/>
              <w:rPr>
                <w:sz w:val="18"/>
                <w:szCs w:val="18"/>
              </w:rPr>
            </w:pPr>
            <w:r>
              <w:rPr>
                <w:spacing w:val="1"/>
                <w:sz w:val="18"/>
                <w:szCs w:val="18"/>
              </w:rPr>
              <w:t>湖南柿竹园有色金属有限责任公司郴州</w:t>
            </w:r>
            <w:r>
              <w:rPr>
                <w:spacing w:val="2"/>
                <w:sz w:val="18"/>
                <w:szCs w:val="18"/>
              </w:rPr>
              <w:t xml:space="preserve"> </w:t>
            </w:r>
            <w:r>
              <w:rPr>
                <w:spacing w:val="4"/>
                <w:sz w:val="18"/>
                <w:szCs w:val="18"/>
              </w:rPr>
              <w:t>钨制品分公司</w:t>
            </w:r>
          </w:p>
        </w:tc>
        <w:tc>
          <w:tcPr>
            <w:tcW w:w="3880" w:type="dxa"/>
            <w:vAlign w:val="top"/>
          </w:tcPr>
          <w:p>
            <w:pPr>
              <w:pStyle w:val="TableText"/>
              <w:spacing w:before="228" w:line="219" w:lineRule="auto"/>
              <w:ind w:left="856"/>
              <w:rPr>
                <w:sz w:val="18"/>
                <w:szCs w:val="18"/>
              </w:rPr>
            </w:pPr>
            <w:r>
              <w:rPr>
                <w:spacing w:val="-1"/>
                <w:sz w:val="18"/>
                <w:szCs w:val="18"/>
              </w:rPr>
              <w:t>标准精密度试验，文本修改</w:t>
            </w:r>
          </w:p>
        </w:tc>
      </w:tr>
      <w:tr>
        <w:tblPrEx>
          <w:tblW w:w="8369" w:type="dxa"/>
          <w:tblInd w:w="5" w:type="dxa"/>
          <w:tblLayout w:type="fixed"/>
        </w:tblPrEx>
        <w:trPr>
          <w:trHeight w:val="618"/>
        </w:trPr>
        <w:tc>
          <w:tcPr>
            <w:tcW w:w="1143" w:type="dxa"/>
            <w:vAlign w:val="top"/>
          </w:tcPr>
          <w:p>
            <w:pPr>
              <w:rPr>
                <w:rFonts w:ascii="Arial"/>
                <w:sz w:val="21"/>
              </w:rPr>
            </w:pPr>
          </w:p>
        </w:tc>
        <w:tc>
          <w:tcPr>
            <w:tcW w:w="3346" w:type="dxa"/>
            <w:vAlign w:val="top"/>
          </w:tcPr>
          <w:p>
            <w:pPr>
              <w:pStyle w:val="TableText"/>
              <w:spacing w:before="220" w:line="219" w:lineRule="auto"/>
              <w:ind w:left="671"/>
              <w:rPr>
                <w:sz w:val="18"/>
                <w:szCs w:val="18"/>
              </w:rPr>
            </w:pPr>
            <w:r>
              <w:rPr>
                <w:spacing w:val="2"/>
                <w:sz w:val="18"/>
                <w:szCs w:val="18"/>
              </w:rPr>
              <w:t>江钨世泰科钨品有限公司</w:t>
            </w:r>
          </w:p>
        </w:tc>
        <w:tc>
          <w:tcPr>
            <w:tcW w:w="3880" w:type="dxa"/>
            <w:vAlign w:val="top"/>
          </w:tcPr>
          <w:p>
            <w:pPr>
              <w:pStyle w:val="TableText"/>
              <w:spacing w:before="220" w:line="219" w:lineRule="auto"/>
              <w:ind w:left="856"/>
              <w:rPr>
                <w:sz w:val="18"/>
                <w:szCs w:val="18"/>
              </w:rPr>
            </w:pPr>
            <w:r>
              <w:rPr>
                <w:spacing w:val="-1"/>
                <w:sz w:val="18"/>
                <w:szCs w:val="18"/>
              </w:rPr>
              <w:t>标准精密度试验，文本修改</w:t>
            </w:r>
          </w:p>
        </w:tc>
      </w:tr>
      <w:tr>
        <w:tblPrEx>
          <w:tblW w:w="8369" w:type="dxa"/>
          <w:tblInd w:w="5" w:type="dxa"/>
          <w:tblLayout w:type="fixed"/>
        </w:tblPrEx>
        <w:trPr>
          <w:trHeight w:val="629"/>
        </w:trPr>
        <w:tc>
          <w:tcPr>
            <w:tcW w:w="1143" w:type="dxa"/>
            <w:vAlign w:val="top"/>
          </w:tcPr>
          <w:p>
            <w:pPr>
              <w:rPr>
                <w:rFonts w:ascii="Arial"/>
                <w:sz w:val="21"/>
              </w:rPr>
            </w:pPr>
          </w:p>
        </w:tc>
        <w:tc>
          <w:tcPr>
            <w:tcW w:w="3346" w:type="dxa"/>
            <w:vAlign w:val="top"/>
          </w:tcPr>
          <w:p>
            <w:pPr>
              <w:pStyle w:val="TableText"/>
              <w:spacing w:before="233" w:line="219" w:lineRule="auto"/>
              <w:ind w:left="401"/>
              <w:rPr>
                <w:sz w:val="18"/>
                <w:szCs w:val="18"/>
              </w:rPr>
            </w:pPr>
            <w:r>
              <w:rPr>
                <w:spacing w:val="1"/>
                <w:sz w:val="18"/>
                <w:szCs w:val="18"/>
              </w:rPr>
              <w:t>铜陵有色金属集团控股有限公司</w:t>
            </w:r>
          </w:p>
        </w:tc>
        <w:tc>
          <w:tcPr>
            <w:tcW w:w="3880" w:type="dxa"/>
            <w:vAlign w:val="top"/>
          </w:tcPr>
          <w:p>
            <w:pPr>
              <w:pStyle w:val="TableText"/>
              <w:spacing w:before="232" w:line="219" w:lineRule="auto"/>
              <w:ind w:left="856"/>
              <w:rPr>
                <w:sz w:val="18"/>
                <w:szCs w:val="18"/>
              </w:rPr>
            </w:pPr>
            <w:r>
              <w:rPr>
                <w:spacing w:val="-1"/>
                <w:sz w:val="18"/>
                <w:szCs w:val="18"/>
              </w:rPr>
              <w:t>标准精密度试验，文本修改</w:t>
            </w:r>
          </w:p>
        </w:tc>
      </w:tr>
      <w:tr>
        <w:tblPrEx>
          <w:tblW w:w="8369" w:type="dxa"/>
          <w:tblInd w:w="5" w:type="dxa"/>
          <w:tblLayout w:type="fixed"/>
        </w:tblPrEx>
        <w:trPr>
          <w:trHeight w:val="618"/>
        </w:trPr>
        <w:tc>
          <w:tcPr>
            <w:tcW w:w="1143" w:type="dxa"/>
            <w:vAlign w:val="top"/>
          </w:tcPr>
          <w:p>
            <w:pPr>
              <w:rPr>
                <w:rFonts w:ascii="Arial"/>
                <w:sz w:val="21"/>
              </w:rPr>
            </w:pPr>
          </w:p>
        </w:tc>
        <w:tc>
          <w:tcPr>
            <w:tcW w:w="3346" w:type="dxa"/>
            <w:vAlign w:val="top"/>
          </w:tcPr>
          <w:p>
            <w:pPr>
              <w:pStyle w:val="TableText"/>
              <w:spacing w:before="43" w:line="274" w:lineRule="auto"/>
              <w:ind w:left="1211" w:right="119" w:hanging="1080"/>
              <w:rPr>
                <w:sz w:val="18"/>
                <w:szCs w:val="18"/>
              </w:rPr>
            </w:pPr>
            <w:r>
              <w:rPr>
                <w:spacing w:val="1"/>
                <w:sz w:val="18"/>
                <w:szCs w:val="18"/>
              </w:rPr>
              <w:t>深圳市中金岭南有色金属股份有限公司</w:t>
            </w:r>
            <w:r>
              <w:rPr>
                <w:spacing w:val="6"/>
                <w:sz w:val="18"/>
                <w:szCs w:val="18"/>
              </w:rPr>
              <w:t xml:space="preserve"> </w:t>
            </w:r>
            <w:r>
              <w:rPr>
                <w:spacing w:val="-2"/>
                <w:sz w:val="18"/>
                <w:szCs w:val="18"/>
              </w:rPr>
              <w:t>丹霞冶炼厂</w:t>
            </w:r>
          </w:p>
        </w:tc>
        <w:tc>
          <w:tcPr>
            <w:tcW w:w="3880" w:type="dxa"/>
            <w:vAlign w:val="top"/>
          </w:tcPr>
          <w:p>
            <w:pPr>
              <w:pStyle w:val="TableText"/>
              <w:spacing w:before="223" w:line="219" w:lineRule="auto"/>
              <w:ind w:left="856"/>
              <w:rPr>
                <w:sz w:val="18"/>
                <w:szCs w:val="18"/>
              </w:rPr>
            </w:pPr>
            <w:r>
              <w:rPr>
                <w:spacing w:val="-1"/>
                <w:sz w:val="18"/>
                <w:szCs w:val="18"/>
              </w:rPr>
              <w:t>标准精密度试验，文本修改</w:t>
            </w:r>
          </w:p>
        </w:tc>
      </w:tr>
      <w:tr>
        <w:tblPrEx>
          <w:tblW w:w="8369" w:type="dxa"/>
          <w:tblInd w:w="5" w:type="dxa"/>
          <w:tblLayout w:type="fixed"/>
        </w:tblPrEx>
        <w:trPr>
          <w:trHeight w:val="623"/>
        </w:trPr>
        <w:tc>
          <w:tcPr>
            <w:tcW w:w="1143" w:type="dxa"/>
            <w:vAlign w:val="top"/>
          </w:tcPr>
          <w:p>
            <w:pPr>
              <w:rPr>
                <w:rFonts w:ascii="Arial"/>
                <w:sz w:val="21"/>
              </w:rPr>
            </w:pPr>
          </w:p>
        </w:tc>
        <w:tc>
          <w:tcPr>
            <w:tcW w:w="3346" w:type="dxa"/>
            <w:vAlign w:val="top"/>
          </w:tcPr>
          <w:p>
            <w:pPr>
              <w:pStyle w:val="TableText"/>
              <w:spacing w:before="225" w:line="219" w:lineRule="auto"/>
              <w:ind w:left="582"/>
              <w:rPr>
                <w:sz w:val="18"/>
                <w:szCs w:val="18"/>
              </w:rPr>
            </w:pPr>
            <w:r>
              <w:rPr>
                <w:spacing w:val="2"/>
                <w:sz w:val="18"/>
                <w:szCs w:val="18"/>
              </w:rPr>
              <w:t>赣州海盛钨业股份有限公司</w:t>
            </w:r>
          </w:p>
        </w:tc>
        <w:tc>
          <w:tcPr>
            <w:tcW w:w="3880" w:type="dxa"/>
            <w:vAlign w:val="top"/>
          </w:tcPr>
          <w:p>
            <w:pPr>
              <w:pStyle w:val="TableText"/>
              <w:spacing w:before="225" w:line="219" w:lineRule="auto"/>
              <w:ind w:left="856"/>
              <w:rPr>
                <w:sz w:val="18"/>
                <w:szCs w:val="18"/>
              </w:rPr>
            </w:pPr>
            <w:r>
              <w:rPr>
                <w:spacing w:val="-1"/>
                <w:sz w:val="18"/>
                <w:szCs w:val="18"/>
              </w:rPr>
              <w:t>标准精密度试验，文本修改</w:t>
            </w:r>
          </w:p>
        </w:tc>
      </w:tr>
    </w:tbl>
    <w:p>
      <w:pPr>
        <w:spacing w:before="192" w:line="222" w:lineRule="auto"/>
        <w:ind w:left="94"/>
        <w:rPr>
          <w:rFonts w:ascii="SimHei" w:eastAsia="SimHei" w:hAnsi="SimHei" w:cs="SimHei"/>
          <w:sz w:val="22"/>
          <w:szCs w:val="22"/>
        </w:rPr>
      </w:pPr>
      <w:r>
        <w:rPr>
          <w:rFonts w:ascii="SimHei" w:eastAsia="SimHei" w:hAnsi="SimHei" w:cs="SimHei"/>
          <w:spacing w:val="-8"/>
          <w:sz w:val="22"/>
          <w:szCs w:val="22"/>
        </w:rPr>
        <w:t>1.4</w:t>
      </w:r>
      <w:r>
        <w:rPr>
          <w:rFonts w:ascii="SimHei" w:eastAsia="SimHei" w:hAnsi="SimHei" w:cs="SimHei"/>
          <w:spacing w:val="77"/>
          <w:sz w:val="22"/>
          <w:szCs w:val="22"/>
        </w:rPr>
        <w:t xml:space="preserve"> </w:t>
      </w:r>
      <w:r>
        <w:rPr>
          <w:rFonts w:ascii="SimHei" w:eastAsia="SimHei" w:hAnsi="SimHei" w:cs="SimHei"/>
          <w:spacing w:val="-8"/>
          <w:sz w:val="22"/>
          <w:szCs w:val="22"/>
        </w:rPr>
        <w:t>主要工作过程</w:t>
      </w:r>
    </w:p>
    <w:p>
      <w:pPr>
        <w:pStyle w:val="BodyText"/>
        <w:spacing w:before="265" w:line="403" w:lineRule="auto"/>
        <w:ind w:left="94" w:right="111" w:firstLine="419"/>
        <w:jc w:val="both"/>
        <w:rPr>
          <w:sz w:val="22"/>
          <w:szCs w:val="22"/>
        </w:rPr>
      </w:pPr>
      <w:r>
        <w:rPr>
          <w:spacing w:val="-7"/>
          <w:sz w:val="22"/>
          <w:szCs w:val="22"/>
        </w:rPr>
        <w:t>江西省钨与稀土产品质量监督检验中心在接到标准制订任务后，立刻成立了</w:t>
      </w:r>
      <w:r>
        <w:rPr>
          <w:spacing w:val="-8"/>
          <w:sz w:val="22"/>
          <w:szCs w:val="22"/>
        </w:rPr>
        <w:t>标准编制</w:t>
      </w:r>
      <w:r>
        <w:rPr>
          <w:sz w:val="22"/>
          <w:szCs w:val="22"/>
        </w:rPr>
        <w:t xml:space="preserve"> </w:t>
      </w:r>
      <w:r>
        <w:rPr>
          <w:spacing w:val="-13"/>
          <w:sz w:val="22"/>
          <w:szCs w:val="22"/>
        </w:rPr>
        <w:t>组，并召开了标准编制工作启动会议，对标准编写工作进行了部署和分工，主要工作过程经</w:t>
      </w:r>
    </w:p>
    <w:p>
      <w:pPr>
        <w:pStyle w:val="BodyText"/>
        <w:spacing w:line="218" w:lineRule="auto"/>
        <w:ind w:left="94"/>
        <w:rPr>
          <w:sz w:val="22"/>
          <w:szCs w:val="22"/>
        </w:rPr>
      </w:pPr>
      <w:r>
        <w:rPr>
          <w:spacing w:val="-10"/>
          <w:sz w:val="22"/>
          <w:szCs w:val="22"/>
        </w:rPr>
        <w:t>历了以下几个阶段。</w:t>
      </w:r>
    </w:p>
    <w:p>
      <w:pPr>
        <w:spacing w:before="268" w:line="222" w:lineRule="auto"/>
        <w:ind w:left="94"/>
        <w:rPr>
          <w:rFonts w:ascii="SimHei" w:eastAsia="SimHei" w:hAnsi="SimHei" w:cs="SimHei"/>
          <w:sz w:val="22"/>
          <w:szCs w:val="22"/>
        </w:rPr>
      </w:pPr>
      <w:r>
        <w:rPr>
          <w:rFonts w:ascii="SimHei" w:eastAsia="SimHei" w:hAnsi="SimHei" w:cs="SimHei"/>
          <w:spacing w:val="-7"/>
          <w:sz w:val="22"/>
          <w:szCs w:val="22"/>
        </w:rPr>
        <w:t>1.4.1</w:t>
      </w:r>
      <w:r>
        <w:rPr>
          <w:rFonts w:ascii="SimHei" w:eastAsia="SimHei" w:hAnsi="SimHei" w:cs="SimHei"/>
          <w:spacing w:val="73"/>
          <w:sz w:val="22"/>
          <w:szCs w:val="22"/>
        </w:rPr>
        <w:t xml:space="preserve"> </w:t>
      </w:r>
      <w:r>
        <w:rPr>
          <w:rFonts w:ascii="SimHei" w:eastAsia="SimHei" w:hAnsi="SimHei" w:cs="SimHei"/>
          <w:spacing w:val="-7"/>
          <w:sz w:val="22"/>
          <w:szCs w:val="22"/>
        </w:rPr>
        <w:t>预研阶段</w:t>
      </w:r>
    </w:p>
    <w:p>
      <w:pPr>
        <w:pStyle w:val="BodyText"/>
        <w:spacing w:before="289" w:line="394" w:lineRule="auto"/>
        <w:ind w:left="94" w:firstLine="419"/>
        <w:jc w:val="both"/>
        <w:rPr>
          <w:sz w:val="22"/>
          <w:szCs w:val="22"/>
        </w:rPr>
      </w:pPr>
      <w:r>
        <w:rPr>
          <w:spacing w:val="-10"/>
          <w:sz w:val="22"/>
          <w:szCs w:val="22"/>
        </w:rPr>
        <w:t>近年来，许多生产企业提出钨精矿中氟含量测定的检测要求，但是苦于没有标准方法。</w:t>
      </w:r>
      <w:r>
        <w:rPr>
          <w:spacing w:val="9"/>
          <w:sz w:val="22"/>
          <w:szCs w:val="22"/>
        </w:rPr>
        <w:t xml:space="preserve"> </w:t>
      </w:r>
      <w:r>
        <w:rPr>
          <w:spacing w:val="-13"/>
          <w:sz w:val="22"/>
          <w:szCs w:val="22"/>
        </w:rPr>
        <w:t>于是单位通过组织人员检索、查询和收集国内外相关标准和文献资料和跟企业和其它检测机</w:t>
      </w:r>
      <w:r>
        <w:rPr>
          <w:spacing w:val="3"/>
          <w:sz w:val="22"/>
          <w:szCs w:val="22"/>
        </w:rPr>
        <w:t xml:space="preserve">  </w:t>
      </w:r>
      <w:r>
        <w:rPr>
          <w:spacing w:val="-13"/>
          <w:sz w:val="22"/>
          <w:szCs w:val="22"/>
        </w:rPr>
        <w:t>构互相交流，研讨了钨精矿中氟含量测定的相关方法，从样品前处理、检测仪器的选择等方</w:t>
      </w:r>
      <w:r>
        <w:rPr>
          <w:spacing w:val="3"/>
          <w:sz w:val="22"/>
          <w:szCs w:val="22"/>
        </w:rPr>
        <w:t xml:space="preserve">  </w:t>
      </w:r>
      <w:r>
        <w:rPr>
          <w:spacing w:val="-13"/>
          <w:sz w:val="22"/>
          <w:szCs w:val="22"/>
        </w:rPr>
        <w:t>面进行了试验研究。通过讨论和试验结果确定采用碱熔的方式对钨精矿样品进行前处理，并</w:t>
      </w:r>
      <w:r>
        <w:rPr>
          <w:spacing w:val="3"/>
          <w:sz w:val="22"/>
          <w:szCs w:val="22"/>
        </w:rPr>
        <w:t xml:space="preserve">  </w:t>
      </w:r>
      <w:r>
        <w:rPr>
          <w:spacing w:val="-17"/>
          <w:sz w:val="22"/>
          <w:szCs w:val="22"/>
        </w:rPr>
        <w:t>采用氟离子选择电极进行测定，并初步确定了本文件制订</w:t>
      </w:r>
      <w:r>
        <w:rPr>
          <w:spacing w:val="-18"/>
          <w:sz w:val="22"/>
          <w:szCs w:val="22"/>
        </w:rPr>
        <w:t>的工作方案和技术路线，形成了《钨</w:t>
      </w:r>
    </w:p>
    <w:p>
      <w:pPr>
        <w:pStyle w:val="BodyText"/>
        <w:spacing w:line="218" w:lineRule="auto"/>
        <w:ind w:left="94"/>
        <w:rPr>
          <w:sz w:val="22"/>
          <w:szCs w:val="22"/>
        </w:rPr>
      </w:pPr>
      <w:r>
        <w:rPr>
          <w:spacing w:val="-1"/>
          <w:sz w:val="22"/>
          <w:szCs w:val="22"/>
        </w:rPr>
        <w:t>精矿化学分析方法第19部分：氟含量的测定离子选择电极法</w:t>
      </w:r>
      <w:r>
        <w:rPr>
          <w:spacing w:val="-2"/>
          <w:sz w:val="22"/>
          <w:szCs w:val="22"/>
        </w:rPr>
        <w:t>》的标准草案。</w:t>
      </w:r>
    </w:p>
    <w:p>
      <w:pPr>
        <w:spacing w:before="279" w:line="222" w:lineRule="auto"/>
        <w:ind w:left="94"/>
        <w:rPr>
          <w:rFonts w:ascii="SimHei" w:eastAsia="SimHei" w:hAnsi="SimHei" w:cs="SimHei"/>
          <w:sz w:val="22"/>
          <w:szCs w:val="22"/>
        </w:rPr>
      </w:pPr>
      <w:r>
        <w:rPr>
          <w:rFonts w:ascii="SimHei" w:eastAsia="SimHei" w:hAnsi="SimHei" w:cs="SimHei"/>
          <w:spacing w:val="-7"/>
          <w:sz w:val="22"/>
          <w:szCs w:val="22"/>
        </w:rPr>
        <w:t>1.4.2</w:t>
      </w:r>
      <w:r>
        <w:rPr>
          <w:rFonts w:ascii="SimHei" w:eastAsia="SimHei" w:hAnsi="SimHei" w:cs="SimHei"/>
          <w:spacing w:val="73"/>
          <w:sz w:val="22"/>
          <w:szCs w:val="22"/>
        </w:rPr>
        <w:t xml:space="preserve"> </w:t>
      </w:r>
      <w:r>
        <w:rPr>
          <w:rFonts w:ascii="SimHei" w:eastAsia="SimHei" w:hAnsi="SimHei" w:cs="SimHei"/>
          <w:spacing w:val="-7"/>
          <w:sz w:val="22"/>
          <w:szCs w:val="22"/>
        </w:rPr>
        <w:t>立项阶段</w:t>
      </w:r>
    </w:p>
    <w:p>
      <w:pPr>
        <w:pStyle w:val="BodyText"/>
        <w:spacing w:before="268" w:line="394" w:lineRule="auto"/>
        <w:ind w:left="94" w:right="109" w:firstLine="419"/>
        <w:rPr>
          <w:sz w:val="22"/>
          <w:szCs w:val="22"/>
        </w:rPr>
      </w:pPr>
      <w:r>
        <w:rPr>
          <w:spacing w:val="-4"/>
          <w:sz w:val="22"/>
          <w:szCs w:val="22"/>
        </w:rPr>
        <w:t>2021年10月8日，江西省钨与稀土产品质量监督检验中心向全国有色金属标准化技术</w:t>
      </w:r>
      <w:r>
        <w:rPr>
          <w:sz w:val="22"/>
          <w:szCs w:val="22"/>
        </w:rPr>
        <w:t xml:space="preserve"> </w:t>
      </w:r>
      <w:r>
        <w:rPr>
          <w:spacing w:val="-7"/>
          <w:sz w:val="22"/>
          <w:szCs w:val="22"/>
        </w:rPr>
        <w:t>委员会稀有金属分标委全体委员会议提交了《钨精矿化学分析方法第19部分：氟</w:t>
      </w:r>
      <w:r>
        <w:rPr>
          <w:spacing w:val="-8"/>
          <w:sz w:val="22"/>
          <w:szCs w:val="22"/>
        </w:rPr>
        <w:t>含量的测</w:t>
      </w:r>
      <w:r>
        <w:rPr>
          <w:sz w:val="22"/>
          <w:szCs w:val="22"/>
        </w:rPr>
        <w:t xml:space="preserve"> </w:t>
      </w:r>
      <w:r>
        <w:rPr>
          <w:spacing w:val="-7"/>
          <w:sz w:val="22"/>
          <w:szCs w:val="22"/>
        </w:rPr>
        <w:t>定离子选择电极法》标准项目建议书、标准草案</w:t>
      </w:r>
      <w:r>
        <w:rPr>
          <w:spacing w:val="-8"/>
          <w:sz w:val="22"/>
          <w:szCs w:val="22"/>
        </w:rPr>
        <w:t>及标准立项说明等材料，全体委员会议论</w:t>
      </w:r>
      <w:r>
        <w:rPr>
          <w:sz w:val="22"/>
          <w:szCs w:val="22"/>
        </w:rPr>
        <w:t xml:space="preserve"> </w:t>
      </w:r>
      <w:r>
        <w:rPr>
          <w:spacing w:val="-12"/>
          <w:sz w:val="22"/>
          <w:szCs w:val="22"/>
        </w:rPr>
        <w:t>证结论为同意国家标准立项。由秘书处组织</w:t>
      </w:r>
      <w:r>
        <w:rPr>
          <w:spacing w:val="-13"/>
          <w:sz w:val="22"/>
          <w:szCs w:val="22"/>
        </w:rPr>
        <w:t>委员现场投票，投票通过后转报国标委，并挂网</w:t>
      </w:r>
    </w:p>
    <w:p>
      <w:pPr>
        <w:pStyle w:val="BodyText"/>
        <w:spacing w:before="1" w:line="218" w:lineRule="auto"/>
        <w:ind w:left="94"/>
        <w:rPr>
          <w:sz w:val="22"/>
          <w:szCs w:val="22"/>
        </w:rPr>
      </w:pPr>
      <w:r>
        <w:rPr>
          <w:spacing w:val="-15"/>
          <w:sz w:val="22"/>
          <w:szCs w:val="22"/>
        </w:rPr>
        <w:t>向社会公开征求意见。</w:t>
      </w:r>
    </w:p>
    <w:p>
      <w:pPr>
        <w:pStyle w:val="BodyText"/>
        <w:spacing w:before="220" w:line="386" w:lineRule="auto"/>
        <w:ind w:left="94" w:right="139" w:firstLine="419"/>
        <w:rPr>
          <w:sz w:val="22"/>
          <w:szCs w:val="22"/>
        </w:rPr>
      </w:pPr>
      <w:r>
        <w:rPr>
          <w:spacing w:val="1"/>
          <w:sz w:val="22"/>
          <w:szCs w:val="22"/>
        </w:rPr>
        <w:t>2022年7月，国家标准化管理委员会下</w:t>
      </w:r>
      <w:r>
        <w:rPr>
          <w:sz w:val="22"/>
          <w:szCs w:val="22"/>
        </w:rPr>
        <w:t xml:space="preserve">达了制定《钨精矿化学分析方法第19部分： </w:t>
      </w:r>
      <w:r>
        <w:rPr>
          <w:spacing w:val="-6"/>
          <w:sz w:val="22"/>
          <w:szCs w:val="22"/>
        </w:rPr>
        <w:t>氟含量的测定离子选择电极法》国家标准的任务，计划号为20220737-T-610,</w:t>
      </w:r>
      <w:r>
        <w:rPr>
          <w:spacing w:val="-35"/>
          <w:sz w:val="22"/>
          <w:szCs w:val="22"/>
        </w:rPr>
        <w:t xml:space="preserve"> </w:t>
      </w:r>
      <w:r>
        <w:rPr>
          <w:spacing w:val="-6"/>
          <w:sz w:val="22"/>
          <w:szCs w:val="22"/>
        </w:rPr>
        <w:t>完成年限为</w:t>
      </w:r>
    </w:p>
    <w:p>
      <w:pPr>
        <w:pStyle w:val="BodyText"/>
        <w:spacing w:line="218" w:lineRule="auto"/>
        <w:ind w:left="94"/>
        <w:rPr>
          <w:sz w:val="22"/>
          <w:szCs w:val="22"/>
        </w:rPr>
      </w:pPr>
      <w:r>
        <w:rPr>
          <w:spacing w:val="-5"/>
          <w:sz w:val="22"/>
          <w:szCs w:val="22"/>
        </w:rPr>
        <w:t>2024年5月，技术归口为全国有色金属标准化技术委员会。</w:t>
      </w:r>
    </w:p>
    <w:p>
      <w:pPr>
        <w:spacing w:line="218" w:lineRule="auto"/>
        <w:rPr>
          <w:sz w:val="22"/>
          <w:szCs w:val="22"/>
        </w:rPr>
        <w:sectPr>
          <w:pgSz w:w="11900" w:h="16830"/>
          <w:pgMar w:top="1425" w:right="1699" w:bottom="0" w:left="1695" w:header="0" w:footer="0" w:gutter="0"/>
          <w:pgNumType w:start="3"/>
          <w:cols w:space="708"/>
        </w:sectPr>
      </w:pPr>
    </w:p>
    <w:p>
      <w:pPr>
        <w:spacing w:before="45" w:line="222" w:lineRule="auto"/>
        <w:ind w:left="4"/>
        <w:rPr>
          <w:rFonts w:ascii="SimHei" w:eastAsia="SimHei" w:hAnsi="SimHei" w:cs="SimHei"/>
          <w:sz w:val="22"/>
          <w:szCs w:val="22"/>
        </w:rPr>
      </w:pPr>
      <w:r>
        <w:rPr>
          <w:rFonts w:ascii="SimHei" w:eastAsia="SimHei" w:hAnsi="SimHei" w:cs="SimHei"/>
          <w:spacing w:val="-7"/>
          <w:sz w:val="22"/>
          <w:szCs w:val="22"/>
        </w:rPr>
        <w:t>1.4.3</w:t>
      </w:r>
      <w:r>
        <w:rPr>
          <w:rFonts w:ascii="SimHei" w:eastAsia="SimHei" w:hAnsi="SimHei" w:cs="SimHei"/>
          <w:spacing w:val="-7"/>
          <w:sz w:val="22"/>
          <w:szCs w:val="22"/>
        </w:rPr>
        <w:t xml:space="preserve">  </w:t>
      </w:r>
      <w:r>
        <w:rPr>
          <w:rFonts w:ascii="SimHei" w:eastAsia="SimHei" w:hAnsi="SimHei" w:cs="SimHei"/>
          <w:spacing w:val="-7"/>
          <w:sz w:val="22"/>
          <w:szCs w:val="22"/>
        </w:rPr>
        <w:t>起草阶段</w:t>
      </w:r>
    </w:p>
    <w:p>
      <w:pPr>
        <w:pStyle w:val="BodyText"/>
        <w:spacing w:before="277" w:line="394" w:lineRule="auto"/>
        <w:ind w:left="4" w:right="81" w:firstLine="530"/>
        <w:jc w:val="both"/>
        <w:rPr>
          <w:sz w:val="22"/>
          <w:szCs w:val="22"/>
        </w:rPr>
      </w:pPr>
      <w:r>
        <w:rPr>
          <w:spacing w:val="-3"/>
          <w:sz w:val="22"/>
          <w:szCs w:val="22"/>
        </w:rPr>
        <w:t>(1)2023年4月，全国有色金属标准化技术委员会稀有</w:t>
      </w:r>
      <w:r>
        <w:rPr>
          <w:spacing w:val="-4"/>
          <w:sz w:val="22"/>
          <w:szCs w:val="22"/>
        </w:rPr>
        <w:t>金属分标委会在湖北武汉市召</w:t>
      </w:r>
      <w:r>
        <w:rPr>
          <w:sz w:val="22"/>
          <w:szCs w:val="22"/>
        </w:rPr>
        <w:t xml:space="preserve"> </w:t>
      </w:r>
      <w:r>
        <w:rPr>
          <w:spacing w:val="-2"/>
          <w:sz w:val="22"/>
          <w:szCs w:val="22"/>
        </w:rPr>
        <w:t>开工作会议，对《钨精矿化学分析方法第19部分：氟含量的测定离子选择电极法》进行</w:t>
      </w:r>
      <w:r>
        <w:rPr>
          <w:spacing w:val="18"/>
          <w:sz w:val="22"/>
          <w:szCs w:val="22"/>
        </w:rPr>
        <w:t xml:space="preserve"> </w:t>
      </w:r>
      <w:r>
        <w:rPr>
          <w:spacing w:val="-12"/>
          <w:sz w:val="22"/>
          <w:szCs w:val="22"/>
        </w:rPr>
        <w:t>了任务落实。会议确定由江西省钨与稀土产品质量监督检验</w:t>
      </w:r>
      <w:r>
        <w:rPr>
          <w:spacing w:val="-13"/>
          <w:sz w:val="22"/>
          <w:szCs w:val="22"/>
        </w:rPr>
        <w:t>中心负责起草，赣州冶研所检测</w:t>
      </w:r>
      <w:r>
        <w:rPr>
          <w:sz w:val="22"/>
          <w:szCs w:val="22"/>
        </w:rPr>
        <w:t xml:space="preserve"> </w:t>
      </w:r>
      <w:r>
        <w:rPr>
          <w:spacing w:val="-12"/>
          <w:sz w:val="22"/>
          <w:szCs w:val="22"/>
        </w:rPr>
        <w:t>技术服务有限公司、广东科学院工业分析测试中心、紫金矿业集团股份有限</w:t>
      </w:r>
      <w:r>
        <w:rPr>
          <w:spacing w:val="-13"/>
          <w:sz w:val="22"/>
          <w:szCs w:val="22"/>
        </w:rPr>
        <w:t>公司、洛阳栾川</w:t>
      </w:r>
      <w:r>
        <w:rPr>
          <w:sz w:val="22"/>
          <w:szCs w:val="22"/>
        </w:rPr>
        <w:t xml:space="preserve"> </w:t>
      </w:r>
      <w:r>
        <w:rPr>
          <w:spacing w:val="-13"/>
          <w:sz w:val="22"/>
          <w:szCs w:val="22"/>
        </w:rPr>
        <w:t>钼业集团股份有限公司、湖南柿竹园有色金属有限责任公司郴州钨制品分公司、江钨世泰科</w:t>
      </w:r>
      <w:r>
        <w:rPr>
          <w:spacing w:val="16"/>
          <w:sz w:val="22"/>
          <w:szCs w:val="22"/>
        </w:rPr>
        <w:t xml:space="preserve"> </w:t>
      </w:r>
      <w:r>
        <w:rPr>
          <w:spacing w:val="-12"/>
          <w:sz w:val="22"/>
          <w:szCs w:val="22"/>
        </w:rPr>
        <w:t>钨品有限公司、铜陵有色金属集团控股有限公司、深圳市中金岭南有</w:t>
      </w:r>
      <w:r>
        <w:rPr>
          <w:spacing w:val="-13"/>
          <w:sz w:val="22"/>
          <w:szCs w:val="22"/>
        </w:rPr>
        <w:t>色金属股份有限公司丹</w:t>
      </w:r>
    </w:p>
    <w:p>
      <w:pPr>
        <w:pStyle w:val="BodyText"/>
        <w:spacing w:line="218" w:lineRule="auto"/>
        <w:ind w:left="4"/>
        <w:rPr>
          <w:sz w:val="22"/>
          <w:szCs w:val="22"/>
        </w:rPr>
      </w:pPr>
      <w:r>
        <w:rPr>
          <w:spacing w:val="-11"/>
          <w:sz w:val="22"/>
          <w:szCs w:val="22"/>
        </w:rPr>
        <w:t>霞冶炼厂、赣州海盛钨业股份有限公司协助起草。</w:t>
      </w:r>
    </w:p>
    <w:p>
      <w:pPr>
        <w:pStyle w:val="BodyText"/>
        <w:spacing w:before="191" w:line="402" w:lineRule="auto"/>
        <w:ind w:left="4" w:right="93" w:firstLine="530"/>
        <w:jc w:val="both"/>
        <w:rPr>
          <w:sz w:val="22"/>
          <w:szCs w:val="22"/>
        </w:rPr>
      </w:pPr>
      <w:r>
        <w:rPr>
          <w:spacing w:val="2"/>
          <w:sz w:val="22"/>
          <w:szCs w:val="22"/>
        </w:rPr>
        <w:t>(2)2023年5月~2023年7月，江西省钨与稀土产品质量监督检</w:t>
      </w:r>
      <w:r>
        <w:rPr>
          <w:spacing w:val="1"/>
          <w:sz w:val="22"/>
          <w:szCs w:val="22"/>
        </w:rPr>
        <w:t>验中心成立了标准编</w:t>
      </w:r>
      <w:r>
        <w:rPr>
          <w:sz w:val="22"/>
          <w:szCs w:val="22"/>
        </w:rPr>
        <w:t xml:space="preserve"> </w:t>
      </w:r>
      <w:r>
        <w:rPr>
          <w:spacing w:val="-12"/>
          <w:sz w:val="22"/>
          <w:szCs w:val="22"/>
        </w:rPr>
        <w:t>制组，明确了标准的进度安排、任务分工，确定了工作计</w:t>
      </w:r>
      <w:r>
        <w:rPr>
          <w:spacing w:val="-13"/>
          <w:sz w:val="22"/>
          <w:szCs w:val="22"/>
        </w:rPr>
        <w:t>划和技术路线。完成了统一样品的</w:t>
      </w:r>
      <w:r>
        <w:rPr>
          <w:sz w:val="22"/>
          <w:szCs w:val="22"/>
        </w:rPr>
        <w:t xml:space="preserve"> </w:t>
      </w:r>
      <w:r>
        <w:rPr>
          <w:spacing w:val="-2"/>
          <w:sz w:val="22"/>
          <w:szCs w:val="22"/>
        </w:rPr>
        <w:t>收集和相关试验工作，形成了《钨精矿化学分析方法第19部分：氟含量的测定离子选择</w:t>
      </w:r>
    </w:p>
    <w:p>
      <w:pPr>
        <w:pStyle w:val="BodyText"/>
        <w:spacing w:before="1" w:line="217" w:lineRule="auto"/>
        <w:ind w:left="4"/>
        <w:rPr>
          <w:sz w:val="22"/>
          <w:szCs w:val="22"/>
        </w:rPr>
      </w:pPr>
      <w:r>
        <w:rPr>
          <w:spacing w:val="-10"/>
          <w:sz w:val="22"/>
          <w:szCs w:val="22"/>
        </w:rPr>
        <w:t>法》的讨论稿、试验报告、征求意见表等，</w:t>
      </w:r>
      <w:r>
        <w:rPr>
          <w:spacing w:val="-11"/>
          <w:sz w:val="22"/>
          <w:szCs w:val="22"/>
        </w:rPr>
        <w:t>并连同验证样品一起分别寄往各验证单位。</w:t>
      </w:r>
    </w:p>
    <w:p>
      <w:pPr>
        <w:pStyle w:val="BodyText"/>
        <w:spacing w:before="187" w:line="395" w:lineRule="auto"/>
        <w:ind w:left="4" w:right="49" w:firstLine="530"/>
        <w:jc w:val="both"/>
        <w:rPr>
          <w:sz w:val="22"/>
          <w:szCs w:val="22"/>
        </w:rPr>
      </w:pPr>
      <w:r>
        <w:rPr>
          <w:spacing w:val="2"/>
          <w:sz w:val="22"/>
          <w:szCs w:val="22"/>
        </w:rPr>
        <w:t>(3)2023年7月17～20日由全国有色金属标准化技术委员</w:t>
      </w:r>
      <w:r>
        <w:rPr>
          <w:spacing w:val="1"/>
          <w:sz w:val="22"/>
          <w:szCs w:val="22"/>
        </w:rPr>
        <w:t>会主持，在湖北省十堰市</w:t>
      </w:r>
      <w:r>
        <w:rPr>
          <w:sz w:val="22"/>
          <w:szCs w:val="22"/>
        </w:rPr>
        <w:t xml:space="preserve"> </w:t>
      </w:r>
      <w:r>
        <w:rPr>
          <w:spacing w:val="-6"/>
          <w:sz w:val="22"/>
          <w:szCs w:val="22"/>
        </w:rPr>
        <w:t>召开标准讨论会，来自国标(北京)检验认证有限公司、国合通用测试评价认证股份公司、</w:t>
      </w:r>
      <w:r>
        <w:rPr>
          <w:spacing w:val="9"/>
          <w:sz w:val="22"/>
          <w:szCs w:val="22"/>
        </w:rPr>
        <w:t xml:space="preserve"> </w:t>
      </w:r>
      <w:r>
        <w:rPr>
          <w:spacing w:val="-12"/>
          <w:sz w:val="22"/>
          <w:szCs w:val="22"/>
        </w:rPr>
        <w:t>新疆湘润新材料科技有限公司、遵义钛业股份</w:t>
      </w:r>
      <w:r>
        <w:rPr>
          <w:spacing w:val="-13"/>
          <w:sz w:val="22"/>
          <w:szCs w:val="22"/>
        </w:rPr>
        <w:t>有限公司、西北稀有金属材料研究院宁夏有限</w:t>
      </w:r>
      <w:r>
        <w:rPr>
          <w:sz w:val="22"/>
          <w:szCs w:val="22"/>
        </w:rPr>
        <w:t xml:space="preserve"> </w:t>
      </w:r>
      <w:r>
        <w:rPr>
          <w:spacing w:val="-12"/>
          <w:sz w:val="22"/>
          <w:szCs w:val="22"/>
        </w:rPr>
        <w:t>公司、赣州冶研所检测技术服务有限公司、广</w:t>
      </w:r>
      <w:r>
        <w:rPr>
          <w:spacing w:val="-13"/>
          <w:sz w:val="22"/>
          <w:szCs w:val="22"/>
        </w:rPr>
        <w:t>东省科学院工业分析检测中心、长沙矿冶研究</w:t>
      </w:r>
      <w:r>
        <w:rPr>
          <w:sz w:val="22"/>
          <w:szCs w:val="22"/>
        </w:rPr>
        <w:t xml:space="preserve"> </w:t>
      </w:r>
      <w:r>
        <w:rPr>
          <w:spacing w:val="-7"/>
          <w:sz w:val="22"/>
          <w:szCs w:val="22"/>
        </w:rPr>
        <w:t>院分析检测中心、郴州钻石钨制品有限责任公司、湖南柿竹园有色金属有限责</w:t>
      </w:r>
      <w:r>
        <w:rPr>
          <w:spacing w:val="-8"/>
          <w:sz w:val="22"/>
          <w:szCs w:val="22"/>
        </w:rPr>
        <w:t>任公司、紫</w:t>
      </w:r>
      <w:r>
        <w:rPr>
          <w:sz w:val="22"/>
          <w:szCs w:val="22"/>
        </w:rPr>
        <w:t xml:space="preserve"> </w:t>
      </w:r>
      <w:r>
        <w:rPr>
          <w:spacing w:val="-6"/>
          <w:sz w:val="22"/>
          <w:szCs w:val="22"/>
        </w:rPr>
        <w:t>金矿业集团股份有限公司等单位的三十余位专家代表参会，会上各位专家对本标准(讨论</w:t>
      </w:r>
    </w:p>
    <w:p>
      <w:pPr>
        <w:pStyle w:val="BodyText"/>
        <w:spacing w:line="219" w:lineRule="auto"/>
        <w:ind w:left="4"/>
        <w:rPr>
          <w:sz w:val="22"/>
          <w:szCs w:val="22"/>
        </w:rPr>
      </w:pPr>
      <w:r>
        <w:rPr>
          <w:sz w:val="22"/>
          <w:szCs w:val="22"/>
        </w:rPr>
        <w:t>稿)提出了修改意见。</w:t>
      </w:r>
    </w:p>
    <w:p>
      <w:pPr>
        <w:pStyle w:val="BodyText"/>
        <w:spacing w:before="188" w:line="480" w:lineRule="exact"/>
        <w:jc w:val="right"/>
        <w:rPr>
          <w:sz w:val="22"/>
          <w:szCs w:val="22"/>
        </w:rPr>
      </w:pPr>
      <w:r>
        <w:rPr>
          <w:spacing w:val="-10"/>
          <w:position w:val="20"/>
          <w:sz w:val="22"/>
          <w:szCs w:val="22"/>
        </w:rPr>
        <w:t>(4)十堰会议结束之后，标准编制组根据讨论结果，对讨论稿进行进一步的修改完善，</w:t>
      </w:r>
    </w:p>
    <w:p>
      <w:pPr>
        <w:pStyle w:val="BodyText"/>
        <w:spacing w:before="1" w:line="218" w:lineRule="auto"/>
        <w:ind w:left="4"/>
        <w:rPr>
          <w:sz w:val="22"/>
          <w:szCs w:val="22"/>
        </w:rPr>
      </w:pPr>
      <w:r>
        <w:rPr>
          <w:spacing w:val="-2"/>
          <w:sz w:val="22"/>
          <w:szCs w:val="22"/>
        </w:rPr>
        <w:t>形成了《钨精矿化学分析方法第19部分：氟含量的测定离子选择法》征</w:t>
      </w:r>
      <w:r>
        <w:rPr>
          <w:spacing w:val="-3"/>
          <w:sz w:val="22"/>
          <w:szCs w:val="22"/>
        </w:rPr>
        <w:t>求意见稿。</w:t>
      </w:r>
    </w:p>
    <w:p>
      <w:pPr>
        <w:spacing w:line="354" w:lineRule="auto"/>
        <w:rPr>
          <w:rFonts w:ascii="Arial"/>
          <w:sz w:val="21"/>
        </w:rPr>
      </w:pPr>
    </w:p>
    <w:p>
      <w:pPr>
        <w:spacing w:before="72" w:line="221" w:lineRule="auto"/>
        <w:ind w:left="4"/>
        <w:rPr>
          <w:rFonts w:ascii="SimHei" w:eastAsia="SimHei" w:hAnsi="SimHei" w:cs="SimHei"/>
          <w:sz w:val="22"/>
          <w:szCs w:val="22"/>
        </w:rPr>
      </w:pPr>
      <w:r>
        <w:rPr>
          <w:rFonts w:ascii="SimHei" w:eastAsia="SimHei" w:hAnsi="SimHei" w:cs="SimHei"/>
          <w:spacing w:val="-11"/>
          <w:sz w:val="22"/>
          <w:szCs w:val="22"/>
        </w:rPr>
        <w:t>二、</w:t>
      </w:r>
      <w:r>
        <w:rPr>
          <w:rFonts w:ascii="SimHei" w:eastAsia="SimHei" w:hAnsi="SimHei" w:cs="SimHei"/>
          <w:spacing w:val="-11"/>
          <w:sz w:val="22"/>
          <w:szCs w:val="22"/>
        </w:rPr>
        <w:t xml:space="preserve"> </w:t>
      </w:r>
      <w:r>
        <w:rPr>
          <w:rFonts w:ascii="SimHei" w:eastAsia="SimHei" w:hAnsi="SimHei" w:cs="SimHei"/>
          <w:spacing w:val="-11"/>
          <w:sz w:val="22"/>
          <w:szCs w:val="22"/>
        </w:rPr>
        <w:t>标准编制原则</w:t>
      </w:r>
    </w:p>
    <w:p>
      <w:pPr>
        <w:spacing w:line="354" w:lineRule="auto"/>
        <w:rPr>
          <w:rFonts w:ascii="Arial"/>
          <w:sz w:val="21"/>
        </w:rPr>
      </w:pPr>
    </w:p>
    <w:p>
      <w:pPr>
        <w:pStyle w:val="BodyText"/>
        <w:spacing w:before="72" w:line="407" w:lineRule="auto"/>
        <w:ind w:left="4" w:right="100" w:firstLine="530"/>
        <w:rPr>
          <w:sz w:val="22"/>
          <w:szCs w:val="22"/>
        </w:rPr>
      </w:pPr>
      <w:r>
        <w:rPr>
          <w:spacing w:val="3"/>
          <w:sz w:val="22"/>
          <w:szCs w:val="22"/>
        </w:rPr>
        <w:t>(1)符合性：该标准按照</w:t>
      </w:r>
      <w:r>
        <w:rPr>
          <w:sz w:val="22"/>
          <w:szCs w:val="22"/>
        </w:rPr>
        <w:t>GB</w:t>
      </w:r>
      <w:r>
        <w:rPr>
          <w:spacing w:val="3"/>
          <w:sz w:val="22"/>
          <w:szCs w:val="22"/>
        </w:rPr>
        <w:t>/T1.1-2020《</w:t>
      </w:r>
      <w:r>
        <w:rPr>
          <w:spacing w:val="67"/>
          <w:sz w:val="22"/>
          <w:szCs w:val="22"/>
        </w:rPr>
        <w:t xml:space="preserve"> </w:t>
      </w:r>
      <w:r>
        <w:rPr>
          <w:spacing w:val="3"/>
          <w:sz w:val="22"/>
          <w:szCs w:val="22"/>
        </w:rPr>
        <w:t>标准化工作导则第</w:t>
      </w:r>
      <w:r>
        <w:rPr>
          <w:spacing w:val="2"/>
          <w:sz w:val="22"/>
          <w:szCs w:val="22"/>
        </w:rPr>
        <w:t>1部分：标准化文件</w:t>
      </w:r>
      <w:r>
        <w:rPr>
          <w:sz w:val="22"/>
          <w:szCs w:val="22"/>
        </w:rPr>
        <w:t xml:space="preserve"> </w:t>
      </w:r>
      <w:r>
        <w:rPr>
          <w:spacing w:val="-5"/>
          <w:sz w:val="22"/>
          <w:szCs w:val="22"/>
        </w:rPr>
        <w:t>的结构和起草规则》、GB/T 20001.4—2015《标准编写规则第4部分：试验</w:t>
      </w:r>
      <w:r>
        <w:rPr>
          <w:spacing w:val="-6"/>
          <w:sz w:val="22"/>
          <w:szCs w:val="22"/>
        </w:rPr>
        <w:t>方法标准》、</w:t>
      </w:r>
    </w:p>
    <w:p>
      <w:pPr>
        <w:pStyle w:val="BodyText"/>
        <w:spacing w:before="1" w:line="219" w:lineRule="auto"/>
        <w:ind w:left="4"/>
        <w:rPr>
          <w:sz w:val="22"/>
          <w:szCs w:val="22"/>
        </w:rPr>
      </w:pPr>
      <w:r>
        <w:rPr>
          <w:spacing w:val="-6"/>
          <w:sz w:val="22"/>
          <w:szCs w:val="22"/>
        </w:rPr>
        <w:t>GB/T 6379.2-2004《测量方法与结果的准确度》的要求进行了编写。</w:t>
      </w:r>
    </w:p>
    <w:p>
      <w:pPr>
        <w:pStyle w:val="BodyText"/>
        <w:spacing w:before="198" w:line="471" w:lineRule="exact"/>
        <w:ind w:left="535"/>
        <w:rPr>
          <w:sz w:val="22"/>
          <w:szCs w:val="22"/>
        </w:rPr>
      </w:pPr>
      <w:r>
        <w:rPr>
          <w:spacing w:val="-7"/>
          <w:position w:val="19"/>
          <w:sz w:val="22"/>
          <w:szCs w:val="22"/>
        </w:rPr>
        <w:t>(2)合理性：本标准是在进行充分调研的基础上编制的，符合相关企业的需求，具有</w:t>
      </w:r>
    </w:p>
    <w:p>
      <w:pPr>
        <w:pStyle w:val="BodyText"/>
        <w:spacing w:line="220" w:lineRule="auto"/>
        <w:ind w:left="4"/>
        <w:rPr>
          <w:sz w:val="22"/>
          <w:szCs w:val="22"/>
        </w:rPr>
      </w:pPr>
      <w:r>
        <w:rPr>
          <w:spacing w:val="-13"/>
          <w:sz w:val="22"/>
          <w:szCs w:val="22"/>
        </w:rPr>
        <w:t>非常重要的现实意义。</w:t>
      </w:r>
    </w:p>
    <w:p>
      <w:pPr>
        <w:pStyle w:val="BodyText"/>
        <w:spacing w:before="206" w:line="219" w:lineRule="auto"/>
        <w:ind w:left="535"/>
        <w:rPr>
          <w:sz w:val="22"/>
          <w:szCs w:val="22"/>
        </w:rPr>
      </w:pPr>
      <w:r>
        <w:rPr>
          <w:spacing w:val="-7"/>
          <w:sz w:val="22"/>
          <w:szCs w:val="22"/>
        </w:rPr>
        <w:t>(3)先进性：本文件涉及的内容，技术水平不低于当前国内先进水平。</w:t>
      </w:r>
    </w:p>
    <w:p>
      <w:pPr>
        <w:spacing w:line="219" w:lineRule="auto"/>
        <w:rPr>
          <w:sz w:val="22"/>
          <w:szCs w:val="22"/>
        </w:rPr>
        <w:sectPr>
          <w:pgSz w:w="11900" w:h="16830"/>
          <w:pgMar w:top="1424" w:right="1709" w:bottom="0" w:left="1785" w:header="0" w:footer="0" w:gutter="0"/>
          <w:pgNumType w:start="4"/>
          <w:cols w:space="708"/>
        </w:sectPr>
      </w:pPr>
    </w:p>
    <w:p>
      <w:pPr>
        <w:spacing w:before="66" w:line="221" w:lineRule="auto"/>
        <w:ind w:left="245"/>
        <w:rPr>
          <w:rFonts w:ascii="SimHei" w:eastAsia="SimHei" w:hAnsi="SimHei" w:cs="SimHei"/>
          <w:sz w:val="21"/>
          <w:szCs w:val="21"/>
        </w:rPr>
      </w:pPr>
      <w:r>
        <w:rPr>
          <w:rFonts w:ascii="SimHei" w:eastAsia="SimHei" w:hAnsi="SimHei" w:cs="SimHei"/>
          <w:spacing w:val="-1"/>
          <w:sz w:val="21"/>
          <w:szCs w:val="21"/>
        </w:rPr>
        <w:t>三、标准主要内容的确定依据及主要试验和验证情况分析</w:t>
      </w:r>
    </w:p>
    <w:p>
      <w:pPr>
        <w:spacing w:line="349" w:lineRule="auto"/>
        <w:rPr>
          <w:rFonts w:ascii="Arial"/>
          <w:sz w:val="21"/>
        </w:rPr>
      </w:pPr>
    </w:p>
    <w:p>
      <w:pPr>
        <w:pStyle w:val="BodyText"/>
        <w:spacing w:before="68" w:line="481" w:lineRule="exact"/>
        <w:ind w:left="654"/>
      </w:pPr>
      <w:r>
        <w:rPr>
          <w:spacing w:val="2"/>
          <w:position w:val="20"/>
        </w:rPr>
        <w:t>试验中所用4个统一样品由起草单位于各生产企业收集，包含了黑钨精矿和白钨精矿，</w:t>
      </w:r>
    </w:p>
    <w:p>
      <w:pPr>
        <w:pStyle w:val="BodyText"/>
        <w:spacing w:line="219" w:lineRule="auto"/>
        <w:ind w:left="245"/>
      </w:pPr>
      <w:r>
        <w:rPr>
          <w:spacing w:val="-1"/>
        </w:rPr>
        <w:t>具有一定的代表性。样品经过制样后充分混匀并通过多次检验</w:t>
      </w:r>
      <w:r>
        <w:rPr>
          <w:spacing w:val="-2"/>
        </w:rPr>
        <w:t>来确保其均匀性。</w:t>
      </w:r>
    </w:p>
    <w:p>
      <w:pPr>
        <w:spacing w:before="219" w:line="222" w:lineRule="auto"/>
        <w:ind w:left="245"/>
        <w:rPr>
          <w:rFonts w:ascii="SimHei" w:eastAsia="SimHei" w:hAnsi="SimHei" w:cs="SimHei"/>
          <w:sz w:val="21"/>
          <w:szCs w:val="21"/>
        </w:rPr>
      </w:pPr>
      <w:r>
        <w:rPr>
          <w:rFonts w:ascii="SimHei" w:eastAsia="SimHei" w:hAnsi="SimHei" w:cs="SimHei"/>
          <w:spacing w:val="-2"/>
          <w:sz w:val="21"/>
          <w:szCs w:val="21"/>
        </w:rPr>
        <w:t>3.1</w:t>
      </w:r>
      <w:r>
        <w:rPr>
          <w:rFonts w:ascii="SimHei" w:eastAsia="SimHei" w:hAnsi="SimHei" w:cs="SimHei"/>
          <w:spacing w:val="93"/>
          <w:sz w:val="21"/>
          <w:szCs w:val="21"/>
        </w:rPr>
        <w:t xml:space="preserve"> </w:t>
      </w:r>
      <w:r>
        <w:rPr>
          <w:rFonts w:ascii="SimHei" w:eastAsia="SimHei" w:hAnsi="SimHei" w:cs="SimHei"/>
          <w:spacing w:val="-2"/>
          <w:sz w:val="21"/>
          <w:szCs w:val="21"/>
        </w:rPr>
        <w:t>测定范围的确定</w:t>
      </w:r>
    </w:p>
    <w:p>
      <w:pPr>
        <w:pStyle w:val="BodyText"/>
        <w:spacing w:before="217" w:line="414" w:lineRule="auto"/>
        <w:ind w:left="245" w:right="281" w:firstLine="409"/>
      </w:pPr>
      <w:r>
        <w:rPr>
          <w:spacing w:val="4"/>
        </w:rPr>
        <w:t>通过对市场上的不同级别的钨精矿样品分析发现其氟含量基本在0.1%～1.00%之间，</w:t>
      </w:r>
      <w:r>
        <w:rPr>
          <w:spacing w:val="15"/>
        </w:rPr>
        <w:t xml:space="preserve"> </w:t>
      </w:r>
      <w:r>
        <w:rPr>
          <w:spacing w:val="-2"/>
        </w:rPr>
        <w:t>考虑到现有钨精矿的品质问题和氟离子选择电极的</w:t>
      </w:r>
      <w:r>
        <w:rPr>
          <w:spacing w:val="-3"/>
        </w:rPr>
        <w:t>线性范围等原因，将钨精矿氟含量的测定</w:t>
      </w:r>
    </w:p>
    <w:p>
      <w:pPr>
        <w:pStyle w:val="BodyText"/>
        <w:spacing w:line="220" w:lineRule="auto"/>
        <w:ind w:left="245"/>
      </w:pPr>
      <w:r>
        <w:rPr>
          <w:spacing w:val="9"/>
        </w:rPr>
        <w:t>范围定为0.020%～2.00%。</w:t>
      </w:r>
    </w:p>
    <w:p>
      <w:pPr>
        <w:spacing w:before="209" w:line="222" w:lineRule="auto"/>
        <w:ind w:left="245"/>
        <w:rPr>
          <w:rFonts w:ascii="SimHei" w:eastAsia="SimHei" w:hAnsi="SimHei" w:cs="SimHei"/>
          <w:sz w:val="21"/>
          <w:szCs w:val="21"/>
        </w:rPr>
      </w:pPr>
      <w:r>
        <w:rPr>
          <w:rFonts w:ascii="SimHei" w:eastAsia="SimHei" w:hAnsi="SimHei" w:cs="SimHei"/>
          <w:spacing w:val="-2"/>
          <w:sz w:val="21"/>
          <w:szCs w:val="21"/>
        </w:rPr>
        <w:t>3.2</w:t>
      </w:r>
      <w:r>
        <w:rPr>
          <w:rFonts w:ascii="SimHei" w:eastAsia="SimHei" w:hAnsi="SimHei" w:cs="SimHei"/>
          <w:spacing w:val="89"/>
          <w:sz w:val="21"/>
          <w:szCs w:val="21"/>
        </w:rPr>
        <w:t xml:space="preserve"> </w:t>
      </w:r>
      <w:r>
        <w:rPr>
          <w:rFonts w:ascii="SimHei" w:eastAsia="SimHei" w:hAnsi="SimHei" w:cs="SimHei"/>
          <w:spacing w:val="-2"/>
          <w:sz w:val="21"/>
          <w:szCs w:val="21"/>
        </w:rPr>
        <w:t>样品前处理</w:t>
      </w:r>
    </w:p>
    <w:p>
      <w:pPr>
        <w:pStyle w:val="BodyText"/>
        <w:spacing w:before="223" w:line="405" w:lineRule="auto"/>
        <w:ind w:left="245" w:right="209" w:firstLine="409"/>
        <w:jc w:val="both"/>
      </w:pPr>
      <w:r>
        <w:rPr>
          <w:spacing w:val="-1"/>
        </w:rPr>
        <w:t>目前国内氟含量测定的前处理方法主要有碱熔法、蒸馏法、碱熔-蒸馏、高温燃烧水解</w:t>
      </w:r>
      <w:r>
        <w:rPr>
          <w:spacing w:val="4"/>
        </w:rPr>
        <w:t xml:space="preserve">  </w:t>
      </w:r>
      <w:r>
        <w:rPr>
          <w:spacing w:val="-3"/>
        </w:rPr>
        <w:t>法、氧弹燃烧法。相比较而言，高温燃烧水解法和氧弹燃烧法对于试样中氟化物的分解更为</w:t>
      </w:r>
      <w:r>
        <w:t xml:space="preserve">  </w:t>
      </w:r>
      <w:r>
        <w:rPr>
          <w:spacing w:val="-3"/>
        </w:rPr>
        <w:t xml:space="preserve">完全，理论上更适宜作为氟含量测定的前处理方法，但是在实际操作过程中，这两种方法都 </w:t>
      </w:r>
      <w:r>
        <w:rPr>
          <w:spacing w:val="-3"/>
        </w:rPr>
        <w:t>对人员要求较高，需要严格控制实验过程才能保证实验结果的准确度，且均需要特定</w:t>
      </w:r>
      <w:r>
        <w:rPr>
          <w:spacing w:val="-4"/>
        </w:rPr>
        <w:t>的仪器</w:t>
      </w:r>
      <w:r>
        <w:t xml:space="preserve">  </w:t>
      </w:r>
      <w:r>
        <w:rPr>
          <w:spacing w:val="-1"/>
        </w:rPr>
        <w:t>或装置，不利于大范围推广。而蒸馏法的最主要问题是只能将试样中的酸溶性氟化物蒸出，</w:t>
      </w:r>
    </w:p>
    <w:p>
      <w:pPr>
        <w:pStyle w:val="BodyText"/>
        <w:spacing w:before="1" w:line="219" w:lineRule="auto"/>
        <w:ind w:left="245"/>
      </w:pPr>
      <w:r>
        <w:rPr>
          <w:spacing w:val="-1"/>
        </w:rPr>
        <w:t>样品分解不完全，而氟化物在高温碱性条件下的分解更为完全。</w:t>
      </w:r>
    </w:p>
    <w:p>
      <w:pPr>
        <w:pStyle w:val="BodyText"/>
        <w:spacing w:before="241" w:line="413" w:lineRule="auto"/>
        <w:ind w:left="245" w:right="209" w:firstLine="409"/>
        <w:jc w:val="both"/>
      </w:pPr>
      <w:r>
        <w:rPr>
          <w:spacing w:val="-3"/>
        </w:rPr>
        <w:t>碱熔法虽然在熔融样品时会引入大量的碱熔剂，对后续的测定产生干扰，但是这一干扰</w:t>
      </w:r>
      <w:r>
        <w:t xml:space="preserve">  </w:t>
      </w:r>
      <w:r>
        <w:rPr>
          <w:spacing w:val="1"/>
        </w:rPr>
        <w:t xml:space="preserve">可以轻易的通过调节 </w:t>
      </w:r>
      <w:r>
        <w:t>pH</w:t>
      </w:r>
      <w:r>
        <w:rPr>
          <w:spacing w:val="50"/>
        </w:rPr>
        <w:t xml:space="preserve"> </w:t>
      </w:r>
      <w:r>
        <w:rPr>
          <w:spacing w:val="1"/>
        </w:rPr>
        <w:t>予以消除。同时，碱熔过程可以将样品中的各种稳定的无机氟络</w:t>
      </w:r>
      <w:r>
        <w:t xml:space="preserve">  </w:t>
      </w:r>
      <w:r>
        <w:rPr>
          <w:spacing w:val="-4"/>
        </w:rPr>
        <w:t>合物分解，并通过沉淀后取上清液的方式去除 Al³+、Fe³+、Ca²+</w:t>
      </w:r>
      <w:r>
        <w:rPr>
          <w:spacing w:val="-51"/>
        </w:rPr>
        <w:t xml:space="preserve"> </w:t>
      </w:r>
      <w:r>
        <w:rPr>
          <w:spacing w:val="-4"/>
        </w:rPr>
        <w:t>和</w:t>
      </w:r>
      <w:r>
        <w:rPr>
          <w:spacing w:val="24"/>
        </w:rPr>
        <w:t xml:space="preserve"> </w:t>
      </w:r>
      <w:r>
        <w:rPr>
          <w:spacing w:val="-5"/>
        </w:rPr>
        <w:t>Mg²+ 等金属干扰离子，</w:t>
      </w:r>
      <w:r>
        <w:t xml:space="preserve"> </w:t>
      </w:r>
      <w:r>
        <w:rPr>
          <w:spacing w:val="-3"/>
        </w:rPr>
        <w:t>即使试液中仍含有少量金属阳离子，也可以通过在测定过程中，加入含有掩蔽剂的总离子强</w:t>
      </w:r>
      <w:r>
        <w:t xml:space="preserve">  </w:t>
      </w:r>
      <w:r>
        <w:rPr>
          <w:spacing w:val="-3"/>
        </w:rPr>
        <w:t>度调节缓冲溶液的方式予以消除。除此，碱熔法还具有操作方便快捷的优势，更适宜批量测</w:t>
      </w:r>
    </w:p>
    <w:p>
      <w:pPr>
        <w:pStyle w:val="BodyText"/>
        <w:spacing w:line="218" w:lineRule="auto"/>
        <w:ind w:left="245"/>
      </w:pPr>
      <w:r>
        <w:t>定。因此，本文件选择碱熔法作为钨精矿中氟含量测定的样</w:t>
      </w:r>
      <w:r>
        <w:rPr>
          <w:spacing w:val="-1"/>
        </w:rPr>
        <w:t>品前处理方法。</w:t>
      </w:r>
    </w:p>
    <w:p>
      <w:pPr>
        <w:spacing w:before="210" w:line="221" w:lineRule="auto"/>
        <w:ind w:left="245"/>
        <w:rPr>
          <w:rFonts w:ascii="SimHei" w:eastAsia="SimHei" w:hAnsi="SimHei" w:cs="SimHei"/>
          <w:sz w:val="21"/>
          <w:szCs w:val="21"/>
        </w:rPr>
      </w:pPr>
      <w:r>
        <w:rPr>
          <w:rFonts w:ascii="SimHei" w:eastAsia="SimHei" w:hAnsi="SimHei" w:cs="SimHei"/>
          <w:sz w:val="21"/>
          <w:szCs w:val="21"/>
        </w:rPr>
        <w:t>3.2.1</w:t>
      </w:r>
      <w:r>
        <w:rPr>
          <w:rFonts w:ascii="SimHei" w:eastAsia="SimHei" w:hAnsi="SimHei" w:cs="SimHei"/>
          <w:spacing w:val="97"/>
          <w:sz w:val="21"/>
          <w:szCs w:val="21"/>
        </w:rPr>
        <w:t xml:space="preserve"> </w:t>
      </w:r>
      <w:r>
        <w:rPr>
          <w:rFonts w:ascii="SimHei" w:eastAsia="SimHei" w:hAnsi="SimHei" w:cs="SimHei"/>
          <w:sz w:val="21"/>
          <w:szCs w:val="21"/>
        </w:rPr>
        <w:t>熔剂的选择试验</w:t>
      </w:r>
    </w:p>
    <w:p>
      <w:pPr>
        <w:pStyle w:val="BodyText"/>
        <w:spacing w:before="209" w:line="423" w:lineRule="auto"/>
        <w:ind w:left="245" w:right="285" w:firstLine="409"/>
        <w:jc w:val="both"/>
      </w:pPr>
      <w:r>
        <w:t>在保持其他实验条件不变的情况下，改变碱的用量，来探究最佳实验条件。按表1称取</w:t>
      </w:r>
      <w:r>
        <w:rPr>
          <w:spacing w:val="13"/>
        </w:rPr>
        <w:t xml:space="preserve"> </w:t>
      </w:r>
      <w:r>
        <w:rPr>
          <w:spacing w:val="-2"/>
        </w:rPr>
        <w:t>4#钨精矿试样，分别加入不同量的NaOH</w:t>
      </w:r>
      <w:r>
        <w:rPr>
          <w:spacing w:val="-44"/>
        </w:rPr>
        <w:t xml:space="preserve"> </w:t>
      </w:r>
      <w:r>
        <w:rPr>
          <w:spacing w:val="-2"/>
        </w:rPr>
        <w:t>和</w:t>
      </w:r>
      <w:r>
        <w:rPr>
          <w:spacing w:val="-46"/>
        </w:rPr>
        <w:t xml:space="preserve"> </w:t>
      </w:r>
      <w:r>
        <w:rPr>
          <w:spacing w:val="-2"/>
        </w:rPr>
        <w:t>NaOH+Na,0,熔剂，按试验步骤测定氟含量</w:t>
      </w:r>
      <w:r>
        <w:rPr>
          <w:spacing w:val="-3"/>
        </w:rPr>
        <w:t>，结果</w:t>
      </w:r>
    </w:p>
    <w:p>
      <w:pPr>
        <w:pStyle w:val="BodyText"/>
        <w:spacing w:line="220" w:lineRule="auto"/>
        <w:ind w:left="245"/>
      </w:pPr>
      <w:r>
        <w:rPr>
          <w:spacing w:val="13"/>
        </w:rPr>
        <w:t>如表3所示。</w:t>
      </w:r>
    </w:p>
    <w:p>
      <w:pPr>
        <w:spacing w:line="337" w:lineRule="auto"/>
        <w:rPr>
          <w:rFonts w:ascii="Arial"/>
          <w:sz w:val="21"/>
        </w:rPr>
      </w:pPr>
    </w:p>
    <w:p>
      <w:pPr>
        <w:spacing w:line="337" w:lineRule="auto"/>
        <w:rPr>
          <w:rFonts w:ascii="Arial"/>
          <w:sz w:val="21"/>
        </w:rPr>
      </w:pPr>
    </w:p>
    <w:p>
      <w:pPr>
        <w:spacing w:before="69" w:line="221" w:lineRule="auto"/>
        <w:ind w:left="3634"/>
        <w:rPr>
          <w:rFonts w:ascii="SimHei" w:eastAsia="SimHei" w:hAnsi="SimHei" w:cs="SimHei"/>
          <w:sz w:val="21"/>
          <w:szCs w:val="21"/>
        </w:rPr>
      </w:pPr>
      <w:r>
        <w:rPr>
          <w:rFonts w:ascii="SimHei" w:eastAsia="SimHei" w:hAnsi="SimHei" w:cs="SimHei"/>
          <w:spacing w:val="1"/>
          <w:sz w:val="21"/>
          <w:szCs w:val="21"/>
        </w:rPr>
        <w:t>表3</w:t>
      </w:r>
      <w:r>
        <w:rPr>
          <w:rFonts w:ascii="SimHei" w:eastAsia="SimHei" w:hAnsi="SimHei" w:cs="SimHei"/>
          <w:spacing w:val="112"/>
          <w:sz w:val="21"/>
          <w:szCs w:val="21"/>
        </w:rPr>
        <w:t xml:space="preserve"> </w:t>
      </w:r>
      <w:r>
        <w:rPr>
          <w:rFonts w:ascii="SimHei" w:eastAsia="SimHei" w:hAnsi="SimHei" w:cs="SimHei"/>
          <w:spacing w:val="1"/>
          <w:sz w:val="21"/>
          <w:szCs w:val="21"/>
        </w:rPr>
        <w:t>熔剂的选择试验</w:t>
      </w:r>
    </w:p>
    <w:tbl>
      <w:tblPr>
        <w:tblStyle w:val="TableNormal2"/>
        <w:tblW w:w="8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13"/>
        <w:gridCol w:w="5404"/>
        <w:gridCol w:w="1703"/>
      </w:tblGrid>
      <w:tr>
        <w:tblPrEx>
          <w:tblW w:w="8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81"/>
        </w:trPr>
        <w:tc>
          <w:tcPr>
            <w:tcW w:w="1713" w:type="dxa"/>
            <w:vAlign w:val="top"/>
          </w:tcPr>
          <w:p>
            <w:pPr>
              <w:pStyle w:val="TableText"/>
              <w:spacing w:before="201" w:line="219" w:lineRule="auto"/>
              <w:ind w:left="395"/>
              <w:rPr>
                <w:sz w:val="18"/>
                <w:szCs w:val="18"/>
              </w:rPr>
            </w:pPr>
            <w:r>
              <w:rPr>
                <w:spacing w:val="-2"/>
                <w:sz w:val="18"/>
                <w:szCs w:val="18"/>
              </w:rPr>
              <w:t>加入熔剂量</w:t>
            </w:r>
          </w:p>
        </w:tc>
        <w:tc>
          <w:tcPr>
            <w:tcW w:w="5404" w:type="dxa"/>
            <w:vAlign w:val="top"/>
          </w:tcPr>
          <w:p>
            <w:pPr>
              <w:pStyle w:val="TableText"/>
              <w:spacing w:before="202" w:line="219" w:lineRule="auto"/>
              <w:ind w:left="2511"/>
              <w:rPr>
                <w:sz w:val="18"/>
                <w:szCs w:val="18"/>
              </w:rPr>
            </w:pPr>
            <w:r>
              <w:rPr>
                <w:spacing w:val="-3"/>
                <w:sz w:val="18"/>
                <w:szCs w:val="18"/>
              </w:rPr>
              <w:t>现象</w:t>
            </w:r>
          </w:p>
        </w:tc>
        <w:tc>
          <w:tcPr>
            <w:tcW w:w="1703" w:type="dxa"/>
            <w:vAlign w:val="top"/>
          </w:tcPr>
          <w:p>
            <w:pPr>
              <w:pStyle w:val="TableText"/>
              <w:spacing w:before="202" w:line="219" w:lineRule="auto"/>
              <w:ind w:left="438"/>
              <w:rPr>
                <w:sz w:val="18"/>
                <w:szCs w:val="18"/>
              </w:rPr>
            </w:pPr>
            <w:r>
              <w:rPr>
                <w:spacing w:val="6"/>
                <w:sz w:val="18"/>
                <w:szCs w:val="18"/>
              </w:rPr>
              <w:t>测定值(%)</w:t>
            </w:r>
          </w:p>
        </w:tc>
      </w:tr>
    </w:tbl>
    <w:p>
      <w:pPr>
        <w:sectPr>
          <w:pgSz w:w="11900" w:h="16830"/>
          <w:pgMar w:top="1430" w:right="1534" w:bottom="0" w:left="1534" w:header="0" w:footer="0" w:gutter="0"/>
          <w:pgNumType w:start="5"/>
          <w:cols w:space="708"/>
        </w:sectPr>
      </w:pPr>
    </w:p>
    <w:tbl>
      <w:tblPr>
        <w:tblStyle w:val="TableNormal3"/>
        <w:tblW w:w="8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13"/>
        <w:gridCol w:w="5404"/>
        <w:gridCol w:w="1703"/>
      </w:tblGrid>
      <w:tr>
        <w:tblPrEx>
          <w:tblW w:w="8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9"/>
        </w:trPr>
        <w:tc>
          <w:tcPr>
            <w:tcW w:w="1713" w:type="dxa"/>
            <w:vAlign w:val="top"/>
          </w:tcPr>
          <w:p>
            <w:pPr>
              <w:spacing w:line="373" w:lineRule="auto"/>
              <w:rPr>
                <w:rFonts w:ascii="Arial"/>
                <w:sz w:val="21"/>
              </w:rPr>
            </w:pPr>
          </w:p>
          <w:p>
            <w:pPr>
              <w:pStyle w:val="TableText"/>
              <w:spacing w:before="58" w:line="183" w:lineRule="auto"/>
              <w:ind w:left="535"/>
              <w:rPr>
                <w:sz w:val="18"/>
                <w:szCs w:val="18"/>
              </w:rPr>
            </w:pPr>
            <w:r>
              <w:rPr>
                <w:spacing w:val="-2"/>
                <w:sz w:val="18"/>
                <w:szCs w:val="18"/>
              </w:rPr>
              <w:t>3g NaOH</w:t>
            </w:r>
          </w:p>
        </w:tc>
        <w:tc>
          <w:tcPr>
            <w:tcW w:w="5404" w:type="dxa"/>
            <w:vAlign w:val="top"/>
          </w:tcPr>
          <w:p>
            <w:pPr>
              <w:pStyle w:val="TableText"/>
              <w:spacing w:before="210" w:line="269" w:lineRule="auto"/>
              <w:ind w:left="1521" w:right="101" w:hanging="1440"/>
              <w:rPr>
                <w:sz w:val="18"/>
                <w:szCs w:val="18"/>
              </w:rPr>
            </w:pPr>
            <w:r>
              <w:rPr>
                <w:sz w:val="18"/>
                <w:szCs w:val="18"/>
              </w:rPr>
              <w:t>在电炉上加热，与样品形成很好的流动态；</w:t>
            </w:r>
            <w:r>
              <w:rPr>
                <w:color w:val="885600"/>
                <w:spacing w:val="-1"/>
                <w:sz w:val="18"/>
                <w:szCs w:val="18"/>
              </w:rPr>
              <w:t>10分钟后</w:t>
            </w:r>
            <w:r>
              <w:rPr>
                <w:spacing w:val="-1"/>
                <w:sz w:val="18"/>
                <w:szCs w:val="18"/>
              </w:rPr>
              <w:t>于马弗炉熔融</w:t>
            </w:r>
            <w:r>
              <w:rPr>
                <w:sz w:val="18"/>
                <w:szCs w:val="18"/>
              </w:rPr>
              <w:t xml:space="preserve"> </w:t>
            </w:r>
            <w:r>
              <w:rPr>
                <w:spacing w:val="-1"/>
                <w:sz w:val="18"/>
                <w:szCs w:val="18"/>
              </w:rPr>
              <w:t>取出时，熔液呈现棕色融熔态</w:t>
            </w:r>
          </w:p>
        </w:tc>
        <w:tc>
          <w:tcPr>
            <w:tcW w:w="1703" w:type="dxa"/>
            <w:vAlign w:val="top"/>
          </w:tcPr>
          <w:p>
            <w:pPr>
              <w:spacing w:line="326" w:lineRule="auto"/>
              <w:rPr>
                <w:rFonts w:ascii="Arial"/>
                <w:sz w:val="21"/>
              </w:rPr>
            </w:pPr>
          </w:p>
          <w:p>
            <w:pPr>
              <w:pStyle w:val="TableText"/>
              <w:spacing w:before="58" w:line="184" w:lineRule="auto"/>
              <w:ind w:left="667"/>
              <w:rPr>
                <w:sz w:val="18"/>
                <w:szCs w:val="18"/>
              </w:rPr>
            </w:pPr>
            <w:r>
              <w:rPr>
                <w:spacing w:val="-4"/>
                <w:sz w:val="18"/>
                <w:szCs w:val="18"/>
              </w:rPr>
              <w:t>1.35</w:t>
            </w:r>
          </w:p>
        </w:tc>
      </w:tr>
    </w:tbl>
    <w:p>
      <w:pPr>
        <w:rPr>
          <w:rFonts w:ascii="Arial"/>
          <w:sz w:val="21"/>
        </w:rPr>
      </w:pPr>
    </w:p>
    <w:p>
      <w:pPr>
        <w:rPr>
          <w:rFonts w:ascii="Arial" w:eastAsia="Arial" w:hAnsi="Arial" w:cs="Arial"/>
          <w:sz w:val="21"/>
          <w:szCs w:val="21"/>
        </w:rPr>
        <w:sectPr>
          <w:type w:val="nextPage"/>
          <w:pgSz w:w="11900" w:h="16830"/>
          <w:pgMar w:top="1430" w:right="1534" w:bottom="0" w:left="1534" w:header="0" w:footer="0" w:gutter="0"/>
          <w:pgNumType w:start="6"/>
          <w:cols w:space="708"/>
          <w:titlePg w:val="0"/>
        </w:sectPr>
      </w:pPr>
    </w:p>
    <w:tbl>
      <w:tblPr>
        <w:tblStyle w:val="TableNormal4"/>
        <w:tblW w:w="8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13"/>
        <w:gridCol w:w="5404"/>
        <w:gridCol w:w="1703"/>
      </w:tblGrid>
      <w:tr>
        <w:tblPrEx>
          <w:tblW w:w="8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03"/>
        </w:trPr>
        <w:tc>
          <w:tcPr>
            <w:tcW w:w="1713" w:type="dxa"/>
            <w:vAlign w:val="top"/>
          </w:tcPr>
          <w:p>
            <w:pPr>
              <w:spacing w:line="324" w:lineRule="auto"/>
              <w:rPr>
                <w:rFonts w:ascii="Arial"/>
                <w:sz w:val="21"/>
              </w:rPr>
            </w:pPr>
          </w:p>
          <w:p>
            <w:pPr>
              <w:pStyle w:val="TableText"/>
              <w:spacing w:before="58" w:line="183" w:lineRule="auto"/>
              <w:ind w:left="535"/>
              <w:rPr>
                <w:sz w:val="18"/>
                <w:szCs w:val="18"/>
              </w:rPr>
            </w:pPr>
            <w:r>
              <w:rPr>
                <w:spacing w:val="-1"/>
                <w:sz w:val="18"/>
                <w:szCs w:val="18"/>
              </w:rPr>
              <w:t>4g NaOH</w:t>
            </w:r>
          </w:p>
        </w:tc>
        <w:tc>
          <w:tcPr>
            <w:tcW w:w="5404" w:type="dxa"/>
            <w:vAlign w:val="top"/>
          </w:tcPr>
          <w:p>
            <w:pPr>
              <w:pStyle w:val="TableText"/>
              <w:spacing w:before="201" w:line="341" w:lineRule="exact"/>
              <w:ind w:left="81"/>
              <w:rPr>
                <w:sz w:val="18"/>
                <w:szCs w:val="18"/>
              </w:rPr>
            </w:pPr>
            <w:r>
              <w:rPr>
                <w:position w:val="12"/>
                <w:sz w:val="18"/>
                <w:szCs w:val="18"/>
              </w:rPr>
              <w:t>在低温电炉板上加热，与样品形成很好的流</w:t>
            </w:r>
            <w:r>
              <w:rPr>
                <w:spacing w:val="-1"/>
                <w:position w:val="12"/>
                <w:sz w:val="18"/>
                <w:szCs w:val="18"/>
              </w:rPr>
              <w:t>动态；</w:t>
            </w:r>
            <w:r>
              <w:rPr>
                <w:color w:val="9E5F00"/>
                <w:spacing w:val="-1"/>
                <w:position w:val="12"/>
                <w:sz w:val="18"/>
                <w:szCs w:val="18"/>
              </w:rPr>
              <w:t>10</w:t>
            </w:r>
            <w:r>
              <w:rPr>
                <w:spacing w:val="-1"/>
                <w:position w:val="12"/>
                <w:sz w:val="18"/>
                <w:szCs w:val="18"/>
              </w:rPr>
              <w:t>分钟后于马弗</w:t>
            </w:r>
          </w:p>
          <w:p>
            <w:pPr>
              <w:pStyle w:val="TableText"/>
              <w:spacing w:line="220" w:lineRule="auto"/>
              <w:ind w:left="1252"/>
              <w:rPr>
                <w:sz w:val="18"/>
                <w:szCs w:val="18"/>
              </w:rPr>
            </w:pPr>
            <w:r>
              <w:rPr>
                <w:spacing w:val="-1"/>
                <w:sz w:val="18"/>
                <w:szCs w:val="18"/>
              </w:rPr>
              <w:t>炉熔融取出时，熔液呈现黑色融熔态</w:t>
            </w:r>
          </w:p>
        </w:tc>
        <w:tc>
          <w:tcPr>
            <w:tcW w:w="1703" w:type="dxa"/>
            <w:vAlign w:val="top"/>
          </w:tcPr>
          <w:p>
            <w:pPr>
              <w:spacing w:line="347" w:lineRule="auto"/>
              <w:rPr>
                <w:rFonts w:ascii="Arial"/>
                <w:sz w:val="21"/>
              </w:rPr>
            </w:pPr>
          </w:p>
          <w:p>
            <w:pPr>
              <w:pStyle w:val="TableText"/>
              <w:spacing w:before="58" w:line="184" w:lineRule="auto"/>
              <w:ind w:left="667"/>
              <w:rPr>
                <w:sz w:val="18"/>
                <w:szCs w:val="18"/>
              </w:rPr>
            </w:pPr>
            <w:r>
              <w:rPr>
                <w:spacing w:val="-4"/>
                <w:sz w:val="18"/>
                <w:szCs w:val="18"/>
              </w:rPr>
              <w:t>1.41</w:t>
            </w:r>
          </w:p>
        </w:tc>
      </w:tr>
      <w:tr>
        <w:tblPrEx>
          <w:tblW w:w="8820" w:type="dxa"/>
          <w:tblInd w:w="5" w:type="dxa"/>
          <w:tblLayout w:type="fixed"/>
        </w:tblPrEx>
        <w:trPr>
          <w:trHeight w:val="879"/>
        </w:trPr>
        <w:tc>
          <w:tcPr>
            <w:tcW w:w="1713" w:type="dxa"/>
            <w:vAlign w:val="top"/>
          </w:tcPr>
          <w:p>
            <w:pPr>
              <w:spacing w:line="311" w:lineRule="auto"/>
              <w:rPr>
                <w:rFonts w:ascii="Arial"/>
                <w:sz w:val="21"/>
              </w:rPr>
            </w:pPr>
          </w:p>
          <w:p>
            <w:pPr>
              <w:pStyle w:val="TableText"/>
              <w:spacing w:before="59" w:line="183" w:lineRule="auto"/>
              <w:ind w:left="535"/>
              <w:rPr>
                <w:sz w:val="18"/>
                <w:szCs w:val="18"/>
              </w:rPr>
            </w:pPr>
            <w:r>
              <w:rPr>
                <w:spacing w:val="-2"/>
                <w:sz w:val="18"/>
                <w:szCs w:val="18"/>
              </w:rPr>
              <w:t>5g NaOH</w:t>
            </w:r>
          </w:p>
        </w:tc>
        <w:tc>
          <w:tcPr>
            <w:tcW w:w="5404" w:type="dxa"/>
            <w:vAlign w:val="top"/>
          </w:tcPr>
          <w:p>
            <w:pPr>
              <w:pStyle w:val="TableText"/>
              <w:spacing w:before="199" w:line="269" w:lineRule="auto"/>
              <w:ind w:left="1521" w:right="101" w:hanging="1440"/>
              <w:rPr>
                <w:sz w:val="18"/>
                <w:szCs w:val="18"/>
              </w:rPr>
            </w:pPr>
            <w:r>
              <w:rPr>
                <w:sz w:val="18"/>
                <w:szCs w:val="18"/>
              </w:rPr>
              <w:t>在电炉上加热，与样品形成很好的流动态；</w:t>
            </w:r>
            <w:r>
              <w:rPr>
                <w:color w:val="885600"/>
                <w:spacing w:val="-1"/>
                <w:sz w:val="18"/>
                <w:szCs w:val="18"/>
              </w:rPr>
              <w:t>10分钟后</w:t>
            </w:r>
            <w:r>
              <w:rPr>
                <w:spacing w:val="-1"/>
                <w:sz w:val="18"/>
                <w:szCs w:val="18"/>
              </w:rPr>
              <w:t>于马弗炉熔融</w:t>
            </w:r>
            <w:r>
              <w:rPr>
                <w:sz w:val="18"/>
                <w:szCs w:val="18"/>
              </w:rPr>
              <w:t xml:space="preserve"> </w:t>
            </w:r>
            <w:r>
              <w:rPr>
                <w:spacing w:val="-1"/>
                <w:sz w:val="18"/>
                <w:szCs w:val="18"/>
              </w:rPr>
              <w:t>取出时，熔液呈现黑色融熔态</w:t>
            </w:r>
          </w:p>
        </w:tc>
        <w:tc>
          <w:tcPr>
            <w:tcW w:w="1703" w:type="dxa"/>
            <w:vAlign w:val="top"/>
          </w:tcPr>
          <w:p>
            <w:pPr>
              <w:spacing w:line="334" w:lineRule="auto"/>
              <w:rPr>
                <w:rFonts w:ascii="Arial"/>
                <w:sz w:val="21"/>
              </w:rPr>
            </w:pPr>
          </w:p>
          <w:p>
            <w:pPr>
              <w:pStyle w:val="TableText"/>
              <w:spacing w:before="58" w:line="184" w:lineRule="auto"/>
              <w:ind w:left="667"/>
              <w:rPr>
                <w:sz w:val="18"/>
                <w:szCs w:val="18"/>
              </w:rPr>
            </w:pPr>
            <w:r>
              <w:rPr>
                <w:spacing w:val="-4"/>
                <w:sz w:val="18"/>
                <w:szCs w:val="18"/>
              </w:rPr>
              <w:t>1.42</w:t>
            </w:r>
          </w:p>
        </w:tc>
      </w:tr>
      <w:tr>
        <w:tblPrEx>
          <w:tblW w:w="8820" w:type="dxa"/>
          <w:tblInd w:w="5" w:type="dxa"/>
          <w:tblLayout w:type="fixed"/>
        </w:tblPrEx>
        <w:trPr>
          <w:trHeight w:val="869"/>
        </w:trPr>
        <w:tc>
          <w:tcPr>
            <w:tcW w:w="1713" w:type="dxa"/>
            <w:vAlign w:val="top"/>
          </w:tcPr>
          <w:p>
            <w:pPr>
              <w:spacing w:line="312" w:lineRule="auto"/>
              <w:rPr>
                <w:rFonts w:ascii="Arial"/>
                <w:sz w:val="21"/>
              </w:rPr>
            </w:pPr>
          </w:p>
          <w:p>
            <w:pPr>
              <w:pStyle w:val="TableText"/>
              <w:spacing w:before="59" w:line="183" w:lineRule="auto"/>
              <w:ind w:left="535"/>
              <w:rPr>
                <w:sz w:val="18"/>
                <w:szCs w:val="18"/>
              </w:rPr>
            </w:pPr>
            <w:r>
              <w:rPr>
                <w:spacing w:val="-2"/>
                <w:sz w:val="18"/>
                <w:szCs w:val="18"/>
              </w:rPr>
              <w:t>6g NaOH</w:t>
            </w:r>
          </w:p>
        </w:tc>
        <w:tc>
          <w:tcPr>
            <w:tcW w:w="5404" w:type="dxa"/>
            <w:vAlign w:val="top"/>
          </w:tcPr>
          <w:p>
            <w:pPr>
              <w:pStyle w:val="TableText"/>
              <w:spacing w:before="189" w:line="269" w:lineRule="auto"/>
              <w:ind w:left="351" w:right="101" w:hanging="270"/>
              <w:rPr>
                <w:sz w:val="18"/>
                <w:szCs w:val="18"/>
              </w:rPr>
            </w:pPr>
            <w:r>
              <w:rPr>
                <w:sz w:val="18"/>
                <w:szCs w:val="18"/>
              </w:rPr>
              <w:t>在电炉上加热，与样品形成很好的流动态；</w:t>
            </w:r>
            <w:r>
              <w:rPr>
                <w:color w:val="9E5F00"/>
                <w:spacing w:val="-1"/>
                <w:sz w:val="18"/>
                <w:szCs w:val="18"/>
              </w:rPr>
              <w:t>10</w:t>
            </w:r>
            <w:r>
              <w:rPr>
                <w:spacing w:val="-1"/>
                <w:sz w:val="18"/>
                <w:szCs w:val="18"/>
              </w:rPr>
              <w:t>分钟后于马弗炉熔融</w:t>
            </w:r>
            <w:r>
              <w:rPr>
                <w:sz w:val="18"/>
                <w:szCs w:val="18"/>
              </w:rPr>
              <w:t xml:space="preserve"> </w:t>
            </w:r>
            <w:r>
              <w:rPr>
                <w:spacing w:val="-1"/>
                <w:sz w:val="18"/>
                <w:szCs w:val="18"/>
              </w:rPr>
              <w:t>取出时，熔液呈现黑色融熔态，坩埚壁口有一圈毛刺状晶体</w:t>
            </w:r>
          </w:p>
        </w:tc>
        <w:tc>
          <w:tcPr>
            <w:tcW w:w="1703" w:type="dxa"/>
            <w:vAlign w:val="top"/>
          </w:tcPr>
          <w:p>
            <w:pPr>
              <w:spacing w:line="335" w:lineRule="auto"/>
              <w:rPr>
                <w:rFonts w:ascii="Arial"/>
                <w:sz w:val="21"/>
              </w:rPr>
            </w:pPr>
          </w:p>
          <w:p>
            <w:pPr>
              <w:pStyle w:val="TableText"/>
              <w:spacing w:before="58" w:line="184" w:lineRule="auto"/>
              <w:ind w:left="667"/>
              <w:rPr>
                <w:sz w:val="18"/>
                <w:szCs w:val="18"/>
              </w:rPr>
            </w:pPr>
            <w:r>
              <w:rPr>
                <w:spacing w:val="-4"/>
                <w:sz w:val="18"/>
                <w:szCs w:val="18"/>
              </w:rPr>
              <w:t>1.42</w:t>
            </w:r>
          </w:p>
        </w:tc>
      </w:tr>
      <w:tr>
        <w:tblPrEx>
          <w:tblW w:w="8820" w:type="dxa"/>
          <w:tblInd w:w="5" w:type="dxa"/>
          <w:tblLayout w:type="fixed"/>
        </w:tblPrEx>
        <w:trPr>
          <w:trHeight w:val="878"/>
        </w:trPr>
        <w:tc>
          <w:tcPr>
            <w:tcW w:w="1713" w:type="dxa"/>
            <w:vAlign w:val="top"/>
          </w:tcPr>
          <w:p>
            <w:pPr>
              <w:spacing w:line="402" w:lineRule="auto"/>
              <w:rPr>
                <w:rFonts w:ascii="Arial"/>
                <w:sz w:val="21"/>
              </w:rPr>
            </w:pPr>
          </w:p>
          <w:p>
            <w:pPr>
              <w:pStyle w:val="TableText"/>
              <w:spacing w:before="58" w:line="184" w:lineRule="auto"/>
              <w:ind w:left="175"/>
              <w:rPr>
                <w:sz w:val="18"/>
                <w:szCs w:val="18"/>
              </w:rPr>
            </w:pPr>
            <w:r>
              <w:rPr>
                <w:spacing w:val="-1"/>
                <w:sz w:val="18"/>
                <w:szCs w:val="18"/>
              </w:rPr>
              <w:t>2gN</w:t>
            </w:r>
            <w:r>
              <w:rPr>
                <w:rFonts w:ascii="Calibri" w:eastAsia="Calibri" w:hAnsi="Calibri" w:cs="Calibri"/>
                <w:spacing w:val="-1"/>
                <w:sz w:val="18"/>
                <w:szCs w:val="18"/>
              </w:rPr>
              <w:t>₃</w:t>
            </w:r>
            <w:r>
              <w:rPr>
                <w:spacing w:val="-1"/>
                <w:sz w:val="18"/>
                <w:szCs w:val="18"/>
              </w:rPr>
              <w:t>OH+1gNa</w:t>
            </w:r>
            <w:r>
              <w:rPr>
                <w:rFonts w:ascii="Calibri" w:eastAsia="Calibri" w:hAnsi="Calibri" w:cs="Calibri"/>
                <w:spacing w:val="-1"/>
                <w:sz w:val="18"/>
                <w:szCs w:val="18"/>
              </w:rPr>
              <w:t>₁</w:t>
            </w:r>
            <w:r>
              <w:rPr>
                <w:spacing w:val="-1"/>
                <w:sz w:val="18"/>
                <w:szCs w:val="18"/>
              </w:rPr>
              <w:t>O</w:t>
            </w:r>
          </w:p>
        </w:tc>
        <w:tc>
          <w:tcPr>
            <w:tcW w:w="5404" w:type="dxa"/>
            <w:vAlign w:val="top"/>
          </w:tcPr>
          <w:p>
            <w:pPr>
              <w:pStyle w:val="TableText"/>
              <w:spacing w:before="200" w:line="279" w:lineRule="auto"/>
              <w:ind w:left="1521" w:right="100" w:hanging="1440"/>
              <w:rPr>
                <w:sz w:val="18"/>
                <w:szCs w:val="18"/>
              </w:rPr>
            </w:pPr>
            <w:r>
              <w:rPr>
                <w:sz w:val="18"/>
                <w:szCs w:val="18"/>
              </w:rPr>
              <w:t>在电炉上加热，与样品形成很好的流动态；</w:t>
            </w:r>
            <w:r>
              <w:rPr>
                <w:color w:val="8B5800"/>
                <w:sz w:val="18"/>
                <w:szCs w:val="18"/>
              </w:rPr>
              <w:t>1</w:t>
            </w:r>
            <w:r>
              <w:rPr>
                <w:color w:val="8B5800"/>
                <w:spacing w:val="-1"/>
                <w:sz w:val="18"/>
                <w:szCs w:val="18"/>
              </w:rPr>
              <w:t>0分钟</w:t>
            </w:r>
            <w:r>
              <w:rPr>
                <w:spacing w:val="-1"/>
                <w:sz w:val="18"/>
                <w:szCs w:val="18"/>
              </w:rPr>
              <w:t>后于马弗炉熔融</w:t>
            </w:r>
            <w:r>
              <w:rPr>
                <w:sz w:val="18"/>
                <w:szCs w:val="18"/>
              </w:rPr>
              <w:t xml:space="preserve"> </w:t>
            </w:r>
            <w:r>
              <w:rPr>
                <w:spacing w:val="-1"/>
                <w:sz w:val="18"/>
                <w:szCs w:val="18"/>
              </w:rPr>
              <w:t>取出时，熔液呈现棕色融熔态</w:t>
            </w:r>
          </w:p>
        </w:tc>
        <w:tc>
          <w:tcPr>
            <w:tcW w:w="1703" w:type="dxa"/>
            <w:vAlign w:val="top"/>
          </w:tcPr>
          <w:p>
            <w:pPr>
              <w:spacing w:line="336" w:lineRule="auto"/>
              <w:rPr>
                <w:rFonts w:ascii="Arial"/>
                <w:sz w:val="21"/>
              </w:rPr>
            </w:pPr>
          </w:p>
          <w:p>
            <w:pPr>
              <w:pStyle w:val="TableText"/>
              <w:spacing w:before="58" w:line="184" w:lineRule="auto"/>
              <w:ind w:left="667"/>
              <w:rPr>
                <w:sz w:val="18"/>
                <w:szCs w:val="18"/>
              </w:rPr>
            </w:pPr>
            <w:r>
              <w:rPr>
                <w:spacing w:val="-4"/>
                <w:sz w:val="18"/>
                <w:szCs w:val="18"/>
              </w:rPr>
              <w:t>1.37</w:t>
            </w:r>
          </w:p>
        </w:tc>
      </w:tr>
      <w:tr>
        <w:tblPrEx>
          <w:tblW w:w="8820" w:type="dxa"/>
          <w:tblInd w:w="5" w:type="dxa"/>
          <w:tblLayout w:type="fixed"/>
        </w:tblPrEx>
        <w:trPr>
          <w:trHeight w:val="879"/>
        </w:trPr>
        <w:tc>
          <w:tcPr>
            <w:tcW w:w="1713" w:type="dxa"/>
            <w:vAlign w:val="top"/>
          </w:tcPr>
          <w:p>
            <w:pPr>
              <w:spacing w:line="404" w:lineRule="auto"/>
              <w:rPr>
                <w:rFonts w:ascii="Arial"/>
                <w:sz w:val="21"/>
              </w:rPr>
            </w:pPr>
          </w:p>
          <w:p>
            <w:pPr>
              <w:pStyle w:val="TableText"/>
              <w:spacing w:before="59" w:line="183" w:lineRule="auto"/>
              <w:ind w:left="215"/>
              <w:rPr>
                <w:rFonts w:ascii="Calibri" w:eastAsia="Calibri" w:hAnsi="Calibri" w:cs="Calibri"/>
                <w:sz w:val="18"/>
                <w:szCs w:val="18"/>
              </w:rPr>
            </w:pPr>
            <w:r>
              <w:rPr>
                <w:spacing w:val="-1"/>
                <w:sz w:val="18"/>
                <w:szCs w:val="18"/>
              </w:rPr>
              <w:t>2gNaOH+2gNaO</w:t>
            </w:r>
            <w:r>
              <w:rPr>
                <w:rFonts w:ascii="Calibri" w:eastAsia="Calibri" w:hAnsi="Calibri" w:cs="Calibri"/>
                <w:spacing w:val="-1"/>
                <w:sz w:val="18"/>
                <w:szCs w:val="18"/>
              </w:rPr>
              <w:t>₂</w:t>
            </w:r>
          </w:p>
        </w:tc>
        <w:tc>
          <w:tcPr>
            <w:tcW w:w="5404" w:type="dxa"/>
            <w:vAlign w:val="top"/>
          </w:tcPr>
          <w:p>
            <w:pPr>
              <w:pStyle w:val="TableText"/>
              <w:spacing w:before="212" w:line="269" w:lineRule="auto"/>
              <w:ind w:left="351" w:right="101" w:hanging="270"/>
              <w:rPr>
                <w:sz w:val="18"/>
                <w:szCs w:val="18"/>
              </w:rPr>
            </w:pPr>
            <w:r>
              <w:rPr>
                <w:sz w:val="18"/>
                <w:szCs w:val="18"/>
              </w:rPr>
              <w:t>在电炉上加热，与样品形成很好的流动态；</w:t>
            </w:r>
            <w:r>
              <w:rPr>
                <w:color w:val="885600"/>
                <w:spacing w:val="-1"/>
                <w:sz w:val="18"/>
                <w:szCs w:val="18"/>
              </w:rPr>
              <w:t>10分钟后</w:t>
            </w:r>
            <w:r>
              <w:rPr>
                <w:spacing w:val="-1"/>
                <w:sz w:val="18"/>
                <w:szCs w:val="18"/>
              </w:rPr>
              <w:t>于马弗炉熔融</w:t>
            </w:r>
            <w:r>
              <w:rPr>
                <w:sz w:val="18"/>
                <w:szCs w:val="18"/>
              </w:rPr>
              <w:t xml:space="preserve"> </w:t>
            </w:r>
            <w:r>
              <w:rPr>
                <w:spacing w:val="-1"/>
                <w:sz w:val="18"/>
                <w:szCs w:val="18"/>
              </w:rPr>
              <w:t>取出时，熔液呈现黑色融熔态，坩埚壁口有一圈毛刺状晶体</w:t>
            </w:r>
          </w:p>
        </w:tc>
        <w:tc>
          <w:tcPr>
            <w:tcW w:w="1703" w:type="dxa"/>
            <w:vAlign w:val="top"/>
          </w:tcPr>
          <w:p>
            <w:pPr>
              <w:spacing w:line="338" w:lineRule="auto"/>
              <w:rPr>
                <w:rFonts w:ascii="Arial"/>
                <w:sz w:val="21"/>
              </w:rPr>
            </w:pPr>
          </w:p>
          <w:p>
            <w:pPr>
              <w:pStyle w:val="TableText"/>
              <w:spacing w:before="58" w:line="184" w:lineRule="auto"/>
              <w:ind w:left="667"/>
              <w:rPr>
                <w:sz w:val="18"/>
                <w:szCs w:val="18"/>
              </w:rPr>
            </w:pPr>
            <w:r>
              <w:rPr>
                <w:spacing w:val="-4"/>
                <w:sz w:val="18"/>
                <w:szCs w:val="18"/>
              </w:rPr>
              <w:t>1.42</w:t>
            </w:r>
          </w:p>
        </w:tc>
      </w:tr>
      <w:tr>
        <w:tblPrEx>
          <w:tblW w:w="8820" w:type="dxa"/>
          <w:tblInd w:w="5" w:type="dxa"/>
          <w:tblLayout w:type="fixed"/>
        </w:tblPrEx>
        <w:trPr>
          <w:trHeight w:val="878"/>
        </w:trPr>
        <w:tc>
          <w:tcPr>
            <w:tcW w:w="1713" w:type="dxa"/>
            <w:vAlign w:val="top"/>
          </w:tcPr>
          <w:p>
            <w:pPr>
              <w:spacing w:line="396" w:lineRule="auto"/>
              <w:rPr>
                <w:rFonts w:ascii="Arial"/>
                <w:sz w:val="21"/>
              </w:rPr>
            </w:pPr>
          </w:p>
          <w:p>
            <w:pPr>
              <w:pStyle w:val="TableText"/>
              <w:spacing w:before="58" w:line="183" w:lineRule="auto"/>
              <w:ind w:left="125"/>
              <w:rPr>
                <w:rFonts w:ascii="Calibri" w:eastAsia="Calibri" w:hAnsi="Calibri" w:cs="Calibri"/>
                <w:sz w:val="18"/>
                <w:szCs w:val="18"/>
              </w:rPr>
            </w:pPr>
            <w:r>
              <w:rPr>
                <w:spacing w:val="-1"/>
                <w:sz w:val="18"/>
                <w:szCs w:val="18"/>
              </w:rPr>
              <w:t>3gNaOH+2gNa</w:t>
            </w:r>
            <w:r>
              <w:rPr>
                <w:rFonts w:ascii="Calibri" w:eastAsia="Calibri" w:hAnsi="Calibri" w:cs="Calibri"/>
                <w:spacing w:val="-1"/>
                <w:sz w:val="18"/>
                <w:szCs w:val="18"/>
              </w:rPr>
              <w:t>₁</w:t>
            </w:r>
            <w:r>
              <w:rPr>
                <w:spacing w:val="-1"/>
                <w:sz w:val="18"/>
                <w:szCs w:val="18"/>
              </w:rPr>
              <w:t>O</w:t>
            </w:r>
            <w:r>
              <w:rPr>
                <w:rFonts w:ascii="Calibri" w:eastAsia="Calibri" w:hAnsi="Calibri" w:cs="Calibri"/>
                <w:spacing w:val="-1"/>
                <w:sz w:val="18"/>
                <w:szCs w:val="18"/>
              </w:rPr>
              <w:t>₂</w:t>
            </w:r>
          </w:p>
        </w:tc>
        <w:tc>
          <w:tcPr>
            <w:tcW w:w="5404" w:type="dxa"/>
            <w:vAlign w:val="top"/>
          </w:tcPr>
          <w:p>
            <w:pPr>
              <w:pStyle w:val="TableText"/>
              <w:spacing w:before="225" w:line="263" w:lineRule="auto"/>
              <w:ind w:left="351" w:right="98" w:hanging="270"/>
              <w:rPr>
                <w:sz w:val="18"/>
                <w:szCs w:val="18"/>
              </w:rPr>
            </w:pPr>
            <w:r>
              <w:rPr>
                <w:sz w:val="18"/>
                <w:szCs w:val="18"/>
              </w:rPr>
              <w:t>在电炉上加热，与样品形成很好的流动态；10分</w:t>
            </w:r>
            <w:r>
              <w:rPr>
                <w:spacing w:val="-1"/>
                <w:sz w:val="18"/>
                <w:szCs w:val="18"/>
              </w:rPr>
              <w:t>钟后于马弗炉熔融</w:t>
            </w:r>
            <w:r>
              <w:rPr>
                <w:sz w:val="18"/>
                <w:szCs w:val="18"/>
              </w:rPr>
              <w:t xml:space="preserve"> </w:t>
            </w:r>
            <w:r>
              <w:rPr>
                <w:spacing w:val="-1"/>
                <w:sz w:val="18"/>
                <w:szCs w:val="18"/>
              </w:rPr>
              <w:t>取出时，熔液呈现黑色融熔态，坩埚壁口有一圈毛刺状晶体</w:t>
            </w:r>
          </w:p>
        </w:tc>
        <w:tc>
          <w:tcPr>
            <w:tcW w:w="1703" w:type="dxa"/>
            <w:vAlign w:val="top"/>
          </w:tcPr>
          <w:p>
            <w:pPr>
              <w:spacing w:line="339" w:lineRule="auto"/>
              <w:rPr>
                <w:rFonts w:ascii="Arial"/>
                <w:sz w:val="21"/>
              </w:rPr>
            </w:pPr>
          </w:p>
          <w:p>
            <w:pPr>
              <w:pStyle w:val="TableText"/>
              <w:spacing w:before="58" w:line="184" w:lineRule="auto"/>
              <w:ind w:left="667"/>
              <w:rPr>
                <w:sz w:val="18"/>
                <w:szCs w:val="18"/>
              </w:rPr>
            </w:pPr>
            <w:r>
              <w:rPr>
                <w:spacing w:val="-4"/>
                <w:sz w:val="18"/>
                <w:szCs w:val="18"/>
              </w:rPr>
              <w:t>1.40</w:t>
            </w:r>
          </w:p>
        </w:tc>
      </w:tr>
      <w:tr>
        <w:tblPrEx>
          <w:tblW w:w="8820" w:type="dxa"/>
          <w:tblInd w:w="5" w:type="dxa"/>
          <w:tblLayout w:type="fixed"/>
        </w:tblPrEx>
        <w:trPr>
          <w:trHeight w:val="883"/>
        </w:trPr>
        <w:tc>
          <w:tcPr>
            <w:tcW w:w="1713" w:type="dxa"/>
            <w:vAlign w:val="top"/>
          </w:tcPr>
          <w:p>
            <w:pPr>
              <w:spacing w:line="407" w:lineRule="auto"/>
              <w:rPr>
                <w:rFonts w:ascii="Arial"/>
                <w:sz w:val="21"/>
              </w:rPr>
            </w:pPr>
          </w:p>
          <w:p>
            <w:pPr>
              <w:pStyle w:val="TableText"/>
              <w:spacing w:before="59" w:line="183" w:lineRule="auto"/>
              <w:ind w:left="125"/>
              <w:rPr>
                <w:rFonts w:ascii="Calibri" w:eastAsia="Calibri" w:hAnsi="Calibri" w:cs="Calibri"/>
                <w:sz w:val="18"/>
                <w:szCs w:val="18"/>
              </w:rPr>
            </w:pPr>
            <w:r>
              <w:rPr>
                <w:spacing w:val="-1"/>
                <w:sz w:val="18"/>
                <w:szCs w:val="18"/>
              </w:rPr>
              <w:t>4gNaOH+2gNa</w:t>
            </w:r>
            <w:r>
              <w:rPr>
                <w:rFonts w:ascii="Calibri" w:eastAsia="Calibri" w:hAnsi="Calibri" w:cs="Calibri"/>
                <w:spacing w:val="-1"/>
                <w:sz w:val="18"/>
                <w:szCs w:val="18"/>
              </w:rPr>
              <w:t>₂</w:t>
            </w:r>
            <w:r>
              <w:rPr>
                <w:spacing w:val="-1"/>
                <w:sz w:val="18"/>
                <w:szCs w:val="18"/>
              </w:rPr>
              <w:t>O</w:t>
            </w:r>
            <w:r>
              <w:rPr>
                <w:rFonts w:ascii="Calibri" w:eastAsia="Calibri" w:hAnsi="Calibri" w:cs="Calibri"/>
                <w:spacing w:val="-1"/>
                <w:sz w:val="18"/>
                <w:szCs w:val="18"/>
              </w:rPr>
              <w:t>₂</w:t>
            </w:r>
          </w:p>
        </w:tc>
        <w:tc>
          <w:tcPr>
            <w:tcW w:w="5404" w:type="dxa"/>
            <w:vAlign w:val="top"/>
          </w:tcPr>
          <w:p>
            <w:pPr>
              <w:pStyle w:val="TableText"/>
              <w:spacing w:before="215" w:line="274" w:lineRule="auto"/>
              <w:ind w:left="351" w:right="98" w:hanging="270"/>
              <w:rPr>
                <w:sz w:val="18"/>
                <w:szCs w:val="18"/>
              </w:rPr>
            </w:pPr>
            <w:r>
              <w:rPr>
                <w:sz w:val="18"/>
                <w:szCs w:val="18"/>
              </w:rPr>
              <w:t>在电炉上加热，与样品形成很好的流动态；10分</w:t>
            </w:r>
            <w:r>
              <w:rPr>
                <w:spacing w:val="-1"/>
                <w:sz w:val="18"/>
                <w:szCs w:val="18"/>
              </w:rPr>
              <w:t>钟后于马弗炉熔融</w:t>
            </w:r>
            <w:r>
              <w:rPr>
                <w:sz w:val="18"/>
                <w:szCs w:val="18"/>
              </w:rPr>
              <w:t xml:space="preserve"> </w:t>
            </w:r>
            <w:r>
              <w:rPr>
                <w:spacing w:val="-1"/>
                <w:sz w:val="18"/>
                <w:szCs w:val="18"/>
              </w:rPr>
              <w:t>取出时，熔液呈现黑色融熔态，坩埚壁口有一圈毛刺状晶体</w:t>
            </w:r>
          </w:p>
        </w:tc>
        <w:tc>
          <w:tcPr>
            <w:tcW w:w="1703" w:type="dxa"/>
            <w:vAlign w:val="top"/>
          </w:tcPr>
          <w:p>
            <w:pPr>
              <w:spacing w:line="341" w:lineRule="auto"/>
              <w:rPr>
                <w:rFonts w:ascii="Arial"/>
                <w:sz w:val="21"/>
              </w:rPr>
            </w:pPr>
          </w:p>
          <w:p>
            <w:pPr>
              <w:pStyle w:val="TableText"/>
              <w:spacing w:before="58" w:line="184" w:lineRule="auto"/>
              <w:ind w:left="667"/>
              <w:rPr>
                <w:sz w:val="18"/>
                <w:szCs w:val="18"/>
              </w:rPr>
            </w:pPr>
            <w:r>
              <w:rPr>
                <w:spacing w:val="-4"/>
                <w:sz w:val="18"/>
                <w:szCs w:val="18"/>
              </w:rPr>
              <w:t>1.41</w:t>
            </w:r>
          </w:p>
        </w:tc>
      </w:tr>
    </w:tbl>
    <w:p>
      <w:pPr>
        <w:pStyle w:val="BodyText"/>
        <w:spacing w:before="122" w:line="408" w:lineRule="auto"/>
        <w:ind w:left="245" w:right="209" w:firstLine="419"/>
        <w:jc w:val="both"/>
      </w:pPr>
      <w:r>
        <w:rPr>
          <w:spacing w:val="-4"/>
        </w:rPr>
        <w:t>结果表明，当</w:t>
      </w:r>
      <w:r>
        <w:rPr>
          <w:rFonts w:ascii="Times New Roman" w:eastAsia="Times New Roman" w:hAnsi="Times New Roman" w:cs="Times New Roman"/>
          <w:spacing w:val="-4"/>
        </w:rPr>
        <w:t>NaOH</w:t>
      </w:r>
      <w:r>
        <w:rPr>
          <w:rFonts w:ascii="Times New Roman" w:eastAsia="Times New Roman" w:hAnsi="Times New Roman" w:cs="Times New Roman"/>
          <w:spacing w:val="17"/>
        </w:rPr>
        <w:t xml:space="preserve"> </w:t>
      </w:r>
      <w:r>
        <w:rPr>
          <w:spacing w:val="-4"/>
        </w:rPr>
        <w:t>少于4</w:t>
      </w:r>
      <w:r>
        <w:rPr>
          <w:rFonts w:ascii="Times New Roman" w:eastAsia="Times New Roman" w:hAnsi="Times New Roman" w:cs="Times New Roman"/>
          <w:spacing w:val="-4"/>
        </w:rPr>
        <w:t>g</w:t>
      </w:r>
      <w:r>
        <w:rPr>
          <w:rFonts w:ascii="Times New Roman" w:eastAsia="Times New Roman" w:hAnsi="Times New Roman" w:cs="Times New Roman"/>
          <w:spacing w:val="39"/>
        </w:rPr>
        <w:t xml:space="preserve"> </w:t>
      </w:r>
      <w:r>
        <w:rPr>
          <w:spacing w:val="-4"/>
        </w:rPr>
        <w:t>时，样品虽能形成很好的流动状态，但样品熔融不完全</w:t>
      </w:r>
      <w:r>
        <w:rPr>
          <w:spacing w:val="-5"/>
        </w:rPr>
        <w:t>，熔</w:t>
      </w:r>
      <w:r>
        <w:t xml:space="preserve"> </w:t>
      </w:r>
      <w:r>
        <w:rPr>
          <w:spacing w:val="-3"/>
        </w:rPr>
        <w:t>液呈现混浊的棕色状态，当NaOH</w:t>
      </w:r>
      <w:r>
        <w:rPr>
          <w:spacing w:val="37"/>
        </w:rPr>
        <w:t xml:space="preserve"> </w:t>
      </w:r>
      <w:r>
        <w:rPr>
          <w:spacing w:val="-3"/>
        </w:rPr>
        <w:t>含量加到6g</w:t>
      </w:r>
      <w:r>
        <w:rPr>
          <w:spacing w:val="-28"/>
        </w:rPr>
        <w:t xml:space="preserve"> </w:t>
      </w:r>
      <w:r>
        <w:rPr>
          <w:spacing w:val="-3"/>
        </w:rPr>
        <w:t>时，由于碱量太多，高温熔融时</w:t>
      </w:r>
      <w:r>
        <w:rPr>
          <w:spacing w:val="-4"/>
        </w:rPr>
        <w:t>，溢出在镍坩</w:t>
      </w:r>
      <w:r>
        <w:t xml:space="preserve">  </w:t>
      </w:r>
      <w:r>
        <w:rPr>
          <w:spacing w:val="-2"/>
        </w:rPr>
        <w:t>埚壁口形成一圈毛刺状晶体，增大样品溢出的风险。而同时加入2gNaOH+1gNa</w:t>
      </w:r>
      <w:r>
        <w:rPr>
          <w:rFonts w:ascii="Calibri" w:eastAsia="Calibri" w:hAnsi="Calibri" w:cs="Calibri"/>
          <w:spacing w:val="-2"/>
        </w:rPr>
        <w:t>₂</w:t>
      </w:r>
      <w:r>
        <w:rPr>
          <w:spacing w:val="-2"/>
        </w:rPr>
        <w:t>O   熔剂，熔</w:t>
      </w:r>
      <w:r>
        <w:rPr>
          <w:spacing w:val="3"/>
        </w:rPr>
        <w:t xml:space="preserve">  </w:t>
      </w:r>
      <w:r>
        <w:rPr>
          <w:spacing w:val="1"/>
        </w:rPr>
        <w:t>液呈现混浊的棕色状态，加入2</w:t>
      </w:r>
      <w:r>
        <w:rPr>
          <w:rFonts w:ascii="Times New Roman" w:eastAsia="Times New Roman" w:hAnsi="Times New Roman" w:cs="Times New Roman"/>
        </w:rPr>
        <w:t>gNaOH</w:t>
      </w:r>
      <w:r>
        <w:rPr>
          <w:rFonts w:ascii="Times New Roman" w:eastAsia="Times New Roman" w:hAnsi="Times New Roman" w:cs="Times New Roman"/>
          <w:spacing w:val="1"/>
        </w:rPr>
        <w:t>+2</w:t>
      </w:r>
      <w:r>
        <w:rPr>
          <w:rFonts w:ascii="Times New Roman" w:eastAsia="Times New Roman" w:hAnsi="Times New Roman" w:cs="Times New Roman"/>
        </w:rPr>
        <w:t>gNazO</w:t>
      </w:r>
      <w:r>
        <w:rPr>
          <w:rFonts w:ascii="Times New Roman" w:eastAsia="Times New Roman" w:hAnsi="Times New Roman" w:cs="Times New Roman"/>
          <w:spacing w:val="1"/>
        </w:rPr>
        <w:t>₂</w:t>
      </w:r>
      <w:r>
        <w:rPr>
          <w:rFonts w:ascii="Times New Roman" w:eastAsia="Times New Roman" w:hAnsi="Times New Roman" w:cs="Times New Roman"/>
          <w:spacing w:val="-27"/>
        </w:rPr>
        <w:t xml:space="preserve"> </w:t>
      </w:r>
      <w:r>
        <w:rPr>
          <w:spacing w:val="1"/>
        </w:rPr>
        <w:t>、</w:t>
      </w:r>
      <w:r>
        <w:rPr>
          <w:rFonts w:ascii="Times New Roman" w:eastAsia="Times New Roman" w:hAnsi="Times New Roman" w:cs="Times New Roman"/>
          <w:spacing w:val="1"/>
        </w:rPr>
        <w:t>3</w:t>
      </w:r>
      <w:r>
        <w:rPr>
          <w:rFonts w:ascii="Times New Roman" w:eastAsia="Times New Roman" w:hAnsi="Times New Roman" w:cs="Times New Roman"/>
        </w:rPr>
        <w:t>gNaOH</w:t>
      </w:r>
      <w:r>
        <w:rPr>
          <w:rFonts w:ascii="Times New Roman" w:eastAsia="Times New Roman" w:hAnsi="Times New Roman" w:cs="Times New Roman"/>
          <w:spacing w:val="1"/>
        </w:rPr>
        <w:t>+2</w:t>
      </w:r>
      <w:r>
        <w:rPr>
          <w:rFonts w:ascii="Times New Roman" w:eastAsia="Times New Roman" w:hAnsi="Times New Roman" w:cs="Times New Roman"/>
        </w:rPr>
        <w:t>g</w:t>
      </w:r>
      <w:r>
        <w:rPr>
          <w:rFonts w:ascii="Times New Roman" w:eastAsia="Times New Roman" w:hAnsi="Times New Roman" w:cs="Times New Roman"/>
          <w:spacing w:val="40"/>
          <w:w w:val="101"/>
        </w:rPr>
        <w:t xml:space="preserve"> </w:t>
      </w:r>
      <w:r>
        <w:rPr>
          <w:rFonts w:ascii="Times New Roman" w:eastAsia="Times New Roman" w:hAnsi="Times New Roman" w:cs="Times New Roman"/>
        </w:rPr>
        <w:t>Na</w:t>
      </w:r>
      <w:r>
        <w:rPr>
          <w:rFonts w:ascii="Times New Roman" w:eastAsia="Times New Roman" w:hAnsi="Times New Roman" w:cs="Times New Roman"/>
          <w:spacing w:val="1"/>
        </w:rPr>
        <w:t>₂O₂</w:t>
      </w:r>
      <w:r>
        <w:rPr>
          <w:rFonts w:ascii="Times New Roman" w:eastAsia="Times New Roman" w:hAnsi="Times New Roman" w:cs="Times New Roman"/>
          <w:spacing w:val="-30"/>
        </w:rPr>
        <w:t xml:space="preserve"> </w:t>
      </w:r>
      <w:r>
        <w:rPr>
          <w:spacing w:val="1"/>
        </w:rPr>
        <w:t>、</w:t>
      </w:r>
      <w:r>
        <w:rPr>
          <w:rFonts w:ascii="Times New Roman" w:eastAsia="Times New Roman" w:hAnsi="Times New Roman" w:cs="Times New Roman"/>
          <w:spacing w:val="1"/>
        </w:rPr>
        <w:t>4</w:t>
      </w:r>
      <w:r>
        <w:rPr>
          <w:rFonts w:ascii="Times New Roman" w:eastAsia="Times New Roman" w:hAnsi="Times New Roman" w:cs="Times New Roman"/>
        </w:rPr>
        <w:t>gNaOH</w:t>
      </w:r>
      <w:r>
        <w:rPr>
          <w:rFonts w:ascii="Times New Roman" w:eastAsia="Times New Roman" w:hAnsi="Times New Roman" w:cs="Times New Roman"/>
          <w:spacing w:val="1"/>
        </w:rPr>
        <w:t>+2</w:t>
      </w:r>
      <w:r>
        <w:rPr>
          <w:rFonts w:ascii="Times New Roman" w:eastAsia="Times New Roman" w:hAnsi="Times New Roman" w:cs="Times New Roman"/>
        </w:rPr>
        <w:t>g</w:t>
      </w:r>
      <w:r>
        <w:rPr>
          <w:rFonts w:ascii="Times New Roman" w:eastAsia="Times New Roman" w:hAnsi="Times New Roman" w:cs="Times New Roman"/>
          <w:spacing w:val="40"/>
          <w:w w:val="101"/>
        </w:rPr>
        <w:t xml:space="preserve"> </w:t>
      </w:r>
      <w:r>
        <w:rPr>
          <w:rFonts w:ascii="Times New Roman" w:eastAsia="Times New Roman" w:hAnsi="Times New Roman" w:cs="Times New Roman"/>
        </w:rPr>
        <w:t>Na</w:t>
      </w:r>
      <w:r>
        <w:rPr>
          <w:rFonts w:ascii="Times New Roman" w:eastAsia="Times New Roman" w:hAnsi="Times New Roman" w:cs="Times New Roman"/>
          <w:spacing w:val="1"/>
        </w:rPr>
        <w:t>₂O₂</w:t>
      </w:r>
      <w:r>
        <w:rPr>
          <w:rFonts w:ascii="Times New Roman" w:eastAsia="Times New Roman" w:hAnsi="Times New Roman" w:cs="Times New Roman"/>
        </w:rPr>
        <w:t xml:space="preserve">   </w:t>
      </w:r>
      <w:r>
        <w:rPr>
          <w:spacing w:val="-6"/>
        </w:rPr>
        <w:t>熔剂时，在低温电炉板上加热，能与样品形成很好的流动态且10分钟后于马弗炉熔融取出时，</w:t>
      </w:r>
    </w:p>
    <w:p>
      <w:pPr>
        <w:pStyle w:val="BodyText"/>
        <w:spacing w:line="218" w:lineRule="auto"/>
        <w:ind w:left="245"/>
      </w:pPr>
      <w:r>
        <w:t>熔液呈现黑色融熔态，但坩埚壁口会有一圈毛</w:t>
      </w:r>
      <w:r>
        <w:rPr>
          <w:spacing w:val="-1"/>
        </w:rPr>
        <w:t>刺状晶体，增大样品溢出的风险。</w:t>
      </w:r>
    </w:p>
    <w:p>
      <w:pPr>
        <w:pStyle w:val="BodyText"/>
        <w:spacing w:before="245" w:line="413" w:lineRule="auto"/>
        <w:ind w:left="245" w:right="286" w:firstLine="419"/>
        <w:jc w:val="both"/>
      </w:pPr>
      <w:r>
        <w:rPr>
          <w:spacing w:val="1"/>
        </w:rPr>
        <w:t>对比仅加入5</w:t>
      </w:r>
      <w:r>
        <w:t>gNaOH</w:t>
      </w:r>
      <w:r>
        <w:rPr>
          <w:spacing w:val="1"/>
        </w:rPr>
        <w:t xml:space="preserve">  和同时加入3</w:t>
      </w:r>
      <w:r>
        <w:t>gNaOH</w:t>
      </w:r>
      <w:r>
        <w:rPr>
          <w:spacing w:val="42"/>
        </w:rPr>
        <w:t xml:space="preserve"> </w:t>
      </w:r>
      <w:r>
        <w:rPr>
          <w:spacing w:val="1"/>
        </w:rPr>
        <w:t>和2</w:t>
      </w:r>
      <w:r>
        <w:t>gNa</w:t>
      </w:r>
      <w:r>
        <w:rPr>
          <w:rFonts w:ascii="Calibri" w:eastAsia="Calibri" w:hAnsi="Calibri" w:cs="Calibri"/>
          <w:spacing w:val="1"/>
        </w:rPr>
        <w:t>₂</w:t>
      </w:r>
      <w:r>
        <w:rPr>
          <w:spacing w:val="1"/>
        </w:rPr>
        <w:t>O</w:t>
      </w:r>
      <w:r>
        <w:rPr>
          <w:rFonts w:ascii="Calibri" w:eastAsia="Calibri" w:hAnsi="Calibri" w:cs="Calibri"/>
          <w:spacing w:val="1"/>
        </w:rPr>
        <w:t xml:space="preserve">₂ </w:t>
      </w:r>
      <w:r>
        <w:rPr>
          <w:rFonts w:ascii="Calibri" w:eastAsia="Calibri" w:hAnsi="Calibri" w:cs="Calibri"/>
        </w:rPr>
        <w:t xml:space="preserve"> </w:t>
      </w:r>
      <w:r>
        <w:t xml:space="preserve">二种熔剂的熔融效果和4#统一样氟 </w:t>
      </w:r>
      <w:r>
        <w:rPr>
          <w:spacing w:val="3"/>
        </w:rPr>
        <w:t>含量的测定结果，熔融的状态与结果几乎一致，为避免坩埚的腐蚀</w:t>
      </w:r>
      <w:r>
        <w:rPr>
          <w:spacing w:val="2"/>
        </w:rPr>
        <w:t>，所以本实验选择加入</w:t>
      </w:r>
    </w:p>
    <w:p>
      <w:pPr>
        <w:pStyle w:val="BodyText"/>
        <w:spacing w:line="213" w:lineRule="auto"/>
        <w:ind w:left="245"/>
      </w:pPr>
      <w:r>
        <w:rPr>
          <w:color w:val="1988EA"/>
          <w:spacing w:val="-4"/>
        </w:rPr>
        <w:t>5gNaOH</w:t>
      </w:r>
      <w:r>
        <w:rPr>
          <w:color w:val="1988EA"/>
          <w:spacing w:val="57"/>
        </w:rPr>
        <w:t xml:space="preserve"> </w:t>
      </w:r>
      <w:r>
        <w:rPr>
          <w:spacing w:val="-4"/>
        </w:rPr>
        <w:t>作为熔剂。</w:t>
      </w:r>
    </w:p>
    <w:p>
      <w:pPr>
        <w:spacing w:before="222" w:line="221" w:lineRule="auto"/>
        <w:ind w:left="245"/>
        <w:rPr>
          <w:rFonts w:ascii="SimHei" w:eastAsia="SimHei" w:hAnsi="SimHei" w:cs="SimHei"/>
          <w:sz w:val="21"/>
          <w:szCs w:val="21"/>
        </w:rPr>
      </w:pPr>
      <w:r>
        <w:rPr>
          <w:rFonts w:ascii="SimHei" w:eastAsia="SimHei" w:hAnsi="SimHei" w:cs="SimHei"/>
          <w:spacing w:val="-2"/>
          <w:sz w:val="21"/>
          <w:szCs w:val="21"/>
        </w:rPr>
        <w:t>3.2.2</w:t>
      </w:r>
      <w:r>
        <w:rPr>
          <w:rFonts w:ascii="SimHei" w:eastAsia="SimHei" w:hAnsi="SimHei" w:cs="SimHei"/>
          <w:spacing w:val="98"/>
          <w:sz w:val="21"/>
          <w:szCs w:val="21"/>
        </w:rPr>
        <w:t xml:space="preserve"> </w:t>
      </w:r>
      <w:r>
        <w:rPr>
          <w:rFonts w:ascii="SimHei" w:eastAsia="SimHei" w:hAnsi="SimHei" w:cs="SimHei"/>
          <w:spacing w:val="-2"/>
          <w:sz w:val="21"/>
          <w:szCs w:val="21"/>
        </w:rPr>
        <w:t>熔融温度的选择试验</w:t>
      </w:r>
    </w:p>
    <w:p>
      <w:pPr>
        <w:pStyle w:val="BodyText"/>
        <w:spacing w:before="231" w:line="404" w:lineRule="auto"/>
        <w:ind w:left="245" w:right="210" w:firstLine="419"/>
        <w:jc w:val="both"/>
      </w:pPr>
      <w:r>
        <w:rPr>
          <w:spacing w:val="-6"/>
        </w:rPr>
        <w:t>为探究实验的最佳温度，在保持其他条件不变的情况下，设置600 ℃、650 ℃、700</w:t>
      </w:r>
      <w:r>
        <w:rPr>
          <w:spacing w:val="28"/>
        </w:rPr>
        <w:t xml:space="preserve"> </w:t>
      </w:r>
      <w:r>
        <w:rPr>
          <w:spacing w:val="-6"/>
        </w:rPr>
        <w:t>℃、</w:t>
      </w:r>
      <w:r>
        <w:t xml:space="preserve"> </w:t>
      </w:r>
      <w:r>
        <w:rPr>
          <w:spacing w:val="-3"/>
        </w:rPr>
        <w:t>750 ℃这4个熔融温度，用1#和4#统一样进行试验，结果如表4所示。结果表明，熔融温度过</w:t>
      </w:r>
      <w:r>
        <w:rPr>
          <w:spacing w:val="6"/>
        </w:rPr>
        <w:t xml:space="preserve">  </w:t>
      </w:r>
      <w:r>
        <w:rPr>
          <w:spacing w:val="-3"/>
        </w:rPr>
        <w:t>低，会使样品溶解不完全，试验所得结果偏低，当熔融温度达到700 ℃时，结果已稳定，考</w:t>
      </w:r>
    </w:p>
    <w:p>
      <w:pPr>
        <w:pStyle w:val="BodyText"/>
        <w:spacing w:before="1" w:line="218" w:lineRule="auto"/>
        <w:ind w:left="245"/>
      </w:pPr>
      <w:r>
        <w:rPr>
          <w:spacing w:val="2"/>
        </w:rPr>
        <w:t>虑熔融温度对镍坩埚的腐蚀性，本方法选择700℃熔融温度进行测定。</w:t>
      </w:r>
    </w:p>
    <w:p>
      <w:pPr>
        <w:spacing w:line="250" w:lineRule="auto"/>
        <w:rPr>
          <w:rFonts w:ascii="Arial"/>
          <w:sz w:val="21"/>
        </w:rPr>
      </w:pPr>
    </w:p>
    <w:p>
      <w:pPr>
        <w:spacing w:before="68" w:line="221" w:lineRule="auto"/>
        <w:ind w:left="3284"/>
        <w:rPr>
          <w:rFonts w:ascii="SimHei" w:eastAsia="SimHei" w:hAnsi="SimHei" w:cs="SimHei"/>
          <w:sz w:val="21"/>
          <w:szCs w:val="21"/>
        </w:rPr>
      </w:pPr>
      <w:r>
        <w:rPr>
          <w:rFonts w:ascii="SimHei" w:eastAsia="SimHei" w:hAnsi="SimHei" w:cs="SimHei"/>
          <w:spacing w:val="-2"/>
          <w:sz w:val="21"/>
          <w:szCs w:val="21"/>
        </w:rPr>
        <w:t>表4</w:t>
      </w:r>
      <w:r>
        <w:rPr>
          <w:rFonts w:ascii="SimHei" w:eastAsia="SimHei" w:hAnsi="SimHei" w:cs="SimHei"/>
          <w:spacing w:val="-2"/>
          <w:sz w:val="21"/>
          <w:szCs w:val="21"/>
        </w:rPr>
        <w:t xml:space="preserve"> </w:t>
      </w:r>
      <w:r>
        <w:rPr>
          <w:rFonts w:ascii="SimHei" w:eastAsia="SimHei" w:hAnsi="SimHei" w:cs="SimHei"/>
          <w:spacing w:val="-2"/>
          <w:sz w:val="21"/>
          <w:szCs w:val="21"/>
        </w:rPr>
        <w:t>熔融温度的选择试验</w:t>
      </w:r>
    </w:p>
    <w:p>
      <w:pPr>
        <w:spacing w:line="77" w:lineRule="exact"/>
        <w:sectPr>
          <w:pgSz w:w="11900" w:h="16830"/>
          <w:pgMar w:top="1425" w:right="1534" w:bottom="0" w:left="1534" w:header="0" w:footer="0" w:gutter="0"/>
          <w:pgNumType w:start="7"/>
          <w:cols w:space="708"/>
        </w:sectPr>
      </w:pPr>
    </w:p>
    <w:tbl>
      <w:tblPr>
        <w:tblStyle w:val="TableNormal5"/>
        <w:tblW w:w="831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53"/>
        <w:gridCol w:w="6657"/>
      </w:tblGrid>
      <w:tr>
        <w:tblPrEx>
          <w:tblW w:w="831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0"/>
        </w:trPr>
        <w:tc>
          <w:tcPr>
            <w:tcW w:w="1653" w:type="dxa"/>
            <w:vAlign w:val="top"/>
          </w:tcPr>
          <w:p>
            <w:pPr>
              <w:pStyle w:val="TableText"/>
              <w:spacing w:before="243" w:line="219" w:lineRule="auto"/>
              <w:ind w:left="614"/>
              <w:rPr>
                <w:sz w:val="21"/>
                <w:szCs w:val="21"/>
              </w:rPr>
            </w:pPr>
            <w:r>
              <w:rPr>
                <w:spacing w:val="10"/>
                <w:sz w:val="21"/>
                <w:szCs w:val="21"/>
              </w:rPr>
              <w:t>样品</w:t>
            </w:r>
          </w:p>
        </w:tc>
        <w:tc>
          <w:tcPr>
            <w:tcW w:w="6657" w:type="dxa"/>
            <w:vAlign w:val="top"/>
          </w:tcPr>
          <w:p>
            <w:pPr>
              <w:pStyle w:val="TableText"/>
              <w:spacing w:before="243" w:line="219" w:lineRule="auto"/>
              <w:ind w:left="2782"/>
              <w:rPr>
                <w:sz w:val="21"/>
                <w:szCs w:val="21"/>
              </w:rPr>
            </w:pPr>
            <w:r>
              <w:rPr>
                <w:spacing w:val="6"/>
                <w:sz w:val="21"/>
                <w:szCs w:val="21"/>
              </w:rPr>
              <w:t>测定值(%)</w:t>
            </w:r>
          </w:p>
        </w:tc>
      </w:tr>
    </w:tbl>
    <w:p>
      <w:pPr>
        <w:rPr>
          <w:rFonts w:ascii="Arial"/>
          <w:sz w:val="21"/>
        </w:rPr>
      </w:pPr>
    </w:p>
    <w:p>
      <w:pPr>
        <w:rPr>
          <w:rFonts w:ascii="Arial" w:eastAsia="Arial" w:hAnsi="Arial" w:cs="Arial"/>
          <w:sz w:val="21"/>
          <w:szCs w:val="21"/>
        </w:rPr>
        <w:sectPr>
          <w:type w:val="nextPage"/>
          <w:pgSz w:w="11900" w:h="16830"/>
          <w:pgMar w:top="1425" w:right="1534" w:bottom="0" w:left="1534" w:header="0" w:footer="0" w:gutter="0"/>
          <w:pgNumType w:start="8"/>
          <w:cols w:space="708"/>
          <w:titlePg w:val="0"/>
        </w:sectPr>
      </w:pPr>
    </w:p>
    <w:tbl>
      <w:tblPr>
        <w:tblStyle w:val="TableNormal6"/>
        <w:tblW w:w="8300" w:type="dxa"/>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43"/>
        <w:gridCol w:w="1658"/>
        <w:gridCol w:w="1668"/>
        <w:gridCol w:w="1658"/>
        <w:gridCol w:w="1673"/>
      </w:tblGrid>
      <w:tr>
        <w:tblPrEx>
          <w:tblW w:w="8300" w:type="dxa"/>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1"/>
        </w:trPr>
        <w:tc>
          <w:tcPr>
            <w:tcW w:w="1643" w:type="dxa"/>
            <w:vAlign w:val="top"/>
          </w:tcPr>
          <w:p>
            <w:pPr>
              <w:rPr>
                <w:rFonts w:ascii="Arial"/>
                <w:sz w:val="21"/>
              </w:rPr>
            </w:pPr>
          </w:p>
        </w:tc>
        <w:tc>
          <w:tcPr>
            <w:tcW w:w="1658" w:type="dxa"/>
            <w:vAlign w:val="top"/>
          </w:tcPr>
          <w:p>
            <w:pPr>
              <w:pStyle w:val="TableText"/>
              <w:spacing w:before="271" w:line="237" w:lineRule="auto"/>
              <w:ind w:left="531"/>
            </w:pPr>
            <w:r>
              <w:rPr>
                <w:spacing w:val="-3"/>
              </w:rPr>
              <w:t>600</w:t>
            </w:r>
            <w:r>
              <w:rPr>
                <w:spacing w:val="58"/>
              </w:rPr>
              <w:t xml:space="preserve"> </w:t>
            </w:r>
            <w:r>
              <w:rPr>
                <w:spacing w:val="-3"/>
              </w:rPr>
              <w:t>℃</w:t>
            </w:r>
          </w:p>
        </w:tc>
        <w:tc>
          <w:tcPr>
            <w:tcW w:w="1668" w:type="dxa"/>
            <w:vAlign w:val="top"/>
          </w:tcPr>
          <w:p>
            <w:pPr>
              <w:pStyle w:val="TableText"/>
              <w:spacing w:before="271" w:line="237" w:lineRule="auto"/>
              <w:ind w:left="583"/>
            </w:pPr>
            <w:r>
              <w:rPr>
                <w:spacing w:val="-2"/>
              </w:rPr>
              <w:t>650℃</w:t>
            </w:r>
          </w:p>
        </w:tc>
        <w:tc>
          <w:tcPr>
            <w:tcW w:w="1658" w:type="dxa"/>
            <w:vAlign w:val="top"/>
          </w:tcPr>
          <w:p>
            <w:pPr>
              <w:pStyle w:val="TableText"/>
              <w:spacing w:before="211" w:line="237" w:lineRule="auto"/>
              <w:ind w:left="586"/>
            </w:pPr>
            <w:r>
              <w:rPr>
                <w:spacing w:val="-2"/>
              </w:rPr>
              <w:t>700℃</w:t>
            </w:r>
          </w:p>
        </w:tc>
        <w:tc>
          <w:tcPr>
            <w:tcW w:w="1673" w:type="dxa"/>
            <w:vAlign w:val="top"/>
          </w:tcPr>
          <w:p>
            <w:pPr>
              <w:pStyle w:val="TableText"/>
              <w:spacing w:before="211" w:line="237" w:lineRule="auto"/>
              <w:ind w:left="587"/>
            </w:pPr>
            <w:r>
              <w:rPr>
                <w:spacing w:val="-2"/>
              </w:rPr>
              <w:t>750℃</w:t>
            </w:r>
          </w:p>
        </w:tc>
      </w:tr>
      <w:tr>
        <w:tblPrEx>
          <w:tblW w:w="8300" w:type="dxa"/>
          <w:tblInd w:w="124" w:type="dxa"/>
          <w:tblLayout w:type="fixed"/>
        </w:tblPrEx>
        <w:trPr>
          <w:trHeight w:val="537"/>
        </w:trPr>
        <w:tc>
          <w:tcPr>
            <w:tcW w:w="1643" w:type="dxa"/>
            <w:vAlign w:val="top"/>
          </w:tcPr>
          <w:p>
            <w:pPr>
              <w:pStyle w:val="TableText"/>
              <w:spacing w:before="289" w:line="184" w:lineRule="auto"/>
              <w:ind w:left="715"/>
            </w:pPr>
            <w:r>
              <w:rPr>
                <w:spacing w:val="-6"/>
              </w:rPr>
              <w:t>1#</w:t>
            </w:r>
          </w:p>
        </w:tc>
        <w:tc>
          <w:tcPr>
            <w:tcW w:w="1658" w:type="dxa"/>
            <w:vAlign w:val="top"/>
          </w:tcPr>
          <w:p>
            <w:pPr>
              <w:pStyle w:val="TableText"/>
              <w:spacing w:before="280" w:line="183" w:lineRule="auto"/>
              <w:ind w:left="582"/>
            </w:pPr>
            <w:r>
              <w:rPr>
                <w:spacing w:val="-2"/>
              </w:rPr>
              <w:t>0.032</w:t>
            </w:r>
          </w:p>
        </w:tc>
        <w:tc>
          <w:tcPr>
            <w:tcW w:w="1668" w:type="dxa"/>
            <w:vAlign w:val="top"/>
          </w:tcPr>
          <w:p>
            <w:pPr>
              <w:pStyle w:val="TableText"/>
              <w:spacing w:before="280" w:line="183" w:lineRule="auto"/>
              <w:ind w:left="583"/>
            </w:pPr>
            <w:r>
              <w:rPr>
                <w:spacing w:val="-2"/>
              </w:rPr>
              <w:t>0.037</w:t>
            </w:r>
          </w:p>
        </w:tc>
        <w:tc>
          <w:tcPr>
            <w:tcW w:w="1658" w:type="dxa"/>
            <w:vAlign w:val="top"/>
          </w:tcPr>
          <w:p>
            <w:pPr>
              <w:pStyle w:val="TableText"/>
              <w:spacing w:before="280" w:line="183" w:lineRule="auto"/>
              <w:ind w:left="586"/>
            </w:pPr>
            <w:r>
              <w:rPr>
                <w:spacing w:val="-2"/>
              </w:rPr>
              <w:t>0.039</w:t>
            </w:r>
          </w:p>
        </w:tc>
        <w:tc>
          <w:tcPr>
            <w:tcW w:w="1673" w:type="dxa"/>
            <w:vAlign w:val="top"/>
          </w:tcPr>
          <w:p>
            <w:pPr>
              <w:pStyle w:val="TableText"/>
              <w:spacing w:before="280" w:line="183" w:lineRule="auto"/>
              <w:ind w:left="587"/>
            </w:pPr>
            <w:r>
              <w:rPr>
                <w:spacing w:val="-2"/>
              </w:rPr>
              <w:t>0.038</w:t>
            </w:r>
          </w:p>
        </w:tc>
      </w:tr>
      <w:tr>
        <w:tblPrEx>
          <w:tblW w:w="8300" w:type="dxa"/>
          <w:tblInd w:w="124" w:type="dxa"/>
          <w:tblLayout w:type="fixed"/>
        </w:tblPrEx>
        <w:trPr>
          <w:trHeight w:val="531"/>
        </w:trPr>
        <w:tc>
          <w:tcPr>
            <w:tcW w:w="1643" w:type="dxa"/>
            <w:vAlign w:val="top"/>
          </w:tcPr>
          <w:p>
            <w:pPr>
              <w:rPr>
                <w:rFonts w:ascii="Arial"/>
                <w:sz w:val="21"/>
              </w:rPr>
            </w:pPr>
          </w:p>
          <w:p>
            <w:pPr>
              <w:pStyle w:val="TableText"/>
              <w:spacing w:before="62" w:line="183" w:lineRule="auto"/>
              <w:ind w:left="715"/>
            </w:pPr>
            <w:r>
              <w:rPr>
                <w:spacing w:val="-2"/>
              </w:rPr>
              <w:t>4#</w:t>
            </w:r>
          </w:p>
        </w:tc>
        <w:tc>
          <w:tcPr>
            <w:tcW w:w="1658" w:type="dxa"/>
            <w:vAlign w:val="top"/>
          </w:tcPr>
          <w:p>
            <w:pPr>
              <w:pStyle w:val="TableText"/>
              <w:spacing w:before="292" w:line="184" w:lineRule="auto"/>
              <w:ind w:left="632"/>
            </w:pPr>
            <w:r>
              <w:rPr>
                <w:spacing w:val="-5"/>
              </w:rPr>
              <w:t>1.36</w:t>
            </w:r>
          </w:p>
        </w:tc>
        <w:tc>
          <w:tcPr>
            <w:tcW w:w="1668" w:type="dxa"/>
            <w:vAlign w:val="top"/>
          </w:tcPr>
          <w:p>
            <w:pPr>
              <w:pStyle w:val="TableText"/>
              <w:spacing w:before="282" w:line="184" w:lineRule="auto"/>
              <w:ind w:left="633"/>
            </w:pPr>
            <w:r>
              <w:rPr>
                <w:spacing w:val="-5"/>
              </w:rPr>
              <w:t>1.42</w:t>
            </w:r>
          </w:p>
        </w:tc>
        <w:tc>
          <w:tcPr>
            <w:tcW w:w="1658" w:type="dxa"/>
            <w:vAlign w:val="top"/>
          </w:tcPr>
          <w:p>
            <w:pPr>
              <w:pStyle w:val="TableText"/>
              <w:spacing w:before="292" w:line="184" w:lineRule="auto"/>
              <w:ind w:left="636"/>
            </w:pPr>
            <w:r>
              <w:rPr>
                <w:spacing w:val="-5"/>
              </w:rPr>
              <w:t>1.42</w:t>
            </w:r>
          </w:p>
        </w:tc>
        <w:tc>
          <w:tcPr>
            <w:tcW w:w="1673" w:type="dxa"/>
            <w:vAlign w:val="top"/>
          </w:tcPr>
          <w:p>
            <w:pPr>
              <w:pStyle w:val="TableText"/>
              <w:spacing w:before="292" w:line="184" w:lineRule="auto"/>
              <w:ind w:left="638"/>
            </w:pPr>
            <w:r>
              <w:rPr>
                <w:spacing w:val="-5"/>
              </w:rPr>
              <w:t>1.40</w:t>
            </w:r>
          </w:p>
        </w:tc>
      </w:tr>
    </w:tbl>
    <w:p>
      <w:pPr>
        <w:spacing w:before="112" w:line="221" w:lineRule="auto"/>
        <w:ind w:left="104"/>
        <w:rPr>
          <w:rFonts w:ascii="SimHei" w:eastAsia="SimHei" w:hAnsi="SimHei" w:cs="SimHei"/>
          <w:sz w:val="22"/>
          <w:szCs w:val="22"/>
        </w:rPr>
      </w:pPr>
      <w:r>
        <w:rPr>
          <w:rFonts w:ascii="SimHei" w:eastAsia="SimHei" w:hAnsi="SimHei" w:cs="SimHei"/>
          <w:spacing w:val="-8"/>
          <w:sz w:val="22"/>
          <w:szCs w:val="22"/>
        </w:rPr>
        <w:t>3.2.3</w:t>
      </w:r>
      <w:r>
        <w:rPr>
          <w:rFonts w:ascii="SimHei" w:eastAsia="SimHei" w:hAnsi="SimHei" w:cs="SimHei"/>
          <w:spacing w:val="90"/>
          <w:sz w:val="22"/>
          <w:szCs w:val="22"/>
        </w:rPr>
        <w:t xml:space="preserve"> </w:t>
      </w:r>
      <w:r>
        <w:rPr>
          <w:rFonts w:ascii="SimHei" w:eastAsia="SimHei" w:hAnsi="SimHei" w:cs="SimHei"/>
          <w:spacing w:val="-8"/>
          <w:sz w:val="22"/>
          <w:szCs w:val="22"/>
        </w:rPr>
        <w:t>熔融时间的选择试验</w:t>
      </w:r>
    </w:p>
    <w:p>
      <w:pPr>
        <w:pStyle w:val="BodyText"/>
        <w:spacing w:before="207" w:line="219" w:lineRule="auto"/>
        <w:ind w:left="524"/>
        <w:rPr>
          <w:sz w:val="22"/>
          <w:szCs w:val="22"/>
        </w:rPr>
      </w:pPr>
      <w:r>
        <w:rPr>
          <w:spacing w:val="-8"/>
          <w:sz w:val="22"/>
          <w:szCs w:val="22"/>
        </w:rPr>
        <w:t xml:space="preserve">为探究最佳的熔融时间，设定了四个时间，分别为5min、10 min、15min、20 </w:t>
      </w:r>
      <w:r>
        <w:rPr>
          <w:spacing w:val="-9"/>
          <w:sz w:val="22"/>
          <w:szCs w:val="22"/>
        </w:rPr>
        <w:t>min。对</w:t>
      </w:r>
    </w:p>
    <w:p>
      <w:pPr>
        <w:pStyle w:val="BodyText"/>
        <w:spacing w:before="220" w:line="219" w:lineRule="auto"/>
        <w:ind w:left="104"/>
        <w:rPr>
          <w:sz w:val="22"/>
          <w:szCs w:val="22"/>
        </w:rPr>
      </w:pPr>
      <w:r>
        <w:rPr>
          <w:spacing w:val="-13"/>
          <w:sz w:val="22"/>
          <w:szCs w:val="22"/>
        </w:rPr>
        <w:t>1-4#统一样品进行测定，结果如表5所示。</w:t>
      </w:r>
    </w:p>
    <w:p>
      <w:pPr>
        <w:spacing w:before="126" w:line="221" w:lineRule="auto"/>
        <w:ind w:left="3134"/>
        <w:rPr>
          <w:rFonts w:ascii="SimHei" w:eastAsia="SimHei" w:hAnsi="SimHei" w:cs="SimHei"/>
          <w:sz w:val="22"/>
          <w:szCs w:val="22"/>
        </w:rPr>
      </w:pPr>
      <w:r>
        <w:rPr>
          <w:rFonts w:ascii="SimHei" w:eastAsia="SimHei" w:hAnsi="SimHei" w:cs="SimHei"/>
          <w:spacing w:val="-11"/>
          <w:sz w:val="22"/>
          <w:szCs w:val="22"/>
        </w:rPr>
        <w:t>表5</w:t>
      </w:r>
      <w:r>
        <w:rPr>
          <w:rFonts w:ascii="SimHei" w:eastAsia="SimHei" w:hAnsi="SimHei" w:cs="SimHei"/>
          <w:spacing w:val="-11"/>
          <w:sz w:val="22"/>
          <w:szCs w:val="22"/>
        </w:rPr>
        <w:t xml:space="preserve"> </w:t>
      </w:r>
      <w:r>
        <w:rPr>
          <w:rFonts w:ascii="SimHei" w:eastAsia="SimHei" w:hAnsi="SimHei" w:cs="SimHei"/>
          <w:spacing w:val="-11"/>
          <w:sz w:val="22"/>
          <w:szCs w:val="22"/>
        </w:rPr>
        <w:t>熔融时间的选择试验</w:t>
      </w:r>
    </w:p>
    <w:p>
      <w:pPr>
        <w:spacing w:line="14" w:lineRule="exact"/>
      </w:pPr>
    </w:p>
    <w:tbl>
      <w:tblPr>
        <w:tblStyle w:val="TableNormal6"/>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53"/>
        <w:gridCol w:w="1608"/>
        <w:gridCol w:w="1878"/>
        <w:gridCol w:w="1917"/>
        <w:gridCol w:w="1763"/>
      </w:tblGrid>
      <w:tr>
        <w:tblPrEx>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3"/>
        </w:trPr>
        <w:tc>
          <w:tcPr>
            <w:tcW w:w="1353" w:type="dxa"/>
            <w:vMerge w:val="restart"/>
            <w:tcBorders>
              <w:bottom w:val="nil"/>
            </w:tcBorders>
            <w:vAlign w:val="top"/>
          </w:tcPr>
          <w:p>
            <w:pPr>
              <w:spacing w:line="250" w:lineRule="auto"/>
              <w:rPr>
                <w:rFonts w:ascii="Arial"/>
                <w:sz w:val="21"/>
              </w:rPr>
            </w:pPr>
          </w:p>
          <w:p>
            <w:pPr>
              <w:spacing w:line="250" w:lineRule="auto"/>
              <w:rPr>
                <w:rFonts w:ascii="Arial"/>
                <w:sz w:val="21"/>
              </w:rPr>
            </w:pPr>
          </w:p>
          <w:p>
            <w:pPr>
              <w:pStyle w:val="TableText"/>
              <w:spacing w:before="59" w:line="219" w:lineRule="auto"/>
              <w:ind w:left="484"/>
              <w:rPr>
                <w:sz w:val="18"/>
                <w:szCs w:val="18"/>
              </w:rPr>
            </w:pPr>
            <w:r>
              <w:rPr>
                <w:spacing w:val="9"/>
                <w:sz w:val="18"/>
                <w:szCs w:val="18"/>
              </w:rPr>
              <w:t>样品</w:t>
            </w:r>
          </w:p>
        </w:tc>
        <w:tc>
          <w:tcPr>
            <w:tcW w:w="7166" w:type="dxa"/>
            <w:gridSpan w:val="4"/>
            <w:vAlign w:val="top"/>
          </w:tcPr>
          <w:p>
            <w:pPr>
              <w:spacing w:line="292" w:lineRule="auto"/>
              <w:rPr>
                <w:rFonts w:ascii="Arial"/>
                <w:sz w:val="21"/>
              </w:rPr>
            </w:pPr>
          </w:p>
          <w:p>
            <w:pPr>
              <w:pStyle w:val="TableText"/>
              <w:spacing w:before="58" w:line="219" w:lineRule="auto"/>
              <w:ind w:left="3052"/>
              <w:rPr>
                <w:sz w:val="18"/>
                <w:szCs w:val="18"/>
              </w:rPr>
            </w:pPr>
            <w:r>
              <w:rPr>
                <w:spacing w:val="6"/>
                <w:sz w:val="18"/>
                <w:szCs w:val="18"/>
              </w:rPr>
              <w:t>则定值(%)</w:t>
            </w:r>
          </w:p>
        </w:tc>
      </w:tr>
      <w:tr>
        <w:tblPrEx>
          <w:tblW w:w="8519" w:type="dxa"/>
          <w:tblInd w:w="5" w:type="dxa"/>
          <w:tblLayout w:type="fixed"/>
        </w:tblPrEx>
        <w:trPr>
          <w:trHeight w:val="538"/>
        </w:trPr>
        <w:tc>
          <w:tcPr>
            <w:tcW w:w="1353" w:type="dxa"/>
            <w:vMerge/>
            <w:tcBorders>
              <w:top w:val="nil"/>
            </w:tcBorders>
            <w:vAlign w:val="top"/>
          </w:tcPr>
          <w:p>
            <w:pPr>
              <w:rPr>
                <w:rFonts w:ascii="Arial"/>
                <w:sz w:val="21"/>
              </w:rPr>
            </w:pPr>
          </w:p>
        </w:tc>
        <w:tc>
          <w:tcPr>
            <w:tcW w:w="1608" w:type="dxa"/>
            <w:vAlign w:val="top"/>
          </w:tcPr>
          <w:p>
            <w:pPr>
              <w:pStyle w:val="TableText"/>
              <w:spacing w:before="275" w:line="183" w:lineRule="auto"/>
              <w:ind w:left="611"/>
              <w:rPr>
                <w:sz w:val="18"/>
                <w:szCs w:val="18"/>
              </w:rPr>
            </w:pPr>
            <w:r>
              <w:rPr>
                <w:spacing w:val="-2"/>
                <w:sz w:val="18"/>
                <w:szCs w:val="18"/>
              </w:rPr>
              <w:t>5min</w:t>
            </w:r>
          </w:p>
        </w:tc>
        <w:tc>
          <w:tcPr>
            <w:tcW w:w="1878" w:type="dxa"/>
            <w:vAlign w:val="top"/>
          </w:tcPr>
          <w:p>
            <w:pPr>
              <w:pStyle w:val="TableText"/>
              <w:spacing w:before="246"/>
              <w:ind w:left="663"/>
              <w:rPr>
                <w:sz w:val="18"/>
                <w:szCs w:val="18"/>
              </w:rPr>
            </w:pPr>
            <w:r>
              <w:rPr>
                <w:spacing w:val="-5"/>
                <w:sz w:val="18"/>
                <w:szCs w:val="18"/>
              </w:rPr>
              <w:t>10</w:t>
            </w:r>
            <w:r>
              <w:rPr>
                <w:spacing w:val="25"/>
                <w:sz w:val="18"/>
                <w:szCs w:val="18"/>
              </w:rPr>
              <w:t xml:space="preserve"> </w:t>
            </w:r>
            <w:r>
              <w:rPr>
                <w:spacing w:val="-5"/>
                <w:sz w:val="18"/>
                <w:szCs w:val="18"/>
              </w:rPr>
              <w:t>mim</w:t>
            </w:r>
          </w:p>
        </w:tc>
        <w:tc>
          <w:tcPr>
            <w:tcW w:w="1917" w:type="dxa"/>
            <w:vAlign w:val="top"/>
          </w:tcPr>
          <w:p>
            <w:pPr>
              <w:pStyle w:val="TableText"/>
              <w:spacing w:before="246"/>
              <w:ind w:left="685"/>
              <w:rPr>
                <w:sz w:val="18"/>
                <w:szCs w:val="18"/>
              </w:rPr>
            </w:pPr>
            <w:r>
              <w:rPr>
                <w:spacing w:val="-5"/>
                <w:sz w:val="18"/>
                <w:szCs w:val="18"/>
              </w:rPr>
              <w:t>15</w:t>
            </w:r>
            <w:r>
              <w:rPr>
                <w:spacing w:val="30"/>
                <w:sz w:val="18"/>
                <w:szCs w:val="18"/>
              </w:rPr>
              <w:t xml:space="preserve"> </w:t>
            </w:r>
            <w:r>
              <w:rPr>
                <w:spacing w:val="-5"/>
                <w:sz w:val="18"/>
                <w:szCs w:val="18"/>
              </w:rPr>
              <w:t>min</w:t>
            </w:r>
          </w:p>
        </w:tc>
        <w:tc>
          <w:tcPr>
            <w:tcW w:w="1763" w:type="dxa"/>
            <w:vAlign w:val="top"/>
          </w:tcPr>
          <w:p>
            <w:pPr>
              <w:pStyle w:val="TableText"/>
              <w:spacing w:before="225" w:line="183" w:lineRule="auto"/>
              <w:ind w:left="649"/>
              <w:rPr>
                <w:sz w:val="18"/>
                <w:szCs w:val="18"/>
              </w:rPr>
            </w:pPr>
            <w:r>
              <w:rPr>
                <w:spacing w:val="-2"/>
                <w:sz w:val="18"/>
                <w:szCs w:val="18"/>
              </w:rPr>
              <w:t>20min</w:t>
            </w:r>
          </w:p>
        </w:tc>
      </w:tr>
      <w:tr>
        <w:tblPrEx>
          <w:tblW w:w="8519" w:type="dxa"/>
          <w:tblInd w:w="5" w:type="dxa"/>
          <w:tblLayout w:type="fixed"/>
        </w:tblPrEx>
        <w:trPr>
          <w:trHeight w:val="548"/>
        </w:trPr>
        <w:tc>
          <w:tcPr>
            <w:tcW w:w="1353" w:type="dxa"/>
            <w:vAlign w:val="top"/>
          </w:tcPr>
          <w:p>
            <w:pPr>
              <w:pStyle w:val="TableText"/>
              <w:spacing w:before="296" w:line="184" w:lineRule="auto"/>
              <w:ind w:left="575"/>
              <w:rPr>
                <w:sz w:val="18"/>
                <w:szCs w:val="18"/>
              </w:rPr>
            </w:pPr>
            <w:r>
              <w:rPr>
                <w:spacing w:val="-6"/>
                <w:sz w:val="18"/>
                <w:szCs w:val="18"/>
              </w:rPr>
              <w:t>1#</w:t>
            </w:r>
          </w:p>
        </w:tc>
        <w:tc>
          <w:tcPr>
            <w:tcW w:w="1608" w:type="dxa"/>
            <w:vAlign w:val="top"/>
          </w:tcPr>
          <w:p>
            <w:pPr>
              <w:pStyle w:val="TableText"/>
              <w:spacing w:before="287" w:line="183" w:lineRule="auto"/>
              <w:ind w:left="571"/>
              <w:rPr>
                <w:sz w:val="18"/>
                <w:szCs w:val="18"/>
              </w:rPr>
            </w:pPr>
            <w:r>
              <w:rPr>
                <w:spacing w:val="-2"/>
                <w:sz w:val="18"/>
                <w:szCs w:val="18"/>
              </w:rPr>
              <w:t>0.035</w:t>
            </w:r>
          </w:p>
        </w:tc>
        <w:tc>
          <w:tcPr>
            <w:tcW w:w="1878" w:type="dxa"/>
            <w:vAlign w:val="top"/>
          </w:tcPr>
          <w:p>
            <w:pPr>
              <w:pStyle w:val="TableText"/>
              <w:spacing w:before="297" w:line="183" w:lineRule="auto"/>
              <w:ind w:left="703"/>
              <w:rPr>
                <w:sz w:val="18"/>
                <w:szCs w:val="18"/>
              </w:rPr>
            </w:pPr>
            <w:r>
              <w:rPr>
                <w:spacing w:val="-2"/>
                <w:sz w:val="18"/>
                <w:szCs w:val="18"/>
              </w:rPr>
              <w:t>0.038</w:t>
            </w:r>
          </w:p>
        </w:tc>
        <w:tc>
          <w:tcPr>
            <w:tcW w:w="1917" w:type="dxa"/>
            <w:vAlign w:val="top"/>
          </w:tcPr>
          <w:p>
            <w:pPr>
              <w:pStyle w:val="TableText"/>
              <w:spacing w:before="287" w:line="183" w:lineRule="auto"/>
              <w:ind w:left="725"/>
              <w:rPr>
                <w:sz w:val="18"/>
                <w:szCs w:val="18"/>
              </w:rPr>
            </w:pPr>
            <w:r>
              <w:rPr>
                <w:spacing w:val="-2"/>
                <w:sz w:val="18"/>
                <w:szCs w:val="18"/>
              </w:rPr>
              <w:t>0.038</w:t>
            </w:r>
          </w:p>
        </w:tc>
        <w:tc>
          <w:tcPr>
            <w:tcW w:w="1763" w:type="dxa"/>
            <w:vAlign w:val="top"/>
          </w:tcPr>
          <w:p>
            <w:pPr>
              <w:pStyle w:val="TableText"/>
              <w:spacing w:before="287" w:line="183" w:lineRule="auto"/>
              <w:ind w:left="649"/>
              <w:rPr>
                <w:sz w:val="18"/>
                <w:szCs w:val="18"/>
              </w:rPr>
            </w:pPr>
            <w:r>
              <w:rPr>
                <w:spacing w:val="-2"/>
                <w:sz w:val="18"/>
                <w:szCs w:val="18"/>
              </w:rPr>
              <w:t>0.039</w:t>
            </w:r>
          </w:p>
        </w:tc>
      </w:tr>
      <w:tr>
        <w:tblPrEx>
          <w:tblW w:w="8519" w:type="dxa"/>
          <w:tblInd w:w="5" w:type="dxa"/>
          <w:tblLayout w:type="fixed"/>
        </w:tblPrEx>
        <w:trPr>
          <w:trHeight w:val="519"/>
        </w:trPr>
        <w:tc>
          <w:tcPr>
            <w:tcW w:w="1353" w:type="dxa"/>
            <w:vAlign w:val="top"/>
          </w:tcPr>
          <w:p>
            <w:pPr>
              <w:pStyle w:val="TableText"/>
              <w:spacing w:before="289" w:line="183" w:lineRule="auto"/>
              <w:ind w:left="575"/>
              <w:rPr>
                <w:sz w:val="18"/>
                <w:szCs w:val="18"/>
              </w:rPr>
            </w:pPr>
            <w:r>
              <w:rPr>
                <w:spacing w:val="-3"/>
                <w:sz w:val="18"/>
                <w:szCs w:val="18"/>
              </w:rPr>
              <w:t>2#</w:t>
            </w:r>
          </w:p>
        </w:tc>
        <w:tc>
          <w:tcPr>
            <w:tcW w:w="1608" w:type="dxa"/>
            <w:vAlign w:val="top"/>
          </w:tcPr>
          <w:p>
            <w:pPr>
              <w:pStyle w:val="TableText"/>
              <w:spacing w:before="279" w:line="183" w:lineRule="auto"/>
              <w:ind w:left="611"/>
              <w:rPr>
                <w:sz w:val="18"/>
                <w:szCs w:val="18"/>
              </w:rPr>
            </w:pPr>
            <w:r>
              <w:rPr>
                <w:spacing w:val="-2"/>
                <w:sz w:val="18"/>
                <w:szCs w:val="18"/>
              </w:rPr>
              <w:t>0.22</w:t>
            </w:r>
          </w:p>
        </w:tc>
        <w:tc>
          <w:tcPr>
            <w:tcW w:w="1878" w:type="dxa"/>
            <w:vAlign w:val="top"/>
          </w:tcPr>
          <w:p>
            <w:pPr>
              <w:pStyle w:val="TableText"/>
              <w:spacing w:before="279" w:line="183" w:lineRule="auto"/>
              <w:ind w:left="753"/>
              <w:rPr>
                <w:sz w:val="18"/>
                <w:szCs w:val="18"/>
              </w:rPr>
            </w:pPr>
            <w:r>
              <w:rPr>
                <w:spacing w:val="-2"/>
                <w:sz w:val="18"/>
                <w:szCs w:val="18"/>
              </w:rPr>
              <w:t>0.24</w:t>
            </w:r>
          </w:p>
        </w:tc>
        <w:tc>
          <w:tcPr>
            <w:tcW w:w="1917" w:type="dxa"/>
            <w:vAlign w:val="top"/>
          </w:tcPr>
          <w:p>
            <w:pPr>
              <w:pStyle w:val="TableText"/>
              <w:spacing w:before="279" w:line="183" w:lineRule="auto"/>
              <w:ind w:left="776"/>
              <w:rPr>
                <w:sz w:val="18"/>
                <w:szCs w:val="18"/>
              </w:rPr>
            </w:pPr>
            <w:r>
              <w:rPr>
                <w:spacing w:val="-2"/>
                <w:sz w:val="18"/>
                <w:szCs w:val="18"/>
              </w:rPr>
              <w:t>0.25</w:t>
            </w:r>
          </w:p>
        </w:tc>
        <w:tc>
          <w:tcPr>
            <w:tcW w:w="1763" w:type="dxa"/>
            <w:vAlign w:val="top"/>
          </w:tcPr>
          <w:p>
            <w:pPr>
              <w:pStyle w:val="TableText"/>
              <w:spacing w:before="279" w:line="183" w:lineRule="auto"/>
              <w:ind w:left="698"/>
              <w:rPr>
                <w:sz w:val="18"/>
                <w:szCs w:val="18"/>
              </w:rPr>
            </w:pPr>
            <w:r>
              <w:rPr>
                <w:spacing w:val="-2"/>
                <w:sz w:val="18"/>
                <w:szCs w:val="18"/>
              </w:rPr>
              <w:t>0.24</w:t>
            </w:r>
          </w:p>
        </w:tc>
      </w:tr>
      <w:tr>
        <w:tblPrEx>
          <w:tblW w:w="8519" w:type="dxa"/>
          <w:tblInd w:w="5" w:type="dxa"/>
          <w:tblLayout w:type="fixed"/>
        </w:tblPrEx>
        <w:trPr>
          <w:trHeight w:val="548"/>
        </w:trPr>
        <w:tc>
          <w:tcPr>
            <w:tcW w:w="1353" w:type="dxa"/>
            <w:vAlign w:val="top"/>
          </w:tcPr>
          <w:p>
            <w:pPr>
              <w:rPr>
                <w:rFonts w:ascii="Arial"/>
                <w:sz w:val="21"/>
              </w:rPr>
            </w:pPr>
          </w:p>
          <w:p>
            <w:pPr>
              <w:pStyle w:val="TableText"/>
              <w:spacing w:before="59" w:line="183" w:lineRule="auto"/>
              <w:ind w:left="575"/>
              <w:rPr>
                <w:sz w:val="18"/>
                <w:szCs w:val="18"/>
              </w:rPr>
            </w:pPr>
            <w:r>
              <w:rPr>
                <w:spacing w:val="-3"/>
                <w:sz w:val="18"/>
                <w:szCs w:val="18"/>
              </w:rPr>
              <w:t>3#</w:t>
            </w:r>
          </w:p>
        </w:tc>
        <w:tc>
          <w:tcPr>
            <w:tcW w:w="1608" w:type="dxa"/>
            <w:vAlign w:val="top"/>
          </w:tcPr>
          <w:p>
            <w:pPr>
              <w:pStyle w:val="TableText"/>
              <w:spacing w:before="290" w:line="183" w:lineRule="auto"/>
              <w:ind w:left="611"/>
              <w:rPr>
                <w:sz w:val="18"/>
                <w:szCs w:val="18"/>
              </w:rPr>
            </w:pPr>
            <w:r>
              <w:rPr>
                <w:spacing w:val="-2"/>
                <w:sz w:val="18"/>
                <w:szCs w:val="18"/>
              </w:rPr>
              <w:t>0.72</w:t>
            </w:r>
          </w:p>
        </w:tc>
        <w:tc>
          <w:tcPr>
            <w:tcW w:w="1878" w:type="dxa"/>
            <w:vAlign w:val="top"/>
          </w:tcPr>
          <w:p>
            <w:pPr>
              <w:pStyle w:val="TableText"/>
              <w:spacing w:before="290" w:line="183" w:lineRule="auto"/>
              <w:ind w:left="753"/>
              <w:rPr>
                <w:sz w:val="18"/>
                <w:szCs w:val="18"/>
              </w:rPr>
            </w:pPr>
            <w:r>
              <w:rPr>
                <w:spacing w:val="-2"/>
                <w:sz w:val="18"/>
                <w:szCs w:val="18"/>
              </w:rPr>
              <w:t>0.75</w:t>
            </w:r>
          </w:p>
        </w:tc>
        <w:tc>
          <w:tcPr>
            <w:tcW w:w="1917" w:type="dxa"/>
            <w:vAlign w:val="top"/>
          </w:tcPr>
          <w:p>
            <w:pPr>
              <w:pStyle w:val="TableText"/>
              <w:spacing w:before="290" w:line="183" w:lineRule="auto"/>
              <w:ind w:left="776"/>
              <w:rPr>
                <w:sz w:val="18"/>
                <w:szCs w:val="18"/>
              </w:rPr>
            </w:pPr>
            <w:r>
              <w:rPr>
                <w:spacing w:val="-2"/>
                <w:sz w:val="18"/>
                <w:szCs w:val="18"/>
              </w:rPr>
              <w:t>0.74</w:t>
            </w:r>
          </w:p>
        </w:tc>
        <w:tc>
          <w:tcPr>
            <w:tcW w:w="1763" w:type="dxa"/>
            <w:vAlign w:val="top"/>
          </w:tcPr>
          <w:p>
            <w:pPr>
              <w:pStyle w:val="TableText"/>
              <w:spacing w:before="290" w:line="183" w:lineRule="auto"/>
              <w:ind w:left="698"/>
              <w:rPr>
                <w:sz w:val="18"/>
                <w:szCs w:val="18"/>
              </w:rPr>
            </w:pPr>
            <w:r>
              <w:rPr>
                <w:spacing w:val="-2"/>
                <w:sz w:val="18"/>
                <w:szCs w:val="18"/>
              </w:rPr>
              <w:t>0.74</w:t>
            </w:r>
          </w:p>
        </w:tc>
      </w:tr>
      <w:tr>
        <w:tblPrEx>
          <w:tblW w:w="8519" w:type="dxa"/>
          <w:tblInd w:w="5" w:type="dxa"/>
          <w:tblLayout w:type="fixed"/>
        </w:tblPrEx>
        <w:trPr>
          <w:trHeight w:val="553"/>
        </w:trPr>
        <w:tc>
          <w:tcPr>
            <w:tcW w:w="1353" w:type="dxa"/>
            <w:vAlign w:val="top"/>
          </w:tcPr>
          <w:p>
            <w:pPr>
              <w:spacing w:line="242" w:lineRule="auto"/>
              <w:rPr>
                <w:rFonts w:ascii="Arial"/>
                <w:sz w:val="21"/>
              </w:rPr>
            </w:pPr>
          </w:p>
          <w:p>
            <w:pPr>
              <w:pStyle w:val="TableText"/>
              <w:spacing w:before="59" w:line="183" w:lineRule="auto"/>
              <w:ind w:left="575"/>
              <w:rPr>
                <w:sz w:val="18"/>
                <w:szCs w:val="18"/>
              </w:rPr>
            </w:pPr>
            <w:r>
              <w:rPr>
                <w:spacing w:val="-2"/>
                <w:sz w:val="18"/>
                <w:szCs w:val="18"/>
              </w:rPr>
              <w:t>4#</w:t>
            </w:r>
          </w:p>
        </w:tc>
        <w:tc>
          <w:tcPr>
            <w:tcW w:w="1608" w:type="dxa"/>
            <w:vAlign w:val="top"/>
          </w:tcPr>
          <w:p>
            <w:pPr>
              <w:pStyle w:val="TableText"/>
              <w:spacing w:before="291" w:line="184" w:lineRule="auto"/>
              <w:ind w:left="611"/>
              <w:rPr>
                <w:sz w:val="18"/>
                <w:szCs w:val="18"/>
              </w:rPr>
            </w:pPr>
            <w:r>
              <w:rPr>
                <w:spacing w:val="-4"/>
                <w:sz w:val="18"/>
                <w:szCs w:val="18"/>
              </w:rPr>
              <w:t>1.38</w:t>
            </w:r>
          </w:p>
        </w:tc>
        <w:tc>
          <w:tcPr>
            <w:tcW w:w="1878" w:type="dxa"/>
            <w:vAlign w:val="top"/>
          </w:tcPr>
          <w:p>
            <w:pPr>
              <w:pStyle w:val="TableText"/>
              <w:spacing w:before="291" w:line="184" w:lineRule="auto"/>
              <w:ind w:left="753"/>
              <w:rPr>
                <w:sz w:val="18"/>
                <w:szCs w:val="18"/>
              </w:rPr>
            </w:pPr>
            <w:r>
              <w:rPr>
                <w:spacing w:val="-4"/>
                <w:sz w:val="18"/>
                <w:szCs w:val="18"/>
              </w:rPr>
              <w:t>1.42</w:t>
            </w:r>
          </w:p>
        </w:tc>
        <w:tc>
          <w:tcPr>
            <w:tcW w:w="1917" w:type="dxa"/>
            <w:vAlign w:val="top"/>
          </w:tcPr>
          <w:p>
            <w:pPr>
              <w:pStyle w:val="TableText"/>
              <w:spacing w:before="281" w:line="184" w:lineRule="auto"/>
              <w:ind w:left="776"/>
              <w:rPr>
                <w:sz w:val="18"/>
                <w:szCs w:val="18"/>
              </w:rPr>
            </w:pPr>
            <w:r>
              <w:rPr>
                <w:spacing w:val="-4"/>
                <w:sz w:val="18"/>
                <w:szCs w:val="18"/>
              </w:rPr>
              <w:t>1.41</w:t>
            </w:r>
          </w:p>
        </w:tc>
        <w:tc>
          <w:tcPr>
            <w:tcW w:w="1763" w:type="dxa"/>
            <w:vAlign w:val="top"/>
          </w:tcPr>
          <w:p>
            <w:pPr>
              <w:pStyle w:val="TableText"/>
              <w:spacing w:before="291" w:line="184" w:lineRule="auto"/>
              <w:ind w:left="698"/>
              <w:rPr>
                <w:sz w:val="18"/>
                <w:szCs w:val="18"/>
              </w:rPr>
            </w:pPr>
            <w:r>
              <w:rPr>
                <w:spacing w:val="-4"/>
                <w:sz w:val="18"/>
                <w:szCs w:val="18"/>
              </w:rPr>
              <w:t>1.41</w:t>
            </w:r>
          </w:p>
        </w:tc>
      </w:tr>
    </w:tbl>
    <w:p>
      <w:pPr>
        <w:pStyle w:val="BodyText"/>
        <w:spacing w:before="93" w:line="404" w:lineRule="auto"/>
        <w:ind w:left="104" w:right="114" w:firstLine="490"/>
        <w:jc w:val="both"/>
        <w:rPr>
          <w:sz w:val="22"/>
          <w:szCs w:val="22"/>
        </w:rPr>
      </w:pPr>
      <w:r>
        <w:rPr>
          <w:spacing w:val="-9"/>
          <w:sz w:val="22"/>
          <w:szCs w:val="22"/>
        </w:rPr>
        <w:t>从实验数据可知，当熔融时间太短时，样品可能熔融不完全，使得试验结果偏低。当</w:t>
      </w:r>
      <w:r>
        <w:rPr>
          <w:spacing w:val="11"/>
          <w:sz w:val="22"/>
          <w:szCs w:val="22"/>
        </w:rPr>
        <w:t xml:space="preserve"> </w:t>
      </w:r>
      <w:r>
        <w:rPr>
          <w:spacing w:val="-11"/>
          <w:sz w:val="22"/>
          <w:szCs w:val="22"/>
        </w:rPr>
        <w:t>熔融时间达到10min</w:t>
      </w:r>
      <w:r>
        <w:rPr>
          <w:spacing w:val="-27"/>
          <w:sz w:val="22"/>
          <w:szCs w:val="22"/>
        </w:rPr>
        <w:t xml:space="preserve"> </w:t>
      </w:r>
      <w:r>
        <w:rPr>
          <w:spacing w:val="-11"/>
          <w:sz w:val="22"/>
          <w:szCs w:val="22"/>
        </w:rPr>
        <w:t>时，样品已经很好的分解，测定结果也已稳定，故本实验选择熔融</w:t>
      </w:r>
      <w:r>
        <w:rPr>
          <w:spacing w:val="-12"/>
          <w:sz w:val="22"/>
          <w:szCs w:val="22"/>
        </w:rPr>
        <w:t>时间</w:t>
      </w:r>
    </w:p>
    <w:p>
      <w:pPr>
        <w:pStyle w:val="BodyText"/>
        <w:spacing w:line="220" w:lineRule="auto"/>
        <w:ind w:left="74"/>
        <w:rPr>
          <w:sz w:val="22"/>
          <w:szCs w:val="22"/>
        </w:rPr>
      </w:pPr>
      <w:r>
        <w:rPr>
          <w:spacing w:val="9"/>
          <w:sz w:val="22"/>
          <w:szCs w:val="22"/>
        </w:rPr>
        <w:t>为10</w:t>
      </w:r>
      <w:r>
        <w:rPr>
          <w:rFonts w:ascii="Times New Roman" w:eastAsia="Times New Roman" w:hAnsi="Times New Roman" w:cs="Times New Roman"/>
          <w:sz w:val="22"/>
          <w:szCs w:val="22"/>
        </w:rPr>
        <w:t>min</w:t>
      </w:r>
      <w:r>
        <w:rPr>
          <w:spacing w:val="9"/>
          <w:sz w:val="22"/>
          <w:szCs w:val="22"/>
        </w:rPr>
        <w:t>。</w:t>
      </w:r>
    </w:p>
    <w:p>
      <w:pPr>
        <w:spacing w:before="184" w:line="221" w:lineRule="auto"/>
        <w:ind w:left="104"/>
        <w:rPr>
          <w:rFonts w:ascii="SimHei" w:eastAsia="SimHei" w:hAnsi="SimHei" w:cs="SimHei"/>
          <w:sz w:val="22"/>
          <w:szCs w:val="22"/>
        </w:rPr>
      </w:pPr>
      <w:r>
        <w:rPr>
          <w:rFonts w:ascii="SimHei" w:eastAsia="SimHei" w:hAnsi="SimHei" w:cs="SimHei"/>
          <w:spacing w:val="-7"/>
          <w:sz w:val="22"/>
          <w:szCs w:val="22"/>
        </w:rPr>
        <w:t>3.3</w:t>
      </w:r>
      <w:r>
        <w:rPr>
          <w:rFonts w:ascii="SimHei" w:eastAsia="SimHei" w:hAnsi="SimHei" w:cs="SimHei"/>
          <w:spacing w:val="73"/>
          <w:sz w:val="22"/>
          <w:szCs w:val="22"/>
        </w:rPr>
        <w:t xml:space="preserve"> </w:t>
      </w:r>
      <w:r>
        <w:rPr>
          <w:rFonts w:ascii="SimHei" w:eastAsia="SimHei" w:hAnsi="SimHei" w:cs="SimHei"/>
          <w:spacing w:val="-7"/>
          <w:sz w:val="22"/>
          <w:szCs w:val="22"/>
        </w:rPr>
        <w:t>柠檬酸钠用量的选择试验</w:t>
      </w:r>
    </w:p>
    <w:p>
      <w:pPr>
        <w:pStyle w:val="BodyText"/>
        <w:spacing w:before="195" w:line="401" w:lineRule="auto"/>
        <w:ind w:left="104" w:right="118" w:firstLine="419"/>
        <w:jc w:val="both"/>
        <w:rPr>
          <w:sz w:val="22"/>
          <w:szCs w:val="22"/>
        </w:rPr>
      </w:pPr>
      <w:r>
        <w:rPr>
          <w:spacing w:val="-8"/>
          <w:sz w:val="22"/>
          <w:szCs w:val="22"/>
        </w:rPr>
        <w:t>柠檬酸钠是一种很好的金属掩蔽剂，对</w:t>
      </w:r>
      <w:r>
        <w:rPr>
          <w:rFonts w:ascii="Times New Roman" w:eastAsia="Times New Roman" w:hAnsi="Times New Roman" w:cs="Times New Roman"/>
          <w:spacing w:val="-8"/>
          <w:sz w:val="22"/>
          <w:szCs w:val="22"/>
        </w:rPr>
        <w:t>Ca²+</w:t>
      </w:r>
      <w:r>
        <w:rPr>
          <w:rFonts w:ascii="Times New Roman" w:eastAsia="Times New Roman" w:hAnsi="Times New Roman" w:cs="Times New Roman"/>
          <w:spacing w:val="-25"/>
          <w:sz w:val="22"/>
          <w:szCs w:val="22"/>
        </w:rPr>
        <w:t xml:space="preserve"> </w:t>
      </w:r>
      <w:r>
        <w:rPr>
          <w:spacing w:val="-8"/>
          <w:sz w:val="22"/>
          <w:szCs w:val="22"/>
        </w:rPr>
        <w:t>、</w:t>
      </w:r>
      <w:r>
        <w:rPr>
          <w:rFonts w:ascii="Times New Roman" w:eastAsia="Times New Roman" w:hAnsi="Times New Roman" w:cs="Times New Roman"/>
          <w:spacing w:val="-8"/>
          <w:sz w:val="22"/>
          <w:szCs w:val="22"/>
        </w:rPr>
        <w:t>Mg²+</w:t>
      </w:r>
      <w:r>
        <w:rPr>
          <w:rFonts w:ascii="Times New Roman" w:eastAsia="Times New Roman" w:hAnsi="Times New Roman" w:cs="Times New Roman"/>
          <w:spacing w:val="-32"/>
          <w:sz w:val="22"/>
          <w:szCs w:val="22"/>
        </w:rPr>
        <w:t xml:space="preserve"> </w:t>
      </w:r>
      <w:r>
        <w:rPr>
          <w:spacing w:val="-8"/>
          <w:sz w:val="22"/>
          <w:szCs w:val="22"/>
        </w:rPr>
        <w:t>、</w:t>
      </w:r>
      <w:r>
        <w:rPr>
          <w:rFonts w:ascii="Times New Roman" w:eastAsia="Times New Roman" w:hAnsi="Times New Roman" w:cs="Times New Roman"/>
          <w:spacing w:val="-8"/>
          <w:sz w:val="22"/>
          <w:szCs w:val="22"/>
        </w:rPr>
        <w:t>Fe</w:t>
      </w:r>
      <w:r>
        <w:rPr>
          <w:rFonts w:ascii="Times New Roman" w:eastAsia="Times New Roman" w:hAnsi="Times New Roman" w:cs="Times New Roman"/>
          <w:spacing w:val="-31"/>
          <w:sz w:val="22"/>
          <w:szCs w:val="22"/>
        </w:rPr>
        <w:t xml:space="preserve"> </w:t>
      </w:r>
      <w:r>
        <w:rPr>
          <w:spacing w:val="-8"/>
          <w:sz w:val="22"/>
          <w:szCs w:val="22"/>
        </w:rPr>
        <w:t>、</w:t>
      </w:r>
      <w:r>
        <w:rPr>
          <w:rFonts w:ascii="Times New Roman" w:eastAsia="Times New Roman" w:hAnsi="Times New Roman" w:cs="Times New Roman"/>
          <w:spacing w:val="-8"/>
          <w:sz w:val="22"/>
          <w:szCs w:val="22"/>
        </w:rPr>
        <w:t>Al³+</w:t>
      </w:r>
      <w:r>
        <w:rPr>
          <w:spacing w:val="-8"/>
          <w:sz w:val="22"/>
          <w:szCs w:val="22"/>
        </w:rPr>
        <w:t>等金属离子具有良好的</w:t>
      </w:r>
      <w:r>
        <w:rPr>
          <w:sz w:val="22"/>
          <w:szCs w:val="22"/>
        </w:rPr>
        <w:t xml:space="preserve"> </w:t>
      </w:r>
      <w:r>
        <w:rPr>
          <w:spacing w:val="-12"/>
          <w:sz w:val="22"/>
          <w:szCs w:val="22"/>
        </w:rPr>
        <w:t>络合能力。加入柠檬酸钠溶液可以很好的消除大部分金</w:t>
      </w:r>
      <w:r>
        <w:rPr>
          <w:spacing w:val="-13"/>
          <w:sz w:val="22"/>
          <w:szCs w:val="22"/>
        </w:rPr>
        <w:t>属离子对实验结果的干扰，防止他们</w:t>
      </w:r>
      <w:r>
        <w:rPr>
          <w:sz w:val="22"/>
          <w:szCs w:val="22"/>
        </w:rPr>
        <w:t xml:space="preserve"> </w:t>
      </w:r>
      <w:r>
        <w:rPr>
          <w:spacing w:val="-8"/>
          <w:sz w:val="22"/>
          <w:szCs w:val="22"/>
        </w:rPr>
        <w:t>与氟离子络合。柠檬酸钠无毒，具有良好的溶解性和pH</w:t>
      </w:r>
      <w:r>
        <w:rPr>
          <w:spacing w:val="-64"/>
          <w:sz w:val="22"/>
          <w:szCs w:val="22"/>
        </w:rPr>
        <w:t xml:space="preserve"> </w:t>
      </w:r>
      <w:r>
        <w:rPr>
          <w:spacing w:val="-8"/>
          <w:sz w:val="22"/>
          <w:szCs w:val="22"/>
        </w:rPr>
        <w:t>调节性能，还</w:t>
      </w:r>
      <w:r>
        <w:rPr>
          <w:spacing w:val="-9"/>
          <w:sz w:val="22"/>
          <w:szCs w:val="22"/>
        </w:rPr>
        <w:t>有其稳定性可以使得</w:t>
      </w:r>
    </w:p>
    <w:p>
      <w:pPr>
        <w:pStyle w:val="BodyText"/>
        <w:spacing w:line="219" w:lineRule="auto"/>
        <w:ind w:left="104"/>
        <w:rPr>
          <w:sz w:val="22"/>
          <w:szCs w:val="22"/>
        </w:rPr>
      </w:pPr>
      <w:r>
        <w:rPr>
          <w:spacing w:val="-12"/>
          <w:sz w:val="22"/>
          <w:szCs w:val="22"/>
        </w:rPr>
        <w:t>分析液中的总离子强度维持稳定状态。</w:t>
      </w:r>
    </w:p>
    <w:p>
      <w:pPr>
        <w:pStyle w:val="BodyText"/>
        <w:spacing w:before="199" w:line="470" w:lineRule="exact"/>
        <w:ind w:left="524"/>
        <w:rPr>
          <w:sz w:val="22"/>
          <w:szCs w:val="22"/>
        </w:rPr>
      </w:pPr>
      <w:r>
        <w:rPr>
          <w:spacing w:val="-5"/>
          <w:position w:val="19"/>
          <w:sz w:val="22"/>
          <w:szCs w:val="22"/>
        </w:rPr>
        <w:t>按照试验步骤，保持其他条件不变，分别加入0</w:t>
      </w:r>
      <w:r>
        <w:rPr>
          <w:rFonts w:ascii="Times New Roman" w:eastAsia="Times New Roman" w:hAnsi="Times New Roman" w:cs="Times New Roman"/>
          <w:spacing w:val="-5"/>
          <w:position w:val="19"/>
          <w:sz w:val="22"/>
          <w:szCs w:val="22"/>
        </w:rPr>
        <w:t>mL</w:t>
      </w:r>
      <w:r>
        <w:rPr>
          <w:rFonts w:ascii="Times New Roman" w:eastAsia="Times New Roman" w:hAnsi="Times New Roman" w:cs="Times New Roman"/>
          <w:spacing w:val="-27"/>
          <w:position w:val="19"/>
          <w:sz w:val="22"/>
          <w:szCs w:val="22"/>
        </w:rPr>
        <w:t xml:space="preserve"> </w:t>
      </w:r>
      <w:r>
        <w:rPr>
          <w:spacing w:val="-5"/>
          <w:position w:val="19"/>
          <w:sz w:val="22"/>
          <w:szCs w:val="22"/>
        </w:rPr>
        <w:t>、</w:t>
      </w:r>
      <w:r>
        <w:rPr>
          <w:rFonts w:ascii="Times New Roman" w:eastAsia="Times New Roman" w:hAnsi="Times New Roman" w:cs="Times New Roman"/>
          <w:spacing w:val="-5"/>
          <w:position w:val="19"/>
          <w:sz w:val="22"/>
          <w:szCs w:val="22"/>
        </w:rPr>
        <w:t>5mL</w:t>
      </w:r>
      <w:r>
        <w:rPr>
          <w:rFonts w:ascii="Times New Roman" w:eastAsia="Times New Roman" w:hAnsi="Times New Roman" w:cs="Times New Roman"/>
          <w:spacing w:val="-31"/>
          <w:position w:val="19"/>
          <w:sz w:val="22"/>
          <w:szCs w:val="22"/>
        </w:rPr>
        <w:t xml:space="preserve"> </w:t>
      </w:r>
      <w:r>
        <w:rPr>
          <w:spacing w:val="-5"/>
          <w:position w:val="19"/>
          <w:sz w:val="22"/>
          <w:szCs w:val="22"/>
        </w:rPr>
        <w:t>、</w:t>
      </w:r>
      <w:r>
        <w:rPr>
          <w:rFonts w:ascii="Times New Roman" w:eastAsia="Times New Roman" w:hAnsi="Times New Roman" w:cs="Times New Roman"/>
          <w:spacing w:val="-5"/>
          <w:position w:val="19"/>
          <w:sz w:val="22"/>
          <w:szCs w:val="22"/>
        </w:rPr>
        <w:t>10mL</w:t>
      </w:r>
      <w:r>
        <w:rPr>
          <w:rFonts w:ascii="Times New Roman" w:eastAsia="Times New Roman" w:hAnsi="Times New Roman" w:cs="Times New Roman"/>
          <w:spacing w:val="-31"/>
          <w:position w:val="19"/>
          <w:sz w:val="22"/>
          <w:szCs w:val="22"/>
        </w:rPr>
        <w:t xml:space="preserve"> </w:t>
      </w:r>
      <w:r>
        <w:rPr>
          <w:spacing w:val="-5"/>
          <w:position w:val="19"/>
          <w:sz w:val="22"/>
          <w:szCs w:val="22"/>
        </w:rPr>
        <w:t>、</w:t>
      </w:r>
      <w:r>
        <w:rPr>
          <w:rFonts w:ascii="Times New Roman" w:eastAsia="Times New Roman" w:hAnsi="Times New Roman" w:cs="Times New Roman"/>
          <w:spacing w:val="-5"/>
          <w:position w:val="19"/>
          <w:sz w:val="22"/>
          <w:szCs w:val="22"/>
        </w:rPr>
        <w:t>12 mL</w:t>
      </w:r>
      <w:r>
        <w:rPr>
          <w:rFonts w:ascii="Times New Roman" w:eastAsia="Times New Roman" w:hAnsi="Times New Roman" w:cs="Times New Roman"/>
          <w:spacing w:val="-31"/>
          <w:position w:val="19"/>
          <w:sz w:val="22"/>
          <w:szCs w:val="22"/>
        </w:rPr>
        <w:t xml:space="preserve"> </w:t>
      </w:r>
      <w:r>
        <w:rPr>
          <w:spacing w:val="-5"/>
          <w:position w:val="19"/>
          <w:sz w:val="22"/>
          <w:szCs w:val="22"/>
        </w:rPr>
        <w:t>、</w:t>
      </w:r>
      <w:r>
        <w:rPr>
          <w:rFonts w:ascii="Times New Roman" w:eastAsia="Times New Roman" w:hAnsi="Times New Roman" w:cs="Times New Roman"/>
          <w:spacing w:val="-5"/>
          <w:position w:val="19"/>
          <w:sz w:val="22"/>
          <w:szCs w:val="22"/>
        </w:rPr>
        <w:t>14 mL</w:t>
      </w:r>
      <w:r>
        <w:rPr>
          <w:spacing w:val="-5"/>
          <w:position w:val="19"/>
          <w:sz w:val="22"/>
          <w:szCs w:val="22"/>
        </w:rPr>
        <w:t>、</w:t>
      </w:r>
    </w:p>
    <w:p>
      <w:pPr>
        <w:pStyle w:val="BodyText"/>
        <w:spacing w:line="219" w:lineRule="auto"/>
        <w:ind w:left="104"/>
        <w:rPr>
          <w:sz w:val="22"/>
          <w:szCs w:val="22"/>
        </w:rPr>
      </w:pPr>
      <w:r>
        <w:rPr>
          <w:spacing w:val="-7"/>
          <w:sz w:val="22"/>
          <w:szCs w:val="22"/>
        </w:rPr>
        <w:t>15mL、20mL  柠檬酸钠溶液。对1#</w:t>
      </w:r>
      <w:r>
        <w:rPr>
          <w:spacing w:val="-8"/>
          <w:sz w:val="22"/>
          <w:szCs w:val="22"/>
        </w:rPr>
        <w:t>和3#统一样品进行氟量的测定，结果如表6所示。</w:t>
      </w:r>
    </w:p>
    <w:p>
      <w:pPr>
        <w:spacing w:before="287" w:line="221" w:lineRule="auto"/>
        <w:ind w:left="2914"/>
        <w:rPr>
          <w:rFonts w:ascii="SimHei" w:eastAsia="SimHei" w:hAnsi="SimHei" w:cs="SimHei"/>
          <w:sz w:val="22"/>
          <w:szCs w:val="22"/>
        </w:rPr>
      </w:pPr>
      <w:r>
        <w:rPr>
          <w:rFonts w:ascii="SimHei" w:eastAsia="SimHei" w:hAnsi="SimHei" w:cs="SimHei"/>
          <w:spacing w:val="-11"/>
          <w:sz w:val="22"/>
          <w:szCs w:val="22"/>
        </w:rPr>
        <w:t>表6</w:t>
      </w:r>
      <w:r>
        <w:rPr>
          <w:rFonts w:ascii="SimHei" w:eastAsia="SimHei" w:hAnsi="SimHei" w:cs="SimHei"/>
          <w:spacing w:val="-11"/>
          <w:sz w:val="22"/>
          <w:szCs w:val="22"/>
        </w:rPr>
        <w:t xml:space="preserve"> </w:t>
      </w:r>
      <w:r>
        <w:rPr>
          <w:rFonts w:ascii="SimHei" w:eastAsia="SimHei" w:hAnsi="SimHei" w:cs="SimHei"/>
          <w:spacing w:val="-11"/>
          <w:sz w:val="22"/>
          <w:szCs w:val="22"/>
        </w:rPr>
        <w:t>柠檬酸钠用量的选择试验</w:t>
      </w:r>
    </w:p>
    <w:tbl>
      <w:tblPr>
        <w:tblStyle w:val="TableNormal6"/>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4"/>
        <w:gridCol w:w="7625"/>
      </w:tblGrid>
      <w:tr>
        <w:tblPrEx>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69"/>
        </w:trPr>
        <w:tc>
          <w:tcPr>
            <w:tcW w:w="894" w:type="dxa"/>
            <w:tcBorders>
              <w:bottom w:val="nil"/>
            </w:tcBorders>
            <w:vAlign w:val="top"/>
          </w:tcPr>
          <w:p>
            <w:pPr>
              <w:spacing w:line="292" w:lineRule="auto"/>
              <w:rPr>
                <w:rFonts w:ascii="Arial"/>
                <w:sz w:val="21"/>
              </w:rPr>
            </w:pPr>
          </w:p>
        </w:tc>
        <w:tc>
          <w:tcPr>
            <w:tcW w:w="7625" w:type="dxa"/>
            <w:vAlign w:val="top"/>
          </w:tcPr>
          <w:p>
            <w:pPr>
              <w:spacing w:line="296" w:lineRule="auto"/>
              <w:rPr>
                <w:rFonts w:ascii="Arial"/>
                <w:sz w:val="21"/>
              </w:rPr>
            </w:pPr>
          </w:p>
          <w:p>
            <w:pPr>
              <w:pStyle w:val="TableText"/>
              <w:spacing w:before="65" w:line="219" w:lineRule="auto"/>
              <w:ind w:left="3270"/>
              <w:rPr>
                <w:sz w:val="20"/>
                <w:szCs w:val="20"/>
              </w:rPr>
            </w:pPr>
            <w:r>
              <w:rPr>
                <w:spacing w:val="7"/>
                <w:sz w:val="20"/>
                <w:szCs w:val="20"/>
              </w:rPr>
              <w:t>测定值(%)</w:t>
            </w:r>
          </w:p>
        </w:tc>
      </w:tr>
    </w:tbl>
    <w:p>
      <w:pPr>
        <w:sectPr>
          <w:pgSz w:w="11900" w:h="16830"/>
          <w:pgMar w:top="1425" w:right="1685" w:bottom="0" w:left="1685" w:header="0" w:footer="0" w:gutter="0"/>
          <w:pgNumType w:start="9"/>
          <w:cols w:space="708"/>
        </w:sectPr>
      </w:pPr>
    </w:p>
    <w:tbl>
      <w:tblPr>
        <w:tblStyle w:val="TableNormal7"/>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4"/>
        <w:gridCol w:w="1088"/>
        <w:gridCol w:w="1079"/>
        <w:gridCol w:w="1099"/>
        <w:gridCol w:w="1078"/>
        <w:gridCol w:w="1089"/>
        <w:gridCol w:w="1099"/>
        <w:gridCol w:w="1093"/>
      </w:tblGrid>
      <w:tr>
        <w:tblPrEx>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69"/>
        </w:trPr>
        <w:tc>
          <w:tcPr>
            <w:tcW w:w="894" w:type="dxa"/>
            <w:vMerge w:val="restart"/>
            <w:tcBorders>
              <w:bottom w:val="nil"/>
            </w:tcBorders>
            <w:vAlign w:val="top"/>
          </w:tcPr>
          <w:p>
            <w:pPr>
              <w:spacing w:line="292" w:lineRule="auto"/>
              <w:rPr>
                <w:rFonts w:ascii="Arial"/>
                <w:sz w:val="21"/>
              </w:rPr>
            </w:pPr>
          </w:p>
          <w:p>
            <w:pPr>
              <w:pStyle w:val="TableText"/>
              <w:spacing w:before="65" w:line="219" w:lineRule="auto"/>
              <w:ind w:left="234"/>
              <w:rPr>
                <w:sz w:val="20"/>
                <w:szCs w:val="20"/>
              </w:rPr>
            </w:pPr>
            <w:r>
              <w:rPr>
                <w:spacing w:val="10"/>
                <w:sz w:val="20"/>
                <w:szCs w:val="20"/>
              </w:rPr>
              <w:t>样品</w:t>
            </w:r>
          </w:p>
        </w:tc>
        <w:tc>
          <w:tcPr>
            <w:tcW w:w="7625" w:type="dxa"/>
            <w:gridSpan w:val="7"/>
            <w:vAlign w:val="top"/>
          </w:tcPr>
          <w:p/>
        </w:tc>
      </w:tr>
      <w:tr>
        <w:tblPrEx>
          <w:tblW w:w="8519" w:type="dxa"/>
          <w:tblInd w:w="5" w:type="dxa"/>
          <w:tblLayout w:type="fixed"/>
        </w:tblPrEx>
        <w:trPr>
          <w:trHeight w:val="720"/>
        </w:trPr>
        <w:tc>
          <w:tcPr>
            <w:tcW w:w="894" w:type="dxa"/>
            <w:vMerge/>
            <w:tcBorders>
              <w:top w:val="nil"/>
            </w:tcBorders>
            <w:vAlign w:val="top"/>
          </w:tcPr>
          <w:p>
            <w:pPr>
              <w:rPr>
                <w:rFonts w:ascii="Arial"/>
                <w:sz w:val="21"/>
              </w:rPr>
            </w:pPr>
          </w:p>
        </w:tc>
        <w:tc>
          <w:tcPr>
            <w:tcW w:w="1088" w:type="dxa"/>
            <w:vAlign w:val="top"/>
          </w:tcPr>
          <w:p>
            <w:pPr>
              <w:spacing w:line="318" w:lineRule="auto"/>
              <w:rPr>
                <w:rFonts w:ascii="Arial"/>
                <w:sz w:val="21"/>
              </w:rPr>
            </w:pPr>
          </w:p>
          <w:p>
            <w:pPr>
              <w:pStyle w:val="TableText"/>
              <w:spacing w:before="65" w:line="183" w:lineRule="auto"/>
              <w:ind w:left="340"/>
              <w:rPr>
                <w:sz w:val="20"/>
                <w:szCs w:val="20"/>
              </w:rPr>
            </w:pPr>
            <w:r>
              <w:rPr>
                <w:spacing w:val="-3"/>
                <w:sz w:val="20"/>
                <w:szCs w:val="20"/>
              </w:rPr>
              <w:t>0mL</w:t>
            </w:r>
          </w:p>
        </w:tc>
        <w:tc>
          <w:tcPr>
            <w:tcW w:w="1079" w:type="dxa"/>
            <w:vAlign w:val="top"/>
          </w:tcPr>
          <w:p>
            <w:pPr>
              <w:spacing w:line="319" w:lineRule="auto"/>
              <w:rPr>
                <w:rFonts w:ascii="Arial"/>
                <w:sz w:val="21"/>
              </w:rPr>
            </w:pPr>
          </w:p>
          <w:p>
            <w:pPr>
              <w:pStyle w:val="TableText"/>
              <w:spacing w:before="66" w:line="182" w:lineRule="auto"/>
              <w:ind w:left="322"/>
              <w:rPr>
                <w:sz w:val="20"/>
                <w:szCs w:val="20"/>
              </w:rPr>
            </w:pPr>
            <w:r>
              <w:rPr>
                <w:spacing w:val="-3"/>
                <w:sz w:val="20"/>
                <w:szCs w:val="20"/>
              </w:rPr>
              <w:t>5mL</w:t>
            </w:r>
          </w:p>
        </w:tc>
        <w:tc>
          <w:tcPr>
            <w:tcW w:w="1099" w:type="dxa"/>
            <w:vAlign w:val="top"/>
          </w:tcPr>
          <w:p>
            <w:pPr>
              <w:spacing w:line="317" w:lineRule="auto"/>
              <w:rPr>
                <w:rFonts w:ascii="Arial"/>
                <w:sz w:val="21"/>
              </w:rPr>
            </w:pPr>
          </w:p>
          <w:p>
            <w:pPr>
              <w:pStyle w:val="TableText"/>
              <w:spacing w:before="65" w:line="184" w:lineRule="auto"/>
              <w:ind w:left="313"/>
              <w:rPr>
                <w:sz w:val="20"/>
                <w:szCs w:val="20"/>
              </w:rPr>
            </w:pPr>
            <w:r>
              <w:rPr>
                <w:spacing w:val="-6"/>
                <w:sz w:val="20"/>
                <w:szCs w:val="20"/>
              </w:rPr>
              <w:t>10</w:t>
            </w:r>
            <w:r>
              <w:rPr>
                <w:spacing w:val="31"/>
                <w:sz w:val="20"/>
                <w:szCs w:val="20"/>
              </w:rPr>
              <w:t xml:space="preserve"> </w:t>
            </w:r>
            <w:r>
              <w:rPr>
                <w:spacing w:val="-6"/>
                <w:sz w:val="20"/>
                <w:szCs w:val="20"/>
              </w:rPr>
              <w:t>mL</w:t>
            </w:r>
          </w:p>
        </w:tc>
        <w:tc>
          <w:tcPr>
            <w:tcW w:w="1078" w:type="dxa"/>
            <w:vAlign w:val="top"/>
          </w:tcPr>
          <w:p>
            <w:pPr>
              <w:spacing w:line="317" w:lineRule="auto"/>
              <w:rPr>
                <w:rFonts w:ascii="Arial"/>
                <w:sz w:val="21"/>
              </w:rPr>
            </w:pPr>
          </w:p>
          <w:p>
            <w:pPr>
              <w:pStyle w:val="TableText"/>
              <w:spacing w:before="65" w:line="184" w:lineRule="auto"/>
              <w:ind w:left="324"/>
              <w:rPr>
                <w:sz w:val="20"/>
                <w:szCs w:val="20"/>
              </w:rPr>
            </w:pPr>
            <w:r>
              <w:rPr>
                <w:spacing w:val="-5"/>
                <w:sz w:val="20"/>
                <w:szCs w:val="20"/>
              </w:rPr>
              <w:t>12mL</w:t>
            </w:r>
          </w:p>
        </w:tc>
        <w:tc>
          <w:tcPr>
            <w:tcW w:w="1089" w:type="dxa"/>
            <w:vAlign w:val="top"/>
          </w:tcPr>
          <w:p>
            <w:pPr>
              <w:spacing w:line="317" w:lineRule="auto"/>
              <w:rPr>
                <w:rFonts w:ascii="Arial"/>
                <w:sz w:val="21"/>
              </w:rPr>
            </w:pPr>
          </w:p>
          <w:p>
            <w:pPr>
              <w:pStyle w:val="TableText"/>
              <w:spacing w:before="65" w:line="184" w:lineRule="auto"/>
              <w:ind w:left="316"/>
              <w:rPr>
                <w:sz w:val="20"/>
                <w:szCs w:val="20"/>
              </w:rPr>
            </w:pPr>
            <w:r>
              <w:rPr>
                <w:spacing w:val="-5"/>
                <w:sz w:val="20"/>
                <w:szCs w:val="20"/>
              </w:rPr>
              <w:t>14mL</w:t>
            </w:r>
          </w:p>
        </w:tc>
        <w:tc>
          <w:tcPr>
            <w:tcW w:w="1099" w:type="dxa"/>
            <w:vAlign w:val="top"/>
          </w:tcPr>
          <w:p>
            <w:pPr>
              <w:spacing w:line="317" w:lineRule="auto"/>
              <w:rPr>
                <w:rFonts w:ascii="Arial"/>
                <w:sz w:val="21"/>
              </w:rPr>
            </w:pPr>
          </w:p>
          <w:p>
            <w:pPr>
              <w:pStyle w:val="TableText"/>
              <w:spacing w:before="65" w:line="184" w:lineRule="auto"/>
              <w:ind w:left="297"/>
              <w:rPr>
                <w:sz w:val="20"/>
                <w:szCs w:val="20"/>
              </w:rPr>
            </w:pPr>
            <w:r>
              <w:rPr>
                <w:spacing w:val="-6"/>
                <w:sz w:val="20"/>
                <w:szCs w:val="20"/>
              </w:rPr>
              <w:t>15</w:t>
            </w:r>
            <w:r>
              <w:rPr>
                <w:spacing w:val="31"/>
                <w:sz w:val="20"/>
                <w:szCs w:val="20"/>
              </w:rPr>
              <w:t xml:space="preserve"> </w:t>
            </w:r>
            <w:r>
              <w:rPr>
                <w:spacing w:val="-6"/>
                <w:sz w:val="20"/>
                <w:szCs w:val="20"/>
              </w:rPr>
              <w:t>mL</w:t>
            </w:r>
          </w:p>
        </w:tc>
        <w:tc>
          <w:tcPr>
            <w:tcW w:w="1093" w:type="dxa"/>
            <w:vAlign w:val="top"/>
          </w:tcPr>
          <w:p>
            <w:pPr>
              <w:spacing w:line="249" w:lineRule="auto"/>
              <w:rPr>
                <w:rFonts w:ascii="Arial"/>
                <w:sz w:val="21"/>
              </w:rPr>
            </w:pPr>
          </w:p>
          <w:p>
            <w:pPr>
              <w:pStyle w:val="TableText"/>
              <w:spacing w:before="65" w:line="183" w:lineRule="auto"/>
              <w:ind w:left="269"/>
              <w:rPr>
                <w:sz w:val="20"/>
                <w:szCs w:val="20"/>
              </w:rPr>
            </w:pPr>
            <w:r>
              <w:rPr>
                <w:spacing w:val="-3"/>
                <w:sz w:val="20"/>
                <w:szCs w:val="20"/>
              </w:rPr>
              <w:t>20</w:t>
            </w:r>
            <w:r>
              <w:rPr>
                <w:spacing w:val="2"/>
                <w:sz w:val="20"/>
                <w:szCs w:val="20"/>
              </w:rPr>
              <w:t xml:space="preserve"> </w:t>
            </w:r>
            <w:r>
              <w:rPr>
                <w:spacing w:val="-3"/>
                <w:sz w:val="20"/>
                <w:szCs w:val="20"/>
              </w:rPr>
              <w:t>mL</w:t>
            </w:r>
          </w:p>
        </w:tc>
      </w:tr>
    </w:tbl>
    <w:p>
      <w:pPr>
        <w:rPr>
          <w:rFonts w:ascii="Arial"/>
          <w:sz w:val="21"/>
        </w:rPr>
      </w:pPr>
    </w:p>
    <w:p>
      <w:pPr>
        <w:rPr>
          <w:rFonts w:ascii="Arial" w:eastAsia="Arial" w:hAnsi="Arial" w:cs="Arial"/>
          <w:sz w:val="21"/>
          <w:szCs w:val="21"/>
        </w:rPr>
        <w:sectPr>
          <w:type w:val="nextPage"/>
          <w:pgSz w:w="11900" w:h="16830"/>
          <w:pgMar w:top="1425" w:right="1685" w:bottom="0" w:left="1685" w:header="0" w:footer="0" w:gutter="0"/>
          <w:pgNumType w:start="10"/>
          <w:cols w:space="708"/>
          <w:titlePg w:val="0"/>
        </w:sectPr>
      </w:pPr>
    </w:p>
    <w:tbl>
      <w:tblPr>
        <w:tblStyle w:val="TableNormal8"/>
        <w:tblW w:w="8529" w:type="dxa"/>
        <w:tblInd w:w="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4"/>
        <w:gridCol w:w="1098"/>
        <w:gridCol w:w="1079"/>
        <w:gridCol w:w="1079"/>
        <w:gridCol w:w="1078"/>
        <w:gridCol w:w="1099"/>
        <w:gridCol w:w="1099"/>
        <w:gridCol w:w="1103"/>
      </w:tblGrid>
      <w:tr>
        <w:tblPrEx>
          <w:tblW w:w="8529" w:type="dxa"/>
          <w:tblInd w:w="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70"/>
        </w:trPr>
        <w:tc>
          <w:tcPr>
            <w:tcW w:w="894" w:type="dxa"/>
            <w:vAlign w:val="top"/>
          </w:tcPr>
          <w:p>
            <w:pPr>
              <w:spacing w:line="347" w:lineRule="auto"/>
              <w:rPr>
                <w:rFonts w:ascii="Arial"/>
                <w:sz w:val="21"/>
              </w:rPr>
            </w:pPr>
          </w:p>
          <w:p>
            <w:pPr>
              <w:pStyle w:val="TableText"/>
              <w:spacing w:before="58" w:line="184" w:lineRule="auto"/>
              <w:ind w:left="344"/>
              <w:rPr>
                <w:sz w:val="18"/>
                <w:szCs w:val="18"/>
              </w:rPr>
            </w:pPr>
            <w:r>
              <w:rPr>
                <w:spacing w:val="-6"/>
                <w:sz w:val="18"/>
                <w:szCs w:val="18"/>
              </w:rPr>
              <w:t>1#</w:t>
            </w:r>
          </w:p>
        </w:tc>
        <w:tc>
          <w:tcPr>
            <w:tcW w:w="1098" w:type="dxa"/>
            <w:vAlign w:val="top"/>
          </w:tcPr>
          <w:p>
            <w:pPr>
              <w:spacing w:line="287" w:lineRule="auto"/>
              <w:rPr>
                <w:rFonts w:ascii="Arial"/>
                <w:sz w:val="21"/>
              </w:rPr>
            </w:pPr>
          </w:p>
          <w:p>
            <w:pPr>
              <w:pStyle w:val="TableText"/>
              <w:spacing w:before="59" w:line="184" w:lineRule="auto"/>
              <w:ind w:left="310"/>
              <w:rPr>
                <w:sz w:val="18"/>
                <w:szCs w:val="18"/>
              </w:rPr>
            </w:pPr>
            <w:r>
              <w:rPr>
                <w:spacing w:val="-2"/>
                <w:sz w:val="18"/>
                <w:szCs w:val="18"/>
              </w:rPr>
              <w:t>0.010</w:t>
            </w:r>
          </w:p>
        </w:tc>
        <w:tc>
          <w:tcPr>
            <w:tcW w:w="1079" w:type="dxa"/>
            <w:vAlign w:val="top"/>
          </w:tcPr>
          <w:p>
            <w:pPr>
              <w:spacing w:line="288" w:lineRule="auto"/>
              <w:rPr>
                <w:rFonts w:ascii="Arial"/>
                <w:sz w:val="21"/>
              </w:rPr>
            </w:pPr>
          </w:p>
          <w:p>
            <w:pPr>
              <w:pStyle w:val="TableText"/>
              <w:spacing w:before="59" w:line="183" w:lineRule="auto"/>
              <w:ind w:left="302"/>
              <w:rPr>
                <w:sz w:val="18"/>
                <w:szCs w:val="18"/>
              </w:rPr>
            </w:pPr>
            <w:r>
              <w:rPr>
                <w:spacing w:val="-2"/>
                <w:sz w:val="18"/>
                <w:szCs w:val="18"/>
              </w:rPr>
              <w:t>0.028</w:t>
            </w:r>
          </w:p>
        </w:tc>
        <w:tc>
          <w:tcPr>
            <w:tcW w:w="1079" w:type="dxa"/>
            <w:vAlign w:val="top"/>
          </w:tcPr>
          <w:p>
            <w:pPr>
              <w:spacing w:line="288" w:lineRule="auto"/>
              <w:rPr>
                <w:rFonts w:ascii="Arial"/>
                <w:sz w:val="21"/>
              </w:rPr>
            </w:pPr>
          </w:p>
          <w:p>
            <w:pPr>
              <w:pStyle w:val="TableText"/>
              <w:spacing w:before="59" w:line="183" w:lineRule="auto"/>
              <w:ind w:left="303"/>
              <w:rPr>
                <w:sz w:val="18"/>
                <w:szCs w:val="18"/>
              </w:rPr>
            </w:pPr>
            <w:r>
              <w:rPr>
                <w:spacing w:val="-2"/>
                <w:sz w:val="18"/>
                <w:szCs w:val="18"/>
              </w:rPr>
              <w:t>0.032</w:t>
            </w:r>
          </w:p>
        </w:tc>
        <w:tc>
          <w:tcPr>
            <w:tcW w:w="1078" w:type="dxa"/>
            <w:vAlign w:val="top"/>
          </w:tcPr>
          <w:p>
            <w:pPr>
              <w:spacing w:line="288" w:lineRule="auto"/>
              <w:rPr>
                <w:rFonts w:ascii="Arial"/>
                <w:sz w:val="21"/>
              </w:rPr>
            </w:pPr>
          </w:p>
          <w:p>
            <w:pPr>
              <w:pStyle w:val="TableText"/>
              <w:spacing w:before="59" w:line="183" w:lineRule="auto"/>
              <w:ind w:left="305"/>
              <w:rPr>
                <w:sz w:val="18"/>
                <w:szCs w:val="18"/>
              </w:rPr>
            </w:pPr>
            <w:r>
              <w:rPr>
                <w:spacing w:val="-2"/>
                <w:sz w:val="18"/>
                <w:szCs w:val="18"/>
              </w:rPr>
              <w:t>0.035</w:t>
            </w:r>
          </w:p>
        </w:tc>
        <w:tc>
          <w:tcPr>
            <w:tcW w:w="1099" w:type="dxa"/>
            <w:vAlign w:val="top"/>
          </w:tcPr>
          <w:p>
            <w:pPr>
              <w:spacing w:line="288" w:lineRule="auto"/>
              <w:rPr>
                <w:rFonts w:ascii="Arial"/>
                <w:sz w:val="21"/>
              </w:rPr>
            </w:pPr>
          </w:p>
          <w:p>
            <w:pPr>
              <w:pStyle w:val="TableText"/>
              <w:spacing w:before="59" w:line="183" w:lineRule="auto"/>
              <w:ind w:left="316"/>
              <w:rPr>
                <w:sz w:val="18"/>
                <w:szCs w:val="18"/>
              </w:rPr>
            </w:pPr>
            <w:r>
              <w:rPr>
                <w:spacing w:val="-2"/>
                <w:sz w:val="18"/>
                <w:szCs w:val="18"/>
              </w:rPr>
              <w:t>0.037</w:t>
            </w:r>
          </w:p>
        </w:tc>
        <w:tc>
          <w:tcPr>
            <w:tcW w:w="1099" w:type="dxa"/>
            <w:vAlign w:val="top"/>
          </w:tcPr>
          <w:p>
            <w:pPr>
              <w:spacing w:line="288" w:lineRule="auto"/>
              <w:rPr>
                <w:rFonts w:ascii="Arial"/>
                <w:sz w:val="21"/>
              </w:rPr>
            </w:pPr>
          </w:p>
          <w:p>
            <w:pPr>
              <w:pStyle w:val="TableText"/>
              <w:spacing w:before="59" w:line="183" w:lineRule="auto"/>
              <w:ind w:left="317"/>
              <w:rPr>
                <w:sz w:val="18"/>
                <w:szCs w:val="18"/>
              </w:rPr>
            </w:pPr>
            <w:r>
              <w:rPr>
                <w:spacing w:val="-2"/>
                <w:sz w:val="18"/>
                <w:szCs w:val="18"/>
              </w:rPr>
              <w:t>0.038</w:t>
            </w:r>
          </w:p>
        </w:tc>
        <w:tc>
          <w:tcPr>
            <w:tcW w:w="1103" w:type="dxa"/>
            <w:vAlign w:val="top"/>
          </w:tcPr>
          <w:p>
            <w:pPr>
              <w:spacing w:line="288" w:lineRule="auto"/>
              <w:rPr>
                <w:rFonts w:ascii="Arial"/>
                <w:sz w:val="21"/>
              </w:rPr>
            </w:pPr>
          </w:p>
          <w:p>
            <w:pPr>
              <w:pStyle w:val="TableText"/>
              <w:spacing w:before="59" w:line="183" w:lineRule="auto"/>
              <w:ind w:left="318"/>
              <w:rPr>
                <w:sz w:val="18"/>
                <w:szCs w:val="18"/>
              </w:rPr>
            </w:pPr>
            <w:r>
              <w:rPr>
                <w:spacing w:val="-2"/>
                <w:sz w:val="18"/>
                <w:szCs w:val="18"/>
              </w:rPr>
              <w:t>0.038</w:t>
            </w:r>
          </w:p>
        </w:tc>
      </w:tr>
      <w:tr>
        <w:tblPrEx>
          <w:tblW w:w="8529" w:type="dxa"/>
          <w:tblInd w:w="54" w:type="dxa"/>
          <w:tblLayout w:type="fixed"/>
        </w:tblPrEx>
        <w:trPr>
          <w:trHeight w:val="740"/>
        </w:trPr>
        <w:tc>
          <w:tcPr>
            <w:tcW w:w="894" w:type="dxa"/>
            <w:vAlign w:val="top"/>
          </w:tcPr>
          <w:p>
            <w:pPr>
              <w:spacing w:line="328" w:lineRule="auto"/>
              <w:rPr>
                <w:rFonts w:ascii="Arial"/>
                <w:sz w:val="21"/>
              </w:rPr>
            </w:pPr>
          </w:p>
          <w:p>
            <w:pPr>
              <w:pStyle w:val="TableText"/>
              <w:spacing w:before="58" w:line="183" w:lineRule="auto"/>
              <w:ind w:left="344"/>
              <w:rPr>
                <w:sz w:val="18"/>
                <w:szCs w:val="18"/>
              </w:rPr>
            </w:pPr>
            <w:r>
              <w:rPr>
                <w:spacing w:val="-3"/>
                <w:sz w:val="18"/>
                <w:szCs w:val="18"/>
              </w:rPr>
              <w:t>3#</w:t>
            </w:r>
          </w:p>
        </w:tc>
        <w:tc>
          <w:tcPr>
            <w:tcW w:w="1098" w:type="dxa"/>
            <w:vAlign w:val="top"/>
          </w:tcPr>
          <w:p>
            <w:pPr>
              <w:spacing w:line="327" w:lineRule="auto"/>
              <w:rPr>
                <w:rFonts w:ascii="Arial"/>
                <w:sz w:val="21"/>
              </w:rPr>
            </w:pPr>
          </w:p>
          <w:p>
            <w:pPr>
              <w:pStyle w:val="TableText"/>
              <w:spacing w:before="58" w:line="184" w:lineRule="auto"/>
              <w:ind w:left="360"/>
              <w:rPr>
                <w:sz w:val="18"/>
                <w:szCs w:val="18"/>
              </w:rPr>
            </w:pPr>
            <w:r>
              <w:rPr>
                <w:spacing w:val="-2"/>
                <w:sz w:val="18"/>
                <w:szCs w:val="18"/>
              </w:rPr>
              <w:t>0.12</w:t>
            </w:r>
          </w:p>
        </w:tc>
        <w:tc>
          <w:tcPr>
            <w:tcW w:w="1079" w:type="dxa"/>
            <w:vAlign w:val="top"/>
          </w:tcPr>
          <w:p>
            <w:pPr>
              <w:spacing w:line="328" w:lineRule="auto"/>
              <w:rPr>
                <w:rFonts w:ascii="Arial"/>
                <w:sz w:val="21"/>
              </w:rPr>
            </w:pPr>
          </w:p>
          <w:p>
            <w:pPr>
              <w:pStyle w:val="TableText"/>
              <w:spacing w:before="58" w:line="183" w:lineRule="auto"/>
              <w:ind w:left="353"/>
              <w:rPr>
                <w:sz w:val="18"/>
                <w:szCs w:val="18"/>
              </w:rPr>
            </w:pPr>
            <w:r>
              <w:rPr>
                <w:spacing w:val="-2"/>
                <w:sz w:val="18"/>
                <w:szCs w:val="18"/>
              </w:rPr>
              <w:t>0.60</w:t>
            </w:r>
          </w:p>
        </w:tc>
        <w:tc>
          <w:tcPr>
            <w:tcW w:w="1079" w:type="dxa"/>
            <w:vAlign w:val="top"/>
          </w:tcPr>
          <w:p>
            <w:pPr>
              <w:spacing w:line="338" w:lineRule="auto"/>
              <w:rPr>
                <w:rFonts w:ascii="Arial"/>
                <w:sz w:val="21"/>
              </w:rPr>
            </w:pPr>
          </w:p>
          <w:p>
            <w:pPr>
              <w:pStyle w:val="TableText"/>
              <w:spacing w:before="58" w:line="183" w:lineRule="auto"/>
              <w:ind w:left="353"/>
              <w:rPr>
                <w:sz w:val="18"/>
                <w:szCs w:val="18"/>
              </w:rPr>
            </w:pPr>
            <w:r>
              <w:rPr>
                <w:spacing w:val="-2"/>
                <w:sz w:val="18"/>
                <w:szCs w:val="18"/>
              </w:rPr>
              <w:t>0.69</w:t>
            </w:r>
          </w:p>
        </w:tc>
        <w:tc>
          <w:tcPr>
            <w:tcW w:w="1078" w:type="dxa"/>
            <w:vAlign w:val="top"/>
          </w:tcPr>
          <w:p>
            <w:pPr>
              <w:spacing w:line="337" w:lineRule="auto"/>
              <w:rPr>
                <w:rFonts w:ascii="Arial"/>
                <w:sz w:val="21"/>
              </w:rPr>
            </w:pPr>
          </w:p>
          <w:p>
            <w:pPr>
              <w:pStyle w:val="TableText"/>
              <w:spacing w:before="58" w:line="184" w:lineRule="auto"/>
              <w:ind w:left="354"/>
              <w:rPr>
                <w:sz w:val="18"/>
                <w:szCs w:val="18"/>
              </w:rPr>
            </w:pPr>
            <w:r>
              <w:rPr>
                <w:spacing w:val="-2"/>
                <w:sz w:val="18"/>
                <w:szCs w:val="18"/>
              </w:rPr>
              <w:t>0.71</w:t>
            </w:r>
          </w:p>
        </w:tc>
        <w:tc>
          <w:tcPr>
            <w:tcW w:w="1099" w:type="dxa"/>
            <w:vAlign w:val="top"/>
          </w:tcPr>
          <w:p>
            <w:pPr>
              <w:spacing w:line="308" w:lineRule="auto"/>
              <w:rPr>
                <w:rFonts w:ascii="Arial"/>
                <w:sz w:val="21"/>
              </w:rPr>
            </w:pPr>
          </w:p>
          <w:p>
            <w:pPr>
              <w:pStyle w:val="TableText"/>
              <w:spacing w:before="58" w:line="183" w:lineRule="auto"/>
              <w:ind w:left="367"/>
              <w:rPr>
                <w:sz w:val="18"/>
                <w:szCs w:val="18"/>
              </w:rPr>
            </w:pPr>
            <w:r>
              <w:rPr>
                <w:spacing w:val="-2"/>
                <w:sz w:val="18"/>
                <w:szCs w:val="18"/>
              </w:rPr>
              <w:t>0.72</w:t>
            </w:r>
          </w:p>
        </w:tc>
        <w:tc>
          <w:tcPr>
            <w:tcW w:w="1099" w:type="dxa"/>
            <w:vAlign w:val="top"/>
          </w:tcPr>
          <w:p>
            <w:pPr>
              <w:spacing w:line="268" w:lineRule="auto"/>
              <w:rPr>
                <w:rFonts w:ascii="Arial"/>
                <w:sz w:val="21"/>
              </w:rPr>
            </w:pPr>
          </w:p>
          <w:p>
            <w:pPr>
              <w:pStyle w:val="TableText"/>
              <w:spacing w:before="59" w:line="183" w:lineRule="auto"/>
              <w:ind w:left="367"/>
              <w:rPr>
                <w:sz w:val="18"/>
                <w:szCs w:val="18"/>
              </w:rPr>
            </w:pPr>
            <w:r>
              <w:rPr>
                <w:spacing w:val="-2"/>
                <w:sz w:val="18"/>
                <w:szCs w:val="18"/>
              </w:rPr>
              <w:t>0.74</w:t>
            </w:r>
          </w:p>
        </w:tc>
        <w:tc>
          <w:tcPr>
            <w:tcW w:w="1103" w:type="dxa"/>
            <w:vAlign w:val="top"/>
          </w:tcPr>
          <w:p>
            <w:pPr>
              <w:spacing w:line="328" w:lineRule="auto"/>
              <w:rPr>
                <w:rFonts w:ascii="Arial"/>
                <w:sz w:val="21"/>
              </w:rPr>
            </w:pPr>
          </w:p>
          <w:p>
            <w:pPr>
              <w:pStyle w:val="TableText"/>
              <w:spacing w:before="58" w:line="183" w:lineRule="auto"/>
              <w:ind w:left="368"/>
              <w:rPr>
                <w:sz w:val="18"/>
                <w:szCs w:val="18"/>
              </w:rPr>
            </w:pPr>
            <w:r>
              <w:rPr>
                <w:spacing w:val="-2"/>
                <w:sz w:val="18"/>
                <w:szCs w:val="18"/>
              </w:rPr>
              <w:t>0.73</w:t>
            </w:r>
          </w:p>
        </w:tc>
      </w:tr>
    </w:tbl>
    <w:p>
      <w:pPr>
        <w:pStyle w:val="BodyText"/>
        <w:spacing w:before="134" w:line="377" w:lineRule="auto"/>
        <w:ind w:left="154" w:right="70" w:firstLine="419"/>
        <w:jc w:val="both"/>
        <w:rPr>
          <w:sz w:val="22"/>
          <w:szCs w:val="22"/>
        </w:rPr>
      </w:pPr>
      <w:r>
        <w:rPr>
          <w:spacing w:val="-25"/>
          <w:w w:val="94"/>
          <w:sz w:val="25"/>
          <w:szCs w:val="25"/>
        </w:rPr>
        <w:t>实验结果表明，当加入15mL</w:t>
      </w:r>
      <w:r>
        <w:rPr>
          <w:spacing w:val="-1"/>
          <w:sz w:val="25"/>
          <w:szCs w:val="25"/>
        </w:rPr>
        <w:t xml:space="preserve"> </w:t>
      </w:r>
      <w:r>
        <w:rPr>
          <w:spacing w:val="-25"/>
          <w:w w:val="94"/>
          <w:sz w:val="25"/>
          <w:szCs w:val="25"/>
        </w:rPr>
        <w:t>和20ml柠檬酸钠溶液时，样品的测量结果最为稳定与准确。</w:t>
      </w:r>
      <w:r>
        <w:rPr>
          <w:sz w:val="25"/>
          <w:szCs w:val="25"/>
        </w:rPr>
        <w:t xml:space="preserve"> </w:t>
      </w:r>
      <w:r>
        <w:rPr>
          <w:spacing w:val="-10"/>
          <w:sz w:val="22"/>
          <w:szCs w:val="22"/>
        </w:rPr>
        <w:t>当加入的柠檬酸钠溶液少于15mL</w:t>
      </w:r>
      <w:r>
        <w:rPr>
          <w:spacing w:val="62"/>
          <w:sz w:val="22"/>
          <w:szCs w:val="22"/>
        </w:rPr>
        <w:t xml:space="preserve"> </w:t>
      </w:r>
      <w:r>
        <w:rPr>
          <w:spacing w:val="-10"/>
          <w:sz w:val="22"/>
          <w:szCs w:val="22"/>
        </w:rPr>
        <w:t>时，结果偏低，分析</w:t>
      </w:r>
      <w:r>
        <w:rPr>
          <w:spacing w:val="-11"/>
          <w:sz w:val="22"/>
          <w:szCs w:val="22"/>
        </w:rPr>
        <w:t>其原因可能是未能将试样中其他金属</w:t>
      </w:r>
      <w:r>
        <w:rPr>
          <w:sz w:val="22"/>
          <w:szCs w:val="22"/>
        </w:rPr>
        <w:t xml:space="preserve">  </w:t>
      </w:r>
      <w:r>
        <w:rPr>
          <w:spacing w:val="-12"/>
          <w:sz w:val="22"/>
          <w:szCs w:val="22"/>
        </w:rPr>
        <w:t>完全掩蔽，其与氟离子发生络合，导致所测试验结果偏低。为减少试</w:t>
      </w:r>
      <w:r>
        <w:rPr>
          <w:spacing w:val="-13"/>
          <w:sz w:val="22"/>
          <w:szCs w:val="22"/>
        </w:rPr>
        <w:t>剂的加入，故选择加入</w:t>
      </w:r>
    </w:p>
    <w:p>
      <w:pPr>
        <w:pStyle w:val="BodyText"/>
        <w:spacing w:line="212" w:lineRule="auto"/>
        <w:ind w:left="174"/>
        <w:rPr>
          <w:sz w:val="22"/>
          <w:szCs w:val="22"/>
        </w:rPr>
      </w:pPr>
      <w:r>
        <w:rPr>
          <w:spacing w:val="-10"/>
          <w:sz w:val="23"/>
          <w:szCs w:val="23"/>
        </w:rPr>
        <w:t xml:space="preserve">15mL </w:t>
      </w:r>
      <w:r>
        <w:rPr>
          <w:spacing w:val="-10"/>
          <w:sz w:val="22"/>
          <w:szCs w:val="22"/>
        </w:rPr>
        <w:t>的柠檬酸钠溶液。</w:t>
      </w:r>
    </w:p>
    <w:p>
      <w:pPr>
        <w:spacing w:before="284" w:line="221" w:lineRule="auto"/>
        <w:ind w:left="154"/>
        <w:rPr>
          <w:rFonts w:ascii="SimHei" w:eastAsia="SimHei" w:hAnsi="SimHei" w:cs="SimHei"/>
          <w:sz w:val="22"/>
          <w:szCs w:val="22"/>
        </w:rPr>
      </w:pPr>
      <w:r>
        <w:rPr>
          <w:rFonts w:ascii="SimHei" w:eastAsia="SimHei" w:hAnsi="SimHei" w:cs="SimHei"/>
          <w:spacing w:val="-8"/>
          <w:sz w:val="22"/>
          <w:szCs w:val="22"/>
        </w:rPr>
        <w:t>3.4</w:t>
      </w:r>
      <w:r>
        <w:rPr>
          <w:rFonts w:ascii="SimHei" w:eastAsia="SimHei" w:hAnsi="SimHei" w:cs="SimHei"/>
          <w:spacing w:val="88"/>
          <w:sz w:val="22"/>
          <w:szCs w:val="22"/>
        </w:rPr>
        <w:t xml:space="preserve"> </w:t>
      </w:r>
      <w:r>
        <w:rPr>
          <w:rFonts w:ascii="SimHei" w:eastAsia="SimHei" w:hAnsi="SimHei" w:cs="SimHei"/>
          <w:spacing w:val="-8"/>
          <w:sz w:val="22"/>
          <w:szCs w:val="22"/>
        </w:rPr>
        <w:t>三乙醇胺用量的选择试验</w:t>
      </w:r>
    </w:p>
    <w:p>
      <w:pPr>
        <w:pStyle w:val="BodyText"/>
        <w:spacing w:before="234" w:line="401" w:lineRule="auto"/>
        <w:ind w:left="154" w:right="167" w:firstLine="429"/>
        <w:jc w:val="both"/>
        <w:rPr>
          <w:sz w:val="22"/>
          <w:szCs w:val="22"/>
        </w:rPr>
      </w:pPr>
      <w:r>
        <w:rPr>
          <w:spacing w:val="-10"/>
          <w:sz w:val="22"/>
          <w:szCs w:val="22"/>
        </w:rPr>
        <w:t>为了维持试液的</w:t>
      </w:r>
      <w:r>
        <w:rPr>
          <w:rFonts w:ascii="Times New Roman" w:eastAsia="Times New Roman" w:hAnsi="Times New Roman" w:cs="Times New Roman"/>
          <w:spacing w:val="-10"/>
          <w:sz w:val="22"/>
          <w:szCs w:val="22"/>
        </w:rPr>
        <w:t>pH</w:t>
      </w:r>
      <w:r>
        <w:rPr>
          <w:spacing w:val="-10"/>
          <w:sz w:val="22"/>
          <w:szCs w:val="22"/>
        </w:rPr>
        <w:t>在6.5～7.0,本实验选</w:t>
      </w:r>
      <w:r>
        <w:rPr>
          <w:spacing w:val="-11"/>
          <w:sz w:val="22"/>
          <w:szCs w:val="22"/>
        </w:rPr>
        <w:t>择加入三乙醇胺缓冲溶液。三乙醇胺还能作为</w:t>
      </w:r>
      <w:r>
        <w:rPr>
          <w:sz w:val="22"/>
          <w:szCs w:val="22"/>
        </w:rPr>
        <w:t xml:space="preserve"> </w:t>
      </w:r>
      <w:r>
        <w:rPr>
          <w:spacing w:val="-12"/>
          <w:sz w:val="22"/>
          <w:szCs w:val="22"/>
        </w:rPr>
        <w:t>溶液中铝离子的掩蔽剂，与铝离子发生络合反应，消除</w:t>
      </w:r>
      <w:r>
        <w:rPr>
          <w:spacing w:val="-13"/>
          <w:sz w:val="22"/>
          <w:szCs w:val="22"/>
        </w:rPr>
        <w:t>铝离子对电动势的影响。为探究三乙</w:t>
      </w:r>
      <w:r>
        <w:rPr>
          <w:sz w:val="22"/>
          <w:szCs w:val="22"/>
        </w:rPr>
        <w:t xml:space="preserve"> </w:t>
      </w:r>
      <w:r>
        <w:rPr>
          <w:spacing w:val="-11"/>
          <w:sz w:val="22"/>
          <w:szCs w:val="22"/>
        </w:rPr>
        <w:t>醇胺的最佳用量，试验通过加入不同体积的三乙醇胺溶液，分别用1</w:t>
      </w:r>
      <w:r>
        <w:rPr>
          <w:spacing w:val="-12"/>
          <w:sz w:val="22"/>
          <w:szCs w:val="22"/>
        </w:rPr>
        <w:t>#和4#统一样品进行了测</w:t>
      </w:r>
    </w:p>
    <w:p>
      <w:pPr>
        <w:pStyle w:val="BodyText"/>
        <w:spacing w:line="219" w:lineRule="auto"/>
        <w:ind w:left="144"/>
        <w:rPr>
          <w:sz w:val="22"/>
          <w:szCs w:val="22"/>
        </w:rPr>
      </w:pPr>
      <w:r>
        <w:rPr>
          <w:spacing w:val="-8"/>
          <w:sz w:val="22"/>
          <w:szCs w:val="22"/>
        </w:rPr>
        <w:t>定，结果见表7。</w:t>
      </w:r>
    </w:p>
    <w:p>
      <w:pPr>
        <w:spacing w:line="323" w:lineRule="auto"/>
        <w:rPr>
          <w:rFonts w:ascii="Arial"/>
          <w:sz w:val="21"/>
        </w:rPr>
      </w:pPr>
    </w:p>
    <w:p>
      <w:pPr>
        <w:spacing w:before="71" w:line="221" w:lineRule="auto"/>
        <w:ind w:left="2964"/>
        <w:rPr>
          <w:rFonts w:ascii="SimHei" w:eastAsia="SimHei" w:hAnsi="SimHei" w:cs="SimHei"/>
          <w:sz w:val="22"/>
          <w:szCs w:val="22"/>
        </w:rPr>
      </w:pPr>
      <w:r>
        <w:rPr>
          <w:rFonts w:ascii="SimHei" w:eastAsia="SimHei" w:hAnsi="SimHei" w:cs="SimHei"/>
          <w:spacing w:val="-10"/>
          <w:sz w:val="22"/>
          <w:szCs w:val="22"/>
        </w:rPr>
        <w:t>表7</w:t>
      </w:r>
      <w:r>
        <w:rPr>
          <w:rFonts w:ascii="SimHei" w:eastAsia="SimHei" w:hAnsi="SimHei" w:cs="SimHei"/>
          <w:spacing w:val="-22"/>
          <w:sz w:val="22"/>
          <w:szCs w:val="22"/>
        </w:rPr>
        <w:t xml:space="preserve"> </w:t>
      </w:r>
      <w:r>
        <w:rPr>
          <w:rFonts w:ascii="SimHei" w:eastAsia="SimHei" w:hAnsi="SimHei" w:cs="SimHei"/>
          <w:spacing w:val="-10"/>
          <w:sz w:val="22"/>
          <w:szCs w:val="22"/>
        </w:rPr>
        <w:t>三乙醇胺用量的选择试验</w:t>
      </w:r>
    </w:p>
    <w:p>
      <w:pPr>
        <w:spacing w:line="185" w:lineRule="exact"/>
      </w:pPr>
    </w:p>
    <w:tbl>
      <w:tblPr>
        <w:tblStyle w:val="TableNormal8"/>
        <w:tblW w:w="8519" w:type="dxa"/>
        <w:tblInd w:w="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1548"/>
        <w:gridCol w:w="1538"/>
        <w:gridCol w:w="1538"/>
        <w:gridCol w:w="1528"/>
        <w:gridCol w:w="1543"/>
      </w:tblGrid>
      <w:tr>
        <w:tblPrEx>
          <w:tblW w:w="8519" w:type="dxa"/>
          <w:tblInd w:w="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2"/>
        </w:trPr>
        <w:tc>
          <w:tcPr>
            <w:tcW w:w="824" w:type="dxa"/>
            <w:vMerge w:val="restart"/>
            <w:tcBorders>
              <w:bottom w:val="nil"/>
            </w:tcBorders>
            <w:vAlign w:val="top"/>
          </w:tcPr>
          <w:p>
            <w:pPr>
              <w:spacing w:line="378" w:lineRule="auto"/>
              <w:rPr>
                <w:rFonts w:ascii="Arial"/>
                <w:sz w:val="21"/>
              </w:rPr>
            </w:pPr>
          </w:p>
          <w:p>
            <w:pPr>
              <w:pStyle w:val="TableText"/>
              <w:spacing w:before="62" w:line="219" w:lineRule="auto"/>
              <w:ind w:left="214"/>
            </w:pPr>
            <w:r>
              <w:rPr>
                <w:spacing w:val="9"/>
              </w:rPr>
              <w:t>样品</w:t>
            </w:r>
          </w:p>
        </w:tc>
        <w:tc>
          <w:tcPr>
            <w:tcW w:w="7695" w:type="dxa"/>
            <w:gridSpan w:val="5"/>
            <w:vAlign w:val="top"/>
          </w:tcPr>
          <w:p>
            <w:pPr>
              <w:pStyle w:val="TableText"/>
              <w:spacing w:before="242" w:line="219" w:lineRule="auto"/>
              <w:ind w:left="3291"/>
            </w:pPr>
            <w:r>
              <w:rPr>
                <w:spacing w:val="6"/>
              </w:rPr>
              <w:t>测定值(%)</w:t>
            </w:r>
          </w:p>
        </w:tc>
      </w:tr>
      <w:tr>
        <w:tblPrEx>
          <w:tblW w:w="8519" w:type="dxa"/>
          <w:tblInd w:w="54" w:type="dxa"/>
          <w:tblLayout w:type="fixed"/>
        </w:tblPrEx>
        <w:trPr>
          <w:trHeight w:val="518"/>
        </w:trPr>
        <w:tc>
          <w:tcPr>
            <w:tcW w:w="824" w:type="dxa"/>
            <w:vMerge/>
            <w:tcBorders>
              <w:top w:val="nil"/>
            </w:tcBorders>
            <w:vAlign w:val="top"/>
          </w:tcPr>
          <w:p>
            <w:pPr>
              <w:rPr>
                <w:rFonts w:ascii="Arial"/>
                <w:sz w:val="21"/>
              </w:rPr>
            </w:pPr>
          </w:p>
        </w:tc>
        <w:tc>
          <w:tcPr>
            <w:tcW w:w="1548" w:type="dxa"/>
            <w:vAlign w:val="top"/>
          </w:tcPr>
          <w:p>
            <w:pPr>
              <w:pStyle w:val="TableText"/>
              <w:spacing w:before="269" w:line="183" w:lineRule="auto"/>
              <w:ind w:left="621"/>
            </w:pPr>
            <w:r>
              <w:rPr>
                <w:spacing w:val="-3"/>
              </w:rPr>
              <w:t>2mL</w:t>
            </w:r>
          </w:p>
        </w:tc>
        <w:tc>
          <w:tcPr>
            <w:tcW w:w="1538" w:type="dxa"/>
            <w:vAlign w:val="top"/>
          </w:tcPr>
          <w:p>
            <w:pPr>
              <w:pStyle w:val="TableText"/>
              <w:spacing w:before="289" w:line="183" w:lineRule="auto"/>
              <w:ind w:left="612"/>
            </w:pPr>
            <w:r>
              <w:rPr>
                <w:spacing w:val="-3"/>
              </w:rPr>
              <w:t>3mL</w:t>
            </w:r>
          </w:p>
        </w:tc>
        <w:tc>
          <w:tcPr>
            <w:tcW w:w="1538" w:type="dxa"/>
            <w:vAlign w:val="top"/>
          </w:tcPr>
          <w:p>
            <w:pPr>
              <w:pStyle w:val="TableText"/>
              <w:spacing w:before="289" w:line="183" w:lineRule="auto"/>
              <w:ind w:left="574"/>
            </w:pPr>
            <w:r>
              <w:rPr>
                <w:spacing w:val="-3"/>
              </w:rPr>
              <w:t>4</w:t>
            </w:r>
            <w:r>
              <w:rPr>
                <w:spacing w:val="2"/>
              </w:rPr>
              <w:t xml:space="preserve"> </w:t>
            </w:r>
            <w:r>
              <w:rPr>
                <w:spacing w:val="-3"/>
              </w:rPr>
              <w:t>mL</w:t>
            </w:r>
          </w:p>
        </w:tc>
        <w:tc>
          <w:tcPr>
            <w:tcW w:w="1528" w:type="dxa"/>
            <w:vAlign w:val="top"/>
          </w:tcPr>
          <w:p>
            <w:pPr>
              <w:pStyle w:val="TableText"/>
              <w:spacing w:before="290" w:line="182" w:lineRule="auto"/>
              <w:ind w:left="616"/>
            </w:pPr>
            <w:r>
              <w:rPr>
                <w:spacing w:val="-3"/>
              </w:rPr>
              <w:t>5mL</w:t>
            </w:r>
          </w:p>
        </w:tc>
        <w:tc>
          <w:tcPr>
            <w:tcW w:w="1543" w:type="dxa"/>
            <w:vAlign w:val="top"/>
          </w:tcPr>
          <w:p>
            <w:pPr>
              <w:pStyle w:val="TableText"/>
              <w:spacing w:before="289" w:line="183" w:lineRule="auto"/>
              <w:ind w:left="618"/>
            </w:pPr>
            <w:r>
              <w:rPr>
                <w:spacing w:val="-2"/>
              </w:rPr>
              <w:t>6mL</w:t>
            </w:r>
          </w:p>
        </w:tc>
      </w:tr>
      <w:tr>
        <w:tblPrEx>
          <w:tblW w:w="8519" w:type="dxa"/>
          <w:tblInd w:w="54" w:type="dxa"/>
          <w:tblLayout w:type="fixed"/>
        </w:tblPrEx>
        <w:trPr>
          <w:trHeight w:val="548"/>
        </w:trPr>
        <w:tc>
          <w:tcPr>
            <w:tcW w:w="824" w:type="dxa"/>
            <w:vAlign w:val="top"/>
          </w:tcPr>
          <w:p>
            <w:pPr>
              <w:spacing w:line="247" w:lineRule="auto"/>
              <w:rPr>
                <w:rFonts w:ascii="Arial"/>
                <w:sz w:val="21"/>
              </w:rPr>
            </w:pPr>
          </w:p>
          <w:p>
            <w:pPr>
              <w:pStyle w:val="TableText"/>
              <w:spacing w:before="62" w:line="184" w:lineRule="auto"/>
              <w:ind w:left="304"/>
            </w:pPr>
            <w:r>
              <w:rPr>
                <w:spacing w:val="-6"/>
              </w:rPr>
              <w:t>1#</w:t>
            </w:r>
          </w:p>
        </w:tc>
        <w:tc>
          <w:tcPr>
            <w:tcW w:w="1548" w:type="dxa"/>
            <w:vAlign w:val="top"/>
          </w:tcPr>
          <w:p>
            <w:pPr>
              <w:spacing w:line="248" w:lineRule="auto"/>
              <w:rPr>
                <w:rFonts w:ascii="Arial"/>
                <w:sz w:val="21"/>
              </w:rPr>
            </w:pPr>
          </w:p>
          <w:p>
            <w:pPr>
              <w:pStyle w:val="TableText"/>
              <w:spacing w:before="62" w:line="183" w:lineRule="auto"/>
              <w:ind w:left="520"/>
            </w:pPr>
            <w:r>
              <w:rPr>
                <w:spacing w:val="-2"/>
              </w:rPr>
              <w:t>0.044</w:t>
            </w:r>
          </w:p>
        </w:tc>
        <w:tc>
          <w:tcPr>
            <w:tcW w:w="1538" w:type="dxa"/>
            <w:vAlign w:val="top"/>
          </w:tcPr>
          <w:p>
            <w:pPr>
              <w:spacing w:line="247" w:lineRule="auto"/>
              <w:rPr>
                <w:rFonts w:ascii="Arial"/>
                <w:sz w:val="21"/>
              </w:rPr>
            </w:pPr>
          </w:p>
          <w:p>
            <w:pPr>
              <w:pStyle w:val="TableText"/>
              <w:spacing w:before="62" w:line="184" w:lineRule="auto"/>
              <w:ind w:left="522"/>
            </w:pPr>
            <w:r>
              <w:rPr>
                <w:spacing w:val="-2"/>
              </w:rPr>
              <w:t>0.041</w:t>
            </w:r>
          </w:p>
        </w:tc>
        <w:tc>
          <w:tcPr>
            <w:tcW w:w="1538" w:type="dxa"/>
            <w:vAlign w:val="top"/>
          </w:tcPr>
          <w:p>
            <w:pPr>
              <w:spacing w:line="248" w:lineRule="auto"/>
              <w:rPr>
                <w:rFonts w:ascii="Arial"/>
                <w:sz w:val="21"/>
              </w:rPr>
            </w:pPr>
          </w:p>
          <w:p>
            <w:pPr>
              <w:pStyle w:val="TableText"/>
              <w:spacing w:before="62" w:line="183" w:lineRule="auto"/>
              <w:ind w:left="525"/>
            </w:pPr>
            <w:r>
              <w:rPr>
                <w:spacing w:val="-2"/>
              </w:rPr>
              <w:t>0.038</w:t>
            </w:r>
          </w:p>
        </w:tc>
        <w:tc>
          <w:tcPr>
            <w:tcW w:w="1528" w:type="dxa"/>
            <w:vAlign w:val="top"/>
          </w:tcPr>
          <w:p>
            <w:pPr>
              <w:spacing w:line="248" w:lineRule="auto"/>
              <w:rPr>
                <w:rFonts w:ascii="Arial"/>
                <w:sz w:val="21"/>
              </w:rPr>
            </w:pPr>
          </w:p>
          <w:p>
            <w:pPr>
              <w:pStyle w:val="TableText"/>
              <w:spacing w:before="62" w:line="183" w:lineRule="auto"/>
              <w:ind w:left="516"/>
            </w:pPr>
            <w:r>
              <w:rPr>
                <w:spacing w:val="-2"/>
              </w:rPr>
              <w:t>0.039</w:t>
            </w:r>
          </w:p>
        </w:tc>
        <w:tc>
          <w:tcPr>
            <w:tcW w:w="1543" w:type="dxa"/>
            <w:vAlign w:val="top"/>
          </w:tcPr>
          <w:p>
            <w:pPr>
              <w:spacing w:line="248" w:lineRule="auto"/>
              <w:rPr>
                <w:rFonts w:ascii="Arial"/>
                <w:sz w:val="21"/>
              </w:rPr>
            </w:pPr>
          </w:p>
          <w:p>
            <w:pPr>
              <w:pStyle w:val="TableText"/>
              <w:spacing w:before="62" w:line="183" w:lineRule="auto"/>
              <w:ind w:left="528"/>
            </w:pPr>
            <w:r>
              <w:rPr>
                <w:spacing w:val="-2"/>
              </w:rPr>
              <w:t>0.038</w:t>
            </w:r>
          </w:p>
        </w:tc>
      </w:tr>
      <w:tr>
        <w:tblPrEx>
          <w:tblW w:w="8519" w:type="dxa"/>
          <w:tblInd w:w="54" w:type="dxa"/>
          <w:tblLayout w:type="fixed"/>
        </w:tblPrEx>
        <w:trPr>
          <w:trHeight w:val="552"/>
        </w:trPr>
        <w:tc>
          <w:tcPr>
            <w:tcW w:w="824" w:type="dxa"/>
            <w:vAlign w:val="top"/>
          </w:tcPr>
          <w:p>
            <w:pPr>
              <w:rPr>
                <w:rFonts w:ascii="Arial"/>
                <w:sz w:val="21"/>
              </w:rPr>
            </w:pPr>
          </w:p>
          <w:p>
            <w:pPr>
              <w:pStyle w:val="TableText"/>
              <w:spacing w:before="62" w:line="183" w:lineRule="auto"/>
              <w:ind w:left="304"/>
            </w:pPr>
            <w:r>
              <w:rPr>
                <w:spacing w:val="-2"/>
              </w:rPr>
              <w:t>4#</w:t>
            </w:r>
          </w:p>
        </w:tc>
        <w:tc>
          <w:tcPr>
            <w:tcW w:w="1548" w:type="dxa"/>
            <w:vAlign w:val="top"/>
          </w:tcPr>
          <w:p>
            <w:pPr>
              <w:pStyle w:val="TableText"/>
              <w:spacing w:before="302" w:line="184" w:lineRule="auto"/>
              <w:ind w:left="570"/>
            </w:pPr>
            <w:r>
              <w:rPr>
                <w:spacing w:val="-5"/>
              </w:rPr>
              <w:t>1.48</w:t>
            </w:r>
          </w:p>
        </w:tc>
        <w:tc>
          <w:tcPr>
            <w:tcW w:w="1538" w:type="dxa"/>
            <w:vAlign w:val="top"/>
          </w:tcPr>
          <w:p>
            <w:pPr>
              <w:pStyle w:val="TableText"/>
              <w:spacing w:before="302" w:line="184" w:lineRule="auto"/>
              <w:ind w:left="573"/>
            </w:pPr>
            <w:r>
              <w:rPr>
                <w:spacing w:val="-5"/>
              </w:rPr>
              <w:t>1.46</w:t>
            </w:r>
          </w:p>
        </w:tc>
        <w:tc>
          <w:tcPr>
            <w:tcW w:w="1538" w:type="dxa"/>
            <w:vAlign w:val="top"/>
          </w:tcPr>
          <w:p>
            <w:pPr>
              <w:pStyle w:val="TableText"/>
              <w:spacing w:before="302" w:line="184" w:lineRule="auto"/>
              <w:ind w:left="574"/>
            </w:pPr>
            <w:r>
              <w:rPr>
                <w:spacing w:val="-5"/>
              </w:rPr>
              <w:t>1.43</w:t>
            </w:r>
          </w:p>
        </w:tc>
        <w:tc>
          <w:tcPr>
            <w:tcW w:w="1528" w:type="dxa"/>
            <w:vAlign w:val="top"/>
          </w:tcPr>
          <w:p>
            <w:pPr>
              <w:pStyle w:val="TableText"/>
              <w:spacing w:before="302" w:line="184" w:lineRule="auto"/>
              <w:ind w:left="566"/>
            </w:pPr>
            <w:r>
              <w:rPr>
                <w:spacing w:val="-5"/>
              </w:rPr>
              <w:t>1.42</w:t>
            </w:r>
          </w:p>
        </w:tc>
        <w:tc>
          <w:tcPr>
            <w:tcW w:w="1543" w:type="dxa"/>
            <w:vAlign w:val="top"/>
          </w:tcPr>
          <w:p>
            <w:pPr>
              <w:pStyle w:val="TableText"/>
              <w:spacing w:before="302" w:line="184" w:lineRule="auto"/>
              <w:ind w:left="578"/>
            </w:pPr>
            <w:r>
              <w:rPr>
                <w:spacing w:val="-5"/>
              </w:rPr>
              <w:t>1.42</w:t>
            </w:r>
          </w:p>
        </w:tc>
      </w:tr>
    </w:tbl>
    <w:p>
      <w:pPr>
        <w:pStyle w:val="BodyText"/>
        <w:spacing w:before="104" w:line="219" w:lineRule="auto"/>
        <w:ind w:left="564"/>
        <w:rPr>
          <w:sz w:val="22"/>
          <w:szCs w:val="22"/>
        </w:rPr>
      </w:pPr>
      <w:r>
        <w:rPr>
          <w:spacing w:val="-6"/>
          <w:sz w:val="22"/>
          <w:szCs w:val="22"/>
        </w:rPr>
        <w:t>结果表明，当加入5mL 三乙醇胺时，结果稳定，可达</w:t>
      </w:r>
      <w:r>
        <w:rPr>
          <w:spacing w:val="-7"/>
          <w:sz w:val="22"/>
          <w:szCs w:val="22"/>
        </w:rPr>
        <w:t>到掩蔽效果。</w:t>
      </w:r>
    </w:p>
    <w:p>
      <w:pPr>
        <w:spacing w:before="307" w:line="221" w:lineRule="auto"/>
        <w:ind w:left="164"/>
        <w:rPr>
          <w:rFonts w:ascii="SimHei" w:eastAsia="SimHei" w:hAnsi="SimHei" w:cs="SimHei"/>
          <w:sz w:val="22"/>
          <w:szCs w:val="22"/>
        </w:rPr>
      </w:pPr>
      <w:r>
        <w:rPr>
          <w:rFonts w:ascii="SimHei" w:eastAsia="SimHei" w:hAnsi="SimHei" w:cs="SimHei"/>
          <w:spacing w:val="-6"/>
          <w:sz w:val="22"/>
          <w:szCs w:val="22"/>
        </w:rPr>
        <w:t>3.5</w:t>
      </w:r>
      <w:r>
        <w:rPr>
          <w:rFonts w:ascii="SimHei" w:eastAsia="SimHei" w:hAnsi="SimHei" w:cs="SimHei"/>
          <w:spacing w:val="61"/>
          <w:sz w:val="22"/>
          <w:szCs w:val="22"/>
        </w:rPr>
        <w:t xml:space="preserve"> </w:t>
      </w:r>
      <w:r>
        <w:rPr>
          <w:rFonts w:ascii="SimHei" w:eastAsia="SimHei" w:hAnsi="SimHei" w:cs="SimHei"/>
          <w:spacing w:val="-6"/>
          <w:sz w:val="22"/>
          <w:szCs w:val="22"/>
        </w:rPr>
        <w:t>共存元素干扰试验</w:t>
      </w:r>
    </w:p>
    <w:p>
      <w:pPr>
        <w:pStyle w:val="BodyText"/>
        <w:spacing w:before="270" w:line="394" w:lineRule="auto"/>
        <w:ind w:left="154" w:right="174" w:firstLine="419"/>
        <w:jc w:val="both"/>
        <w:rPr>
          <w:sz w:val="22"/>
          <w:szCs w:val="22"/>
        </w:rPr>
      </w:pPr>
      <w:r>
        <w:rPr>
          <w:spacing w:val="-10"/>
          <w:sz w:val="22"/>
          <w:szCs w:val="22"/>
        </w:rPr>
        <w:t>钨精矿分为黑钨精矿和白钨精矿，其中主量元素是钨，含量在60%左右。黑钨和白钨分</w:t>
      </w:r>
      <w:r>
        <w:rPr>
          <w:spacing w:val="18"/>
          <w:sz w:val="22"/>
          <w:szCs w:val="22"/>
        </w:rPr>
        <w:t xml:space="preserve"> </w:t>
      </w:r>
      <w:r>
        <w:rPr>
          <w:spacing w:val="-10"/>
          <w:sz w:val="22"/>
          <w:szCs w:val="22"/>
        </w:rPr>
        <w:t>别含有铁、锰和钙主要杂质元素，含量最高10%左右，同时还有微量的铝元素，含量不超过</w:t>
      </w:r>
      <w:r>
        <w:rPr>
          <w:spacing w:val="17"/>
          <w:sz w:val="22"/>
          <w:szCs w:val="22"/>
        </w:rPr>
        <w:t xml:space="preserve"> </w:t>
      </w:r>
      <w:r>
        <w:rPr>
          <w:spacing w:val="-12"/>
          <w:sz w:val="22"/>
          <w:szCs w:val="22"/>
        </w:rPr>
        <w:t>2%。通过在低含量和高含量的标准溶液中加入一定量的基体元素进行干扰试验，测定结果见</w:t>
      </w:r>
      <w:r>
        <w:rPr>
          <w:spacing w:val="11"/>
          <w:sz w:val="22"/>
          <w:szCs w:val="22"/>
        </w:rPr>
        <w:t xml:space="preserve"> </w:t>
      </w:r>
      <w:r>
        <w:rPr>
          <w:spacing w:val="-10"/>
          <w:sz w:val="22"/>
          <w:szCs w:val="22"/>
        </w:rPr>
        <w:t>表8。实验结果表明：在理论最高含量的元素存在下，大多数共存元素对氟含量的测定均无</w:t>
      </w:r>
    </w:p>
    <w:p>
      <w:pPr>
        <w:pStyle w:val="BodyText"/>
        <w:spacing w:line="218" w:lineRule="auto"/>
        <w:ind w:left="154"/>
        <w:rPr>
          <w:sz w:val="22"/>
          <w:szCs w:val="22"/>
        </w:rPr>
      </w:pPr>
      <w:r>
        <w:rPr>
          <w:spacing w:val="-6"/>
          <w:sz w:val="22"/>
          <w:szCs w:val="22"/>
        </w:rPr>
        <w:t>明显干扰，干扰试验的回收率在98.72%～101.0 %之间，</w:t>
      </w:r>
      <w:r>
        <w:rPr>
          <w:spacing w:val="-7"/>
          <w:sz w:val="22"/>
          <w:szCs w:val="22"/>
        </w:rPr>
        <w:t>对测定元素干扰小，可以忽略。</w:t>
      </w:r>
    </w:p>
    <w:p>
      <w:pPr>
        <w:spacing w:before="259" w:line="221" w:lineRule="auto"/>
        <w:ind w:left="3275"/>
        <w:rPr>
          <w:rFonts w:ascii="SimHei" w:eastAsia="SimHei" w:hAnsi="SimHei" w:cs="SimHei"/>
          <w:sz w:val="22"/>
          <w:szCs w:val="22"/>
        </w:rPr>
      </w:pPr>
      <w:r>
        <w:rPr>
          <w:rFonts w:ascii="SimHei" w:eastAsia="SimHei" w:hAnsi="SimHei" w:cs="SimHei"/>
          <w:spacing w:val="-9"/>
          <w:sz w:val="22"/>
          <w:szCs w:val="22"/>
        </w:rPr>
        <w:t>表8</w:t>
      </w:r>
      <w:r>
        <w:rPr>
          <w:rFonts w:ascii="SimHei" w:eastAsia="SimHei" w:hAnsi="SimHei" w:cs="SimHei"/>
          <w:spacing w:val="-23"/>
          <w:sz w:val="22"/>
          <w:szCs w:val="22"/>
        </w:rPr>
        <w:t xml:space="preserve"> </w:t>
      </w:r>
      <w:r>
        <w:rPr>
          <w:rFonts w:ascii="SimHei" w:eastAsia="SimHei" w:hAnsi="SimHei" w:cs="SimHei"/>
          <w:spacing w:val="-9"/>
          <w:sz w:val="22"/>
          <w:szCs w:val="22"/>
        </w:rPr>
        <w:t>共存元素干扰试验</w:t>
      </w:r>
    </w:p>
    <w:p>
      <w:pPr>
        <w:spacing w:line="15" w:lineRule="exact"/>
        <w:sectPr>
          <w:pgSz w:w="11900" w:h="16830"/>
          <w:pgMar w:top="1425" w:right="1614" w:bottom="0" w:left="1635" w:header="0" w:footer="0" w:gutter="0"/>
          <w:pgNumType w:start="11"/>
          <w:cols w:space="708"/>
        </w:sectPr>
      </w:pPr>
    </w:p>
    <w:tbl>
      <w:tblPr>
        <w:tblStyle w:val="TableNormal9"/>
        <w:tblW w:w="8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42"/>
        <w:gridCol w:w="1638"/>
        <w:gridCol w:w="1618"/>
        <w:gridCol w:w="1618"/>
        <w:gridCol w:w="1623"/>
      </w:tblGrid>
      <w:tr>
        <w:tblPrEx>
          <w:tblW w:w="8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9"/>
        </w:trPr>
        <w:tc>
          <w:tcPr>
            <w:tcW w:w="2142" w:type="dxa"/>
            <w:vAlign w:val="top"/>
          </w:tcPr>
          <w:p>
            <w:pPr>
              <w:pStyle w:val="TableText"/>
              <w:spacing w:before="121" w:line="219" w:lineRule="auto"/>
              <w:ind w:left="684"/>
            </w:pPr>
            <w:r>
              <w:rPr>
                <w:spacing w:val="-2"/>
              </w:rPr>
              <w:t>干扰元素</w:t>
            </w:r>
          </w:p>
        </w:tc>
        <w:tc>
          <w:tcPr>
            <w:tcW w:w="1638" w:type="dxa"/>
            <w:vAlign w:val="top"/>
          </w:tcPr>
          <w:p>
            <w:pPr>
              <w:pStyle w:val="TableText"/>
              <w:spacing w:before="116" w:line="214" w:lineRule="auto"/>
              <w:ind w:left="432"/>
            </w:pPr>
            <w:r>
              <w:rPr>
                <w:spacing w:val="-2"/>
              </w:rPr>
              <w:t>加入量mg</w:t>
            </w:r>
          </w:p>
        </w:tc>
        <w:tc>
          <w:tcPr>
            <w:tcW w:w="1618" w:type="dxa"/>
            <w:vAlign w:val="top"/>
          </w:tcPr>
          <w:p>
            <w:pPr>
              <w:pStyle w:val="TableText"/>
              <w:spacing w:before="116" w:line="214" w:lineRule="auto"/>
              <w:ind w:left="234"/>
            </w:pPr>
            <w:r>
              <w:rPr>
                <w:spacing w:val="-6"/>
              </w:rPr>
              <w:t>加入氟量/</w:t>
            </w:r>
            <w:r>
              <w:rPr>
                <w:color w:val="000BA4"/>
                <w:spacing w:val="-6"/>
              </w:rPr>
              <w:t>μg</w:t>
            </w:r>
          </w:p>
        </w:tc>
        <w:tc>
          <w:tcPr>
            <w:tcW w:w="1618" w:type="dxa"/>
            <w:vAlign w:val="top"/>
          </w:tcPr>
          <w:p>
            <w:pPr>
              <w:pStyle w:val="TableText"/>
              <w:spacing w:before="116" w:line="214" w:lineRule="auto"/>
              <w:ind w:left="236"/>
            </w:pPr>
            <w:r>
              <w:rPr>
                <w:spacing w:val="-2"/>
              </w:rPr>
              <w:t>测得氟量/μg</w:t>
            </w:r>
          </w:p>
        </w:tc>
        <w:tc>
          <w:tcPr>
            <w:tcW w:w="1623" w:type="dxa"/>
            <w:vAlign w:val="top"/>
          </w:tcPr>
          <w:p>
            <w:pPr>
              <w:pStyle w:val="TableText"/>
              <w:spacing w:before="122" w:line="219" w:lineRule="auto"/>
              <w:ind w:left="468"/>
            </w:pPr>
            <w:r>
              <w:rPr>
                <w:spacing w:val="2"/>
              </w:rPr>
              <w:t>回收率%</w:t>
            </w:r>
          </w:p>
        </w:tc>
      </w:tr>
      <w:tr>
        <w:tblPrEx>
          <w:tblW w:w="8639" w:type="dxa"/>
          <w:tblInd w:w="5" w:type="dxa"/>
          <w:tblLayout w:type="fixed"/>
        </w:tblPrEx>
        <w:trPr>
          <w:trHeight w:val="400"/>
        </w:trPr>
        <w:tc>
          <w:tcPr>
            <w:tcW w:w="2142" w:type="dxa"/>
            <w:vAlign w:val="top"/>
          </w:tcPr>
          <w:p>
            <w:pPr>
              <w:pStyle w:val="TableText"/>
              <w:spacing w:before="162" w:line="183" w:lineRule="auto"/>
              <w:ind w:left="964"/>
            </w:pPr>
            <w:r>
              <w:rPr>
                <w:spacing w:val="-2"/>
              </w:rPr>
              <w:t>Ca</w:t>
            </w:r>
          </w:p>
        </w:tc>
        <w:tc>
          <w:tcPr>
            <w:tcW w:w="1638" w:type="dxa"/>
            <w:vAlign w:val="top"/>
          </w:tcPr>
          <w:p>
            <w:pPr>
              <w:pStyle w:val="TableText"/>
              <w:spacing w:before="163" w:line="182" w:lineRule="auto"/>
              <w:ind w:left="762"/>
            </w:pPr>
            <w:r>
              <w:t>5</w:t>
            </w:r>
          </w:p>
        </w:tc>
        <w:tc>
          <w:tcPr>
            <w:tcW w:w="1618" w:type="dxa"/>
            <w:vAlign w:val="top"/>
          </w:tcPr>
          <w:p>
            <w:pPr>
              <w:pStyle w:val="TableText"/>
              <w:spacing w:before="162" w:line="183" w:lineRule="auto"/>
              <w:ind w:left="704"/>
            </w:pPr>
            <w:r>
              <w:rPr>
                <w:spacing w:val="-3"/>
              </w:rPr>
              <w:t>25</w:t>
            </w:r>
          </w:p>
        </w:tc>
        <w:tc>
          <w:tcPr>
            <w:tcW w:w="1618" w:type="dxa"/>
            <w:vAlign w:val="top"/>
          </w:tcPr>
          <w:p>
            <w:pPr>
              <w:pStyle w:val="TableText"/>
              <w:spacing w:before="162" w:line="183" w:lineRule="auto"/>
              <w:ind w:left="566"/>
            </w:pPr>
            <w:r>
              <w:rPr>
                <w:spacing w:val="-2"/>
              </w:rPr>
              <w:t>24.96</w:t>
            </w:r>
          </w:p>
        </w:tc>
        <w:tc>
          <w:tcPr>
            <w:tcW w:w="1623" w:type="dxa"/>
            <w:vAlign w:val="top"/>
          </w:tcPr>
          <w:p>
            <w:pPr>
              <w:pStyle w:val="TableText"/>
              <w:spacing w:before="162" w:line="183" w:lineRule="auto"/>
              <w:ind w:left="568"/>
            </w:pPr>
            <w:r>
              <w:rPr>
                <w:spacing w:val="-2"/>
              </w:rPr>
              <w:t>99.84</w:t>
            </w:r>
          </w:p>
        </w:tc>
      </w:tr>
    </w:tbl>
    <w:p>
      <w:pPr>
        <w:rPr>
          <w:rFonts w:ascii="Arial"/>
          <w:sz w:val="21"/>
        </w:rPr>
      </w:pPr>
    </w:p>
    <w:p>
      <w:pPr>
        <w:rPr>
          <w:rFonts w:ascii="Arial" w:eastAsia="Arial" w:hAnsi="Arial" w:cs="Arial"/>
          <w:sz w:val="21"/>
          <w:szCs w:val="21"/>
        </w:rPr>
        <w:sectPr>
          <w:type w:val="nextPage"/>
          <w:pgSz w:w="11900" w:h="16830"/>
          <w:pgMar w:top="1425" w:right="1614" w:bottom="0" w:left="1635" w:header="0" w:footer="0" w:gutter="0"/>
          <w:pgNumType w:start="12"/>
          <w:cols w:space="708"/>
          <w:titlePg w:val="0"/>
        </w:sectPr>
      </w:pPr>
    </w:p>
    <w:p>
      <w:pPr>
        <w:spacing w:line="46" w:lineRule="auto"/>
        <w:rPr>
          <w:rFonts w:ascii="Arial"/>
          <w:sz w:val="2"/>
        </w:rPr>
      </w:pPr>
    </w:p>
    <w:tbl>
      <w:tblPr>
        <w:tblStyle w:val="TableNormal10"/>
        <w:tblW w:w="86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53"/>
        <w:gridCol w:w="1638"/>
        <w:gridCol w:w="1608"/>
        <w:gridCol w:w="1618"/>
        <w:gridCol w:w="1613"/>
      </w:tblGrid>
      <w:tr>
        <w:tblPrEx>
          <w:tblW w:w="86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2153" w:type="dxa"/>
            <w:vAlign w:val="top"/>
          </w:tcPr>
          <w:p>
            <w:pPr>
              <w:rPr>
                <w:rFonts w:ascii="Arial"/>
                <w:sz w:val="21"/>
              </w:rPr>
            </w:pPr>
          </w:p>
        </w:tc>
        <w:tc>
          <w:tcPr>
            <w:tcW w:w="1638" w:type="dxa"/>
            <w:vAlign w:val="top"/>
          </w:tcPr>
          <w:p>
            <w:pPr>
              <w:rPr>
                <w:rFonts w:ascii="Arial"/>
                <w:sz w:val="21"/>
              </w:rPr>
            </w:pPr>
          </w:p>
        </w:tc>
        <w:tc>
          <w:tcPr>
            <w:tcW w:w="1608" w:type="dxa"/>
            <w:vAlign w:val="top"/>
          </w:tcPr>
          <w:p>
            <w:pPr>
              <w:pStyle w:val="TableText"/>
              <w:spacing w:before="171" w:line="183" w:lineRule="auto"/>
              <w:ind w:left="654"/>
            </w:pPr>
            <w:r>
              <w:rPr>
                <w:spacing w:val="-3"/>
              </w:rPr>
              <w:t>250</w:t>
            </w:r>
          </w:p>
        </w:tc>
        <w:tc>
          <w:tcPr>
            <w:tcW w:w="1618" w:type="dxa"/>
            <w:vAlign w:val="top"/>
          </w:tcPr>
          <w:p>
            <w:pPr>
              <w:pStyle w:val="TableText"/>
              <w:spacing w:before="171" w:line="183" w:lineRule="auto"/>
              <w:ind w:left="516"/>
            </w:pPr>
            <w:r>
              <w:rPr>
                <w:spacing w:val="-2"/>
              </w:rPr>
              <w:t>250.48</w:t>
            </w:r>
          </w:p>
        </w:tc>
        <w:tc>
          <w:tcPr>
            <w:tcW w:w="1613" w:type="dxa"/>
            <w:vAlign w:val="top"/>
          </w:tcPr>
          <w:p>
            <w:pPr>
              <w:pStyle w:val="TableText"/>
              <w:spacing w:before="170" w:line="184" w:lineRule="auto"/>
              <w:ind w:left="558"/>
            </w:pPr>
            <w:r>
              <w:rPr>
                <w:spacing w:val="-4"/>
              </w:rPr>
              <w:t>100.2</w:t>
            </w:r>
          </w:p>
        </w:tc>
      </w:tr>
      <w:tr>
        <w:tblPrEx>
          <w:tblW w:w="8630" w:type="dxa"/>
          <w:tblInd w:w="5" w:type="dxa"/>
          <w:tblLayout w:type="fixed"/>
        </w:tblPrEx>
        <w:trPr>
          <w:trHeight w:val="409"/>
        </w:trPr>
        <w:tc>
          <w:tcPr>
            <w:tcW w:w="2153" w:type="dxa"/>
            <w:vMerge w:val="restart"/>
            <w:tcBorders>
              <w:bottom w:val="nil"/>
            </w:tcBorders>
            <w:vAlign w:val="top"/>
          </w:tcPr>
          <w:p>
            <w:pPr>
              <w:spacing w:line="299" w:lineRule="auto"/>
              <w:rPr>
                <w:rFonts w:ascii="Arial"/>
                <w:sz w:val="21"/>
              </w:rPr>
            </w:pPr>
          </w:p>
          <w:p>
            <w:pPr>
              <w:pStyle w:val="TableText"/>
              <w:spacing w:before="61" w:line="188" w:lineRule="auto"/>
              <w:ind w:left="975"/>
            </w:pPr>
            <w:r>
              <w:rPr>
                <w:spacing w:val="-1"/>
              </w:rPr>
              <w:t>Al</w:t>
            </w:r>
          </w:p>
        </w:tc>
        <w:tc>
          <w:tcPr>
            <w:tcW w:w="1638" w:type="dxa"/>
            <w:vMerge w:val="restart"/>
            <w:tcBorders>
              <w:bottom w:val="nil"/>
            </w:tcBorders>
            <w:vAlign w:val="top"/>
          </w:tcPr>
          <w:p>
            <w:pPr>
              <w:spacing w:line="303" w:lineRule="auto"/>
              <w:rPr>
                <w:rFonts w:ascii="Arial"/>
                <w:sz w:val="21"/>
              </w:rPr>
            </w:pPr>
          </w:p>
          <w:p>
            <w:pPr>
              <w:pStyle w:val="TableText"/>
              <w:spacing w:before="61" w:line="184" w:lineRule="auto"/>
              <w:ind w:left="762"/>
            </w:pPr>
            <w:r>
              <w:t>1</w:t>
            </w:r>
          </w:p>
        </w:tc>
        <w:tc>
          <w:tcPr>
            <w:tcW w:w="1608" w:type="dxa"/>
            <w:vAlign w:val="top"/>
          </w:tcPr>
          <w:p>
            <w:pPr>
              <w:pStyle w:val="TableText"/>
              <w:spacing w:before="157" w:line="183" w:lineRule="auto"/>
              <w:ind w:left="704"/>
            </w:pPr>
            <w:r>
              <w:rPr>
                <w:spacing w:val="-3"/>
              </w:rPr>
              <w:t>25</w:t>
            </w:r>
          </w:p>
        </w:tc>
        <w:tc>
          <w:tcPr>
            <w:tcW w:w="1618" w:type="dxa"/>
            <w:vAlign w:val="top"/>
          </w:tcPr>
          <w:p>
            <w:pPr>
              <w:pStyle w:val="TableText"/>
              <w:spacing w:before="157" w:line="183" w:lineRule="auto"/>
              <w:ind w:left="566"/>
            </w:pPr>
            <w:r>
              <w:rPr>
                <w:spacing w:val="-2"/>
              </w:rPr>
              <w:t>24.68</w:t>
            </w:r>
          </w:p>
        </w:tc>
        <w:tc>
          <w:tcPr>
            <w:tcW w:w="1613" w:type="dxa"/>
            <w:vAlign w:val="top"/>
          </w:tcPr>
          <w:p>
            <w:pPr>
              <w:pStyle w:val="TableText"/>
              <w:spacing w:before="157" w:line="183" w:lineRule="auto"/>
              <w:ind w:left="558"/>
            </w:pPr>
            <w:r>
              <w:rPr>
                <w:spacing w:val="-2"/>
              </w:rPr>
              <w:t>98.72</w:t>
            </w:r>
          </w:p>
        </w:tc>
      </w:tr>
      <w:tr>
        <w:tblPrEx>
          <w:tblW w:w="8630" w:type="dxa"/>
          <w:tblInd w:w="5" w:type="dxa"/>
          <w:tblLayout w:type="fixed"/>
        </w:tblPrEx>
        <w:trPr>
          <w:trHeight w:val="409"/>
        </w:trPr>
        <w:tc>
          <w:tcPr>
            <w:tcW w:w="2153" w:type="dxa"/>
            <w:vMerge/>
            <w:tcBorders>
              <w:top w:val="nil"/>
            </w:tcBorders>
            <w:vAlign w:val="top"/>
          </w:tcPr>
          <w:p>
            <w:pPr>
              <w:rPr>
                <w:rFonts w:ascii="Arial"/>
                <w:sz w:val="21"/>
              </w:rPr>
            </w:pPr>
          </w:p>
        </w:tc>
        <w:tc>
          <w:tcPr>
            <w:tcW w:w="1638" w:type="dxa"/>
            <w:vMerge/>
            <w:tcBorders>
              <w:top w:val="nil"/>
            </w:tcBorders>
            <w:vAlign w:val="top"/>
          </w:tcPr>
          <w:p>
            <w:pPr>
              <w:rPr>
                <w:rFonts w:ascii="Arial"/>
                <w:sz w:val="21"/>
              </w:rPr>
            </w:pPr>
          </w:p>
        </w:tc>
        <w:tc>
          <w:tcPr>
            <w:tcW w:w="1608" w:type="dxa"/>
            <w:vAlign w:val="top"/>
          </w:tcPr>
          <w:p>
            <w:pPr>
              <w:pStyle w:val="TableText"/>
              <w:spacing w:before="158" w:line="183" w:lineRule="auto"/>
              <w:ind w:left="654"/>
            </w:pPr>
            <w:r>
              <w:rPr>
                <w:spacing w:val="-3"/>
              </w:rPr>
              <w:t>250</w:t>
            </w:r>
          </w:p>
        </w:tc>
        <w:tc>
          <w:tcPr>
            <w:tcW w:w="1618" w:type="dxa"/>
            <w:vAlign w:val="top"/>
          </w:tcPr>
          <w:p>
            <w:pPr>
              <w:pStyle w:val="TableText"/>
              <w:spacing w:before="157" w:line="184" w:lineRule="auto"/>
              <w:ind w:left="516"/>
            </w:pPr>
            <w:r>
              <w:rPr>
                <w:spacing w:val="-2"/>
              </w:rPr>
              <w:t>252.41</w:t>
            </w:r>
          </w:p>
        </w:tc>
        <w:tc>
          <w:tcPr>
            <w:tcW w:w="1613" w:type="dxa"/>
            <w:vAlign w:val="top"/>
          </w:tcPr>
          <w:p>
            <w:pPr>
              <w:pStyle w:val="TableText"/>
              <w:spacing w:before="157" w:line="184" w:lineRule="auto"/>
              <w:ind w:left="558"/>
            </w:pPr>
            <w:r>
              <w:rPr>
                <w:spacing w:val="-4"/>
              </w:rPr>
              <w:t>101.0</w:t>
            </w:r>
          </w:p>
        </w:tc>
      </w:tr>
      <w:tr>
        <w:tblPrEx>
          <w:tblW w:w="8630" w:type="dxa"/>
          <w:tblInd w:w="5" w:type="dxa"/>
          <w:tblLayout w:type="fixed"/>
        </w:tblPrEx>
        <w:trPr>
          <w:trHeight w:val="429"/>
        </w:trPr>
        <w:tc>
          <w:tcPr>
            <w:tcW w:w="2153" w:type="dxa"/>
            <w:vMerge w:val="restart"/>
            <w:tcBorders>
              <w:bottom w:val="nil"/>
            </w:tcBorders>
            <w:vAlign w:val="top"/>
          </w:tcPr>
          <w:p>
            <w:pPr>
              <w:spacing w:line="317" w:lineRule="auto"/>
              <w:rPr>
                <w:rFonts w:ascii="Arial"/>
                <w:sz w:val="21"/>
              </w:rPr>
            </w:pPr>
          </w:p>
          <w:p>
            <w:pPr>
              <w:pStyle w:val="TableText"/>
              <w:spacing w:before="61" w:line="182" w:lineRule="auto"/>
              <w:ind w:left="975"/>
            </w:pPr>
            <w:r>
              <w:rPr>
                <w:spacing w:val="-2"/>
              </w:rPr>
              <w:t>Fe</w:t>
            </w:r>
          </w:p>
        </w:tc>
        <w:tc>
          <w:tcPr>
            <w:tcW w:w="1638" w:type="dxa"/>
            <w:vMerge w:val="restart"/>
            <w:tcBorders>
              <w:bottom w:val="nil"/>
            </w:tcBorders>
            <w:vAlign w:val="top"/>
          </w:tcPr>
          <w:p>
            <w:pPr>
              <w:spacing w:line="317" w:lineRule="auto"/>
              <w:rPr>
                <w:rFonts w:ascii="Arial"/>
                <w:sz w:val="21"/>
              </w:rPr>
            </w:pPr>
          </w:p>
          <w:p>
            <w:pPr>
              <w:pStyle w:val="TableText"/>
              <w:spacing w:before="61" w:line="182" w:lineRule="auto"/>
              <w:ind w:left="762"/>
            </w:pPr>
            <w:r>
              <w:t>5</w:t>
            </w:r>
          </w:p>
        </w:tc>
        <w:tc>
          <w:tcPr>
            <w:tcW w:w="1608" w:type="dxa"/>
            <w:vAlign w:val="top"/>
          </w:tcPr>
          <w:p>
            <w:pPr>
              <w:pStyle w:val="TableText"/>
              <w:spacing w:before="169" w:line="183" w:lineRule="auto"/>
              <w:ind w:left="704"/>
            </w:pPr>
            <w:r>
              <w:rPr>
                <w:spacing w:val="-3"/>
              </w:rPr>
              <w:t>25</w:t>
            </w:r>
          </w:p>
        </w:tc>
        <w:tc>
          <w:tcPr>
            <w:tcW w:w="1618" w:type="dxa"/>
            <w:vAlign w:val="top"/>
          </w:tcPr>
          <w:p>
            <w:pPr>
              <w:pStyle w:val="TableText"/>
              <w:spacing w:before="169" w:line="183" w:lineRule="auto"/>
              <w:ind w:left="566"/>
            </w:pPr>
            <w:r>
              <w:rPr>
                <w:spacing w:val="-2"/>
              </w:rPr>
              <w:t>24.96</w:t>
            </w:r>
          </w:p>
        </w:tc>
        <w:tc>
          <w:tcPr>
            <w:tcW w:w="1613" w:type="dxa"/>
            <w:vAlign w:val="top"/>
          </w:tcPr>
          <w:p>
            <w:pPr>
              <w:pStyle w:val="TableText"/>
              <w:spacing w:before="169" w:line="183" w:lineRule="auto"/>
              <w:ind w:left="558"/>
            </w:pPr>
            <w:r>
              <w:rPr>
                <w:spacing w:val="-2"/>
              </w:rPr>
              <w:t>99.84</w:t>
            </w:r>
          </w:p>
        </w:tc>
      </w:tr>
      <w:tr>
        <w:tblPrEx>
          <w:tblW w:w="8630" w:type="dxa"/>
          <w:tblInd w:w="5" w:type="dxa"/>
          <w:tblLayout w:type="fixed"/>
        </w:tblPrEx>
        <w:trPr>
          <w:trHeight w:val="409"/>
        </w:trPr>
        <w:tc>
          <w:tcPr>
            <w:tcW w:w="2153" w:type="dxa"/>
            <w:vMerge/>
            <w:tcBorders>
              <w:top w:val="nil"/>
            </w:tcBorders>
            <w:vAlign w:val="top"/>
          </w:tcPr>
          <w:p>
            <w:pPr>
              <w:rPr>
                <w:rFonts w:ascii="Arial"/>
                <w:sz w:val="21"/>
              </w:rPr>
            </w:pPr>
          </w:p>
        </w:tc>
        <w:tc>
          <w:tcPr>
            <w:tcW w:w="1638" w:type="dxa"/>
            <w:vMerge/>
            <w:tcBorders>
              <w:top w:val="nil"/>
            </w:tcBorders>
            <w:vAlign w:val="top"/>
          </w:tcPr>
          <w:p>
            <w:pPr>
              <w:rPr>
                <w:rFonts w:ascii="Arial"/>
                <w:sz w:val="21"/>
              </w:rPr>
            </w:pPr>
          </w:p>
        </w:tc>
        <w:tc>
          <w:tcPr>
            <w:tcW w:w="1608" w:type="dxa"/>
            <w:vAlign w:val="top"/>
          </w:tcPr>
          <w:p>
            <w:pPr>
              <w:pStyle w:val="TableText"/>
              <w:spacing w:before="160" w:line="183" w:lineRule="auto"/>
              <w:ind w:left="654"/>
            </w:pPr>
            <w:r>
              <w:rPr>
                <w:spacing w:val="-3"/>
              </w:rPr>
              <w:t>250</w:t>
            </w:r>
          </w:p>
        </w:tc>
        <w:tc>
          <w:tcPr>
            <w:tcW w:w="1618" w:type="dxa"/>
            <w:vAlign w:val="top"/>
          </w:tcPr>
          <w:p>
            <w:pPr>
              <w:pStyle w:val="TableText"/>
              <w:spacing w:before="160" w:line="183" w:lineRule="auto"/>
              <w:ind w:left="516"/>
            </w:pPr>
            <w:r>
              <w:rPr>
                <w:spacing w:val="-2"/>
              </w:rPr>
              <w:t>248.32</w:t>
            </w:r>
          </w:p>
        </w:tc>
        <w:tc>
          <w:tcPr>
            <w:tcW w:w="1613" w:type="dxa"/>
            <w:vAlign w:val="top"/>
          </w:tcPr>
          <w:p>
            <w:pPr>
              <w:pStyle w:val="TableText"/>
              <w:spacing w:before="160" w:line="183" w:lineRule="auto"/>
              <w:ind w:left="558"/>
            </w:pPr>
            <w:r>
              <w:rPr>
                <w:spacing w:val="-2"/>
              </w:rPr>
              <w:t>99.33</w:t>
            </w:r>
          </w:p>
        </w:tc>
      </w:tr>
      <w:tr>
        <w:tblPrEx>
          <w:tblW w:w="8630" w:type="dxa"/>
          <w:tblInd w:w="5" w:type="dxa"/>
          <w:tblLayout w:type="fixed"/>
        </w:tblPrEx>
        <w:trPr>
          <w:trHeight w:val="399"/>
        </w:trPr>
        <w:tc>
          <w:tcPr>
            <w:tcW w:w="2153" w:type="dxa"/>
            <w:vMerge w:val="restart"/>
            <w:tcBorders>
              <w:bottom w:val="nil"/>
            </w:tcBorders>
            <w:vAlign w:val="top"/>
          </w:tcPr>
          <w:p>
            <w:pPr>
              <w:spacing w:line="319" w:lineRule="auto"/>
              <w:rPr>
                <w:rFonts w:ascii="Arial"/>
                <w:sz w:val="21"/>
              </w:rPr>
            </w:pPr>
          </w:p>
          <w:p>
            <w:pPr>
              <w:pStyle w:val="TableText"/>
              <w:spacing w:before="61" w:line="182" w:lineRule="auto"/>
              <w:ind w:left="975"/>
            </w:pPr>
            <w:r>
              <w:rPr>
                <w:spacing w:val="-1"/>
              </w:rPr>
              <w:t>Mn</w:t>
            </w:r>
          </w:p>
        </w:tc>
        <w:tc>
          <w:tcPr>
            <w:tcW w:w="1638" w:type="dxa"/>
            <w:vMerge w:val="restart"/>
            <w:tcBorders>
              <w:bottom w:val="nil"/>
            </w:tcBorders>
            <w:vAlign w:val="top"/>
          </w:tcPr>
          <w:p>
            <w:pPr>
              <w:spacing w:line="319" w:lineRule="auto"/>
              <w:rPr>
                <w:rFonts w:ascii="Arial"/>
                <w:sz w:val="21"/>
              </w:rPr>
            </w:pPr>
          </w:p>
          <w:p>
            <w:pPr>
              <w:pStyle w:val="TableText"/>
              <w:spacing w:before="61" w:line="182" w:lineRule="auto"/>
              <w:ind w:left="762"/>
            </w:pPr>
            <w:r>
              <w:t>5</w:t>
            </w:r>
          </w:p>
        </w:tc>
        <w:tc>
          <w:tcPr>
            <w:tcW w:w="1608" w:type="dxa"/>
            <w:vAlign w:val="top"/>
          </w:tcPr>
          <w:p>
            <w:pPr>
              <w:pStyle w:val="TableText"/>
              <w:spacing w:before="161" w:line="183" w:lineRule="auto"/>
              <w:ind w:left="704"/>
            </w:pPr>
            <w:r>
              <w:rPr>
                <w:spacing w:val="-3"/>
              </w:rPr>
              <w:t>25</w:t>
            </w:r>
          </w:p>
        </w:tc>
        <w:tc>
          <w:tcPr>
            <w:tcW w:w="1618" w:type="dxa"/>
            <w:vAlign w:val="top"/>
          </w:tcPr>
          <w:p>
            <w:pPr>
              <w:pStyle w:val="TableText"/>
              <w:spacing w:before="161" w:line="183" w:lineRule="auto"/>
              <w:ind w:left="566"/>
            </w:pPr>
            <w:r>
              <w:rPr>
                <w:spacing w:val="-2"/>
              </w:rPr>
              <w:t>25.09</w:t>
            </w:r>
          </w:p>
        </w:tc>
        <w:tc>
          <w:tcPr>
            <w:tcW w:w="1613" w:type="dxa"/>
            <w:vAlign w:val="top"/>
          </w:tcPr>
          <w:p>
            <w:pPr>
              <w:pStyle w:val="TableText"/>
              <w:spacing w:before="160" w:line="184" w:lineRule="auto"/>
              <w:ind w:left="558"/>
            </w:pPr>
            <w:r>
              <w:rPr>
                <w:spacing w:val="-4"/>
              </w:rPr>
              <w:t>100.4</w:t>
            </w:r>
          </w:p>
        </w:tc>
      </w:tr>
      <w:tr>
        <w:tblPrEx>
          <w:tblW w:w="8630" w:type="dxa"/>
          <w:tblInd w:w="5" w:type="dxa"/>
          <w:tblLayout w:type="fixed"/>
        </w:tblPrEx>
        <w:trPr>
          <w:trHeight w:val="429"/>
        </w:trPr>
        <w:tc>
          <w:tcPr>
            <w:tcW w:w="2153" w:type="dxa"/>
            <w:vMerge/>
            <w:tcBorders>
              <w:top w:val="nil"/>
            </w:tcBorders>
            <w:vAlign w:val="top"/>
          </w:tcPr>
          <w:p>
            <w:pPr>
              <w:rPr>
                <w:rFonts w:ascii="Arial"/>
                <w:sz w:val="21"/>
              </w:rPr>
            </w:pPr>
          </w:p>
        </w:tc>
        <w:tc>
          <w:tcPr>
            <w:tcW w:w="1638" w:type="dxa"/>
            <w:vMerge/>
            <w:tcBorders>
              <w:top w:val="nil"/>
            </w:tcBorders>
            <w:vAlign w:val="top"/>
          </w:tcPr>
          <w:p>
            <w:pPr>
              <w:rPr>
                <w:rFonts w:ascii="Arial"/>
                <w:sz w:val="21"/>
              </w:rPr>
            </w:pPr>
          </w:p>
        </w:tc>
        <w:tc>
          <w:tcPr>
            <w:tcW w:w="1608" w:type="dxa"/>
            <w:vAlign w:val="top"/>
          </w:tcPr>
          <w:p>
            <w:pPr>
              <w:pStyle w:val="TableText"/>
              <w:spacing w:before="172" w:line="183" w:lineRule="auto"/>
              <w:ind w:left="654"/>
            </w:pPr>
            <w:r>
              <w:rPr>
                <w:spacing w:val="-3"/>
              </w:rPr>
              <w:t>250</w:t>
            </w:r>
          </w:p>
        </w:tc>
        <w:tc>
          <w:tcPr>
            <w:tcW w:w="1618" w:type="dxa"/>
            <w:vAlign w:val="top"/>
          </w:tcPr>
          <w:p>
            <w:pPr>
              <w:pStyle w:val="TableText"/>
              <w:spacing w:before="171" w:line="184" w:lineRule="auto"/>
              <w:ind w:left="516"/>
            </w:pPr>
            <w:r>
              <w:rPr>
                <w:spacing w:val="-2"/>
              </w:rPr>
              <w:t>250.12</w:t>
            </w:r>
          </w:p>
        </w:tc>
        <w:tc>
          <w:tcPr>
            <w:tcW w:w="1613" w:type="dxa"/>
            <w:vAlign w:val="top"/>
          </w:tcPr>
          <w:p>
            <w:pPr>
              <w:pStyle w:val="TableText"/>
              <w:spacing w:before="171" w:line="184" w:lineRule="auto"/>
              <w:ind w:left="558"/>
            </w:pPr>
            <w:r>
              <w:rPr>
                <w:spacing w:val="-4"/>
              </w:rPr>
              <w:t>100.0</w:t>
            </w:r>
          </w:p>
        </w:tc>
      </w:tr>
      <w:tr>
        <w:tblPrEx>
          <w:tblW w:w="8630" w:type="dxa"/>
          <w:tblInd w:w="5" w:type="dxa"/>
          <w:tblLayout w:type="fixed"/>
        </w:tblPrEx>
        <w:trPr>
          <w:trHeight w:val="409"/>
        </w:trPr>
        <w:tc>
          <w:tcPr>
            <w:tcW w:w="2153" w:type="dxa"/>
            <w:vMerge w:val="restart"/>
            <w:tcBorders>
              <w:bottom w:val="nil"/>
            </w:tcBorders>
            <w:vAlign w:val="top"/>
          </w:tcPr>
          <w:p>
            <w:pPr>
              <w:spacing w:line="311" w:lineRule="auto"/>
              <w:rPr>
                <w:rFonts w:ascii="Arial"/>
                <w:sz w:val="21"/>
              </w:rPr>
            </w:pPr>
          </w:p>
          <w:p>
            <w:pPr>
              <w:pStyle w:val="TableText"/>
              <w:spacing w:before="61" w:line="182" w:lineRule="auto"/>
              <w:ind w:left="1015"/>
            </w:pPr>
            <w:r>
              <w:t>W</w:t>
            </w:r>
          </w:p>
        </w:tc>
        <w:tc>
          <w:tcPr>
            <w:tcW w:w="1638" w:type="dxa"/>
            <w:vMerge w:val="restart"/>
            <w:tcBorders>
              <w:bottom w:val="nil"/>
            </w:tcBorders>
            <w:vAlign w:val="top"/>
          </w:tcPr>
          <w:p>
            <w:pPr>
              <w:spacing w:line="310" w:lineRule="auto"/>
              <w:rPr>
                <w:rFonts w:ascii="Arial"/>
                <w:sz w:val="21"/>
              </w:rPr>
            </w:pPr>
          </w:p>
          <w:p>
            <w:pPr>
              <w:pStyle w:val="TableText"/>
              <w:spacing w:before="61" w:line="183" w:lineRule="auto"/>
              <w:ind w:left="712"/>
            </w:pPr>
            <w:r>
              <w:rPr>
                <w:spacing w:val="-3"/>
              </w:rPr>
              <w:t>30</w:t>
            </w:r>
          </w:p>
        </w:tc>
        <w:tc>
          <w:tcPr>
            <w:tcW w:w="1608" w:type="dxa"/>
            <w:vAlign w:val="top"/>
          </w:tcPr>
          <w:p>
            <w:pPr>
              <w:pStyle w:val="TableText"/>
              <w:spacing w:before="163" w:line="183" w:lineRule="auto"/>
              <w:ind w:left="704"/>
            </w:pPr>
            <w:r>
              <w:rPr>
                <w:spacing w:val="-3"/>
              </w:rPr>
              <w:t>25</w:t>
            </w:r>
          </w:p>
        </w:tc>
        <w:tc>
          <w:tcPr>
            <w:tcW w:w="1618" w:type="dxa"/>
            <w:vAlign w:val="top"/>
          </w:tcPr>
          <w:p>
            <w:pPr>
              <w:pStyle w:val="TableText"/>
              <w:spacing w:before="163" w:line="183" w:lineRule="auto"/>
              <w:ind w:left="566"/>
            </w:pPr>
            <w:r>
              <w:rPr>
                <w:spacing w:val="-2"/>
              </w:rPr>
              <w:t>25.26</w:t>
            </w:r>
          </w:p>
        </w:tc>
        <w:tc>
          <w:tcPr>
            <w:tcW w:w="1613" w:type="dxa"/>
            <w:vAlign w:val="top"/>
          </w:tcPr>
          <w:p>
            <w:pPr>
              <w:pStyle w:val="TableText"/>
              <w:spacing w:before="162" w:line="184" w:lineRule="auto"/>
              <w:ind w:left="558"/>
            </w:pPr>
            <w:r>
              <w:rPr>
                <w:spacing w:val="-4"/>
              </w:rPr>
              <w:t>101.0</w:t>
            </w:r>
          </w:p>
        </w:tc>
      </w:tr>
      <w:tr>
        <w:tblPrEx>
          <w:tblW w:w="8630" w:type="dxa"/>
          <w:tblInd w:w="5" w:type="dxa"/>
          <w:tblLayout w:type="fixed"/>
        </w:tblPrEx>
        <w:trPr>
          <w:trHeight w:val="409"/>
        </w:trPr>
        <w:tc>
          <w:tcPr>
            <w:tcW w:w="2153" w:type="dxa"/>
            <w:vMerge/>
            <w:tcBorders>
              <w:top w:val="nil"/>
            </w:tcBorders>
            <w:vAlign w:val="top"/>
          </w:tcPr>
          <w:p>
            <w:pPr>
              <w:rPr>
                <w:rFonts w:ascii="Arial"/>
                <w:sz w:val="21"/>
              </w:rPr>
            </w:pPr>
          </w:p>
        </w:tc>
        <w:tc>
          <w:tcPr>
            <w:tcW w:w="1638" w:type="dxa"/>
            <w:vMerge/>
            <w:tcBorders>
              <w:top w:val="nil"/>
            </w:tcBorders>
            <w:vAlign w:val="top"/>
          </w:tcPr>
          <w:p>
            <w:pPr>
              <w:rPr>
                <w:rFonts w:ascii="Arial"/>
                <w:sz w:val="21"/>
              </w:rPr>
            </w:pPr>
          </w:p>
        </w:tc>
        <w:tc>
          <w:tcPr>
            <w:tcW w:w="1608" w:type="dxa"/>
            <w:vAlign w:val="top"/>
          </w:tcPr>
          <w:p>
            <w:pPr>
              <w:pStyle w:val="TableText"/>
              <w:spacing w:before="164" w:line="183" w:lineRule="auto"/>
              <w:ind w:left="654"/>
            </w:pPr>
            <w:r>
              <w:rPr>
                <w:spacing w:val="-3"/>
              </w:rPr>
              <w:t>250</w:t>
            </w:r>
          </w:p>
        </w:tc>
        <w:tc>
          <w:tcPr>
            <w:tcW w:w="1618" w:type="dxa"/>
            <w:vAlign w:val="top"/>
          </w:tcPr>
          <w:p>
            <w:pPr>
              <w:pStyle w:val="TableText"/>
              <w:spacing w:before="164" w:line="183" w:lineRule="auto"/>
              <w:ind w:left="516"/>
            </w:pPr>
            <w:r>
              <w:rPr>
                <w:spacing w:val="-2"/>
              </w:rPr>
              <w:t>249.42</w:t>
            </w:r>
          </w:p>
        </w:tc>
        <w:tc>
          <w:tcPr>
            <w:tcW w:w="1613" w:type="dxa"/>
            <w:vAlign w:val="top"/>
          </w:tcPr>
          <w:p>
            <w:pPr>
              <w:pStyle w:val="TableText"/>
              <w:spacing w:before="164" w:line="183" w:lineRule="auto"/>
              <w:ind w:left="558"/>
            </w:pPr>
            <w:r>
              <w:rPr>
                <w:spacing w:val="-2"/>
              </w:rPr>
              <w:t>99.77</w:t>
            </w:r>
          </w:p>
        </w:tc>
      </w:tr>
      <w:tr>
        <w:tblPrEx>
          <w:tblW w:w="8630" w:type="dxa"/>
          <w:tblInd w:w="5" w:type="dxa"/>
          <w:tblLayout w:type="fixed"/>
        </w:tblPrEx>
        <w:trPr>
          <w:trHeight w:val="479"/>
        </w:trPr>
        <w:tc>
          <w:tcPr>
            <w:tcW w:w="2153" w:type="dxa"/>
            <w:vMerge w:val="restart"/>
            <w:tcBorders>
              <w:bottom w:val="nil"/>
            </w:tcBorders>
            <w:vAlign w:val="top"/>
          </w:tcPr>
          <w:p>
            <w:pPr>
              <w:spacing w:line="341" w:lineRule="auto"/>
              <w:rPr>
                <w:rFonts w:ascii="Arial"/>
                <w:sz w:val="21"/>
              </w:rPr>
            </w:pPr>
          </w:p>
          <w:p>
            <w:pPr>
              <w:pStyle w:val="TableText"/>
              <w:spacing w:before="62"/>
              <w:ind w:left="445"/>
            </w:pPr>
            <w:r>
              <w:rPr>
                <w:spacing w:val="-1"/>
              </w:rPr>
              <w:t>Ca+Al+Fe+Mn+W</w:t>
            </w:r>
          </w:p>
        </w:tc>
        <w:tc>
          <w:tcPr>
            <w:tcW w:w="1638" w:type="dxa"/>
            <w:vMerge w:val="restart"/>
            <w:tcBorders>
              <w:bottom w:val="nil"/>
            </w:tcBorders>
            <w:vAlign w:val="top"/>
          </w:tcPr>
          <w:p>
            <w:pPr>
              <w:spacing w:line="370" w:lineRule="auto"/>
              <w:rPr>
                <w:rFonts w:ascii="Arial"/>
                <w:sz w:val="21"/>
              </w:rPr>
            </w:pPr>
          </w:p>
          <w:p>
            <w:pPr>
              <w:pStyle w:val="TableText"/>
              <w:spacing w:before="62" w:line="184" w:lineRule="auto"/>
              <w:ind w:left="332"/>
            </w:pPr>
            <w:r>
              <w:rPr>
                <w:spacing w:val="-2"/>
              </w:rPr>
              <w:t>5+1+5+5+30</w:t>
            </w:r>
          </w:p>
        </w:tc>
        <w:tc>
          <w:tcPr>
            <w:tcW w:w="1608" w:type="dxa"/>
            <w:vAlign w:val="top"/>
          </w:tcPr>
          <w:p>
            <w:pPr>
              <w:pStyle w:val="TableText"/>
              <w:spacing w:before="205" w:line="183" w:lineRule="auto"/>
              <w:ind w:left="704"/>
            </w:pPr>
            <w:r>
              <w:rPr>
                <w:spacing w:val="-3"/>
              </w:rPr>
              <w:t>25</w:t>
            </w:r>
          </w:p>
        </w:tc>
        <w:tc>
          <w:tcPr>
            <w:tcW w:w="1618" w:type="dxa"/>
            <w:vAlign w:val="top"/>
          </w:tcPr>
          <w:p>
            <w:pPr>
              <w:pStyle w:val="TableText"/>
              <w:spacing w:before="205" w:line="183" w:lineRule="auto"/>
              <w:ind w:left="566"/>
            </w:pPr>
            <w:r>
              <w:rPr>
                <w:spacing w:val="-2"/>
              </w:rPr>
              <w:t>24.78</w:t>
            </w:r>
          </w:p>
        </w:tc>
        <w:tc>
          <w:tcPr>
            <w:tcW w:w="1613" w:type="dxa"/>
            <w:vAlign w:val="top"/>
          </w:tcPr>
          <w:p>
            <w:pPr>
              <w:pStyle w:val="TableText"/>
              <w:spacing w:before="204" w:line="184" w:lineRule="auto"/>
              <w:ind w:left="558"/>
            </w:pPr>
            <w:r>
              <w:rPr>
                <w:spacing w:val="-2"/>
              </w:rPr>
              <w:t>99.12</w:t>
            </w:r>
          </w:p>
        </w:tc>
      </w:tr>
      <w:tr>
        <w:tblPrEx>
          <w:tblW w:w="8630" w:type="dxa"/>
          <w:tblInd w:w="5" w:type="dxa"/>
          <w:tblLayout w:type="fixed"/>
        </w:tblPrEx>
        <w:trPr>
          <w:trHeight w:val="454"/>
        </w:trPr>
        <w:tc>
          <w:tcPr>
            <w:tcW w:w="2153" w:type="dxa"/>
            <w:vMerge/>
            <w:tcBorders>
              <w:top w:val="nil"/>
            </w:tcBorders>
            <w:vAlign w:val="top"/>
          </w:tcPr>
          <w:p>
            <w:pPr>
              <w:rPr>
                <w:rFonts w:ascii="Arial"/>
                <w:sz w:val="21"/>
              </w:rPr>
            </w:pPr>
          </w:p>
        </w:tc>
        <w:tc>
          <w:tcPr>
            <w:tcW w:w="1638" w:type="dxa"/>
            <w:vMerge/>
            <w:tcBorders>
              <w:top w:val="nil"/>
            </w:tcBorders>
            <w:vAlign w:val="top"/>
          </w:tcPr>
          <w:p>
            <w:pPr>
              <w:rPr>
                <w:rFonts w:ascii="Arial"/>
                <w:sz w:val="21"/>
              </w:rPr>
            </w:pPr>
          </w:p>
        </w:tc>
        <w:tc>
          <w:tcPr>
            <w:tcW w:w="1608" w:type="dxa"/>
            <w:vAlign w:val="top"/>
          </w:tcPr>
          <w:p>
            <w:pPr>
              <w:pStyle w:val="TableText"/>
              <w:spacing w:before="186" w:line="183" w:lineRule="auto"/>
              <w:ind w:left="654"/>
            </w:pPr>
            <w:r>
              <w:rPr>
                <w:spacing w:val="-3"/>
              </w:rPr>
              <w:t>250</w:t>
            </w:r>
          </w:p>
        </w:tc>
        <w:tc>
          <w:tcPr>
            <w:tcW w:w="1618" w:type="dxa"/>
            <w:vAlign w:val="top"/>
          </w:tcPr>
          <w:p>
            <w:pPr>
              <w:pStyle w:val="TableText"/>
              <w:spacing w:before="185" w:line="184" w:lineRule="auto"/>
              <w:ind w:left="516"/>
            </w:pPr>
            <w:r>
              <w:rPr>
                <w:spacing w:val="-2"/>
              </w:rPr>
              <w:t>251.22</w:t>
            </w:r>
          </w:p>
        </w:tc>
        <w:tc>
          <w:tcPr>
            <w:tcW w:w="1613" w:type="dxa"/>
            <w:vAlign w:val="top"/>
          </w:tcPr>
          <w:p>
            <w:pPr>
              <w:pStyle w:val="TableText"/>
              <w:spacing w:before="185" w:line="184" w:lineRule="auto"/>
              <w:ind w:left="558"/>
            </w:pPr>
            <w:r>
              <w:rPr>
                <w:spacing w:val="-4"/>
              </w:rPr>
              <w:t>100.5</w:t>
            </w:r>
          </w:p>
        </w:tc>
      </w:tr>
    </w:tbl>
    <w:p>
      <w:pPr>
        <w:spacing w:before="211" w:line="221" w:lineRule="auto"/>
        <w:ind w:left="185"/>
        <w:rPr>
          <w:rFonts w:ascii="SimHei" w:eastAsia="SimHei" w:hAnsi="SimHei" w:cs="SimHei"/>
          <w:sz w:val="21"/>
          <w:szCs w:val="21"/>
        </w:rPr>
      </w:pPr>
      <w:r>
        <w:rPr>
          <w:rFonts w:ascii="SimHei" w:eastAsia="SimHei" w:hAnsi="SimHei" w:cs="SimHei"/>
          <w:sz w:val="21"/>
          <w:szCs w:val="21"/>
        </w:rPr>
        <w:t>3.6</w:t>
      </w:r>
      <w:r>
        <w:rPr>
          <w:rFonts w:ascii="SimHei" w:eastAsia="SimHei" w:hAnsi="SimHei" w:cs="SimHei"/>
          <w:spacing w:val="88"/>
          <w:sz w:val="21"/>
          <w:szCs w:val="21"/>
        </w:rPr>
        <w:t xml:space="preserve"> </w:t>
      </w:r>
      <w:r>
        <w:rPr>
          <w:rFonts w:ascii="SimHei" w:eastAsia="SimHei" w:hAnsi="SimHei" w:cs="SimHei"/>
          <w:sz w:val="21"/>
          <w:szCs w:val="21"/>
        </w:rPr>
        <w:t>方法精密度</w:t>
      </w:r>
    </w:p>
    <w:p>
      <w:pPr>
        <w:pStyle w:val="BodyText"/>
        <w:spacing w:before="300" w:line="219" w:lineRule="auto"/>
        <w:ind w:left="604"/>
      </w:pPr>
      <w:r>
        <w:rPr>
          <w:spacing w:val="-2"/>
        </w:rPr>
        <w:t>对4个统一样品进行11次重复性试验。结果见表9。</w:t>
      </w:r>
    </w:p>
    <w:p>
      <w:pPr>
        <w:spacing w:before="298" w:line="221" w:lineRule="auto"/>
        <w:ind w:left="3745"/>
        <w:rPr>
          <w:rFonts w:ascii="SimHei" w:eastAsia="SimHei" w:hAnsi="SimHei" w:cs="SimHei"/>
          <w:sz w:val="21"/>
          <w:szCs w:val="21"/>
        </w:rPr>
      </w:pPr>
      <w:r>
        <w:rPr>
          <w:rFonts w:ascii="SimHei" w:eastAsia="SimHei" w:hAnsi="SimHei" w:cs="SimHei"/>
          <w:spacing w:val="-3"/>
          <w:sz w:val="21"/>
          <w:szCs w:val="21"/>
        </w:rPr>
        <w:t>表</w:t>
      </w:r>
      <w:r>
        <w:rPr>
          <w:rFonts w:ascii="SimHei" w:eastAsia="SimHei" w:hAnsi="SimHei" w:cs="SimHei"/>
          <w:spacing w:val="-53"/>
          <w:sz w:val="21"/>
          <w:szCs w:val="21"/>
        </w:rPr>
        <w:t xml:space="preserve"> </w:t>
      </w:r>
      <w:r>
        <w:rPr>
          <w:rFonts w:ascii="SimHei" w:eastAsia="SimHei" w:hAnsi="SimHei" w:cs="SimHei"/>
          <w:spacing w:val="-3"/>
          <w:sz w:val="21"/>
          <w:szCs w:val="21"/>
        </w:rPr>
        <w:t>9</w:t>
      </w:r>
      <w:r>
        <w:rPr>
          <w:rFonts w:ascii="SimHei" w:eastAsia="SimHei" w:hAnsi="SimHei" w:cs="SimHei"/>
          <w:spacing w:val="72"/>
          <w:sz w:val="21"/>
          <w:szCs w:val="21"/>
        </w:rPr>
        <w:t xml:space="preserve"> </w:t>
      </w:r>
      <w:r>
        <w:rPr>
          <w:rFonts w:ascii="SimHei" w:eastAsia="SimHei" w:hAnsi="SimHei" w:cs="SimHei"/>
          <w:spacing w:val="-3"/>
          <w:sz w:val="21"/>
          <w:szCs w:val="21"/>
        </w:rPr>
        <w:t>精密度试验</w:t>
      </w:r>
    </w:p>
    <w:tbl>
      <w:tblPr>
        <w:tblStyle w:val="TableNormal10"/>
        <w:tblW w:w="8519"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13"/>
        <w:gridCol w:w="1688"/>
        <w:gridCol w:w="1708"/>
        <w:gridCol w:w="1698"/>
        <w:gridCol w:w="1712"/>
      </w:tblGrid>
      <w:tr>
        <w:tblPrEx>
          <w:tblW w:w="8519"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4"/>
        </w:trPr>
        <w:tc>
          <w:tcPr>
            <w:tcW w:w="1713" w:type="dxa"/>
            <w:vMerge w:val="restart"/>
            <w:tcBorders>
              <w:bottom w:val="nil"/>
            </w:tcBorders>
            <w:vAlign w:val="top"/>
          </w:tcPr>
          <w:p>
            <w:pPr>
              <w:pStyle w:val="TableText"/>
              <w:spacing w:before="293" w:line="219" w:lineRule="auto"/>
              <w:ind w:left="424"/>
              <w:rPr>
                <w:sz w:val="21"/>
                <w:szCs w:val="21"/>
              </w:rPr>
            </w:pPr>
            <w:r>
              <w:rPr>
                <w:spacing w:val="-2"/>
                <w:sz w:val="21"/>
                <w:szCs w:val="21"/>
              </w:rPr>
              <w:t>测定次数</w:t>
            </w:r>
          </w:p>
        </w:tc>
        <w:tc>
          <w:tcPr>
            <w:tcW w:w="6806" w:type="dxa"/>
            <w:gridSpan w:val="4"/>
            <w:vAlign w:val="top"/>
          </w:tcPr>
          <w:p>
            <w:pPr>
              <w:pStyle w:val="TableText"/>
              <w:spacing w:before="93" w:line="219" w:lineRule="auto"/>
              <w:ind w:left="2351"/>
              <w:rPr>
                <w:sz w:val="21"/>
                <w:szCs w:val="21"/>
              </w:rPr>
            </w:pPr>
            <w:r>
              <w:rPr>
                <w:spacing w:val="4"/>
                <w:sz w:val="21"/>
                <w:szCs w:val="21"/>
              </w:rPr>
              <w:t>样品编号(测定值%)</w:t>
            </w:r>
          </w:p>
        </w:tc>
      </w:tr>
      <w:tr>
        <w:tblPrEx>
          <w:tblW w:w="8519" w:type="dxa"/>
          <w:tblInd w:w="65" w:type="dxa"/>
          <w:tblLayout w:type="fixed"/>
        </w:tblPrEx>
        <w:trPr>
          <w:trHeight w:val="399"/>
        </w:trPr>
        <w:tc>
          <w:tcPr>
            <w:tcW w:w="1713" w:type="dxa"/>
            <w:vMerge/>
            <w:tcBorders>
              <w:top w:val="nil"/>
            </w:tcBorders>
            <w:vAlign w:val="top"/>
          </w:tcPr>
          <w:p>
            <w:pPr>
              <w:rPr>
                <w:rFonts w:ascii="Arial"/>
                <w:sz w:val="21"/>
              </w:rPr>
            </w:pPr>
          </w:p>
        </w:tc>
        <w:tc>
          <w:tcPr>
            <w:tcW w:w="1688" w:type="dxa"/>
            <w:vAlign w:val="top"/>
          </w:tcPr>
          <w:p>
            <w:pPr>
              <w:pStyle w:val="TableText"/>
              <w:spacing w:before="152" w:line="184" w:lineRule="auto"/>
              <w:ind w:left="731"/>
              <w:rPr>
                <w:sz w:val="21"/>
                <w:szCs w:val="21"/>
              </w:rPr>
            </w:pPr>
            <w:r>
              <w:rPr>
                <w:spacing w:val="-6"/>
                <w:sz w:val="21"/>
                <w:szCs w:val="21"/>
              </w:rPr>
              <w:t>1#</w:t>
            </w:r>
          </w:p>
        </w:tc>
        <w:tc>
          <w:tcPr>
            <w:tcW w:w="1708" w:type="dxa"/>
            <w:vAlign w:val="top"/>
          </w:tcPr>
          <w:p>
            <w:pPr>
              <w:pStyle w:val="TableText"/>
              <w:spacing w:before="153" w:line="183" w:lineRule="auto"/>
              <w:ind w:left="744"/>
              <w:rPr>
                <w:sz w:val="21"/>
                <w:szCs w:val="21"/>
              </w:rPr>
            </w:pPr>
            <w:r>
              <w:rPr>
                <w:spacing w:val="-3"/>
                <w:sz w:val="21"/>
                <w:szCs w:val="21"/>
              </w:rPr>
              <w:t>2#</w:t>
            </w:r>
          </w:p>
        </w:tc>
        <w:tc>
          <w:tcPr>
            <w:tcW w:w="1698" w:type="dxa"/>
            <w:vAlign w:val="top"/>
          </w:tcPr>
          <w:p>
            <w:pPr>
              <w:pStyle w:val="TableText"/>
              <w:spacing w:before="153" w:line="183" w:lineRule="auto"/>
              <w:ind w:left="735"/>
              <w:rPr>
                <w:sz w:val="21"/>
                <w:szCs w:val="21"/>
              </w:rPr>
            </w:pPr>
            <w:r>
              <w:rPr>
                <w:spacing w:val="-4"/>
                <w:sz w:val="21"/>
                <w:szCs w:val="21"/>
              </w:rPr>
              <w:t>3#</w:t>
            </w:r>
          </w:p>
        </w:tc>
        <w:tc>
          <w:tcPr>
            <w:tcW w:w="1712" w:type="dxa"/>
            <w:vAlign w:val="top"/>
          </w:tcPr>
          <w:p>
            <w:pPr>
              <w:pStyle w:val="TableText"/>
              <w:spacing w:before="153" w:line="183" w:lineRule="auto"/>
              <w:ind w:left="747"/>
              <w:rPr>
                <w:sz w:val="21"/>
                <w:szCs w:val="21"/>
              </w:rPr>
            </w:pPr>
            <w:r>
              <w:rPr>
                <w:spacing w:val="-2"/>
                <w:sz w:val="21"/>
                <w:szCs w:val="21"/>
              </w:rPr>
              <w:t>4#</w:t>
            </w:r>
          </w:p>
        </w:tc>
      </w:tr>
      <w:tr>
        <w:tblPrEx>
          <w:tblW w:w="8519" w:type="dxa"/>
          <w:tblInd w:w="65" w:type="dxa"/>
          <w:tblLayout w:type="fixed"/>
        </w:tblPrEx>
        <w:trPr>
          <w:trHeight w:val="389"/>
        </w:trPr>
        <w:tc>
          <w:tcPr>
            <w:tcW w:w="1713" w:type="dxa"/>
            <w:vAlign w:val="top"/>
          </w:tcPr>
          <w:p>
            <w:pPr>
              <w:pStyle w:val="TableText"/>
              <w:spacing w:before="143" w:line="184" w:lineRule="auto"/>
              <w:ind w:left="794"/>
              <w:rPr>
                <w:sz w:val="21"/>
                <w:szCs w:val="21"/>
              </w:rPr>
            </w:pPr>
            <w:r>
              <w:rPr>
                <w:sz w:val="21"/>
                <w:szCs w:val="21"/>
              </w:rPr>
              <w:t>1</w:t>
            </w:r>
          </w:p>
        </w:tc>
        <w:tc>
          <w:tcPr>
            <w:tcW w:w="1688" w:type="dxa"/>
            <w:vAlign w:val="top"/>
          </w:tcPr>
          <w:p>
            <w:pPr>
              <w:pStyle w:val="TableText"/>
              <w:spacing w:before="144" w:line="183" w:lineRule="auto"/>
              <w:ind w:left="521"/>
              <w:rPr>
                <w:sz w:val="21"/>
                <w:szCs w:val="21"/>
              </w:rPr>
            </w:pPr>
            <w:r>
              <w:rPr>
                <w:spacing w:val="-2"/>
                <w:sz w:val="21"/>
                <w:szCs w:val="21"/>
              </w:rPr>
              <w:t>0.0395</w:t>
            </w:r>
          </w:p>
        </w:tc>
        <w:tc>
          <w:tcPr>
            <w:tcW w:w="1708" w:type="dxa"/>
            <w:vAlign w:val="top"/>
          </w:tcPr>
          <w:p>
            <w:pPr>
              <w:pStyle w:val="TableText"/>
              <w:spacing w:before="144" w:line="183" w:lineRule="auto"/>
              <w:ind w:left="583"/>
              <w:rPr>
                <w:sz w:val="21"/>
                <w:szCs w:val="21"/>
              </w:rPr>
            </w:pPr>
            <w:r>
              <w:rPr>
                <w:spacing w:val="-2"/>
                <w:sz w:val="21"/>
                <w:szCs w:val="21"/>
              </w:rPr>
              <w:t>0.236</w:t>
            </w:r>
          </w:p>
        </w:tc>
        <w:tc>
          <w:tcPr>
            <w:tcW w:w="1698" w:type="dxa"/>
            <w:vAlign w:val="top"/>
          </w:tcPr>
          <w:p>
            <w:pPr>
              <w:pStyle w:val="TableText"/>
              <w:spacing w:before="144" w:line="183" w:lineRule="auto"/>
              <w:ind w:left="575"/>
              <w:rPr>
                <w:sz w:val="21"/>
                <w:szCs w:val="21"/>
              </w:rPr>
            </w:pPr>
            <w:r>
              <w:rPr>
                <w:spacing w:val="-2"/>
                <w:sz w:val="21"/>
                <w:szCs w:val="21"/>
              </w:rPr>
              <w:t>0.749</w:t>
            </w:r>
          </w:p>
        </w:tc>
        <w:tc>
          <w:tcPr>
            <w:tcW w:w="1712" w:type="dxa"/>
            <w:vAlign w:val="top"/>
          </w:tcPr>
          <w:p>
            <w:pPr>
              <w:pStyle w:val="TableText"/>
              <w:spacing w:before="143" w:line="184" w:lineRule="auto"/>
              <w:ind w:left="588"/>
              <w:rPr>
                <w:sz w:val="21"/>
                <w:szCs w:val="21"/>
              </w:rPr>
            </w:pPr>
            <w:r>
              <w:rPr>
                <w:color w:val="740068"/>
                <w:spacing w:val="-4"/>
                <w:sz w:val="21"/>
                <w:szCs w:val="21"/>
              </w:rPr>
              <w:t>1.418</w:t>
            </w:r>
          </w:p>
        </w:tc>
      </w:tr>
      <w:tr>
        <w:tblPrEx>
          <w:tblW w:w="8519" w:type="dxa"/>
          <w:tblInd w:w="65" w:type="dxa"/>
          <w:tblLayout w:type="fixed"/>
        </w:tblPrEx>
        <w:trPr>
          <w:trHeight w:val="379"/>
        </w:trPr>
        <w:tc>
          <w:tcPr>
            <w:tcW w:w="1713" w:type="dxa"/>
            <w:vAlign w:val="top"/>
          </w:tcPr>
          <w:p>
            <w:pPr>
              <w:pStyle w:val="TableText"/>
              <w:spacing w:before="145" w:line="183" w:lineRule="auto"/>
              <w:ind w:left="794"/>
              <w:rPr>
                <w:sz w:val="21"/>
                <w:szCs w:val="21"/>
              </w:rPr>
            </w:pPr>
            <w:r>
              <w:rPr>
                <w:sz w:val="21"/>
                <w:szCs w:val="21"/>
              </w:rPr>
              <w:t>2</w:t>
            </w:r>
          </w:p>
        </w:tc>
        <w:tc>
          <w:tcPr>
            <w:tcW w:w="1688" w:type="dxa"/>
            <w:vAlign w:val="top"/>
          </w:tcPr>
          <w:p>
            <w:pPr>
              <w:pStyle w:val="TableText"/>
              <w:spacing w:before="145" w:line="183" w:lineRule="auto"/>
              <w:ind w:left="521"/>
              <w:rPr>
                <w:sz w:val="21"/>
                <w:szCs w:val="21"/>
              </w:rPr>
            </w:pPr>
            <w:r>
              <w:rPr>
                <w:spacing w:val="-2"/>
                <w:sz w:val="21"/>
                <w:szCs w:val="21"/>
              </w:rPr>
              <w:t>0.0382</w:t>
            </w:r>
          </w:p>
        </w:tc>
        <w:tc>
          <w:tcPr>
            <w:tcW w:w="1708" w:type="dxa"/>
            <w:vAlign w:val="top"/>
          </w:tcPr>
          <w:p>
            <w:pPr>
              <w:pStyle w:val="TableText"/>
              <w:spacing w:before="145" w:line="183" w:lineRule="auto"/>
              <w:ind w:left="583"/>
              <w:rPr>
                <w:sz w:val="21"/>
                <w:szCs w:val="21"/>
              </w:rPr>
            </w:pPr>
            <w:r>
              <w:rPr>
                <w:spacing w:val="-2"/>
                <w:sz w:val="21"/>
                <w:szCs w:val="21"/>
              </w:rPr>
              <w:t>0.242</w:t>
            </w:r>
          </w:p>
        </w:tc>
        <w:tc>
          <w:tcPr>
            <w:tcW w:w="1698" w:type="dxa"/>
            <w:vAlign w:val="top"/>
          </w:tcPr>
          <w:p>
            <w:pPr>
              <w:pStyle w:val="TableText"/>
              <w:spacing w:before="145" w:line="183" w:lineRule="auto"/>
              <w:ind w:left="575"/>
              <w:rPr>
                <w:sz w:val="21"/>
                <w:szCs w:val="21"/>
              </w:rPr>
            </w:pPr>
            <w:r>
              <w:rPr>
                <w:spacing w:val="-2"/>
                <w:sz w:val="21"/>
                <w:szCs w:val="21"/>
              </w:rPr>
              <w:t>0.728</w:t>
            </w:r>
          </w:p>
        </w:tc>
        <w:tc>
          <w:tcPr>
            <w:tcW w:w="1712" w:type="dxa"/>
            <w:vAlign w:val="top"/>
          </w:tcPr>
          <w:p>
            <w:pPr>
              <w:pStyle w:val="TableText"/>
              <w:spacing w:before="144" w:line="184" w:lineRule="auto"/>
              <w:ind w:left="588"/>
              <w:rPr>
                <w:sz w:val="21"/>
                <w:szCs w:val="21"/>
              </w:rPr>
            </w:pPr>
            <w:r>
              <w:rPr>
                <w:spacing w:val="-4"/>
                <w:sz w:val="21"/>
                <w:szCs w:val="21"/>
              </w:rPr>
              <w:t>1.405</w:t>
            </w:r>
          </w:p>
        </w:tc>
      </w:tr>
      <w:tr>
        <w:tblPrEx>
          <w:tblW w:w="8519" w:type="dxa"/>
          <w:tblInd w:w="65" w:type="dxa"/>
          <w:tblLayout w:type="fixed"/>
        </w:tblPrEx>
        <w:trPr>
          <w:trHeight w:val="390"/>
        </w:trPr>
        <w:tc>
          <w:tcPr>
            <w:tcW w:w="1713" w:type="dxa"/>
            <w:vAlign w:val="top"/>
          </w:tcPr>
          <w:p>
            <w:pPr>
              <w:pStyle w:val="TableText"/>
              <w:spacing w:before="146" w:line="183" w:lineRule="auto"/>
              <w:ind w:left="794"/>
              <w:rPr>
                <w:sz w:val="21"/>
                <w:szCs w:val="21"/>
              </w:rPr>
            </w:pPr>
            <w:r>
              <w:rPr>
                <w:sz w:val="21"/>
                <w:szCs w:val="21"/>
              </w:rPr>
              <w:t>3</w:t>
            </w:r>
          </w:p>
        </w:tc>
        <w:tc>
          <w:tcPr>
            <w:tcW w:w="1688" w:type="dxa"/>
            <w:vAlign w:val="top"/>
          </w:tcPr>
          <w:p>
            <w:pPr>
              <w:pStyle w:val="TableText"/>
              <w:spacing w:before="146" w:line="183" w:lineRule="auto"/>
              <w:ind w:left="521"/>
              <w:rPr>
                <w:sz w:val="21"/>
                <w:szCs w:val="21"/>
              </w:rPr>
            </w:pPr>
            <w:r>
              <w:rPr>
                <w:spacing w:val="-2"/>
                <w:sz w:val="21"/>
                <w:szCs w:val="21"/>
              </w:rPr>
              <w:t>0.0375</w:t>
            </w:r>
          </w:p>
        </w:tc>
        <w:tc>
          <w:tcPr>
            <w:tcW w:w="1708" w:type="dxa"/>
            <w:vAlign w:val="top"/>
          </w:tcPr>
          <w:p>
            <w:pPr>
              <w:pStyle w:val="TableText"/>
              <w:spacing w:before="146" w:line="183" w:lineRule="auto"/>
              <w:ind w:left="583"/>
              <w:rPr>
                <w:sz w:val="21"/>
                <w:szCs w:val="21"/>
              </w:rPr>
            </w:pPr>
            <w:r>
              <w:rPr>
                <w:spacing w:val="-2"/>
                <w:sz w:val="21"/>
                <w:szCs w:val="21"/>
              </w:rPr>
              <w:t>0.238</w:t>
            </w:r>
          </w:p>
        </w:tc>
        <w:tc>
          <w:tcPr>
            <w:tcW w:w="1698" w:type="dxa"/>
            <w:vAlign w:val="top"/>
          </w:tcPr>
          <w:p>
            <w:pPr>
              <w:pStyle w:val="TableText"/>
              <w:spacing w:before="146" w:line="183" w:lineRule="auto"/>
              <w:ind w:left="575"/>
              <w:rPr>
                <w:sz w:val="21"/>
                <w:szCs w:val="21"/>
              </w:rPr>
            </w:pPr>
            <w:r>
              <w:rPr>
                <w:spacing w:val="-2"/>
                <w:sz w:val="21"/>
                <w:szCs w:val="21"/>
              </w:rPr>
              <w:t>0.736</w:t>
            </w:r>
          </w:p>
        </w:tc>
        <w:tc>
          <w:tcPr>
            <w:tcW w:w="1712" w:type="dxa"/>
            <w:vAlign w:val="top"/>
          </w:tcPr>
          <w:p>
            <w:pPr>
              <w:pStyle w:val="TableText"/>
              <w:spacing w:before="145" w:line="184" w:lineRule="auto"/>
              <w:ind w:left="588"/>
              <w:rPr>
                <w:sz w:val="21"/>
                <w:szCs w:val="21"/>
              </w:rPr>
            </w:pPr>
            <w:r>
              <w:rPr>
                <w:spacing w:val="-4"/>
                <w:sz w:val="21"/>
                <w:szCs w:val="21"/>
              </w:rPr>
              <w:t>1.398</w:t>
            </w:r>
          </w:p>
        </w:tc>
      </w:tr>
      <w:tr>
        <w:tblPrEx>
          <w:tblW w:w="8519" w:type="dxa"/>
          <w:tblInd w:w="65" w:type="dxa"/>
          <w:tblLayout w:type="fixed"/>
        </w:tblPrEx>
        <w:trPr>
          <w:trHeight w:val="379"/>
        </w:trPr>
        <w:tc>
          <w:tcPr>
            <w:tcW w:w="1713" w:type="dxa"/>
            <w:vAlign w:val="top"/>
          </w:tcPr>
          <w:p>
            <w:pPr>
              <w:pStyle w:val="TableText"/>
              <w:spacing w:before="146" w:line="183" w:lineRule="auto"/>
              <w:ind w:left="794"/>
              <w:rPr>
                <w:sz w:val="21"/>
                <w:szCs w:val="21"/>
              </w:rPr>
            </w:pPr>
            <w:r>
              <w:rPr>
                <w:color w:val="76004B"/>
                <w:sz w:val="21"/>
                <w:szCs w:val="21"/>
              </w:rPr>
              <w:t>4</w:t>
            </w:r>
          </w:p>
        </w:tc>
        <w:tc>
          <w:tcPr>
            <w:tcW w:w="1688" w:type="dxa"/>
            <w:vAlign w:val="top"/>
          </w:tcPr>
          <w:p>
            <w:pPr>
              <w:pStyle w:val="TableText"/>
              <w:spacing w:before="146" w:line="183" w:lineRule="auto"/>
              <w:ind w:left="521"/>
              <w:rPr>
                <w:sz w:val="21"/>
                <w:szCs w:val="21"/>
              </w:rPr>
            </w:pPr>
            <w:r>
              <w:rPr>
                <w:spacing w:val="-2"/>
                <w:sz w:val="21"/>
                <w:szCs w:val="21"/>
              </w:rPr>
              <w:t>0.0386</w:t>
            </w:r>
          </w:p>
        </w:tc>
        <w:tc>
          <w:tcPr>
            <w:tcW w:w="1708" w:type="dxa"/>
            <w:vAlign w:val="top"/>
          </w:tcPr>
          <w:p>
            <w:pPr>
              <w:pStyle w:val="TableText"/>
              <w:spacing w:before="145" w:line="184" w:lineRule="auto"/>
              <w:ind w:left="583"/>
              <w:rPr>
                <w:sz w:val="21"/>
                <w:szCs w:val="21"/>
              </w:rPr>
            </w:pPr>
            <w:r>
              <w:rPr>
                <w:spacing w:val="-2"/>
                <w:sz w:val="21"/>
                <w:szCs w:val="21"/>
              </w:rPr>
              <w:t>0.251</w:t>
            </w:r>
          </w:p>
        </w:tc>
        <w:tc>
          <w:tcPr>
            <w:tcW w:w="1698" w:type="dxa"/>
            <w:vAlign w:val="top"/>
          </w:tcPr>
          <w:p>
            <w:pPr>
              <w:pStyle w:val="TableText"/>
              <w:spacing w:before="146" w:line="183" w:lineRule="auto"/>
              <w:ind w:left="575"/>
              <w:rPr>
                <w:sz w:val="21"/>
                <w:szCs w:val="21"/>
              </w:rPr>
            </w:pPr>
            <w:r>
              <w:rPr>
                <w:spacing w:val="-2"/>
                <w:sz w:val="21"/>
                <w:szCs w:val="21"/>
              </w:rPr>
              <w:t>0.744</w:t>
            </w:r>
          </w:p>
        </w:tc>
        <w:tc>
          <w:tcPr>
            <w:tcW w:w="1712" w:type="dxa"/>
            <w:vAlign w:val="top"/>
          </w:tcPr>
          <w:p>
            <w:pPr>
              <w:pStyle w:val="TableText"/>
              <w:spacing w:before="145" w:line="184" w:lineRule="auto"/>
              <w:ind w:left="588"/>
              <w:rPr>
                <w:sz w:val="21"/>
                <w:szCs w:val="21"/>
              </w:rPr>
            </w:pPr>
            <w:r>
              <w:rPr>
                <w:spacing w:val="-4"/>
                <w:sz w:val="21"/>
                <w:szCs w:val="21"/>
              </w:rPr>
              <w:t>1.419</w:t>
            </w:r>
          </w:p>
        </w:tc>
      </w:tr>
      <w:tr>
        <w:tblPrEx>
          <w:tblW w:w="8519" w:type="dxa"/>
          <w:tblInd w:w="65" w:type="dxa"/>
          <w:tblLayout w:type="fixed"/>
        </w:tblPrEx>
        <w:trPr>
          <w:trHeight w:val="390"/>
        </w:trPr>
        <w:tc>
          <w:tcPr>
            <w:tcW w:w="1713" w:type="dxa"/>
            <w:vAlign w:val="top"/>
          </w:tcPr>
          <w:p>
            <w:pPr>
              <w:pStyle w:val="TableText"/>
              <w:spacing w:before="148" w:line="182" w:lineRule="auto"/>
              <w:ind w:left="794"/>
              <w:rPr>
                <w:sz w:val="21"/>
                <w:szCs w:val="21"/>
              </w:rPr>
            </w:pPr>
            <w:r>
              <w:rPr>
                <w:sz w:val="21"/>
                <w:szCs w:val="21"/>
              </w:rPr>
              <w:t>5</w:t>
            </w:r>
          </w:p>
        </w:tc>
        <w:tc>
          <w:tcPr>
            <w:tcW w:w="1688" w:type="dxa"/>
            <w:vAlign w:val="top"/>
          </w:tcPr>
          <w:p>
            <w:pPr>
              <w:pStyle w:val="TableText"/>
              <w:spacing w:before="147" w:line="183" w:lineRule="auto"/>
              <w:ind w:left="521"/>
              <w:rPr>
                <w:sz w:val="21"/>
                <w:szCs w:val="21"/>
              </w:rPr>
            </w:pPr>
            <w:r>
              <w:rPr>
                <w:spacing w:val="-2"/>
                <w:sz w:val="21"/>
                <w:szCs w:val="21"/>
              </w:rPr>
              <w:t>0.0365</w:t>
            </w:r>
          </w:p>
        </w:tc>
        <w:tc>
          <w:tcPr>
            <w:tcW w:w="1708" w:type="dxa"/>
            <w:vAlign w:val="top"/>
          </w:tcPr>
          <w:p>
            <w:pPr>
              <w:pStyle w:val="TableText"/>
              <w:spacing w:before="147" w:line="183" w:lineRule="auto"/>
              <w:ind w:left="583"/>
              <w:rPr>
                <w:sz w:val="21"/>
                <w:szCs w:val="21"/>
              </w:rPr>
            </w:pPr>
            <w:r>
              <w:rPr>
                <w:spacing w:val="-2"/>
                <w:sz w:val="21"/>
                <w:szCs w:val="21"/>
              </w:rPr>
              <w:t>0.248</w:t>
            </w:r>
          </w:p>
        </w:tc>
        <w:tc>
          <w:tcPr>
            <w:tcW w:w="1698" w:type="dxa"/>
            <w:vAlign w:val="top"/>
          </w:tcPr>
          <w:p>
            <w:pPr>
              <w:pStyle w:val="TableText"/>
              <w:spacing w:before="147" w:line="183" w:lineRule="auto"/>
              <w:ind w:left="575"/>
              <w:rPr>
                <w:sz w:val="21"/>
                <w:szCs w:val="21"/>
              </w:rPr>
            </w:pPr>
            <w:r>
              <w:rPr>
                <w:spacing w:val="-2"/>
                <w:sz w:val="21"/>
                <w:szCs w:val="21"/>
              </w:rPr>
              <w:t>0.756</w:t>
            </w:r>
          </w:p>
        </w:tc>
        <w:tc>
          <w:tcPr>
            <w:tcW w:w="1712" w:type="dxa"/>
            <w:vAlign w:val="top"/>
          </w:tcPr>
          <w:p>
            <w:pPr>
              <w:pStyle w:val="TableText"/>
              <w:spacing w:before="146" w:line="184" w:lineRule="auto"/>
              <w:ind w:left="588"/>
              <w:rPr>
                <w:sz w:val="21"/>
                <w:szCs w:val="21"/>
              </w:rPr>
            </w:pPr>
            <w:r>
              <w:rPr>
                <w:spacing w:val="-4"/>
                <w:sz w:val="21"/>
                <w:szCs w:val="21"/>
              </w:rPr>
              <w:t>1.395</w:t>
            </w:r>
          </w:p>
        </w:tc>
      </w:tr>
      <w:tr>
        <w:tblPrEx>
          <w:tblW w:w="8519" w:type="dxa"/>
          <w:tblInd w:w="65" w:type="dxa"/>
          <w:tblLayout w:type="fixed"/>
        </w:tblPrEx>
        <w:trPr>
          <w:trHeight w:val="399"/>
        </w:trPr>
        <w:tc>
          <w:tcPr>
            <w:tcW w:w="1713" w:type="dxa"/>
            <w:vAlign w:val="top"/>
          </w:tcPr>
          <w:p>
            <w:pPr>
              <w:pStyle w:val="TableText"/>
              <w:spacing w:before="157" w:line="183" w:lineRule="auto"/>
              <w:ind w:left="794"/>
              <w:rPr>
                <w:sz w:val="21"/>
                <w:szCs w:val="21"/>
              </w:rPr>
            </w:pPr>
            <w:r>
              <w:rPr>
                <w:sz w:val="21"/>
                <w:szCs w:val="21"/>
              </w:rPr>
              <w:t>6</w:t>
            </w:r>
          </w:p>
        </w:tc>
        <w:tc>
          <w:tcPr>
            <w:tcW w:w="1688" w:type="dxa"/>
            <w:vAlign w:val="top"/>
          </w:tcPr>
          <w:p>
            <w:pPr>
              <w:pStyle w:val="TableText"/>
              <w:spacing w:before="156" w:line="184" w:lineRule="auto"/>
              <w:ind w:left="521"/>
              <w:rPr>
                <w:sz w:val="21"/>
                <w:szCs w:val="21"/>
              </w:rPr>
            </w:pPr>
            <w:r>
              <w:rPr>
                <w:spacing w:val="-2"/>
                <w:sz w:val="21"/>
                <w:szCs w:val="21"/>
              </w:rPr>
              <w:t>0.0371</w:t>
            </w:r>
          </w:p>
        </w:tc>
        <w:tc>
          <w:tcPr>
            <w:tcW w:w="1708" w:type="dxa"/>
            <w:vAlign w:val="top"/>
          </w:tcPr>
          <w:p>
            <w:pPr>
              <w:pStyle w:val="TableText"/>
              <w:spacing w:before="157" w:line="183" w:lineRule="auto"/>
              <w:ind w:left="583"/>
              <w:rPr>
                <w:sz w:val="21"/>
                <w:szCs w:val="21"/>
              </w:rPr>
            </w:pPr>
            <w:r>
              <w:rPr>
                <w:spacing w:val="-2"/>
                <w:sz w:val="21"/>
                <w:szCs w:val="21"/>
              </w:rPr>
              <w:t>0.229</w:t>
            </w:r>
          </w:p>
        </w:tc>
        <w:tc>
          <w:tcPr>
            <w:tcW w:w="1698" w:type="dxa"/>
            <w:vAlign w:val="top"/>
          </w:tcPr>
          <w:p>
            <w:pPr>
              <w:pStyle w:val="TableText"/>
              <w:spacing w:before="157" w:line="183" w:lineRule="auto"/>
              <w:ind w:left="575"/>
              <w:rPr>
                <w:sz w:val="21"/>
                <w:szCs w:val="21"/>
              </w:rPr>
            </w:pPr>
            <w:r>
              <w:rPr>
                <w:spacing w:val="-2"/>
                <w:sz w:val="21"/>
                <w:szCs w:val="21"/>
              </w:rPr>
              <w:t>0.745</w:t>
            </w:r>
          </w:p>
        </w:tc>
        <w:tc>
          <w:tcPr>
            <w:tcW w:w="1712" w:type="dxa"/>
            <w:vAlign w:val="top"/>
          </w:tcPr>
          <w:p>
            <w:pPr>
              <w:pStyle w:val="TableText"/>
              <w:spacing w:before="156" w:line="184" w:lineRule="auto"/>
              <w:ind w:left="588"/>
              <w:rPr>
                <w:sz w:val="21"/>
                <w:szCs w:val="21"/>
              </w:rPr>
            </w:pPr>
            <w:r>
              <w:rPr>
                <w:spacing w:val="-4"/>
                <w:sz w:val="21"/>
                <w:szCs w:val="21"/>
              </w:rPr>
              <w:t>1.445</w:t>
            </w:r>
          </w:p>
        </w:tc>
      </w:tr>
      <w:tr>
        <w:tblPrEx>
          <w:tblW w:w="8519" w:type="dxa"/>
          <w:tblInd w:w="65" w:type="dxa"/>
          <w:tblLayout w:type="fixed"/>
        </w:tblPrEx>
        <w:trPr>
          <w:trHeight w:val="370"/>
        </w:trPr>
        <w:tc>
          <w:tcPr>
            <w:tcW w:w="1713" w:type="dxa"/>
            <w:vAlign w:val="top"/>
          </w:tcPr>
          <w:p>
            <w:pPr>
              <w:pStyle w:val="TableText"/>
              <w:spacing w:before="139" w:line="182" w:lineRule="auto"/>
              <w:ind w:left="794"/>
              <w:rPr>
                <w:sz w:val="21"/>
                <w:szCs w:val="21"/>
              </w:rPr>
            </w:pPr>
            <w:r>
              <w:rPr>
                <w:sz w:val="21"/>
                <w:szCs w:val="21"/>
              </w:rPr>
              <w:t>7</w:t>
            </w:r>
          </w:p>
        </w:tc>
        <w:tc>
          <w:tcPr>
            <w:tcW w:w="1688" w:type="dxa"/>
            <w:vAlign w:val="top"/>
          </w:tcPr>
          <w:p>
            <w:pPr>
              <w:pStyle w:val="TableText"/>
              <w:spacing w:before="138" w:line="183" w:lineRule="auto"/>
              <w:ind w:left="521"/>
              <w:rPr>
                <w:sz w:val="21"/>
                <w:szCs w:val="21"/>
              </w:rPr>
            </w:pPr>
            <w:r>
              <w:rPr>
                <w:spacing w:val="-2"/>
                <w:sz w:val="21"/>
                <w:szCs w:val="21"/>
              </w:rPr>
              <w:t>0.0402</w:t>
            </w:r>
          </w:p>
        </w:tc>
        <w:tc>
          <w:tcPr>
            <w:tcW w:w="1708" w:type="dxa"/>
            <w:vAlign w:val="top"/>
          </w:tcPr>
          <w:p>
            <w:pPr>
              <w:pStyle w:val="TableText"/>
              <w:spacing w:before="138" w:line="183" w:lineRule="auto"/>
              <w:ind w:left="583"/>
              <w:rPr>
                <w:sz w:val="21"/>
                <w:szCs w:val="21"/>
              </w:rPr>
            </w:pPr>
            <w:r>
              <w:rPr>
                <w:spacing w:val="-2"/>
                <w:sz w:val="21"/>
                <w:szCs w:val="21"/>
              </w:rPr>
              <w:t>0.234</w:t>
            </w:r>
          </w:p>
        </w:tc>
        <w:tc>
          <w:tcPr>
            <w:tcW w:w="1698" w:type="dxa"/>
            <w:vAlign w:val="top"/>
          </w:tcPr>
          <w:p>
            <w:pPr>
              <w:pStyle w:val="TableText"/>
              <w:spacing w:before="137" w:line="184" w:lineRule="auto"/>
              <w:ind w:left="575"/>
              <w:rPr>
                <w:sz w:val="21"/>
                <w:szCs w:val="21"/>
              </w:rPr>
            </w:pPr>
            <w:r>
              <w:rPr>
                <w:spacing w:val="-2"/>
                <w:sz w:val="21"/>
                <w:szCs w:val="21"/>
              </w:rPr>
              <w:t>0.718</w:t>
            </w:r>
          </w:p>
        </w:tc>
        <w:tc>
          <w:tcPr>
            <w:tcW w:w="1712" w:type="dxa"/>
            <w:vAlign w:val="top"/>
          </w:tcPr>
          <w:p>
            <w:pPr>
              <w:pStyle w:val="TableText"/>
              <w:spacing w:before="137" w:line="184" w:lineRule="auto"/>
              <w:ind w:left="588"/>
              <w:rPr>
                <w:sz w:val="21"/>
                <w:szCs w:val="21"/>
              </w:rPr>
            </w:pPr>
            <w:r>
              <w:rPr>
                <w:spacing w:val="-4"/>
                <w:sz w:val="21"/>
                <w:szCs w:val="21"/>
              </w:rPr>
              <w:t>1.407</w:t>
            </w:r>
          </w:p>
        </w:tc>
      </w:tr>
      <w:tr>
        <w:tblPrEx>
          <w:tblW w:w="8519" w:type="dxa"/>
          <w:tblInd w:w="65" w:type="dxa"/>
          <w:tblLayout w:type="fixed"/>
        </w:tblPrEx>
        <w:trPr>
          <w:trHeight w:val="399"/>
        </w:trPr>
        <w:tc>
          <w:tcPr>
            <w:tcW w:w="1713" w:type="dxa"/>
            <w:vAlign w:val="top"/>
          </w:tcPr>
          <w:p>
            <w:pPr>
              <w:pStyle w:val="TableText"/>
              <w:spacing w:before="158" w:line="183" w:lineRule="auto"/>
              <w:ind w:left="794"/>
              <w:rPr>
                <w:sz w:val="21"/>
                <w:szCs w:val="21"/>
              </w:rPr>
            </w:pPr>
            <w:r>
              <w:rPr>
                <w:sz w:val="21"/>
                <w:szCs w:val="21"/>
              </w:rPr>
              <w:t>8</w:t>
            </w:r>
          </w:p>
        </w:tc>
        <w:tc>
          <w:tcPr>
            <w:tcW w:w="1688" w:type="dxa"/>
            <w:vAlign w:val="top"/>
          </w:tcPr>
          <w:p>
            <w:pPr>
              <w:pStyle w:val="TableText"/>
              <w:spacing w:before="158" w:line="183" w:lineRule="auto"/>
              <w:ind w:left="521"/>
              <w:rPr>
                <w:sz w:val="21"/>
                <w:szCs w:val="21"/>
              </w:rPr>
            </w:pPr>
            <w:r>
              <w:rPr>
                <w:spacing w:val="-2"/>
                <w:sz w:val="21"/>
                <w:szCs w:val="21"/>
              </w:rPr>
              <w:t>0.0386</w:t>
            </w:r>
          </w:p>
        </w:tc>
        <w:tc>
          <w:tcPr>
            <w:tcW w:w="1708" w:type="dxa"/>
            <w:vAlign w:val="top"/>
          </w:tcPr>
          <w:p>
            <w:pPr>
              <w:pStyle w:val="TableText"/>
              <w:spacing w:before="158" w:line="183" w:lineRule="auto"/>
              <w:ind w:left="583"/>
              <w:rPr>
                <w:sz w:val="21"/>
                <w:szCs w:val="21"/>
              </w:rPr>
            </w:pPr>
            <w:r>
              <w:rPr>
                <w:spacing w:val="-2"/>
                <w:sz w:val="21"/>
                <w:szCs w:val="21"/>
              </w:rPr>
              <w:t>0.246</w:t>
            </w:r>
          </w:p>
        </w:tc>
        <w:tc>
          <w:tcPr>
            <w:tcW w:w="1698" w:type="dxa"/>
            <w:vAlign w:val="top"/>
          </w:tcPr>
          <w:p>
            <w:pPr>
              <w:pStyle w:val="TableText"/>
              <w:spacing w:before="158" w:line="183" w:lineRule="auto"/>
              <w:ind w:left="575"/>
              <w:rPr>
                <w:sz w:val="21"/>
                <w:szCs w:val="21"/>
              </w:rPr>
            </w:pPr>
            <w:r>
              <w:rPr>
                <w:spacing w:val="-2"/>
                <w:sz w:val="21"/>
                <w:szCs w:val="21"/>
              </w:rPr>
              <w:t>0.772</w:t>
            </w:r>
          </w:p>
        </w:tc>
        <w:tc>
          <w:tcPr>
            <w:tcW w:w="1712" w:type="dxa"/>
            <w:vAlign w:val="top"/>
          </w:tcPr>
          <w:p>
            <w:pPr>
              <w:pStyle w:val="TableText"/>
              <w:spacing w:before="157" w:line="184" w:lineRule="auto"/>
              <w:ind w:left="588"/>
              <w:rPr>
                <w:sz w:val="21"/>
                <w:szCs w:val="21"/>
              </w:rPr>
            </w:pPr>
            <w:r>
              <w:rPr>
                <w:spacing w:val="-4"/>
                <w:sz w:val="21"/>
                <w:szCs w:val="21"/>
              </w:rPr>
              <w:t>1.416</w:t>
            </w:r>
          </w:p>
        </w:tc>
      </w:tr>
      <w:tr>
        <w:tblPrEx>
          <w:tblW w:w="8519" w:type="dxa"/>
          <w:tblInd w:w="65" w:type="dxa"/>
          <w:tblLayout w:type="fixed"/>
        </w:tblPrEx>
        <w:trPr>
          <w:trHeight w:val="379"/>
        </w:trPr>
        <w:tc>
          <w:tcPr>
            <w:tcW w:w="1713" w:type="dxa"/>
            <w:vAlign w:val="top"/>
          </w:tcPr>
          <w:p>
            <w:pPr>
              <w:pStyle w:val="TableText"/>
              <w:spacing w:before="149" w:line="183" w:lineRule="auto"/>
              <w:ind w:left="794"/>
              <w:rPr>
                <w:sz w:val="21"/>
                <w:szCs w:val="21"/>
              </w:rPr>
            </w:pPr>
            <w:r>
              <w:rPr>
                <w:sz w:val="21"/>
                <w:szCs w:val="21"/>
              </w:rPr>
              <w:t>9</w:t>
            </w:r>
          </w:p>
        </w:tc>
        <w:tc>
          <w:tcPr>
            <w:tcW w:w="1688" w:type="dxa"/>
            <w:vAlign w:val="top"/>
          </w:tcPr>
          <w:p>
            <w:pPr>
              <w:pStyle w:val="TableText"/>
              <w:spacing w:before="148" w:line="184" w:lineRule="auto"/>
              <w:ind w:left="521"/>
              <w:rPr>
                <w:sz w:val="21"/>
                <w:szCs w:val="21"/>
              </w:rPr>
            </w:pPr>
            <w:r>
              <w:rPr>
                <w:spacing w:val="-2"/>
                <w:sz w:val="21"/>
                <w:szCs w:val="21"/>
              </w:rPr>
              <w:t>0.0418</w:t>
            </w:r>
          </w:p>
        </w:tc>
        <w:tc>
          <w:tcPr>
            <w:tcW w:w="1708" w:type="dxa"/>
            <w:vAlign w:val="top"/>
          </w:tcPr>
          <w:p>
            <w:pPr>
              <w:pStyle w:val="TableText"/>
              <w:spacing w:before="148" w:line="184" w:lineRule="auto"/>
              <w:ind w:left="583"/>
              <w:rPr>
                <w:sz w:val="21"/>
                <w:szCs w:val="21"/>
              </w:rPr>
            </w:pPr>
            <w:r>
              <w:rPr>
                <w:spacing w:val="-2"/>
                <w:sz w:val="21"/>
                <w:szCs w:val="21"/>
              </w:rPr>
              <w:t>0.231</w:t>
            </w:r>
          </w:p>
        </w:tc>
        <w:tc>
          <w:tcPr>
            <w:tcW w:w="1698" w:type="dxa"/>
            <w:vAlign w:val="top"/>
          </w:tcPr>
          <w:p>
            <w:pPr>
              <w:pStyle w:val="TableText"/>
              <w:spacing w:before="149" w:line="183" w:lineRule="auto"/>
              <w:ind w:left="575"/>
              <w:rPr>
                <w:sz w:val="21"/>
                <w:szCs w:val="21"/>
              </w:rPr>
            </w:pPr>
            <w:r>
              <w:rPr>
                <w:spacing w:val="-2"/>
                <w:sz w:val="21"/>
                <w:szCs w:val="21"/>
              </w:rPr>
              <w:t>0.764</w:t>
            </w:r>
          </w:p>
        </w:tc>
        <w:tc>
          <w:tcPr>
            <w:tcW w:w="1712" w:type="dxa"/>
            <w:vAlign w:val="top"/>
          </w:tcPr>
          <w:p>
            <w:pPr>
              <w:pStyle w:val="TableText"/>
              <w:spacing w:before="148" w:line="184" w:lineRule="auto"/>
              <w:ind w:left="588"/>
              <w:rPr>
                <w:sz w:val="21"/>
                <w:szCs w:val="21"/>
              </w:rPr>
            </w:pPr>
            <w:r>
              <w:rPr>
                <w:spacing w:val="-4"/>
                <w:sz w:val="21"/>
                <w:szCs w:val="21"/>
              </w:rPr>
              <w:t>1.446</w:t>
            </w:r>
          </w:p>
        </w:tc>
      </w:tr>
      <w:tr>
        <w:tblPrEx>
          <w:tblW w:w="8519" w:type="dxa"/>
          <w:tblInd w:w="65" w:type="dxa"/>
          <w:tblLayout w:type="fixed"/>
        </w:tblPrEx>
        <w:trPr>
          <w:trHeight w:val="390"/>
        </w:trPr>
        <w:tc>
          <w:tcPr>
            <w:tcW w:w="1713" w:type="dxa"/>
            <w:vAlign w:val="top"/>
          </w:tcPr>
          <w:p>
            <w:pPr>
              <w:pStyle w:val="TableText"/>
              <w:spacing w:before="149" w:line="184" w:lineRule="auto"/>
              <w:ind w:left="744"/>
              <w:rPr>
                <w:sz w:val="21"/>
                <w:szCs w:val="21"/>
              </w:rPr>
            </w:pPr>
            <w:r>
              <w:rPr>
                <w:spacing w:val="-6"/>
                <w:sz w:val="21"/>
                <w:szCs w:val="21"/>
              </w:rPr>
              <w:t>10</w:t>
            </w:r>
          </w:p>
        </w:tc>
        <w:tc>
          <w:tcPr>
            <w:tcW w:w="1688" w:type="dxa"/>
            <w:vAlign w:val="top"/>
          </w:tcPr>
          <w:p>
            <w:pPr>
              <w:pStyle w:val="TableText"/>
              <w:spacing w:before="150" w:line="183" w:lineRule="auto"/>
              <w:ind w:left="521"/>
              <w:rPr>
                <w:sz w:val="21"/>
                <w:szCs w:val="21"/>
              </w:rPr>
            </w:pPr>
            <w:r>
              <w:rPr>
                <w:spacing w:val="-2"/>
                <w:sz w:val="21"/>
                <w:szCs w:val="21"/>
              </w:rPr>
              <w:t>0.0384</w:t>
            </w:r>
          </w:p>
        </w:tc>
        <w:tc>
          <w:tcPr>
            <w:tcW w:w="1708" w:type="dxa"/>
            <w:vAlign w:val="top"/>
          </w:tcPr>
          <w:p>
            <w:pPr>
              <w:pStyle w:val="TableText"/>
              <w:spacing w:before="150" w:line="183" w:lineRule="auto"/>
              <w:ind w:left="583"/>
              <w:rPr>
                <w:sz w:val="21"/>
                <w:szCs w:val="21"/>
              </w:rPr>
            </w:pPr>
            <w:r>
              <w:rPr>
                <w:spacing w:val="-2"/>
                <w:sz w:val="21"/>
                <w:szCs w:val="21"/>
              </w:rPr>
              <w:t>0.226</w:t>
            </w:r>
          </w:p>
        </w:tc>
        <w:tc>
          <w:tcPr>
            <w:tcW w:w="1698" w:type="dxa"/>
            <w:vAlign w:val="top"/>
          </w:tcPr>
          <w:p>
            <w:pPr>
              <w:pStyle w:val="TableText"/>
              <w:spacing w:before="150" w:line="183" w:lineRule="auto"/>
              <w:ind w:left="575"/>
              <w:rPr>
                <w:sz w:val="21"/>
                <w:szCs w:val="21"/>
              </w:rPr>
            </w:pPr>
            <w:r>
              <w:rPr>
                <w:spacing w:val="-2"/>
                <w:sz w:val="21"/>
                <w:szCs w:val="21"/>
              </w:rPr>
              <w:t>0.753</w:t>
            </w:r>
          </w:p>
        </w:tc>
        <w:tc>
          <w:tcPr>
            <w:tcW w:w="1712" w:type="dxa"/>
            <w:vAlign w:val="top"/>
          </w:tcPr>
          <w:p>
            <w:pPr>
              <w:pStyle w:val="TableText"/>
              <w:spacing w:before="149" w:line="184" w:lineRule="auto"/>
              <w:ind w:left="588"/>
              <w:rPr>
                <w:sz w:val="21"/>
                <w:szCs w:val="21"/>
              </w:rPr>
            </w:pPr>
            <w:r>
              <w:rPr>
                <w:spacing w:val="-4"/>
                <w:sz w:val="21"/>
                <w:szCs w:val="21"/>
              </w:rPr>
              <w:t>1.452</w:t>
            </w:r>
          </w:p>
        </w:tc>
      </w:tr>
      <w:tr>
        <w:tblPrEx>
          <w:tblW w:w="8519" w:type="dxa"/>
          <w:tblInd w:w="65" w:type="dxa"/>
          <w:tblLayout w:type="fixed"/>
        </w:tblPrEx>
        <w:trPr>
          <w:trHeight w:val="379"/>
        </w:trPr>
        <w:tc>
          <w:tcPr>
            <w:tcW w:w="1713" w:type="dxa"/>
            <w:vAlign w:val="top"/>
          </w:tcPr>
          <w:p>
            <w:pPr>
              <w:pStyle w:val="TableText"/>
              <w:spacing w:before="149" w:line="184" w:lineRule="auto"/>
              <w:ind w:left="744"/>
              <w:rPr>
                <w:sz w:val="21"/>
                <w:szCs w:val="21"/>
              </w:rPr>
            </w:pPr>
            <w:r>
              <w:rPr>
                <w:color w:val="730073"/>
                <w:spacing w:val="-6"/>
                <w:sz w:val="21"/>
                <w:szCs w:val="21"/>
              </w:rPr>
              <w:t>11</w:t>
            </w:r>
          </w:p>
        </w:tc>
        <w:tc>
          <w:tcPr>
            <w:tcW w:w="1688" w:type="dxa"/>
            <w:vAlign w:val="top"/>
          </w:tcPr>
          <w:p>
            <w:pPr>
              <w:pStyle w:val="TableText"/>
              <w:spacing w:before="150" w:line="183" w:lineRule="auto"/>
              <w:ind w:left="521"/>
              <w:rPr>
                <w:sz w:val="21"/>
                <w:szCs w:val="21"/>
              </w:rPr>
            </w:pPr>
            <w:r>
              <w:rPr>
                <w:spacing w:val="-2"/>
                <w:sz w:val="21"/>
                <w:szCs w:val="21"/>
              </w:rPr>
              <w:t>0.0406</w:t>
            </w:r>
          </w:p>
        </w:tc>
        <w:tc>
          <w:tcPr>
            <w:tcW w:w="1708" w:type="dxa"/>
            <w:vAlign w:val="top"/>
          </w:tcPr>
          <w:p>
            <w:pPr>
              <w:pStyle w:val="TableText"/>
              <w:spacing w:before="150" w:line="183" w:lineRule="auto"/>
              <w:ind w:left="583"/>
              <w:rPr>
                <w:sz w:val="21"/>
                <w:szCs w:val="21"/>
              </w:rPr>
            </w:pPr>
            <w:r>
              <w:rPr>
                <w:spacing w:val="-2"/>
                <w:sz w:val="21"/>
                <w:szCs w:val="21"/>
              </w:rPr>
              <w:t>0.223</w:t>
            </w:r>
          </w:p>
        </w:tc>
        <w:tc>
          <w:tcPr>
            <w:tcW w:w="1698" w:type="dxa"/>
            <w:vAlign w:val="top"/>
          </w:tcPr>
          <w:p>
            <w:pPr>
              <w:pStyle w:val="TableText"/>
              <w:spacing w:before="150" w:line="183" w:lineRule="auto"/>
              <w:ind w:left="575"/>
              <w:rPr>
                <w:sz w:val="21"/>
                <w:szCs w:val="21"/>
              </w:rPr>
            </w:pPr>
            <w:r>
              <w:rPr>
                <w:spacing w:val="-2"/>
                <w:sz w:val="21"/>
                <w:szCs w:val="21"/>
              </w:rPr>
              <w:t>0.735</w:t>
            </w:r>
          </w:p>
        </w:tc>
        <w:tc>
          <w:tcPr>
            <w:tcW w:w="1712" w:type="dxa"/>
            <w:vAlign w:val="top"/>
          </w:tcPr>
          <w:p>
            <w:pPr>
              <w:pStyle w:val="TableText"/>
              <w:spacing w:before="149" w:line="184" w:lineRule="auto"/>
              <w:ind w:left="588"/>
              <w:rPr>
                <w:sz w:val="21"/>
                <w:szCs w:val="21"/>
              </w:rPr>
            </w:pPr>
            <w:r>
              <w:rPr>
                <w:spacing w:val="-4"/>
                <w:sz w:val="21"/>
                <w:szCs w:val="21"/>
              </w:rPr>
              <w:t>1.423</w:t>
            </w:r>
          </w:p>
        </w:tc>
      </w:tr>
      <w:tr>
        <w:tblPrEx>
          <w:tblW w:w="8519" w:type="dxa"/>
          <w:tblInd w:w="65" w:type="dxa"/>
          <w:tblLayout w:type="fixed"/>
        </w:tblPrEx>
        <w:trPr>
          <w:trHeight w:val="409"/>
        </w:trPr>
        <w:tc>
          <w:tcPr>
            <w:tcW w:w="1713" w:type="dxa"/>
            <w:vAlign w:val="top"/>
          </w:tcPr>
          <w:p>
            <w:pPr>
              <w:pStyle w:val="TableText"/>
              <w:spacing w:before="107" w:line="219" w:lineRule="auto"/>
              <w:ind w:left="374"/>
              <w:rPr>
                <w:sz w:val="21"/>
                <w:szCs w:val="21"/>
              </w:rPr>
            </w:pPr>
            <w:r>
              <w:rPr>
                <w:spacing w:val="6"/>
                <w:sz w:val="21"/>
                <w:szCs w:val="21"/>
              </w:rPr>
              <w:t>平均值(%)</w:t>
            </w:r>
          </w:p>
        </w:tc>
        <w:tc>
          <w:tcPr>
            <w:tcW w:w="1688" w:type="dxa"/>
            <w:vAlign w:val="top"/>
          </w:tcPr>
          <w:p>
            <w:pPr>
              <w:pStyle w:val="TableText"/>
              <w:spacing w:before="161" w:line="183" w:lineRule="auto"/>
              <w:ind w:left="521"/>
              <w:rPr>
                <w:sz w:val="21"/>
                <w:szCs w:val="21"/>
              </w:rPr>
            </w:pPr>
            <w:r>
              <w:rPr>
                <w:spacing w:val="-2"/>
                <w:sz w:val="21"/>
                <w:szCs w:val="21"/>
              </w:rPr>
              <w:t>0.0388</w:t>
            </w:r>
          </w:p>
        </w:tc>
        <w:tc>
          <w:tcPr>
            <w:tcW w:w="1708" w:type="dxa"/>
            <w:vAlign w:val="top"/>
          </w:tcPr>
          <w:p>
            <w:pPr>
              <w:pStyle w:val="TableText"/>
              <w:spacing w:before="161" w:line="183" w:lineRule="auto"/>
              <w:ind w:left="583"/>
              <w:rPr>
                <w:sz w:val="21"/>
                <w:szCs w:val="21"/>
              </w:rPr>
            </w:pPr>
            <w:r>
              <w:rPr>
                <w:spacing w:val="-2"/>
                <w:sz w:val="21"/>
                <w:szCs w:val="21"/>
              </w:rPr>
              <w:t>0.237</w:t>
            </w:r>
          </w:p>
        </w:tc>
        <w:tc>
          <w:tcPr>
            <w:tcW w:w="1698" w:type="dxa"/>
            <w:vAlign w:val="top"/>
          </w:tcPr>
          <w:p>
            <w:pPr>
              <w:pStyle w:val="TableText"/>
              <w:spacing w:before="161" w:line="183" w:lineRule="auto"/>
              <w:ind w:left="575"/>
              <w:rPr>
                <w:sz w:val="21"/>
                <w:szCs w:val="21"/>
              </w:rPr>
            </w:pPr>
            <w:r>
              <w:rPr>
                <w:spacing w:val="-2"/>
                <w:sz w:val="21"/>
                <w:szCs w:val="21"/>
              </w:rPr>
              <w:t>0.746</w:t>
            </w:r>
          </w:p>
        </w:tc>
        <w:tc>
          <w:tcPr>
            <w:tcW w:w="1712" w:type="dxa"/>
            <w:vAlign w:val="top"/>
          </w:tcPr>
          <w:p>
            <w:pPr>
              <w:pStyle w:val="TableText"/>
              <w:spacing w:before="160" w:line="184" w:lineRule="auto"/>
              <w:ind w:left="588"/>
              <w:rPr>
                <w:sz w:val="21"/>
                <w:szCs w:val="21"/>
              </w:rPr>
            </w:pPr>
            <w:r>
              <w:rPr>
                <w:spacing w:val="-4"/>
                <w:sz w:val="21"/>
                <w:szCs w:val="21"/>
              </w:rPr>
              <w:t>1.420</w:t>
            </w:r>
          </w:p>
        </w:tc>
      </w:tr>
    </w:tbl>
    <w:p>
      <w:pPr>
        <w:sectPr>
          <w:pgSz w:w="11900" w:h="16830"/>
          <w:pgMar w:top="1430" w:right="1635" w:bottom="0" w:left="1624" w:header="0" w:footer="0" w:gutter="0"/>
          <w:pgNumType w:start="13"/>
          <w:cols w:space="708"/>
        </w:sectPr>
      </w:pPr>
    </w:p>
    <w:tbl>
      <w:tblPr>
        <w:tblStyle w:val="TableNormal11"/>
        <w:tblW w:w="8519"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13"/>
        <w:gridCol w:w="1688"/>
        <w:gridCol w:w="1708"/>
        <w:gridCol w:w="1698"/>
        <w:gridCol w:w="1712"/>
      </w:tblGrid>
      <w:tr>
        <w:tblPrEx>
          <w:tblW w:w="8519"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0"/>
        </w:trPr>
        <w:tc>
          <w:tcPr>
            <w:tcW w:w="1713" w:type="dxa"/>
            <w:vAlign w:val="top"/>
          </w:tcPr>
          <w:p>
            <w:pPr>
              <w:pStyle w:val="TableText"/>
              <w:spacing w:before="88" w:line="219" w:lineRule="auto"/>
              <w:ind w:left="424"/>
              <w:rPr>
                <w:sz w:val="21"/>
                <w:szCs w:val="21"/>
              </w:rPr>
            </w:pPr>
            <w:r>
              <w:rPr>
                <w:spacing w:val="2"/>
                <w:sz w:val="21"/>
                <w:szCs w:val="21"/>
              </w:rPr>
              <w:t>标准偏差</w:t>
            </w:r>
          </w:p>
        </w:tc>
        <w:tc>
          <w:tcPr>
            <w:tcW w:w="1688" w:type="dxa"/>
            <w:vAlign w:val="top"/>
          </w:tcPr>
          <w:p>
            <w:pPr>
              <w:pStyle w:val="TableText"/>
              <w:spacing w:before="141" w:line="184" w:lineRule="auto"/>
              <w:ind w:left="461"/>
              <w:rPr>
                <w:sz w:val="21"/>
                <w:szCs w:val="21"/>
              </w:rPr>
            </w:pPr>
            <w:r>
              <w:rPr>
                <w:spacing w:val="-2"/>
                <w:sz w:val="21"/>
                <w:szCs w:val="21"/>
              </w:rPr>
              <w:t>0.00159</w:t>
            </w:r>
          </w:p>
        </w:tc>
        <w:tc>
          <w:tcPr>
            <w:tcW w:w="1708" w:type="dxa"/>
            <w:vAlign w:val="top"/>
          </w:tcPr>
          <w:p>
            <w:pPr>
              <w:pStyle w:val="TableText"/>
              <w:spacing w:before="142" w:line="183" w:lineRule="auto"/>
              <w:ind w:left="473"/>
              <w:rPr>
                <w:sz w:val="21"/>
                <w:szCs w:val="21"/>
              </w:rPr>
            </w:pPr>
            <w:r>
              <w:rPr>
                <w:spacing w:val="-2"/>
                <w:sz w:val="21"/>
                <w:szCs w:val="21"/>
              </w:rPr>
              <w:t>0.00922</w:t>
            </w:r>
          </w:p>
        </w:tc>
        <w:tc>
          <w:tcPr>
            <w:tcW w:w="1698" w:type="dxa"/>
            <w:vAlign w:val="top"/>
          </w:tcPr>
          <w:p>
            <w:pPr>
              <w:pStyle w:val="TableText"/>
              <w:spacing w:before="141" w:line="184" w:lineRule="auto"/>
              <w:ind w:left="526"/>
              <w:rPr>
                <w:sz w:val="21"/>
                <w:szCs w:val="21"/>
              </w:rPr>
            </w:pPr>
            <w:r>
              <w:rPr>
                <w:spacing w:val="-2"/>
                <w:sz w:val="21"/>
                <w:szCs w:val="21"/>
              </w:rPr>
              <w:t>0.0156</w:t>
            </w:r>
          </w:p>
        </w:tc>
        <w:tc>
          <w:tcPr>
            <w:tcW w:w="1712" w:type="dxa"/>
            <w:vAlign w:val="top"/>
          </w:tcPr>
          <w:p>
            <w:pPr>
              <w:pStyle w:val="TableText"/>
              <w:spacing w:before="141" w:line="184" w:lineRule="auto"/>
              <w:ind w:left="537"/>
              <w:rPr>
                <w:sz w:val="21"/>
                <w:szCs w:val="21"/>
              </w:rPr>
            </w:pPr>
            <w:r>
              <w:rPr>
                <w:spacing w:val="-2"/>
                <w:sz w:val="21"/>
                <w:szCs w:val="21"/>
              </w:rPr>
              <w:t>0.0196</w:t>
            </w:r>
          </w:p>
        </w:tc>
      </w:tr>
      <w:tr>
        <w:tblPrEx>
          <w:tblW w:w="8519" w:type="dxa"/>
          <w:tblInd w:w="65" w:type="dxa"/>
          <w:tblLayout w:type="fixed"/>
        </w:tblPrEx>
        <w:trPr>
          <w:trHeight w:val="384"/>
        </w:trPr>
        <w:tc>
          <w:tcPr>
            <w:tcW w:w="1713" w:type="dxa"/>
            <w:vAlign w:val="top"/>
          </w:tcPr>
          <w:p>
            <w:pPr>
              <w:pStyle w:val="TableText"/>
              <w:spacing w:before="101" w:line="222" w:lineRule="auto"/>
              <w:ind w:left="534"/>
              <w:rPr>
                <w:sz w:val="21"/>
                <w:szCs w:val="21"/>
              </w:rPr>
            </w:pPr>
            <w:r>
              <w:rPr>
                <w:spacing w:val="-2"/>
                <w:sz w:val="21"/>
                <w:szCs w:val="21"/>
              </w:rPr>
              <w:t>RSD(%)</w:t>
            </w:r>
          </w:p>
        </w:tc>
        <w:tc>
          <w:tcPr>
            <w:tcW w:w="1688" w:type="dxa"/>
            <w:vAlign w:val="top"/>
          </w:tcPr>
          <w:p>
            <w:pPr>
              <w:pStyle w:val="TableText"/>
              <w:spacing w:before="151" w:line="184" w:lineRule="auto"/>
              <w:ind w:left="622"/>
              <w:rPr>
                <w:sz w:val="21"/>
                <w:szCs w:val="21"/>
              </w:rPr>
            </w:pPr>
            <w:r>
              <w:rPr>
                <w:spacing w:val="-2"/>
                <w:sz w:val="21"/>
                <w:szCs w:val="21"/>
              </w:rPr>
              <w:t>4.10</w:t>
            </w:r>
          </w:p>
        </w:tc>
        <w:tc>
          <w:tcPr>
            <w:tcW w:w="1708" w:type="dxa"/>
            <w:vAlign w:val="top"/>
          </w:tcPr>
          <w:p>
            <w:pPr>
              <w:pStyle w:val="TableText"/>
              <w:spacing w:before="152" w:line="183" w:lineRule="auto"/>
              <w:ind w:left="633"/>
              <w:rPr>
                <w:sz w:val="21"/>
                <w:szCs w:val="21"/>
              </w:rPr>
            </w:pPr>
            <w:r>
              <w:rPr>
                <w:spacing w:val="-3"/>
                <w:sz w:val="21"/>
                <w:szCs w:val="21"/>
              </w:rPr>
              <w:t>3.89</w:t>
            </w:r>
          </w:p>
        </w:tc>
        <w:tc>
          <w:tcPr>
            <w:tcW w:w="1698" w:type="dxa"/>
            <w:vAlign w:val="top"/>
          </w:tcPr>
          <w:p>
            <w:pPr>
              <w:pStyle w:val="TableText"/>
              <w:spacing w:before="152" w:line="183" w:lineRule="auto"/>
              <w:ind w:left="635"/>
              <w:rPr>
                <w:sz w:val="21"/>
                <w:szCs w:val="21"/>
              </w:rPr>
            </w:pPr>
            <w:r>
              <w:rPr>
                <w:spacing w:val="-3"/>
                <w:sz w:val="21"/>
                <w:szCs w:val="21"/>
              </w:rPr>
              <w:t>2.09</w:t>
            </w:r>
          </w:p>
        </w:tc>
        <w:tc>
          <w:tcPr>
            <w:tcW w:w="1712" w:type="dxa"/>
            <w:vAlign w:val="top"/>
          </w:tcPr>
          <w:p>
            <w:pPr>
              <w:pStyle w:val="TableText"/>
              <w:spacing w:before="151" w:line="184" w:lineRule="auto"/>
              <w:ind w:left="637"/>
              <w:rPr>
                <w:sz w:val="21"/>
                <w:szCs w:val="21"/>
              </w:rPr>
            </w:pPr>
            <w:r>
              <w:rPr>
                <w:spacing w:val="-5"/>
                <w:sz w:val="21"/>
                <w:szCs w:val="21"/>
              </w:rPr>
              <w:t>1.38</w:t>
            </w:r>
          </w:p>
        </w:tc>
      </w:tr>
    </w:tbl>
    <w:p>
      <w:pPr>
        <w:spacing w:before="201" w:line="221" w:lineRule="auto"/>
        <w:ind w:left="625"/>
        <w:rPr>
          <w:rFonts w:ascii="SimHei" w:eastAsia="SimHei" w:hAnsi="SimHei" w:cs="SimHei"/>
          <w:sz w:val="21"/>
          <w:szCs w:val="21"/>
        </w:rPr>
      </w:pPr>
      <w:r>
        <w:rPr>
          <w:rFonts w:ascii="SimHei" w:eastAsia="SimHei" w:hAnsi="SimHei" w:cs="SimHei"/>
          <w:spacing w:val="-2"/>
          <w:sz w:val="21"/>
          <w:szCs w:val="21"/>
        </w:rPr>
        <w:t>各验证单位精密度试验数据见表10-18。</w:t>
      </w:r>
    </w:p>
    <w:p>
      <w:pPr>
        <w:spacing w:line="221" w:lineRule="auto"/>
        <w:rPr>
          <w:rFonts w:ascii="SimHei" w:eastAsia="SimHei" w:hAnsi="SimHei" w:cs="SimHei"/>
          <w:sz w:val="21"/>
          <w:szCs w:val="21"/>
        </w:rPr>
      </w:pP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https://d.book118.com/528116035075006025</w:t>
        </w:r>
      </w:hyperlink>
    </w:p>
    <w:p>
      <w:pPr>
        <w:spacing w:line="221" w:lineRule="auto"/>
        <w:rPr>
          <w:rFonts w:ascii="SimHei" w:eastAsia="SimHei" w:hAnsi="SimHei" w:cs="SimHei"/>
          <w:sz w:val="21"/>
          <w:szCs w:val="21"/>
        </w:rPr>
      </w:pPr>
    </w:p>
    <w:sectPr>
      <w:type w:val="nextPage"/>
      <w:pgSz w:w="11900" w:h="16830"/>
      <w:pgMar w:top="1430" w:right="1635" w:bottom="0" w:left="1624" w:header="0" w:footer="0"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8116035075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2024-01-12T15:55:13Z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2024-01-12T15:55:15Z</vt:filetime>
  </property>
  <property fmtid="{D5CDD505-2E9C-101B-9397-08002B2CF9AE}" pid="3" name="CRO">
    <vt:lpwstr>wqlLaW5nc29mdCBQREYgdG8gV1BTIDkw</vt:lpwstr>
  </property>
  <property fmtid="{D5CDD505-2E9C-101B-9397-08002B2CF9AE}" pid="4" name="UsrData">
    <vt:lpwstr>65a0f05c4d394d001f1bb50cwl</vt:lpwstr>
  </property>
</Properties>
</file>