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0" w:lineRule="exact"/>
        <w:ind w:left="951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5" style="width:418.2pt;height:0.75pt;mso-position-horizontal-relative:char;mso-position-vertical-relative:line" coordorigin="0,0" coordsize="8364,15">
            <v:line id="_x0000_s1026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Title"/>
        <w:tabs>
          <w:tab w:val="left" w:pos="1099"/>
        </w:tabs>
        <w:ind w:left="220"/>
      </w:pPr>
      <w:r>
        <w:rPr>
          <w:spacing w:val="-10"/>
        </w:rPr>
        <w:t>目</w:t>
      </w:r>
      <w:r>
        <w:tab/>
      </w:r>
      <w:r>
        <w:rPr>
          <w:spacing w:val="-10"/>
        </w:rPr>
        <w:t>录</w:t>
      </w:r>
    </w:p>
    <w:p>
      <w:pPr>
        <w:pStyle w:val="BodyText"/>
        <w:tabs>
          <w:tab w:val="left" w:pos="3079"/>
          <w:tab w:val="left" w:pos="3919"/>
          <w:tab w:val="left" w:leader="dot" w:pos="8739"/>
        </w:tabs>
        <w:spacing w:before="147"/>
        <w:ind w:left="1820"/>
        <w:rPr>
          <w:rFonts w:ascii="Times New Roman" w:eastAsia="Times New Roman"/>
        </w:rPr>
      </w:pPr>
      <w:hyperlink w:anchor="_bookmark0" w:history="1">
        <w:r>
          <w:t>第一</w:t>
        </w:r>
        <w:r>
          <w:rPr>
            <w:spacing w:val="-10"/>
          </w:rPr>
          <w:t>章</w:t>
        </w:r>
        <w:r>
          <w:tab/>
        </w:r>
        <w:r>
          <w:rPr>
            <w:spacing w:val="-10"/>
          </w:rPr>
          <w:t>总</w:t>
        </w:r>
        <w:r>
          <w:tab/>
        </w:r>
        <w:r>
          <w:rPr>
            <w:spacing w:val="-10"/>
          </w:rPr>
          <w:t>则</w:t>
        </w:r>
        <w:r>
          <w:rPr>
            <w:rFonts w:ascii="Times New Roman" w:eastAsia="Times New Roman"/>
            <w:b/>
            <w:i/>
          </w:rPr>
          <w:tab/>
        </w:r>
        <w:r>
          <w:rPr>
            <w:rFonts w:ascii="Times New Roman" w:eastAsia="Times New Roman"/>
          </w:rPr>
          <w:t xml:space="preserve">.- 2 </w:t>
        </w:r>
        <w:r>
          <w:rPr>
            <w:rFonts w:ascii="Times New Roman" w:eastAsia="Times New Roman"/>
            <w:spacing w:val="-10"/>
          </w:rPr>
          <w:t>-</w:t>
        </w:r>
      </w:hyperlink>
    </w:p>
    <w:p>
      <w:pPr>
        <w:spacing w:before="48" w:line="507" w:lineRule="exact"/>
        <w:ind w:left="980" w:right="0" w:firstLine="0"/>
        <w:jc w:val="left"/>
        <w:rPr>
          <w:rFonts w:ascii="Times New Roman" w:eastAsia="Times New Roman"/>
          <w:b/>
          <w:sz w:val="28"/>
        </w:rPr>
      </w:pPr>
      <w:hyperlink w:anchor="_bookmark1" w:history="1">
        <w:r>
          <w:rPr>
            <w:rFonts w:ascii="Microsoft JhengHei" w:eastAsia="Microsoft JhengHei"/>
            <w:b/>
            <w:spacing w:val="-4"/>
            <w:sz w:val="28"/>
          </w:rPr>
          <w:t xml:space="preserve">一、引言 </w:t>
        </w:r>
        <w:r>
          <w:rPr>
            <w:rFonts w:ascii="Times New Roman" w:eastAsia="Times New Roman"/>
            <w:b/>
            <w:sz w:val="28"/>
          </w:rPr>
          <w:t>...............................................................................................- 2</w:t>
        </w:r>
        <w:r>
          <w:rPr>
            <w:rFonts w:ascii="Times New Roman" w:eastAsia="Times New Roman"/>
            <w:b/>
            <w:spacing w:val="-4"/>
            <w:sz w:val="28"/>
          </w:rPr>
          <w:t xml:space="preserve"> -</w:t>
        </w:r>
      </w:hyperlink>
    </w:p>
    <w:p>
      <w:pPr>
        <w:spacing w:before="0" w:line="500" w:lineRule="exact"/>
        <w:ind w:left="980" w:right="0" w:firstLine="0"/>
        <w:jc w:val="left"/>
        <w:rPr>
          <w:rFonts w:ascii="Times New Roman" w:eastAsia="Times New Roman"/>
          <w:b/>
          <w:sz w:val="28"/>
        </w:rPr>
      </w:pPr>
      <w:hyperlink w:anchor="_bookmark2" w:history="1">
        <w:r>
          <w:rPr>
            <w:rFonts w:ascii="Microsoft JhengHei" w:eastAsia="Microsoft JhengHei"/>
            <w:b/>
            <w:spacing w:val="-3"/>
            <w:sz w:val="28"/>
          </w:rPr>
          <w:t xml:space="preserve">二、编制依据 </w:t>
        </w:r>
        <w:r>
          <w:rPr>
            <w:rFonts w:ascii="Times New Roman" w:eastAsia="Times New Roman"/>
            <w:b/>
            <w:sz w:val="28"/>
          </w:rPr>
          <w:t>.......................................................................................- 3</w:t>
        </w:r>
        <w:r>
          <w:rPr>
            <w:rFonts w:ascii="Times New Roman" w:eastAsia="Times New Roman"/>
            <w:b/>
            <w:spacing w:val="-4"/>
            <w:sz w:val="28"/>
          </w:rPr>
          <w:t xml:space="preserve"> -</w:t>
        </w:r>
      </w:hyperlink>
    </w:p>
    <w:p>
      <w:pPr>
        <w:spacing w:before="0" w:line="507" w:lineRule="exact"/>
        <w:ind w:left="980" w:right="0" w:firstLine="0"/>
        <w:jc w:val="left"/>
        <w:rPr>
          <w:rFonts w:ascii="Times New Roman" w:eastAsia="Times New Roman"/>
          <w:b/>
          <w:sz w:val="28"/>
        </w:rPr>
      </w:pPr>
      <w:hyperlink w:anchor="_bookmark3" w:history="1">
        <w:r>
          <w:rPr>
            <w:rFonts w:ascii="Microsoft JhengHei" w:eastAsia="Microsoft JhengHei"/>
            <w:b/>
            <w:spacing w:val="-3"/>
            <w:sz w:val="28"/>
          </w:rPr>
          <w:t xml:space="preserve">三、监理依据 </w:t>
        </w:r>
        <w:r>
          <w:rPr>
            <w:rFonts w:ascii="Times New Roman" w:eastAsia="Times New Roman"/>
            <w:b/>
            <w:sz w:val="28"/>
          </w:rPr>
          <w:t>.......................................................................................- 3</w:t>
        </w:r>
        <w:r>
          <w:rPr>
            <w:rFonts w:ascii="Times New Roman" w:eastAsia="Times New Roman"/>
            <w:b/>
            <w:spacing w:val="-4"/>
            <w:sz w:val="28"/>
          </w:rPr>
          <w:t xml:space="preserve"> -</w:t>
        </w:r>
      </w:hyperlink>
    </w:p>
    <w:p>
      <w:pPr>
        <w:pStyle w:val="BodyText"/>
        <w:tabs>
          <w:tab w:val="left" w:pos="1259"/>
        </w:tabs>
        <w:spacing w:before="78"/>
        <w:ind w:right="987"/>
        <w:jc w:val="right"/>
        <w:rPr>
          <w:rFonts w:ascii="Times New Roman" w:eastAsia="Times New Roman"/>
        </w:rPr>
      </w:pPr>
      <w:hyperlink w:anchor="_bookmark4" w:history="1">
        <w:r>
          <w:t>第二</w:t>
        </w:r>
        <w:r>
          <w:rPr>
            <w:spacing w:val="-10"/>
          </w:rPr>
          <w:t>章</w:t>
        </w:r>
        <w:r>
          <w:tab/>
          <w:t>梁场建设</w:t>
        </w:r>
        <w:r>
          <w:rPr>
            <w:spacing w:val="-81"/>
          </w:rPr>
          <w:t xml:space="preserve"> </w:t>
        </w:r>
        <w:r>
          <w:rPr>
            <w:rFonts w:ascii="Times New Roman" w:eastAsia="Times New Roman"/>
          </w:rPr>
          <w:t xml:space="preserve">.................................................................- 3 </w:t>
        </w:r>
        <w:r>
          <w:rPr>
            <w:rFonts w:ascii="Times New Roman" w:eastAsia="Times New Roman"/>
            <w:spacing w:val="-10"/>
          </w:rPr>
          <w:t>-</w:t>
        </w:r>
      </w:hyperlink>
    </w:p>
    <w:p>
      <w:pPr>
        <w:pStyle w:val="BodyText"/>
        <w:spacing w:before="49" w:line="507" w:lineRule="exact"/>
        <w:ind w:right="987"/>
        <w:jc w:val="right"/>
        <w:rPr>
          <w:rFonts w:ascii="Times New Roman" w:eastAsia="Times New Roman"/>
        </w:rPr>
      </w:pPr>
      <w:hyperlink w:anchor="_bookmark5" w:history="1">
        <w:r>
          <w:rPr>
            <w:rFonts w:ascii="Microsoft JhengHei" w:eastAsia="Microsoft JhengHei"/>
            <w:b/>
            <w:spacing w:val="-4"/>
          </w:rPr>
          <w:t xml:space="preserve">一、概述 </w:t>
        </w:r>
        <w:r>
          <w:rPr>
            <w:rFonts w:ascii="Times New Roman" w:eastAsia="Times New Roman"/>
          </w:rPr>
          <w:t>...............................................................................................- 4</w:t>
        </w:r>
        <w:r>
          <w:rPr>
            <w:rFonts w:ascii="Times New Roman" w:eastAsia="Times New Roman"/>
            <w:spacing w:val="-4"/>
          </w:rPr>
          <w:t xml:space="preserve"> -</w:t>
        </w:r>
      </w:hyperlink>
    </w:p>
    <w:p>
      <w:pPr>
        <w:pStyle w:val="BodyText"/>
        <w:spacing w:line="507" w:lineRule="exact"/>
        <w:ind w:right="987"/>
        <w:jc w:val="right"/>
        <w:rPr>
          <w:rFonts w:ascii="Times New Roman" w:eastAsia="Times New Roman"/>
        </w:rPr>
      </w:pPr>
      <w:r>
        <w:rPr>
          <w:rFonts w:ascii="Microsoft JhengHei" w:eastAsia="Microsoft JhengHei"/>
          <w:b/>
          <w:spacing w:val="-2"/>
        </w:rPr>
        <w:t xml:space="preserve">二、梁场建设方案审查 </w:t>
      </w:r>
      <w:r>
        <w:rPr>
          <w:rFonts w:ascii="Times New Roman" w:eastAsia="Times New Roman"/>
        </w:rPr>
        <w:t>.......................................................................- 4</w:t>
      </w:r>
      <w:r>
        <w:rPr>
          <w:rFonts w:ascii="Times New Roman" w:eastAsia="Times New Roman"/>
          <w:spacing w:val="-3"/>
        </w:rPr>
        <w:t xml:space="preserve"> -</w:t>
      </w:r>
    </w:p>
    <w:p>
      <w:pPr>
        <w:pStyle w:val="BodyText"/>
        <w:spacing w:before="77"/>
        <w:ind w:left="980"/>
        <w:rPr>
          <w:rFonts w:ascii="Times New Roman" w:eastAsia="Times New Roman"/>
        </w:rPr>
      </w:pPr>
      <w:r>
        <w:t>（一）</w:t>
      </w:r>
      <w:r>
        <w:rPr>
          <w:spacing w:val="-12"/>
        </w:rPr>
        <w:t xml:space="preserve">梁场平面布置 </w:t>
      </w:r>
      <w:r>
        <w:rPr>
          <w:rFonts w:ascii="Times New Roman" w:eastAsia="Times New Roman"/>
        </w:rPr>
        <w:t>...........................................................................- 4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2"/>
        <w:ind w:left="980"/>
        <w:rPr>
          <w:rFonts w:ascii="Times New Roman" w:eastAsia="Times New Roman"/>
        </w:rPr>
      </w:pPr>
      <w:r>
        <w:t>（二）</w:t>
      </w:r>
      <w:r>
        <w:rPr>
          <w:spacing w:val="-9"/>
        </w:rPr>
        <w:t xml:space="preserve">主要土建部分规划 </w:t>
      </w:r>
      <w:r>
        <w:rPr>
          <w:rFonts w:ascii="Times New Roman" w:eastAsia="Times New Roman"/>
        </w:rPr>
        <w:t>...................................................................- 5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（三）</w:t>
      </w:r>
      <w:r>
        <w:rPr>
          <w:spacing w:val="-12"/>
        </w:rPr>
        <w:t xml:space="preserve">管线布置规划 </w:t>
      </w:r>
      <w:r>
        <w:rPr>
          <w:rFonts w:ascii="Times New Roman" w:eastAsia="Times New Roman"/>
        </w:rPr>
        <w:t>...........................................................................- 5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49"/>
        <w:ind w:left="980"/>
        <w:rPr>
          <w:rFonts w:ascii="Times New Roman" w:eastAsia="Times New Roman"/>
        </w:rPr>
      </w:pPr>
      <w:r>
        <w:rPr>
          <w:rFonts w:ascii="Microsoft JhengHei" w:eastAsia="Microsoft JhengHei"/>
          <w:b/>
          <w:spacing w:val="-2"/>
        </w:rPr>
        <w:t xml:space="preserve">三、主要临建工程 </w:t>
      </w:r>
      <w:r>
        <w:rPr>
          <w:rFonts w:ascii="Times New Roman" w:eastAsia="Times New Roman"/>
        </w:rPr>
        <w:t>...............................................................................- 6</w:t>
      </w:r>
      <w:r>
        <w:rPr>
          <w:rFonts w:ascii="Times New Roman" w:eastAsia="Times New Roman"/>
          <w:spacing w:val="-4"/>
        </w:rPr>
        <w:t xml:space="preserve"> -</w:t>
      </w:r>
    </w:p>
    <w:p>
      <w:pPr>
        <w:pStyle w:val="BodyText"/>
        <w:spacing w:before="77"/>
        <w:ind w:left="980"/>
        <w:rPr>
          <w:rFonts w:ascii="Times New Roman" w:eastAsia="Times New Roman"/>
        </w:rPr>
      </w:pPr>
      <w:r>
        <w:t>（一）</w:t>
      </w:r>
      <w:r>
        <w:rPr>
          <w:spacing w:val="-17"/>
        </w:rPr>
        <w:t xml:space="preserve">地基处理 </w:t>
      </w:r>
      <w:r>
        <w:rPr>
          <w:rFonts w:ascii="Times New Roman" w:eastAsia="Times New Roman"/>
        </w:rPr>
        <w:t>...................................................................................- 6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（二）</w:t>
      </w:r>
      <w:r>
        <w:rPr>
          <w:spacing w:val="-17"/>
        </w:rPr>
        <w:t xml:space="preserve">制梁台座 </w:t>
      </w:r>
      <w:r>
        <w:rPr>
          <w:rFonts w:ascii="Times New Roman" w:eastAsia="Times New Roman"/>
        </w:rPr>
        <w:t>...................................................................................- 6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2"/>
        <w:ind w:left="980"/>
        <w:rPr>
          <w:rFonts w:ascii="Times New Roman" w:eastAsia="Times New Roman"/>
        </w:rPr>
      </w:pPr>
      <w:r>
        <w:t>（三）</w:t>
      </w:r>
      <w:r>
        <w:rPr>
          <w:spacing w:val="-17"/>
        </w:rPr>
        <w:t xml:space="preserve">存梁台座 </w:t>
      </w:r>
      <w:r>
        <w:rPr>
          <w:rFonts w:ascii="Times New Roman" w:eastAsia="Times New Roman"/>
        </w:rPr>
        <w:t>...................................................................................- 6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（四）</w:t>
      </w:r>
      <w:r>
        <w:rPr>
          <w:spacing w:val="-11"/>
        </w:rPr>
        <w:t xml:space="preserve">提梁机走行轨道 </w:t>
      </w:r>
      <w:r>
        <w:rPr>
          <w:rFonts w:ascii="Times New Roman" w:eastAsia="Times New Roman"/>
        </w:rPr>
        <w:t>.......................................................................- 6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（五）</w:t>
      </w:r>
      <w:r>
        <w:rPr>
          <w:spacing w:val="-12"/>
        </w:rPr>
        <w:t xml:space="preserve">混凝土拌和站 </w:t>
      </w:r>
      <w:r>
        <w:rPr>
          <w:rFonts w:ascii="Times New Roman" w:eastAsia="Times New Roman"/>
        </w:rPr>
        <w:t>...........................................................................- 7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（六）</w:t>
      </w:r>
      <w:r>
        <w:rPr>
          <w:spacing w:val="-12"/>
        </w:rPr>
        <w:t xml:space="preserve">蒸汽养生系统 </w:t>
      </w:r>
      <w:r>
        <w:rPr>
          <w:rFonts w:ascii="Times New Roman" w:eastAsia="Times New Roman"/>
        </w:rPr>
        <w:t>...........................................................................- 7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2"/>
        <w:ind w:left="980"/>
        <w:rPr>
          <w:rFonts w:ascii="Times New Roman" w:eastAsia="Times New Roman"/>
        </w:rPr>
      </w:pPr>
      <w:r>
        <w:t>（七）</w:t>
      </w:r>
      <w:r>
        <w:rPr>
          <w:spacing w:val="-9"/>
        </w:rPr>
        <w:t xml:space="preserve">场内交通及运梁便道 </w:t>
      </w:r>
      <w:r>
        <w:rPr>
          <w:rFonts w:ascii="Times New Roman" w:eastAsia="Times New Roman"/>
        </w:rPr>
        <w:t>...............................................................- 7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（八）</w:t>
      </w:r>
      <w:r>
        <w:rPr>
          <w:spacing w:val="-12"/>
        </w:rPr>
        <w:t xml:space="preserve">生活、办公区 </w:t>
      </w:r>
      <w:r>
        <w:rPr>
          <w:rFonts w:ascii="Times New Roman" w:eastAsia="Times New Roman"/>
        </w:rPr>
        <w:t>...........................................................................- 7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49"/>
        <w:ind w:left="980"/>
        <w:rPr>
          <w:rFonts w:ascii="Times New Roman" w:eastAsia="Times New Roman"/>
        </w:rPr>
      </w:pPr>
      <w:r>
        <w:rPr>
          <w:rFonts w:ascii="Microsoft JhengHei" w:eastAsia="Microsoft JhengHei"/>
          <w:b/>
          <w:spacing w:val="3"/>
        </w:rPr>
        <w:t>四、预应力混凝土箱梁预制</w:t>
      </w:r>
      <w:r>
        <w:rPr>
          <w:rFonts w:ascii="Times New Roman" w:eastAsia="Times New Roman"/>
        </w:rPr>
        <w:t>...............................................................- 7</w:t>
      </w:r>
      <w:r>
        <w:rPr>
          <w:rFonts w:ascii="Times New Roman" w:eastAsia="Times New Roman"/>
          <w:spacing w:val="-2"/>
        </w:rPr>
        <w:t xml:space="preserve"> -</w:t>
      </w:r>
    </w:p>
    <w:p>
      <w:pPr>
        <w:pStyle w:val="BodyText"/>
        <w:spacing w:before="77"/>
        <w:ind w:left="980"/>
        <w:rPr>
          <w:rFonts w:ascii="Times New Roman" w:eastAsia="Times New Roman"/>
        </w:rPr>
      </w:pPr>
      <w:r>
        <w:t>（一）</w:t>
      </w:r>
      <w:r>
        <w:rPr>
          <w:spacing w:val="-9"/>
        </w:rPr>
        <w:t xml:space="preserve">施工准备阶段监理 </w:t>
      </w:r>
      <w:r>
        <w:rPr>
          <w:rFonts w:ascii="Times New Roman" w:eastAsia="Times New Roman"/>
        </w:rPr>
        <w:t>...................................................................- 7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2"/>
        <w:ind w:left="980"/>
        <w:rPr>
          <w:rFonts w:ascii="Times New Roman" w:eastAsia="Times New Roman"/>
        </w:rPr>
      </w:pPr>
      <w:r>
        <w:t>（二）</w:t>
      </w:r>
      <w:r>
        <w:rPr>
          <w:spacing w:val="-12"/>
        </w:rPr>
        <w:t xml:space="preserve">箱梁预制监理 </w:t>
      </w:r>
      <w:r>
        <w:rPr>
          <w:rFonts w:ascii="Times New Roman" w:eastAsia="Times New Roman"/>
        </w:rPr>
        <w:t>...........................................................................- 8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141"/>
        <w:ind w:left="980"/>
        <w:rPr>
          <w:rFonts w:ascii="Times New Roman" w:eastAsia="Times New Roman"/>
        </w:rPr>
      </w:pPr>
      <w:r>
        <w:t>（三）箱梁静载试验见试验监理细则；施工安全见安全监理细则</w:t>
      </w:r>
      <w:r>
        <w:rPr>
          <w:rFonts w:ascii="Times New Roman" w:eastAsia="Times New Roman"/>
        </w:rPr>
        <w:t>- 22</w:t>
      </w:r>
      <w:r>
        <w:rPr>
          <w:rFonts w:ascii="Times New Roman" w:eastAsia="Times New Roman"/>
          <w:spacing w:val="-5"/>
        </w:rPr>
        <w:t xml:space="preserve"> -</w:t>
      </w:r>
    </w:p>
    <w:p>
      <w:pPr>
        <w:pStyle w:val="BodyText"/>
        <w:spacing w:before="49"/>
        <w:ind w:left="980"/>
        <w:rPr>
          <w:rFonts w:ascii="Times New Roman" w:eastAsia="Times New Roman"/>
        </w:rPr>
      </w:pPr>
      <w:r>
        <w:rPr>
          <w:rFonts w:ascii="Microsoft JhengHei" w:eastAsia="Microsoft JhengHei"/>
          <w:b/>
          <w:spacing w:val="-2"/>
        </w:rPr>
        <w:t xml:space="preserve">五、预制箱梁监理流程图 </w:t>
      </w:r>
      <w:r>
        <w:rPr>
          <w:rFonts w:ascii="Times New Roman" w:eastAsia="Times New Roman"/>
        </w:rPr>
        <w:t>.................................................................- 23</w:t>
      </w:r>
      <w:r>
        <w:rPr>
          <w:rFonts w:ascii="Times New Roman" w:eastAsia="Times New Roman"/>
          <w:spacing w:val="-3"/>
        </w:rPr>
        <w:t xml:space="preserve"> -</w:t>
      </w:r>
    </w:p>
    <w:p>
      <w:pPr>
        <w:spacing w:after="0"/>
        <w:rPr>
          <w:rFonts w:ascii="Times New Roman" w:eastAsia="Times New Roman"/>
        </w:rPr>
        <w:sectPr>
          <w:headerReference w:type="default" r:id="rId4"/>
          <w:footerReference w:type="default" r:id="rId5"/>
          <w:type w:val="continuous"/>
          <w:pgSz w:w="11910" w:h="16840"/>
          <w:pgMar w:top="1340" w:right="820" w:bottom="1380" w:left="820" w:header="873" w:footer="1181"/>
          <w:pgNumType w:start="1"/>
          <w:cols w:space="708"/>
        </w:sectPr>
      </w:pPr>
    </w:p>
    <w:p>
      <w:pPr>
        <w:pStyle w:val="BodyText"/>
        <w:spacing w:line="20" w:lineRule="exact"/>
        <w:ind w:left="951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7" style="width:418.2pt;height:0.75pt;mso-position-horizontal-relative:char;mso-position-vertical-relative:line" coordorigin="0,0" coordsize="8364,15">
            <v:line id="_x0000_s1028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Title"/>
      </w:pPr>
      <w:r>
        <w:rPr>
          <w:spacing w:val="-1"/>
        </w:rPr>
        <w:t>箱梁预制监理实施细则</w:t>
      </w:r>
    </w:p>
    <w:p>
      <w:pPr>
        <w:pStyle w:val="Heading1"/>
        <w:tabs>
          <w:tab w:val="left" w:pos="1443"/>
          <w:tab w:val="left" w:pos="2405"/>
        </w:tabs>
        <w:spacing w:before="291"/>
      </w:pPr>
      <w:bookmarkStart w:id="0" w:name="_bookmark0"/>
      <w:bookmarkEnd w:id="0"/>
      <w:r>
        <w:t>第</w:t>
      </w:r>
      <w:r>
        <w:t>一</w:t>
      </w:r>
      <w:r>
        <w:rPr>
          <w:spacing w:val="-10"/>
        </w:rPr>
        <w:t>章</w:t>
      </w:r>
      <w:r>
        <w:tab/>
      </w:r>
      <w:r>
        <w:rPr>
          <w:spacing w:val="-10"/>
        </w:rPr>
        <w:t>总</w:t>
      </w:r>
      <w:r>
        <w:tab/>
      </w:r>
      <w:r>
        <w:rPr>
          <w:spacing w:val="-10"/>
        </w:rPr>
        <w:t>则</w:t>
      </w:r>
    </w:p>
    <w:p>
      <w:pPr>
        <w:pStyle w:val="BodyText"/>
        <w:spacing w:before="16"/>
        <w:rPr>
          <w:rFonts w:ascii="Microsoft JhengHei"/>
          <w:b/>
          <w:sz w:val="19"/>
        </w:rPr>
      </w:pPr>
    </w:p>
    <w:p>
      <w:pPr>
        <w:pStyle w:val="Heading3"/>
        <w:spacing w:line="483" w:lineRule="exact"/>
        <w:ind w:left="980"/>
        <w:rPr>
          <w:rFonts w:ascii="Microsoft JhengHei" w:eastAsia="Microsoft JhengHei"/>
        </w:rPr>
      </w:pPr>
      <w:bookmarkStart w:id="1" w:name="_bookmark1"/>
      <w:bookmarkEnd w:id="1"/>
      <w:r>
        <w:rPr>
          <w:rFonts w:ascii="Microsoft JhengHei" w:eastAsia="Microsoft JhengHei"/>
          <w:spacing w:val="-3"/>
        </w:rPr>
        <w:t>一、引言</w:t>
      </w:r>
    </w:p>
    <w:p>
      <w:pPr>
        <w:pStyle w:val="BodyText"/>
        <w:spacing w:before="1"/>
        <w:rPr>
          <w:rFonts w:ascii="Microsoft JhengHei"/>
          <w:b/>
          <w:sz w:val="25"/>
        </w:rPr>
      </w:pPr>
    </w:p>
    <w:p>
      <w:pPr>
        <w:pStyle w:val="BodyText"/>
        <w:spacing w:before="1" w:line="417" w:lineRule="auto"/>
        <w:ind w:left="980" w:right="885" w:firstLine="560"/>
      </w:pPr>
      <w:r>
        <w:rPr>
          <w:spacing w:val="-37"/>
        </w:rPr>
        <w:t xml:space="preserve">本 监 理 细 则 编 制 的 范 围 为 监 理 四 标 段 </w:t>
      </w:r>
      <w:r>
        <w:t>（</w:t>
      </w:r>
      <w:r>
        <w:rPr>
          <w:spacing w:val="-61"/>
        </w:rPr>
        <w:t xml:space="preserve"> </w:t>
      </w:r>
      <w:r>
        <w:t xml:space="preserve">DK665+100--- </w:t>
      </w:r>
      <w:r>
        <w:rPr>
          <w:spacing w:val="-2"/>
        </w:rPr>
        <w:t>DK950+039.23）范围内的九个梁场的建设和预应力混凝土箱梁生产，</w:t>
      </w:r>
      <w:r>
        <w:rPr>
          <w:spacing w:val="-10"/>
        </w:rPr>
        <w:t xml:space="preserve">最大梁场规模 </w:t>
      </w:r>
      <w:r>
        <w:t>1091</w:t>
      </w:r>
      <w:r>
        <w:rPr>
          <w:spacing w:val="-15"/>
        </w:rPr>
        <w:t xml:space="preserve"> 孔，最小梁场规模 </w:t>
      </w:r>
      <w:r>
        <w:t>502</w:t>
      </w:r>
      <w:r>
        <w:rPr>
          <w:spacing w:val="-14"/>
        </w:rPr>
        <w:t xml:space="preserve"> 孔，全线预制箱梁共 </w:t>
      </w:r>
      <w:r>
        <w:t>6136</w:t>
      </w:r>
      <w:r>
        <w:rPr>
          <w:spacing w:val="-6"/>
        </w:rPr>
        <w:t>孔。</w:t>
      </w:r>
    </w:p>
    <w:p>
      <w:pPr>
        <w:pStyle w:val="BodyText"/>
        <w:spacing w:line="417" w:lineRule="auto"/>
        <w:ind w:left="980" w:right="978" w:firstLine="560"/>
        <w:jc w:val="both"/>
      </w:pPr>
      <w:r>
        <w:t>京沪高速铁路客运专线 32m</w:t>
      </w:r>
      <w:r>
        <w:rPr>
          <w:spacing w:val="-1"/>
        </w:rPr>
        <w:t xml:space="preserve"> 预应力混凝土双线整孔箱梁预制是</w:t>
      </w:r>
      <w:r>
        <w:rPr>
          <w:spacing w:val="-4"/>
        </w:rPr>
        <w:t>客运专线建设中技术含量最高、设备投入最大、质量要求最严的单项</w:t>
      </w:r>
      <w:r>
        <w:rPr>
          <w:spacing w:val="-4"/>
        </w:rPr>
        <w:t>工程之一，具有技术新、难度大、自重大、标准高、工程量大及工期</w:t>
      </w:r>
      <w:r>
        <w:rPr>
          <w:spacing w:val="-2"/>
        </w:rPr>
        <w:t>紧的特点，是京沪高速铁路客运专线各施工标段重要的分项工程。</w:t>
      </w:r>
    </w:p>
    <w:p>
      <w:pPr>
        <w:pStyle w:val="BodyText"/>
        <w:spacing w:line="417" w:lineRule="auto"/>
        <w:ind w:left="980" w:right="885" w:firstLine="560"/>
      </w:pPr>
      <w:r>
        <w:rPr>
          <w:spacing w:val="-2"/>
        </w:rPr>
        <w:t>京沪高速铁路客运专线工程对箱梁的各种技术性能、预制过程、</w:t>
      </w:r>
      <w:r>
        <w:rPr>
          <w:spacing w:val="-2"/>
        </w:rPr>
        <w:t>外观及耐久性都有较高要求。为了保证箱梁预制施工质量，对预应力</w:t>
      </w:r>
      <w:r>
        <w:rPr>
          <w:spacing w:val="-8"/>
        </w:rPr>
        <w:t>混凝土箱梁的预制施工各分项工程、检验批的施工质量控制管理将采</w:t>
      </w:r>
      <w:r>
        <w:rPr>
          <w:spacing w:val="-5"/>
        </w:rPr>
        <w:t xml:space="preserve">取不同于一般混凝土结构的监理方法、措施和要求，为明确 </w:t>
      </w:r>
      <w:r>
        <w:rPr>
          <w:spacing w:val="-2"/>
        </w:rPr>
        <w:t>32m</w:t>
      </w:r>
      <w:r>
        <w:rPr>
          <w:spacing w:val="-21"/>
        </w:rPr>
        <w:t xml:space="preserve"> 预应</w:t>
      </w:r>
      <w:r>
        <w:rPr>
          <w:spacing w:val="-2"/>
        </w:rPr>
        <w:t>力混凝土双线整孔箱梁工程质量监理控制方法，高起点、高标准、高</w:t>
      </w:r>
      <w:r>
        <w:rPr>
          <w:spacing w:val="-2"/>
        </w:rPr>
        <w:t>质量地组织好箱梁监理工作，特编写本细则。</w:t>
      </w:r>
    </w:p>
    <w:p>
      <w:pPr>
        <w:pStyle w:val="Heading3"/>
        <w:spacing w:before="164"/>
        <w:ind w:left="980"/>
        <w:rPr>
          <w:rFonts w:ascii="Microsoft JhengHei" w:eastAsia="Microsoft JhengHei"/>
        </w:rPr>
      </w:pPr>
      <w:bookmarkStart w:id="2" w:name="_bookmark2"/>
      <w:bookmarkEnd w:id="2"/>
      <w:r>
        <w:rPr>
          <w:rFonts w:ascii="Microsoft JhengHei" w:eastAsia="Microsoft JhengHei"/>
          <w:spacing w:val="-2"/>
        </w:rPr>
        <w:t>二、编制依据</w:t>
      </w:r>
    </w:p>
    <w:p>
      <w:pPr>
        <w:pStyle w:val="BodyText"/>
        <w:spacing w:before="2"/>
        <w:rPr>
          <w:rFonts w:ascii="Microsoft JhengHei"/>
          <w:b/>
          <w:sz w:val="25"/>
        </w:rPr>
      </w:pPr>
    </w:p>
    <w:p>
      <w:pPr>
        <w:pStyle w:val="BodyText"/>
        <w:ind w:left="1540"/>
      </w:pPr>
      <w:r>
        <w:t>（一）部颁行业标准（施工指南、验收标准、暂行条件</w:t>
      </w:r>
      <w:r>
        <w:rPr>
          <w:spacing w:val="-10"/>
        </w:rPr>
        <w:t>）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（二）</w:t>
      </w:r>
      <w:r>
        <w:rPr>
          <w:spacing w:val="-2"/>
        </w:rPr>
        <w:t>设计文件要求</w:t>
      </w:r>
    </w:p>
    <w:p>
      <w:pPr>
        <w:spacing w:after="0"/>
        <w:sectPr>
          <w:headerReference w:type="default" r:id="rId6"/>
          <w:footerReference w:type="default" r:id="rId7"/>
          <w:pgSz w:w="11910" w:h="16840"/>
          <w:pgMar w:top="1340" w:right="820" w:bottom="1380" w:left="820" w:header="873" w:footer="1181"/>
          <w:pgNumType w:start="2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29" style="width:418.2pt;height:0.75pt;mso-position-horizontal-relative:char;mso-position-vertical-relative:line" coordorigin="0,0" coordsize="8364,15">
            <v:line id="_x0000_s1030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/>
        <w:ind w:left="1540"/>
      </w:pPr>
      <w:r>
        <w:t>（三）</w:t>
      </w:r>
      <w:r>
        <w:rPr>
          <w:spacing w:val="-1"/>
        </w:rPr>
        <w:t>京沪高速铁路客运专线建设管理文件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（四）</w:t>
      </w:r>
      <w:r>
        <w:rPr>
          <w:spacing w:val="-2"/>
        </w:rPr>
        <w:t>其他法规、相关要求</w:t>
      </w:r>
    </w:p>
    <w:p>
      <w:pPr>
        <w:pStyle w:val="BodyText"/>
        <w:spacing w:before="10"/>
        <w:rPr>
          <w:sz w:val="33"/>
        </w:rPr>
      </w:pPr>
    </w:p>
    <w:p>
      <w:pPr>
        <w:pStyle w:val="Heading3"/>
        <w:ind w:left="980"/>
        <w:rPr>
          <w:rFonts w:ascii="Microsoft JhengHei" w:eastAsia="Microsoft JhengHei"/>
        </w:rPr>
      </w:pPr>
      <w:bookmarkStart w:id="3" w:name="_bookmark3"/>
      <w:bookmarkEnd w:id="3"/>
      <w:r>
        <w:rPr>
          <w:rFonts w:ascii="Microsoft JhengHei" w:eastAsia="Microsoft JhengHei"/>
          <w:spacing w:val="-2"/>
        </w:rPr>
        <w:t>三、监理依据</w:t>
      </w:r>
    </w:p>
    <w:p>
      <w:pPr>
        <w:pStyle w:val="BodyText"/>
        <w:spacing w:before="2"/>
        <w:rPr>
          <w:rFonts w:ascii="Microsoft JhengHei"/>
          <w:b/>
          <w:sz w:val="25"/>
        </w:rPr>
      </w:pPr>
    </w:p>
    <w:p>
      <w:pPr>
        <w:pStyle w:val="BodyText"/>
        <w:ind w:left="1540"/>
      </w:pPr>
      <w:r>
        <w:t>（一</w:t>
      </w:r>
      <w:r>
        <w:rPr>
          <w:spacing w:val="-140"/>
        </w:rPr>
        <w:t>）</w:t>
      </w:r>
      <w:r>
        <w:rPr>
          <w:spacing w:val="-18"/>
        </w:rPr>
        <w:t>《建设监理规范》；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（二</w:t>
      </w:r>
      <w:r>
        <w:rPr>
          <w:spacing w:val="-140"/>
        </w:rPr>
        <w:t>）</w:t>
      </w:r>
      <w:r>
        <w:rPr>
          <w:spacing w:val="-14"/>
        </w:rPr>
        <w:t>《铁路建设监理规范》；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（三</w:t>
      </w:r>
      <w:r>
        <w:rPr>
          <w:spacing w:val="-140"/>
        </w:rPr>
        <w:t>）</w:t>
      </w:r>
      <w:r>
        <w:rPr>
          <w:spacing w:val="-8"/>
        </w:rPr>
        <w:t>《客运专线铁路桥涵工程施工质量验收暂行标准》；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（四</w:t>
      </w:r>
      <w:r>
        <w:rPr>
          <w:spacing w:val="-140"/>
        </w:rPr>
        <w:t>）</w:t>
      </w:r>
      <w:r>
        <w:rPr>
          <w:spacing w:val="-10"/>
        </w:rPr>
        <w:t>《客运专线铁路桥涵工程施工指南》；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（五</w:t>
      </w:r>
      <w:r>
        <w:rPr>
          <w:spacing w:val="-140"/>
        </w:rPr>
        <w:t>）</w:t>
      </w:r>
      <w:r>
        <w:rPr>
          <w:spacing w:val="-10"/>
        </w:rPr>
        <w:t>《铁路混凝土施工质量验收补充标准》；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（六</w:t>
      </w:r>
      <w:r>
        <w:rPr>
          <w:spacing w:val="-140"/>
        </w:rPr>
        <w:t>）</w:t>
      </w:r>
      <w:r>
        <w:rPr>
          <w:spacing w:val="-9"/>
        </w:rPr>
        <w:t>《铁路混凝土结构耐久性设计暂行规定》；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（七</w:t>
      </w:r>
      <w:r>
        <w:rPr>
          <w:spacing w:val="-140"/>
        </w:rPr>
        <w:t>）</w:t>
      </w:r>
      <w:r>
        <w:rPr>
          <w:spacing w:val="-10"/>
        </w:rPr>
        <w:t>《铁路混凝土工程施工技术指南》；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（八</w:t>
      </w:r>
      <w:r>
        <w:rPr>
          <w:spacing w:val="-140"/>
        </w:rPr>
        <w:t>）</w:t>
      </w:r>
      <w:r>
        <w:t>《350km/h</w:t>
      </w:r>
      <w:r>
        <w:rPr>
          <w:spacing w:val="-16"/>
        </w:rPr>
        <w:t xml:space="preserve"> 客运专线预应力混凝土预制梁暂行技术条件》；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（九）</w:t>
      </w:r>
      <w:r>
        <w:rPr>
          <w:spacing w:val="-1"/>
        </w:rPr>
        <w:t>其他部颁通用、专用图纸；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（十）</w:t>
      </w:r>
      <w:r>
        <w:rPr>
          <w:spacing w:val="-1"/>
        </w:rPr>
        <w:t>经批准的工程设计施工图；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（十一）</w:t>
      </w:r>
      <w:r>
        <w:rPr>
          <w:spacing w:val="-1"/>
        </w:rPr>
        <w:t>其他相关资料及要求。</w:t>
      </w:r>
    </w:p>
    <w:p>
      <w:pPr>
        <w:pStyle w:val="BodyText"/>
        <w:spacing w:before="10"/>
        <w:rPr>
          <w:sz w:val="30"/>
        </w:rPr>
      </w:pPr>
    </w:p>
    <w:p>
      <w:pPr>
        <w:pStyle w:val="Heading1"/>
        <w:tabs>
          <w:tab w:val="left" w:pos="1443"/>
        </w:tabs>
      </w:pPr>
      <w:bookmarkStart w:id="4" w:name="_bookmark4"/>
      <w:bookmarkEnd w:id="4"/>
      <w:r>
        <w:t>第</w:t>
      </w:r>
      <w:r>
        <w:t>二</w:t>
      </w:r>
      <w:r>
        <w:rPr>
          <w:spacing w:val="-10"/>
        </w:rPr>
        <w:t>章</w:t>
      </w:r>
      <w:r>
        <w:tab/>
        <w:t>梁</w:t>
      </w:r>
      <w:r>
        <w:t>场</w:t>
      </w:r>
      <w:r>
        <w:t>建</w:t>
      </w:r>
      <w:r>
        <w:rPr>
          <w:spacing w:val="-10"/>
        </w:rPr>
        <w:t>设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Heading3"/>
        <w:ind w:left="980"/>
        <w:rPr>
          <w:rFonts w:ascii="Microsoft JhengHei" w:eastAsia="Microsoft JhengHei"/>
        </w:rPr>
      </w:pPr>
      <w:bookmarkStart w:id="5" w:name="_bookmark5"/>
      <w:bookmarkEnd w:id="5"/>
      <w:r>
        <w:rPr>
          <w:rFonts w:ascii="Microsoft JhengHei" w:eastAsia="Microsoft JhengHei"/>
          <w:spacing w:val="-3"/>
        </w:rPr>
        <w:t>一、概述</w:t>
      </w:r>
    </w:p>
    <w:p>
      <w:pPr>
        <w:pStyle w:val="BodyText"/>
        <w:spacing w:before="2"/>
        <w:rPr>
          <w:rFonts w:ascii="Microsoft JhengHei"/>
          <w:b/>
          <w:sz w:val="25"/>
        </w:rPr>
      </w:pPr>
    </w:p>
    <w:p>
      <w:pPr>
        <w:pStyle w:val="BodyText"/>
        <w:spacing w:line="417" w:lineRule="auto"/>
        <w:ind w:left="980" w:right="745" w:firstLine="560"/>
      </w:pPr>
      <w:r>
        <w:rPr>
          <w:spacing w:val="-10"/>
        </w:rPr>
        <w:t>京沪高速铁路客运专线梁场具有规模大、大型生产设备多的特点，</w:t>
      </w:r>
      <w:r>
        <w:rPr>
          <w:spacing w:val="-2"/>
        </w:rPr>
        <w:t>一般场址选在正线线路旁边，与既有公路相邻交通便利，梁场主要由</w:t>
      </w:r>
      <w:r>
        <w:rPr>
          <w:spacing w:val="-2"/>
        </w:rPr>
        <w:t>生产区、生产辅助区、办公生活区三大部分组成。其中：生产区分为</w:t>
      </w:r>
      <w:r>
        <w:rPr>
          <w:spacing w:val="-14"/>
        </w:rPr>
        <w:t>制梁区、存梁区、提梁区；生产辅助区分为砼拌和站、砂石料存放去、</w:t>
      </w:r>
    </w:p>
    <w:p>
      <w:pPr>
        <w:spacing w:after="0" w:line="417" w:lineRule="auto"/>
        <w:sectPr>
          <w:headerReference w:type="default" r:id="rId8"/>
          <w:footerReference w:type="default" r:id="rId9"/>
          <w:pgSz w:w="11910" w:h="16840"/>
          <w:pgMar w:top="1340" w:right="820" w:bottom="1380" w:left="820" w:header="873" w:footer="1181"/>
          <w:pgNumType w:start="3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31" style="width:418.2pt;height:0.75pt;mso-position-horizontal-relative:char;mso-position-vertical-relative:line" coordorigin="0,0" coordsize="8364,15">
            <v:line id="_x0000_s1032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978"/>
      </w:pPr>
      <w:r>
        <w:rPr>
          <w:spacing w:val="-4"/>
        </w:rPr>
        <w:t>锅炉房、钢构件存放区、钢绞线存放区、材料库房、机修区等；办公</w:t>
      </w:r>
      <w:r>
        <w:rPr>
          <w:spacing w:val="-2"/>
        </w:rPr>
        <w:t>生活区分为生活区、办公区、停车场等生活设施。</w:t>
      </w:r>
    </w:p>
    <w:p>
      <w:pPr>
        <w:pStyle w:val="Heading3"/>
        <w:spacing w:before="168"/>
        <w:ind w:left="980"/>
        <w:rPr>
          <w:rFonts w:ascii="Microsoft JhengHei" w:eastAsia="Microsoft JhengHei"/>
        </w:rPr>
      </w:pPr>
      <w:r>
        <w:rPr>
          <w:rFonts w:ascii="Microsoft JhengHei" w:eastAsia="Microsoft JhengHei"/>
          <w:spacing w:val="-1"/>
        </w:rPr>
        <w:t>二、梁场建设方案审查</w:t>
      </w:r>
    </w:p>
    <w:p>
      <w:pPr>
        <w:pStyle w:val="BodyText"/>
        <w:spacing w:before="1"/>
        <w:rPr>
          <w:rFonts w:ascii="Microsoft JhengHei"/>
          <w:b/>
          <w:sz w:val="20"/>
        </w:rPr>
      </w:pPr>
    </w:p>
    <w:p>
      <w:pPr>
        <w:spacing w:before="0"/>
        <w:ind w:left="15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（一）</w:t>
      </w:r>
      <w:r>
        <w:rPr>
          <w:rFonts w:ascii="Microsoft JhengHei" w:eastAsia="Microsoft JhengHei"/>
          <w:b/>
          <w:spacing w:val="-2"/>
          <w:sz w:val="28"/>
        </w:rPr>
        <w:t>梁场平面布置</w:t>
      </w:r>
    </w:p>
    <w:p>
      <w:pPr>
        <w:pStyle w:val="BodyText"/>
        <w:spacing w:before="201" w:line="417" w:lineRule="auto"/>
        <w:ind w:left="980" w:right="885" w:firstLine="560"/>
      </w:pPr>
      <w:r>
        <w:rPr>
          <w:spacing w:val="-2"/>
        </w:rPr>
        <w:t>根据制梁场采用的生产工艺、箱梁的外型尺寸、业主要求的工期</w:t>
      </w:r>
      <w:r>
        <w:rPr>
          <w:spacing w:val="-2"/>
        </w:rPr>
        <w:t>并综合考虑场区道路、作业空间等因素，经计算确定梁场合理占地面</w:t>
      </w:r>
      <w:r>
        <w:rPr>
          <w:spacing w:val="-2"/>
        </w:rPr>
        <w:t>积，场区内生产区、生产辅助区、办公生活区等组成部分布局合理，</w:t>
      </w:r>
      <w:r>
        <w:rPr>
          <w:spacing w:val="-2"/>
        </w:rPr>
        <w:t>最高生产能力孔数/天必须满足工期要求，合理设置制梁台座、钢筋</w:t>
      </w:r>
      <w:r>
        <w:rPr>
          <w:spacing w:val="-2"/>
        </w:rPr>
        <w:t>绑扎台座、内模拼装台座和存梁台座的数量、位置，存梁能力应满足</w:t>
      </w:r>
      <w:r>
        <w:rPr>
          <w:spacing w:val="-2"/>
        </w:rPr>
        <w:t>运架能力的要求。</w:t>
      </w:r>
    </w:p>
    <w:p>
      <w:pPr>
        <w:pStyle w:val="BodyText"/>
        <w:spacing w:line="357" w:lineRule="exact"/>
        <w:ind w:left="1540"/>
      </w:pPr>
      <w:r>
        <w:t>1</w:t>
      </w:r>
      <w:r>
        <w:rPr>
          <w:spacing w:val="-2"/>
        </w:rPr>
        <w:t>、布置原则及依据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2"/>
          <w:sz w:val="28"/>
        </w:rPr>
        <w:t xml:space="preserve">选用 </w:t>
      </w:r>
      <w:r>
        <w:rPr>
          <w:sz w:val="28"/>
        </w:rPr>
        <w:t>2×450t</w:t>
      </w:r>
      <w:r>
        <w:rPr>
          <w:spacing w:val="-9"/>
          <w:sz w:val="28"/>
        </w:rPr>
        <w:t xml:space="preserve"> 轮轨式提梁机，横跨两列制梁台座，将箱梁</w:t>
      </w:r>
      <w:r>
        <w:rPr>
          <w:spacing w:val="-2"/>
          <w:sz w:val="28"/>
        </w:rPr>
        <w:t>直接提吊出台放于存梁台座。</w:t>
      </w:r>
    </w:p>
    <w:p>
      <w:pPr>
        <w:pStyle w:val="ListParagraph"/>
        <w:numPr>
          <w:ilvl w:val="0"/>
          <w:numId w:val="14"/>
        </w:numPr>
        <w:tabs>
          <w:tab w:val="left" w:pos="2241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8"/>
          <w:sz w:val="28"/>
        </w:rPr>
        <w:t xml:space="preserve">选用 </w:t>
      </w:r>
      <w:r>
        <w:rPr>
          <w:sz w:val="28"/>
        </w:rPr>
        <w:t>900t</w:t>
      </w:r>
      <w:r>
        <w:rPr>
          <w:spacing w:val="-5"/>
          <w:sz w:val="28"/>
        </w:rPr>
        <w:t xml:space="preserve"> 轮轨式提梁机，需设置变轨区在各轨道之间横</w:t>
      </w:r>
      <w:r>
        <w:rPr>
          <w:spacing w:val="-4"/>
          <w:sz w:val="28"/>
        </w:rPr>
        <w:t>移就位；</w:t>
      </w:r>
    </w:p>
    <w:p>
      <w:pPr>
        <w:pStyle w:val="ListParagraph"/>
        <w:numPr>
          <w:ilvl w:val="0"/>
          <w:numId w:val="14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24"/>
          <w:sz w:val="28"/>
        </w:rPr>
        <w:t xml:space="preserve">选用 </w:t>
      </w:r>
      <w:r>
        <w:rPr>
          <w:sz w:val="28"/>
        </w:rPr>
        <w:t>2×50t</w:t>
      </w:r>
      <w:r>
        <w:rPr>
          <w:spacing w:val="-10"/>
          <w:sz w:val="28"/>
        </w:rPr>
        <w:t xml:space="preserve"> 龙门吊，分别吊装钢筋笼及内模；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2241"/>
        </w:tabs>
        <w:spacing w:before="0" w:after="0" w:line="240" w:lineRule="auto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外模为固定式，内模为液压整体收放式；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2241"/>
        </w:tabs>
        <w:spacing w:before="0" w:after="0" w:line="240" w:lineRule="auto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根据业主工期要求，合理确定制梁和存梁台座配置；</w:t>
      </w:r>
    </w:p>
    <w:p>
      <w:pPr>
        <w:pStyle w:val="Heading3"/>
        <w:spacing w:before="173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（二）</w:t>
      </w:r>
      <w:r>
        <w:rPr>
          <w:rFonts w:ascii="Microsoft JhengHei" w:eastAsia="Microsoft JhengHei"/>
          <w:spacing w:val="-2"/>
        </w:rPr>
        <w:t>主要土建部分规划</w:t>
      </w:r>
    </w:p>
    <w:p>
      <w:pPr>
        <w:pStyle w:val="BodyText"/>
        <w:spacing w:before="201" w:line="417" w:lineRule="auto"/>
        <w:ind w:left="980" w:right="978" w:firstLine="560"/>
      </w:pPr>
      <w:r>
        <w:rPr>
          <w:spacing w:val="-4"/>
        </w:rPr>
        <w:t>在平面布置上，制梁场主要由生产区、生产辅助区、办公生活区</w:t>
      </w:r>
      <w:r>
        <w:rPr>
          <w:spacing w:val="-4"/>
        </w:rPr>
        <w:t>组成，生产区主要有：制梁区（</w:t>
      </w:r>
      <w:r>
        <w:rPr>
          <w:spacing w:val="-5"/>
        </w:rPr>
        <w:t>钢筋制作区、钢筋存放区、钢绞线加</w:t>
      </w:r>
    </w:p>
    <w:p>
      <w:pPr>
        <w:spacing w:after="0" w:line="417" w:lineRule="auto"/>
        <w:sectPr>
          <w:headerReference w:type="default" r:id="rId10"/>
          <w:footerReference w:type="default" r:id="rId11"/>
          <w:pgSz w:w="11910" w:h="16840"/>
          <w:pgMar w:top="1340" w:right="820" w:bottom="1380" w:left="820" w:header="873" w:footer="1181"/>
          <w:pgNumType w:start="4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33" style="width:418.2pt;height:0.75pt;mso-position-horizontal-relative:char;mso-position-vertical-relative:line" coordorigin="0,0" coordsize="8364,15">
            <v:line id="_x0000_s1034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838"/>
      </w:pPr>
      <w:r>
        <w:rPr>
          <w:spacing w:val="-4"/>
        </w:rPr>
        <w:t>工区、制梁台座、整体钢筋绑扎台、内模存放台</w:t>
      </w:r>
      <w:r>
        <w:rPr>
          <w:spacing w:val="-140"/>
        </w:rPr>
        <w:t>）</w:t>
      </w:r>
      <w:r>
        <w:rPr>
          <w:spacing w:val="-8"/>
        </w:rPr>
        <w:t>，存梁区，提梁区，</w:t>
      </w:r>
      <w:r>
        <w:rPr>
          <w:spacing w:val="-2"/>
        </w:rPr>
        <w:t>截排水部分（沉淀池、排水沟）等；生产辅助区设砼拌和站、砂石料</w:t>
      </w:r>
      <w:r>
        <w:rPr>
          <w:spacing w:val="-8"/>
        </w:rPr>
        <w:t>存放去、锅炉房、钢构件存放区、钢绞线存放区、材料库房、机修区、</w:t>
      </w:r>
      <w:r>
        <w:rPr>
          <w:spacing w:val="-2"/>
        </w:rPr>
        <w:t>水电部分（供应站、上水预埋管、供电预埋管）等；办公生活区设生</w:t>
      </w:r>
      <w:r>
        <w:rPr>
          <w:spacing w:val="-2"/>
        </w:rPr>
        <w:t>活区、办公区、停车场等生活设施。</w:t>
      </w:r>
    </w:p>
    <w:p>
      <w:pPr>
        <w:pStyle w:val="Heading3"/>
        <w:spacing w:line="421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（三）</w:t>
      </w:r>
      <w:r>
        <w:rPr>
          <w:rFonts w:ascii="Microsoft JhengHei" w:eastAsia="Microsoft JhengHei"/>
          <w:spacing w:val="-2"/>
        </w:rPr>
        <w:t>管线布置规划</w:t>
      </w:r>
    </w:p>
    <w:p>
      <w:pPr>
        <w:pStyle w:val="BodyText"/>
        <w:spacing w:before="202"/>
        <w:ind w:left="1540"/>
      </w:pPr>
      <w:r>
        <w:t>1</w:t>
      </w:r>
      <w:r>
        <w:rPr>
          <w:spacing w:val="-2"/>
        </w:rPr>
        <w:t>、蒸汽养护管道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rPr>
          <w:spacing w:val="-1"/>
        </w:rPr>
        <w:t>蒸养管道在制梁台座区的布置应按照蒸养要求进行布置。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2</w:t>
      </w:r>
      <w:r>
        <w:rPr>
          <w:spacing w:val="-2"/>
        </w:rPr>
        <w:t>、电力布置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  <w:jc w:val="both"/>
      </w:pPr>
      <w:r>
        <w:rPr>
          <w:spacing w:val="-4"/>
        </w:rPr>
        <w:t>梁场运输、起重设备来往频繁，场内及生活区内电缆应采用埋地</w:t>
      </w:r>
      <w:r>
        <w:rPr>
          <w:spacing w:val="-8"/>
        </w:rPr>
        <w:t xml:space="preserve">式。生产区配电箱间距原则上不超过 </w:t>
      </w:r>
      <w:r>
        <w:rPr>
          <w:spacing w:val="-6"/>
        </w:rPr>
        <w:t>40m</w:t>
      </w:r>
      <w:r>
        <w:rPr>
          <w:spacing w:val="-8"/>
        </w:rPr>
        <w:t xml:space="preserve">，充分保证拖地电缆 </w:t>
      </w:r>
      <w:r>
        <w:rPr>
          <w:spacing w:val="-6"/>
        </w:rPr>
        <w:t>40m</w:t>
      </w:r>
      <w:r>
        <w:rPr>
          <w:spacing w:val="-16"/>
        </w:rPr>
        <w:t xml:space="preserve"> 内</w:t>
      </w:r>
      <w:r>
        <w:rPr>
          <w:spacing w:val="-2"/>
        </w:rPr>
        <w:t>工作，为保证电缆过沟安全，在电缆过沟处应加钢管防护。</w:t>
      </w:r>
    </w:p>
    <w:p>
      <w:pPr>
        <w:pStyle w:val="BodyText"/>
        <w:spacing w:line="358" w:lineRule="exact"/>
        <w:ind w:left="1540"/>
      </w:pPr>
      <w:r>
        <w:t>3</w:t>
      </w:r>
      <w:r>
        <w:rPr>
          <w:spacing w:val="-2"/>
        </w:rPr>
        <w:t>、排水沟布置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在平面布置上，排水方向按地势走向，每个制梁区应布置一道排</w:t>
      </w:r>
      <w:r>
        <w:rPr>
          <w:spacing w:val="-2"/>
        </w:rPr>
        <w:t>水沟，最后汇集排出梁场，保证排水畅通，场内不积水。</w:t>
      </w:r>
    </w:p>
    <w:p>
      <w:pPr>
        <w:pStyle w:val="Heading3"/>
        <w:spacing w:before="167"/>
        <w:ind w:left="980"/>
        <w:rPr>
          <w:rFonts w:ascii="Microsoft JhengHei" w:eastAsia="Microsoft JhengHei"/>
        </w:rPr>
      </w:pPr>
      <w:r>
        <w:rPr>
          <w:rFonts w:ascii="Microsoft JhengHei" w:eastAsia="Microsoft JhengHei"/>
          <w:spacing w:val="-2"/>
        </w:rPr>
        <w:t>三、主要临建工程</w:t>
      </w:r>
    </w:p>
    <w:p>
      <w:pPr>
        <w:pStyle w:val="BodyText"/>
        <w:spacing w:before="1"/>
        <w:rPr>
          <w:rFonts w:ascii="Microsoft JhengHei"/>
          <w:b/>
          <w:sz w:val="20"/>
        </w:rPr>
      </w:pPr>
    </w:p>
    <w:p>
      <w:pPr>
        <w:spacing w:before="0"/>
        <w:ind w:left="15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（一）</w:t>
      </w:r>
      <w:r>
        <w:rPr>
          <w:rFonts w:ascii="Microsoft JhengHei" w:eastAsia="Microsoft JhengHei"/>
          <w:b/>
          <w:spacing w:val="-3"/>
          <w:sz w:val="28"/>
        </w:rPr>
        <w:t>地基处理</w:t>
      </w:r>
    </w:p>
    <w:p>
      <w:pPr>
        <w:pStyle w:val="BodyText"/>
        <w:spacing w:before="202" w:line="417" w:lineRule="auto"/>
        <w:ind w:left="980" w:right="885" w:firstLine="560"/>
      </w:pPr>
      <w:r>
        <w:rPr>
          <w:spacing w:val="-8"/>
        </w:rPr>
        <w:t>场区应委托有资质单位出具《梁场场区岩土工程勘察报告》，同</w:t>
      </w:r>
      <w:r>
        <w:rPr>
          <w:spacing w:val="-2"/>
        </w:rPr>
        <w:t>时结合现场情况，委托具有相应资质的单位设计场区地基处理方案，</w:t>
      </w:r>
      <w:r>
        <w:rPr>
          <w:spacing w:val="-6"/>
        </w:rPr>
        <w:t>同时该地基处理方案必须经过本标段设计单位复核检算，应充分考虑</w:t>
      </w:r>
      <w:r>
        <w:rPr>
          <w:spacing w:val="-2"/>
        </w:rPr>
        <w:t>制存梁台座和提梁机轨道的沉降、变形，确保施工安全。</w:t>
      </w:r>
    </w:p>
    <w:p>
      <w:pPr>
        <w:spacing w:after="0" w:line="417" w:lineRule="auto"/>
        <w:sectPr>
          <w:headerReference w:type="default" r:id="rId12"/>
          <w:footerReference w:type="default" r:id="rId13"/>
          <w:pgSz w:w="11910" w:h="16840"/>
          <w:pgMar w:top="1340" w:right="820" w:bottom="1380" w:left="820" w:header="873" w:footer="1181"/>
          <w:pgNumType w:start="5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35" style="width:418.2pt;height:0.75pt;mso-position-horizontal-relative:char;mso-position-vertical-relative:line" coordorigin="0,0" coordsize="8364,15">
            <v:line id="_x0000_s1036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978" w:firstLine="560"/>
      </w:pPr>
      <w:r>
        <w:rPr>
          <w:spacing w:val="-2"/>
        </w:rPr>
        <w:t>地基处理施工质量监理参照京沪高速铁路客运专线路基工程相</w:t>
      </w:r>
      <w:r>
        <w:rPr>
          <w:spacing w:val="-2"/>
        </w:rPr>
        <w:t>应监理细则实施。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（二）</w:t>
      </w:r>
      <w:r>
        <w:rPr>
          <w:rFonts w:ascii="Microsoft JhengHei" w:eastAsia="Microsoft JhengHei"/>
          <w:spacing w:val="-3"/>
        </w:rPr>
        <w:t>制梁台座</w:t>
      </w:r>
    </w:p>
    <w:p>
      <w:pPr>
        <w:pStyle w:val="BodyText"/>
        <w:spacing w:before="202" w:line="417" w:lineRule="auto"/>
        <w:ind w:left="980" w:right="978" w:firstLine="560"/>
      </w:pPr>
      <w:r>
        <w:rPr>
          <w:spacing w:val="-9"/>
        </w:rPr>
        <w:t>制梁台座采用钢筋混凝土结构，施工单位设计或委托设计的存梁</w:t>
      </w:r>
      <w:r>
        <w:rPr>
          <w:spacing w:val="-2"/>
        </w:rPr>
        <w:t>台座必须是有资质的单位进行设计。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质量监控措施：参照梁体模板、钢筋、混凝土的质量监控程序和</w:t>
      </w:r>
      <w:r>
        <w:rPr>
          <w:spacing w:val="-2"/>
        </w:rPr>
        <w:t>方法执行。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（三）</w:t>
      </w:r>
      <w:r>
        <w:rPr>
          <w:rFonts w:ascii="Microsoft JhengHei" w:eastAsia="Microsoft JhengHei"/>
          <w:spacing w:val="-3"/>
        </w:rPr>
        <w:t>存梁台座</w:t>
      </w:r>
    </w:p>
    <w:p>
      <w:pPr>
        <w:pStyle w:val="BodyText"/>
        <w:spacing w:before="201" w:line="417" w:lineRule="auto"/>
        <w:ind w:left="980" w:right="978" w:firstLine="560"/>
      </w:pPr>
      <w:r>
        <w:rPr>
          <w:spacing w:val="-4"/>
        </w:rPr>
        <w:t>存梁台座采用钢筋混凝土结构，基础一般为刚性扩大基础，施工</w:t>
      </w:r>
      <w:r>
        <w:rPr>
          <w:spacing w:val="-2"/>
        </w:rPr>
        <w:t>单位设计或委托设计的存梁台座必须是有资质的单位进行设计。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质量监控措施：参照梁体模板、钢筋、混凝土的质量监控程序和</w:t>
      </w:r>
      <w:r>
        <w:rPr>
          <w:spacing w:val="-2"/>
        </w:rPr>
        <w:t>方法执行。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（四）</w:t>
      </w:r>
      <w:r>
        <w:rPr>
          <w:rFonts w:ascii="Microsoft JhengHei" w:eastAsia="Microsoft JhengHei"/>
          <w:spacing w:val="-2"/>
        </w:rPr>
        <w:t>提梁机走行轨道</w:t>
      </w:r>
    </w:p>
    <w:p>
      <w:pPr>
        <w:pStyle w:val="BodyText"/>
        <w:spacing w:before="201" w:line="417" w:lineRule="auto"/>
        <w:ind w:left="980" w:right="978" w:firstLine="560"/>
      </w:pPr>
      <w:r>
        <w:rPr>
          <w:spacing w:val="-4"/>
        </w:rPr>
        <w:t>轨道设计满足龙门吊的受力要求，基础为刚性扩大基础，施工单</w:t>
      </w:r>
      <w:r>
        <w:rPr>
          <w:spacing w:val="-2"/>
        </w:rPr>
        <w:t>位设计或委托设计的图纸必须是有资质的单位进行设计。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质量监控措施：参照梁体模板、钢筋、混凝土的质量监控程序和</w:t>
      </w:r>
      <w:r>
        <w:rPr>
          <w:spacing w:val="-2"/>
        </w:rPr>
        <w:t>方法执行。钢轨铺设质量应满足提梁机走行稳定、安全的要求。</w:t>
      </w:r>
    </w:p>
    <w:p>
      <w:pPr>
        <w:pStyle w:val="Heading3"/>
        <w:spacing w:before="27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（五）</w:t>
      </w:r>
      <w:r>
        <w:rPr>
          <w:rFonts w:ascii="Microsoft JhengHei" w:eastAsia="Microsoft JhengHei"/>
          <w:spacing w:val="-2"/>
        </w:rPr>
        <w:t>混凝土拌和站</w:t>
      </w:r>
    </w:p>
    <w:p>
      <w:pPr>
        <w:pStyle w:val="BodyText"/>
        <w:spacing w:before="201" w:line="417" w:lineRule="auto"/>
        <w:ind w:left="980" w:right="978" w:firstLine="560"/>
        <w:jc w:val="both"/>
      </w:pPr>
      <w:r>
        <w:rPr>
          <w:spacing w:val="-9"/>
        </w:rPr>
        <w:t xml:space="preserve">按照铁道部质检中心 </w:t>
      </w:r>
      <w:r>
        <w:rPr>
          <w:spacing w:val="-6"/>
        </w:rPr>
        <w:t>2006</w:t>
      </w:r>
      <w:r>
        <w:rPr>
          <w:spacing w:val="-22"/>
        </w:rPr>
        <w:t xml:space="preserve"> 年 </w:t>
      </w:r>
      <w:r>
        <w:rPr>
          <w:spacing w:val="-6"/>
        </w:rPr>
        <w:t>12</w:t>
      </w:r>
      <w:r>
        <w:rPr>
          <w:spacing w:val="-17"/>
        </w:rPr>
        <w:t xml:space="preserve"> 号文的要求，梁场必须具备专用</w:t>
      </w:r>
      <w:r>
        <w:rPr>
          <w:spacing w:val="-4"/>
        </w:rPr>
        <w:t>的混凝土拌合站，监督施工单位必须执行。监理应检查施工单位报送</w:t>
      </w:r>
      <w:r>
        <w:rPr>
          <w:spacing w:val="-4"/>
        </w:rPr>
        <w:t>的拌合站有关资料，检查拌合站生产能力和运行状况，是否满足梁场</w:t>
      </w:r>
      <w:r>
        <w:rPr>
          <w:spacing w:val="-5"/>
        </w:rPr>
        <w:t>正常生产需要。检查计量装置必须经过法定计量检验部门的鉴定，到</w:t>
      </w:r>
    </w:p>
    <w:p>
      <w:pPr>
        <w:spacing w:after="0" w:line="417" w:lineRule="auto"/>
        <w:jc w:val="both"/>
        <w:sectPr>
          <w:headerReference w:type="default" r:id="rId14"/>
          <w:footerReference w:type="default" r:id="rId15"/>
          <w:pgSz w:w="11910" w:h="16840"/>
          <w:pgMar w:top="1340" w:right="820" w:bottom="1380" w:left="820" w:header="873" w:footer="1181"/>
          <w:pgNumType w:start="6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37" style="width:418.2pt;height:0.75pt;mso-position-horizontal-relative:char;mso-position-vertical-relative:line" coordorigin="0,0" coordsize="8364,15">
            <v:line id="_x0000_s1038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978"/>
      </w:pPr>
      <w:r>
        <w:rPr>
          <w:spacing w:val="-8"/>
        </w:rPr>
        <w:t>达有效期或者出现不正常的运转情况，要求承包单位重新申请法定计</w:t>
      </w:r>
      <w:r>
        <w:rPr>
          <w:spacing w:val="-2"/>
        </w:rPr>
        <w:t>量检验部门鉴定。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（六）</w:t>
      </w:r>
      <w:r>
        <w:rPr>
          <w:rFonts w:ascii="Microsoft JhengHei" w:eastAsia="Microsoft JhengHei"/>
          <w:spacing w:val="-2"/>
        </w:rPr>
        <w:t>蒸汽养生系统</w:t>
      </w:r>
    </w:p>
    <w:p>
      <w:pPr>
        <w:pStyle w:val="BodyText"/>
        <w:spacing w:before="202" w:line="417" w:lineRule="auto"/>
        <w:ind w:left="980" w:right="978" w:firstLine="560"/>
        <w:jc w:val="both"/>
      </w:pPr>
      <w:r>
        <w:rPr>
          <w:spacing w:val="-7"/>
        </w:rPr>
        <w:t>混凝土浇注完成后采用养护棚罩封闭梁体，并输入蒸汽控制梁体</w:t>
      </w:r>
      <w:r>
        <w:rPr>
          <w:spacing w:val="-4"/>
        </w:rPr>
        <w:t>周围的湿度和温度。蒸汽养护系统设置应经过热工计算，梁场需设置</w:t>
      </w:r>
      <w:r>
        <w:rPr>
          <w:spacing w:val="-4"/>
        </w:rPr>
        <w:t>锅炉和蒸汽管路，满足预制箱梁生产能力的需要。蒸汽系统控制采用</w:t>
      </w:r>
      <w:r>
        <w:rPr>
          <w:spacing w:val="-2"/>
        </w:rPr>
        <w:t>全电脑温度自动控制系统。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（七）</w:t>
      </w:r>
      <w:r>
        <w:rPr>
          <w:rFonts w:ascii="Microsoft JhengHei" w:eastAsia="Microsoft JhengHei"/>
          <w:spacing w:val="-2"/>
        </w:rPr>
        <w:t>场内交通及运梁便道</w:t>
      </w:r>
    </w:p>
    <w:p>
      <w:pPr>
        <w:pStyle w:val="BodyText"/>
        <w:spacing w:before="202" w:line="417" w:lineRule="auto"/>
        <w:ind w:left="980" w:right="978" w:firstLine="560"/>
        <w:jc w:val="both"/>
      </w:pPr>
      <w:r>
        <w:rPr>
          <w:spacing w:val="-9"/>
        </w:rPr>
        <w:t xml:space="preserve">制梁场内道路与施工便道相连，经地基处理后，用 </w:t>
      </w:r>
      <w:r>
        <w:rPr>
          <w:spacing w:val="-8"/>
        </w:rPr>
        <w:t>C20</w:t>
      </w:r>
      <w:r>
        <w:rPr>
          <w:spacing w:val="-11"/>
        </w:rPr>
        <w:t xml:space="preserve"> 混凝土硬</w:t>
      </w:r>
      <w:r>
        <w:rPr>
          <w:spacing w:val="-6"/>
        </w:rPr>
        <w:t>化。</w:t>
      </w:r>
    </w:p>
    <w:p>
      <w:pPr>
        <w:pStyle w:val="Heading3"/>
        <w:spacing w:line="422" w:lineRule="exact"/>
        <w:rPr>
          <w:rFonts w:ascii="Microsoft JhengHei" w:eastAsia="Microsoft JhengHei"/>
        </w:rPr>
      </w:pPr>
      <w:r>
        <w:rPr>
          <w:rFonts w:ascii="Microsoft JhengHei" w:eastAsia="Microsoft JhengHei"/>
        </w:rPr>
        <w:t>（八）</w:t>
      </w:r>
      <w:r>
        <w:rPr>
          <w:rFonts w:ascii="Microsoft JhengHei" w:eastAsia="Microsoft JhengHei"/>
          <w:spacing w:val="-2"/>
        </w:rPr>
        <w:t>生活、办公区</w:t>
      </w:r>
    </w:p>
    <w:p>
      <w:pPr>
        <w:pStyle w:val="BodyText"/>
        <w:spacing w:before="201"/>
        <w:ind w:left="1540"/>
      </w:pPr>
      <w:r>
        <w:rPr>
          <w:spacing w:val="-1"/>
        </w:rPr>
        <w:t>生活区、办公区应满足文明施工，同时满足绿化、环保要求。</w:t>
      </w:r>
    </w:p>
    <w:p>
      <w:pPr>
        <w:pStyle w:val="BodyText"/>
        <w:spacing w:before="10"/>
        <w:rPr>
          <w:sz w:val="33"/>
        </w:rPr>
      </w:pPr>
    </w:p>
    <w:p>
      <w:pPr>
        <w:pStyle w:val="Heading3"/>
        <w:ind w:left="980"/>
        <w:rPr>
          <w:rFonts w:ascii="Microsoft JhengHei" w:eastAsia="Microsoft JhengHei"/>
        </w:rPr>
      </w:pPr>
      <w:r>
        <w:rPr>
          <w:rFonts w:ascii="Microsoft JhengHei" w:eastAsia="Microsoft JhengHei"/>
          <w:spacing w:val="-1"/>
        </w:rPr>
        <w:t>四、预应力混凝土箱梁预制</w:t>
      </w:r>
    </w:p>
    <w:p>
      <w:pPr>
        <w:pStyle w:val="BodyText"/>
        <w:spacing w:before="1"/>
        <w:rPr>
          <w:rFonts w:ascii="Microsoft JhengHei"/>
          <w:b/>
          <w:sz w:val="20"/>
        </w:rPr>
      </w:pPr>
    </w:p>
    <w:p>
      <w:pPr>
        <w:spacing w:before="0"/>
        <w:ind w:left="1540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（一）</w:t>
      </w:r>
      <w:r>
        <w:rPr>
          <w:rFonts w:ascii="Microsoft JhengHei" w:eastAsia="Microsoft JhengHei"/>
          <w:b/>
          <w:spacing w:val="-2"/>
          <w:sz w:val="28"/>
        </w:rPr>
        <w:t>施工准备阶段监理</w:t>
      </w:r>
    </w:p>
    <w:p>
      <w:pPr>
        <w:pStyle w:val="BodyText"/>
        <w:spacing w:before="202" w:line="417" w:lineRule="auto"/>
        <w:ind w:left="980" w:right="978" w:firstLine="560"/>
      </w:pPr>
      <w:r>
        <w:rPr>
          <w:spacing w:val="-2"/>
        </w:rPr>
        <w:t>1、监理要分级审核承包人的施组及开工报告。符合要求给予签</w:t>
      </w:r>
      <w:r>
        <w:rPr>
          <w:spacing w:val="-4"/>
        </w:rPr>
        <w:t>认批准。</w:t>
      </w:r>
    </w:p>
    <w:p>
      <w:pPr>
        <w:pStyle w:val="BodyText"/>
        <w:spacing w:line="417" w:lineRule="auto"/>
        <w:ind w:left="980" w:right="978" w:firstLine="560"/>
        <w:jc w:val="both"/>
      </w:pPr>
      <w:r>
        <w:rPr>
          <w:spacing w:val="-2"/>
        </w:rPr>
        <w:t>2、现场试验监理对承包人所进的水泥、钢材、碎石、砂、水、</w:t>
      </w:r>
      <w:r>
        <w:rPr>
          <w:spacing w:val="-4"/>
        </w:rPr>
        <w:t>混合材料、外加剂、钢绞线、锚具、夹具和连接器、橡胶抽拔棒等根</w:t>
      </w:r>
      <w:r>
        <w:rPr>
          <w:spacing w:val="-7"/>
        </w:rPr>
        <w:t>据设计、规范要求进行检验，经检验合格才准许使用于本工程。</w:t>
      </w:r>
      <w:r>
        <w:rPr>
          <w:spacing w:val="-2"/>
        </w:rPr>
        <w:t>（原</w:t>
      </w:r>
      <w:r>
        <w:rPr>
          <w:spacing w:val="-2"/>
        </w:rPr>
        <w:t>材料质量控制见试验相关细则）</w:t>
      </w:r>
    </w:p>
    <w:p>
      <w:pPr>
        <w:pStyle w:val="BodyText"/>
        <w:spacing w:line="358" w:lineRule="exact"/>
        <w:ind w:left="1540"/>
      </w:pPr>
      <w:r>
        <w:t>3</w:t>
      </w:r>
      <w:r>
        <w:rPr>
          <w:spacing w:val="-1"/>
        </w:rPr>
        <w:t>、梁场现场监理检查承包人进场施工机械及工艺设备。检查其</w:t>
      </w:r>
    </w:p>
    <w:p>
      <w:pPr>
        <w:spacing w:after="0" w:line="358" w:lineRule="exact"/>
        <w:sectPr>
          <w:headerReference w:type="default" r:id="rId16"/>
          <w:footerReference w:type="default" r:id="rId17"/>
          <w:pgSz w:w="11910" w:h="16840"/>
          <w:pgMar w:top="1340" w:right="820" w:bottom="1380" w:left="820" w:header="873" w:footer="1181"/>
          <w:pgNumType w:start="7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39" style="width:418.2pt;height:0.75pt;mso-position-horizontal-relative:char;mso-position-vertical-relative:line" coordorigin="0,0" coordsize="8364,15">
            <v:line id="_x0000_s1040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/>
        <w:ind w:left="980"/>
      </w:pPr>
      <w:r>
        <w:rPr>
          <w:spacing w:val="-1"/>
        </w:rPr>
        <w:t>性能是否良好，并对其进行确认。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4</w:t>
      </w:r>
      <w:r>
        <w:rPr>
          <w:spacing w:val="-1"/>
        </w:rPr>
        <w:t>、梁场专监核查承包人的质量保证措施。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"/>
          <w:sz w:val="28"/>
        </w:rPr>
        <w:t>核查承包人的技术人员、质检人员以及生产工人的配备是</w:t>
      </w:r>
      <w:r>
        <w:rPr>
          <w:spacing w:val="-2"/>
          <w:sz w:val="28"/>
        </w:rPr>
        <w:t>否满足要求；与产品质量相关的人员是否参加过相关培训学习；</w:t>
      </w:r>
    </w:p>
    <w:p>
      <w:pPr>
        <w:pStyle w:val="ListParagraph"/>
        <w:numPr>
          <w:ilvl w:val="0"/>
          <w:numId w:val="13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5"/>
          <w:sz w:val="28"/>
        </w:rPr>
        <w:t>审批承包人编制的相应工艺措施；检查承包人的技术交底；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"/>
          <w:sz w:val="28"/>
        </w:rPr>
        <w:t>检查承包人配备的运输、振捣、钢筋加工机械以及箱梁钢</w:t>
      </w:r>
      <w:r>
        <w:rPr>
          <w:spacing w:val="-2"/>
          <w:sz w:val="28"/>
        </w:rPr>
        <w:t>筋整体吊装、混凝土生产及浇注、移梁等设备是否满足施工需要。</w:t>
      </w:r>
    </w:p>
    <w:p>
      <w:pPr>
        <w:pStyle w:val="BodyText"/>
        <w:spacing w:line="358" w:lineRule="exact"/>
        <w:ind w:left="1540"/>
      </w:pPr>
      <w:r>
        <w:t>5</w:t>
      </w:r>
      <w:r>
        <w:rPr>
          <w:spacing w:val="-1"/>
        </w:rPr>
        <w:t>、梁场现场监理检查承包人的现场标识牌是否齐全。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"/>
          <w:sz w:val="28"/>
        </w:rPr>
        <w:t>工程标识：生产梁的主要技术标准和参数以及砼生产施工</w:t>
      </w:r>
      <w:r>
        <w:rPr>
          <w:spacing w:val="-2"/>
          <w:sz w:val="28"/>
        </w:rPr>
        <w:t>标识牌等；</w:t>
      </w:r>
    </w:p>
    <w:p>
      <w:pPr>
        <w:pStyle w:val="ListParagraph"/>
        <w:numPr>
          <w:ilvl w:val="0"/>
          <w:numId w:val="12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"/>
          <w:sz w:val="28"/>
        </w:rPr>
        <w:t>钢筋标识：钢筋原材、成品、半成品以及钢绞线等均要有</w:t>
      </w:r>
      <w:r>
        <w:rPr>
          <w:spacing w:val="-2"/>
          <w:sz w:val="28"/>
        </w:rPr>
        <w:t>产品标识牌，且责任到人。</w:t>
      </w:r>
    </w:p>
    <w:p>
      <w:pPr>
        <w:pStyle w:val="ListParagraph"/>
        <w:numPr>
          <w:ilvl w:val="0"/>
          <w:numId w:val="12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安全警示标识：在必要的地方设置安全标识牌。</w:t>
      </w:r>
    </w:p>
    <w:p>
      <w:pPr>
        <w:pStyle w:val="Heading3"/>
        <w:spacing w:before="173"/>
        <w:rPr>
          <w:rFonts w:ascii="Microsoft JhengHei" w:eastAsia="Microsoft JhengHei"/>
        </w:rPr>
      </w:pPr>
      <w:r>
        <w:rPr>
          <w:rFonts w:ascii="Microsoft JhengHei" w:eastAsia="Microsoft JhengHei"/>
        </w:rPr>
        <w:t>（二）</w:t>
      </w:r>
      <w:r>
        <w:rPr>
          <w:rFonts w:ascii="Microsoft JhengHei" w:eastAsia="Microsoft JhengHei"/>
          <w:spacing w:val="-2"/>
        </w:rPr>
        <w:t>箱梁预制监理</w:t>
      </w:r>
    </w:p>
    <w:p>
      <w:pPr>
        <w:pStyle w:val="BodyText"/>
        <w:spacing w:before="201"/>
        <w:ind w:left="1540"/>
      </w:pPr>
      <w:r>
        <w:t>1</w:t>
      </w:r>
      <w:r>
        <w:rPr>
          <w:spacing w:val="-2"/>
        </w:rPr>
        <w:t>、模板质量检查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  <w:jc w:val="both"/>
      </w:pPr>
      <w:r>
        <w:rPr>
          <w:spacing w:val="-8"/>
        </w:rPr>
        <w:t>现场监理接到承包人制梁模板报检，及时到现场对承包人报检模</w:t>
      </w:r>
      <w:r>
        <w:rPr>
          <w:spacing w:val="-4"/>
        </w:rPr>
        <w:t>板的刚度、强度、稳定性以及结构尺寸等进行检查，检查合格后准予</w:t>
      </w:r>
      <w:r>
        <w:rPr>
          <w:spacing w:val="-2"/>
        </w:rPr>
        <w:t>用于本工程。</w:t>
      </w:r>
    </w:p>
    <w:p>
      <w:pPr>
        <w:pStyle w:val="BodyText"/>
        <w:spacing w:line="358" w:lineRule="exact"/>
        <w:ind w:left="1540"/>
      </w:pPr>
      <w:r>
        <w:rPr>
          <w:spacing w:val="-1"/>
        </w:rPr>
        <w:t>钢模板应符合以下的要求: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2241"/>
        </w:tabs>
        <w:spacing w:before="0" w:after="0" w:line="417" w:lineRule="auto"/>
        <w:ind w:left="980" w:right="978" w:firstLine="560"/>
        <w:jc w:val="both"/>
        <w:rPr>
          <w:sz w:val="28"/>
        </w:rPr>
      </w:pPr>
      <w:r>
        <w:rPr>
          <w:spacing w:val="-2"/>
          <w:sz w:val="28"/>
        </w:rPr>
        <w:t>钢模板必须具有足够的强度、刚度和稳定性,能可靠地承</w:t>
      </w:r>
      <w:r>
        <w:rPr>
          <w:spacing w:val="-2"/>
          <w:sz w:val="28"/>
        </w:rPr>
        <w:t>受施工中的各种荷载,以保证梁体各部形状、尺寸及预埋件位置准确。模板的全长及跨度应设置反拱度及预留压缩量。</w:t>
      </w:r>
    </w:p>
    <w:p>
      <w:pPr>
        <w:spacing w:after="0" w:line="417" w:lineRule="auto"/>
        <w:jc w:val="both"/>
        <w:rPr>
          <w:sz w:val="28"/>
        </w:rPr>
        <w:sectPr>
          <w:headerReference w:type="default" r:id="rId18"/>
          <w:footerReference w:type="default" r:id="rId19"/>
          <w:pgSz w:w="11910" w:h="16840"/>
          <w:pgMar w:top="1340" w:right="820" w:bottom="1380" w:left="820" w:header="873" w:footer="1181"/>
          <w:pgNumType w:start="8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41" style="width:418.2pt;height:0.75pt;mso-position-horizontal-relative:char;mso-position-vertical-relative:line" coordorigin="0,0" coordsize="8364,15">
            <v:line id="_x0000_s1042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ListParagraph"/>
        <w:numPr>
          <w:ilvl w:val="0"/>
          <w:numId w:val="15"/>
        </w:numPr>
        <w:tabs>
          <w:tab w:val="left" w:pos="2244"/>
        </w:tabs>
        <w:spacing w:before="60" w:after="0" w:line="417" w:lineRule="auto"/>
        <w:ind w:left="980" w:right="978" w:firstLine="560"/>
        <w:jc w:val="both"/>
        <w:rPr>
          <w:sz w:val="28"/>
        </w:rPr>
      </w:pPr>
      <w:r>
        <w:rPr>
          <w:spacing w:val="-2"/>
          <w:sz w:val="28"/>
        </w:rPr>
        <w:t>检查所有模板连接端部和底脚有无碰撞而造成影响使用的</w:t>
      </w:r>
      <w:r>
        <w:rPr>
          <w:spacing w:val="-4"/>
          <w:sz w:val="28"/>
        </w:rPr>
        <w:t>缺陷或变形，振动器支架及模板焊缝处是否有开裂破损，如有均应及</w:t>
      </w:r>
      <w:r>
        <w:rPr>
          <w:spacing w:val="-2"/>
          <w:sz w:val="28"/>
        </w:rPr>
        <w:t>时补焊、整修。</w:t>
      </w:r>
    </w:p>
    <w:p>
      <w:pPr>
        <w:pStyle w:val="ListParagraph"/>
        <w:numPr>
          <w:ilvl w:val="0"/>
          <w:numId w:val="15"/>
        </w:numPr>
        <w:tabs>
          <w:tab w:val="left" w:pos="2244"/>
        </w:tabs>
        <w:spacing w:before="0" w:after="0" w:line="417" w:lineRule="auto"/>
        <w:ind w:left="980" w:right="978" w:firstLine="560"/>
        <w:jc w:val="left"/>
        <w:rPr>
          <w:sz w:val="28"/>
        </w:rPr>
      </w:pPr>
      <w:r>
        <w:rPr>
          <w:spacing w:val="-2"/>
          <w:sz w:val="28"/>
        </w:rPr>
        <w:t>模板板面平整、接缝严密不漏浆。模板与混凝土接触面的</w:t>
      </w:r>
      <w:r>
        <w:rPr>
          <w:spacing w:val="-2"/>
          <w:sz w:val="28"/>
        </w:rPr>
        <w:t>面板焊缝应打磨平整，不应有焊疤、凹坑、烧伤等现象。</w:t>
      </w:r>
    </w:p>
    <w:p>
      <w:pPr>
        <w:pStyle w:val="ListParagraph"/>
        <w:numPr>
          <w:ilvl w:val="0"/>
          <w:numId w:val="15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涂在模板上的脱模剂，不得使混凝土变色。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t>2</w:t>
      </w:r>
      <w:r>
        <w:rPr>
          <w:spacing w:val="-2"/>
        </w:rPr>
        <w:t>、模板安装质量检查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  <w:jc w:val="both"/>
      </w:pPr>
      <w:r>
        <w:rPr>
          <w:spacing w:val="-8"/>
        </w:rPr>
        <w:t>现场监理接到承包人模板安装报检，在规定的时间内尽快到现场</w:t>
      </w:r>
      <w:r>
        <w:rPr>
          <w:spacing w:val="-8"/>
        </w:rPr>
        <w:t>对承包人报检的模板安装进行检查。检查合格后方可准许进行下道工</w:t>
      </w:r>
      <w:r>
        <w:rPr>
          <w:spacing w:val="-6"/>
        </w:rPr>
        <w:t>序。</w:t>
      </w:r>
    </w:p>
    <w:p>
      <w:pPr>
        <w:pStyle w:val="ListParagraph"/>
        <w:numPr>
          <w:ilvl w:val="0"/>
          <w:numId w:val="10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底模安装及支座位置检查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  <w:jc w:val="both"/>
      </w:pPr>
      <w:r>
        <w:rPr>
          <w:spacing w:val="-8"/>
        </w:rPr>
        <w:t>①检查底模应在每次侧模安装前检查，用水平仪检查底板的反拱</w:t>
      </w:r>
      <w:r>
        <w:rPr>
          <w:spacing w:val="-4"/>
        </w:rPr>
        <w:t>及下沉量，不符合规定处应要求及时整修。检查涂刷的隔离剂是否均</w:t>
      </w:r>
      <w:r>
        <w:rPr>
          <w:spacing w:val="-6"/>
        </w:rPr>
        <w:t>匀。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②检查支座位置，应在每次侧模安装前检查，检查的内容有：横</w:t>
      </w:r>
      <w:r>
        <w:rPr>
          <w:spacing w:val="-5"/>
        </w:rPr>
        <w:t>向位置、平整度，两端支座螺栓孔中心距离，同一支座板的四角高差</w:t>
      </w:r>
    </w:p>
    <w:p>
      <w:pPr>
        <w:pStyle w:val="BodyText"/>
        <w:spacing w:line="417" w:lineRule="auto"/>
        <w:ind w:left="980" w:right="978"/>
      </w:pPr>
      <w:r>
        <w:rPr>
          <w:spacing w:val="-8"/>
        </w:rPr>
        <w:t>（</w:t>
      </w:r>
      <w:r>
        <w:rPr>
          <w:spacing w:val="-24"/>
        </w:rPr>
        <w:t xml:space="preserve">不大于 </w:t>
      </w:r>
      <w:r>
        <w:rPr>
          <w:spacing w:val="19"/>
        </w:rPr>
        <w:t>2mm</w:t>
      </w:r>
      <w:r>
        <w:rPr>
          <w:spacing w:val="-120"/>
        </w:rPr>
        <w:t>）</w:t>
      </w:r>
      <w:r>
        <w:rPr>
          <w:spacing w:val="-8"/>
        </w:rPr>
        <w:t>，四个支座板相对高差（</w:t>
      </w:r>
      <w:r>
        <w:rPr>
          <w:spacing w:val="-24"/>
        </w:rPr>
        <w:t xml:space="preserve">不大于 </w:t>
      </w:r>
      <w:r>
        <w:rPr>
          <w:spacing w:val="26"/>
        </w:rPr>
        <w:t>2mm</w:t>
      </w:r>
      <w:r>
        <w:rPr>
          <w:spacing w:val="-113"/>
        </w:rPr>
        <w:t>）</w:t>
      </w:r>
      <w:r>
        <w:rPr>
          <w:spacing w:val="-8"/>
        </w:rPr>
        <w:t>。支座板安装位</w:t>
      </w:r>
      <w:r>
        <w:rPr>
          <w:spacing w:val="-2"/>
        </w:rPr>
        <w:t>置应用螺栓固定。</w:t>
      </w:r>
    </w:p>
    <w:p>
      <w:pPr>
        <w:pStyle w:val="ListParagraph"/>
        <w:numPr>
          <w:ilvl w:val="0"/>
          <w:numId w:val="10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2"/>
          <w:sz w:val="28"/>
        </w:rPr>
        <w:t>侧模板安装检查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980" w:right="978" w:firstLine="560"/>
        <w:jc w:val="both"/>
      </w:pPr>
      <w:r>
        <w:rPr>
          <w:spacing w:val="-4"/>
        </w:rPr>
        <w:t>①检查侧模安装用的螺栓是否连接稳固，整体模板的长、宽、高</w:t>
      </w:r>
      <w:r>
        <w:t>尺寸及 平整度等是否符合要求，并做好记录。不符合规定者，应要</w:t>
      </w:r>
      <w:r>
        <w:rPr>
          <w:spacing w:val="-2"/>
        </w:rPr>
        <w:t>求及时调整。</w:t>
      </w:r>
    </w:p>
    <w:p>
      <w:pPr>
        <w:spacing w:after="0" w:line="417" w:lineRule="auto"/>
        <w:jc w:val="both"/>
        <w:sectPr>
          <w:headerReference w:type="default" r:id="rId20"/>
          <w:footerReference w:type="default" r:id="rId21"/>
          <w:pgSz w:w="11910" w:h="16840"/>
          <w:pgMar w:top="1340" w:right="820" w:bottom="1380" w:left="820" w:header="873" w:footer="1181"/>
          <w:pgNumType w:start="9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43" style="width:418.2pt;height:0.75pt;mso-position-horizontal-relative:char;mso-position-vertical-relative:line" coordorigin="0,0" coordsize="8364,15">
            <v:line id="_x0000_s1044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978" w:firstLine="560"/>
      </w:pPr>
      <w:r>
        <w:rPr>
          <w:spacing w:val="-4"/>
        </w:rPr>
        <w:t>②钢模安装是否连接紧密、位置准确，侧模与底模接缝是否密贴</w:t>
      </w:r>
      <w:r>
        <w:rPr>
          <w:spacing w:val="-2"/>
        </w:rPr>
        <w:t>且不漏浆。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6"/>
        </w:rPr>
        <w:t>③在制梁过程中应根据架梁的顺序确定预埋件的安装。预埋件的</w:t>
      </w:r>
      <w:r>
        <w:rPr>
          <w:spacing w:val="-2"/>
        </w:rPr>
        <w:t>安装应严格按设计图纸施工，确保每孔梁上预埋件位置准确无误。</w:t>
      </w:r>
    </w:p>
    <w:p>
      <w:pPr>
        <w:pStyle w:val="ListParagraph"/>
        <w:numPr>
          <w:ilvl w:val="0"/>
          <w:numId w:val="10"/>
        </w:numPr>
        <w:tabs>
          <w:tab w:val="left" w:pos="2241"/>
        </w:tabs>
        <w:spacing w:before="0" w:after="0" w:line="358" w:lineRule="exact"/>
        <w:ind w:left="2241" w:right="0" w:hanging="701"/>
        <w:jc w:val="left"/>
        <w:rPr>
          <w:sz w:val="28"/>
        </w:rPr>
      </w:pPr>
      <w:r>
        <w:rPr>
          <w:spacing w:val="-2"/>
          <w:sz w:val="28"/>
        </w:rPr>
        <w:t>内模安装：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①检查模板是否清理干净，是否涂刷了隔离剂，是否为防止漏浆</w:t>
      </w:r>
      <w:r>
        <w:rPr>
          <w:spacing w:val="-2"/>
        </w:rPr>
        <w:t>在各个接缝处采取了措施。</w:t>
      </w:r>
    </w:p>
    <w:p>
      <w:pPr>
        <w:pStyle w:val="BodyText"/>
        <w:spacing w:line="358" w:lineRule="exact"/>
        <w:ind w:left="1540"/>
      </w:pPr>
      <w:r>
        <w:rPr>
          <w:spacing w:val="-1"/>
        </w:rPr>
        <w:t>②对各部位尺寸进行检查。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2241"/>
        </w:tabs>
        <w:spacing w:before="0" w:after="0" w:line="240" w:lineRule="auto"/>
        <w:ind w:left="2241" w:right="0" w:hanging="701"/>
        <w:jc w:val="left"/>
        <w:rPr>
          <w:sz w:val="28"/>
        </w:rPr>
      </w:pPr>
      <w:r>
        <w:rPr>
          <w:spacing w:val="-3"/>
          <w:sz w:val="28"/>
        </w:rPr>
        <w:t>端模安装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①安装前检查板面是否平整光洁、有无凹凸变形及残余粘浆，端</w:t>
      </w:r>
      <w:r>
        <w:rPr>
          <w:spacing w:val="-2"/>
        </w:rPr>
        <w:t>模管道孔眼是否清除干净。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6"/>
        </w:rPr>
        <w:t>②检查锚垫板圆孔中心与端模预留孔同心安装是否位置正确、牢</w:t>
      </w:r>
      <w:r>
        <w:rPr>
          <w:spacing w:val="-2"/>
        </w:rPr>
        <w:t>固，螺杆数量是否齐全。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7"/>
        </w:rPr>
        <w:t>③检查成孔橡胶棒在端模内的位置是否正确。端模组件之间错台</w:t>
      </w:r>
      <w:r>
        <w:rPr>
          <w:spacing w:val="-9"/>
        </w:rPr>
        <w:t xml:space="preserve">不应超过 </w:t>
      </w:r>
      <w:r>
        <w:t>2㎜。</w:t>
      </w:r>
    </w:p>
    <w:p>
      <w:pPr>
        <w:pStyle w:val="BodyText"/>
        <w:spacing w:line="358" w:lineRule="exact"/>
        <w:ind w:left="1680"/>
      </w:pPr>
      <w:r>
        <w:rPr>
          <w:spacing w:val="-1"/>
        </w:rPr>
        <w:t>钢模安装尺寸允许偏差见下表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tbl>
      <w:tblPr>
        <w:tblStyle w:val="TableNormal0"/>
        <w:tblW w:w="0" w:type="auto"/>
        <w:jc w:val="left"/>
        <w:tblInd w:w="1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9"/>
        <w:gridCol w:w="3779"/>
        <w:gridCol w:w="1260"/>
        <w:gridCol w:w="3059"/>
      </w:tblGrid>
      <w:tr>
        <w:tblPrEx>
          <w:tblW w:w="0" w:type="auto"/>
          <w:jc w:val="left"/>
          <w:tblInd w:w="106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829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17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3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320" w:right="301"/>
              <w:rPr>
                <w:sz w:val="24"/>
              </w:rPr>
            </w:pPr>
            <w:r>
              <w:rPr>
                <w:spacing w:val="-3"/>
                <w:sz w:val="24"/>
              </w:rPr>
              <w:t>检查项目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3"/>
                <w:sz w:val="24"/>
              </w:rPr>
              <w:t>允许偏差</w:t>
            </w:r>
          </w:p>
          <w:p>
            <w:pPr>
              <w:pStyle w:val="TableParagraph"/>
              <w:spacing w:before="160"/>
              <w:ind w:left="140" w:right="121"/>
              <w:rPr>
                <w:sz w:val="24"/>
              </w:rPr>
            </w:pPr>
            <w:r>
              <w:rPr>
                <w:spacing w:val="-4"/>
                <w:sz w:val="24"/>
              </w:rPr>
              <w:t>(mm)</w:t>
            </w: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289" w:right="270"/>
              <w:rPr>
                <w:sz w:val="24"/>
              </w:rPr>
            </w:pPr>
            <w:r>
              <w:rPr>
                <w:spacing w:val="-3"/>
                <w:sz w:val="24"/>
              </w:rPr>
              <w:t>检查方法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侧、底模板总长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±10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89" w:right="270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尺量检查各不少于 </w:t>
            </w: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处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20" w:right="301"/>
              <w:rPr>
                <w:sz w:val="24"/>
              </w:rPr>
            </w:pPr>
            <w:r>
              <w:rPr>
                <w:spacing w:val="-3"/>
                <w:sz w:val="24"/>
              </w:rPr>
              <w:t>底模板宽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z w:val="24"/>
              </w:rPr>
              <w:t>＋5、</w: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89" w:right="27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尺量检查不少于 </w:t>
            </w:r>
            <w:r>
              <w:rPr>
                <w:sz w:val="24"/>
              </w:rPr>
              <w:t>3</w:t>
            </w:r>
            <w:r>
              <w:rPr>
                <w:spacing w:val="-35"/>
                <w:sz w:val="24"/>
              </w:rPr>
              <w:t xml:space="preserve"> 处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474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1"/>
                <w:sz w:val="24"/>
              </w:rPr>
              <w:t>底模板中心线与设计位置偏差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≤2</w:t>
            </w:r>
          </w:p>
        </w:tc>
        <w:tc>
          <w:tcPr>
            <w:tcW w:w="30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sz w:val="25"/>
              </w:rPr>
            </w:pPr>
          </w:p>
          <w:p>
            <w:pPr>
              <w:pStyle w:val="TableParagraph"/>
              <w:spacing w:before="1"/>
              <w:ind w:left="289" w:right="270"/>
              <w:rPr>
                <w:sz w:val="24"/>
              </w:rPr>
            </w:pPr>
            <w:r>
              <w:rPr>
                <w:spacing w:val="-3"/>
                <w:sz w:val="24"/>
              </w:rPr>
              <w:t>拉线测量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1"/>
                <w:sz w:val="24"/>
              </w:rPr>
              <w:t>桥面板中心线与设计位置偏差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≤10</w:t>
            </w:r>
          </w:p>
        </w:tc>
        <w:tc>
          <w:tcPr>
            <w:tcW w:w="3059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0"/>
              <w:ind w:left="474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0"/>
              <w:ind w:left="321" w:right="301"/>
              <w:rPr>
                <w:sz w:val="24"/>
              </w:rPr>
            </w:pPr>
            <w:r>
              <w:rPr>
                <w:spacing w:val="-1"/>
                <w:sz w:val="24"/>
              </w:rPr>
              <w:t>腹板中心线与设计位置偏差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0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≤10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0"/>
              <w:ind w:left="289" w:right="270"/>
              <w:rPr>
                <w:sz w:val="24"/>
              </w:rPr>
            </w:pPr>
            <w:r>
              <w:rPr>
                <w:spacing w:val="-3"/>
                <w:sz w:val="24"/>
              </w:rPr>
              <w:t>尺量检查</w:t>
            </w:r>
          </w:p>
        </w:tc>
      </w:tr>
    </w:tbl>
    <w:p>
      <w:pPr>
        <w:spacing w:after="0"/>
        <w:rPr>
          <w:sz w:val="24"/>
        </w:rPr>
        <w:sectPr>
          <w:headerReference w:type="default" r:id="rId22"/>
          <w:footerReference w:type="default" r:id="rId23"/>
          <w:pgSz w:w="11910" w:h="16840"/>
          <w:pgMar w:top="1340" w:right="820" w:bottom="1380" w:left="820" w:header="873" w:footer="1181"/>
          <w:pgNumType w:start="10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45" style="width:418.2pt;height:0.75pt;mso-position-horizontal-relative:char;mso-position-vertical-relative:line" coordorigin="0,0" coordsize="8364,15">
            <v:line id="_x0000_s1046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sz w:val="6"/>
        </w:rPr>
      </w:pPr>
    </w:p>
    <w:tbl>
      <w:tblPr>
        <w:tblStyle w:val="TableNormal1"/>
        <w:tblW w:w="0" w:type="auto"/>
        <w:jc w:val="left"/>
        <w:tblInd w:w="1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9"/>
        <w:gridCol w:w="3779"/>
        <w:gridCol w:w="1260"/>
        <w:gridCol w:w="3059"/>
      </w:tblGrid>
      <w:tr>
        <w:tblPrEx>
          <w:tblW w:w="0" w:type="auto"/>
          <w:jc w:val="left"/>
          <w:tblInd w:w="10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横隔板中心位置偏差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≤5</w:t>
            </w:r>
          </w:p>
        </w:tc>
        <w:tc>
          <w:tcPr>
            <w:tcW w:w="305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模板倾斜度偏差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≤3‰</w:t>
            </w:r>
          </w:p>
        </w:tc>
        <w:tc>
          <w:tcPr>
            <w:tcW w:w="3059" w:type="dxa"/>
            <w:tcBorders>
              <w:right w:val="single" w:sz="8" w:space="0" w:color="000000"/>
            </w:tcBorders>
          </w:tcPr>
          <w:p>
            <w:pPr>
              <w:pStyle w:val="TableParagraph"/>
              <w:ind w:left="289" w:right="270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吊线尺量不小于 </w:t>
            </w: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处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底模不平整度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2"/>
                <w:sz w:val="24"/>
              </w:rPr>
              <w:t>≤2m／m</w:t>
            </w:r>
          </w:p>
        </w:tc>
        <w:tc>
          <w:tcPr>
            <w:tcW w:w="3059" w:type="dxa"/>
            <w:tcBorders>
              <w:right w:val="single" w:sz="8" w:space="0" w:color="000000"/>
            </w:tcBorders>
          </w:tcPr>
          <w:p>
            <w:pPr>
              <w:pStyle w:val="TableParagraph"/>
              <w:ind w:left="289" w:right="270"/>
              <w:rPr>
                <w:sz w:val="24"/>
              </w:rPr>
            </w:pPr>
            <w:r>
              <w:rPr>
                <w:sz w:val="24"/>
              </w:rPr>
              <w:t>1m</w:t>
            </w:r>
            <w:r>
              <w:rPr>
                <w:spacing w:val="-14"/>
                <w:sz w:val="24"/>
              </w:rPr>
              <w:t xml:space="preserve"> 靠尺检查不少于 </w:t>
            </w: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处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桥面板宽度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±10</w:t>
            </w:r>
          </w:p>
        </w:tc>
        <w:tc>
          <w:tcPr>
            <w:tcW w:w="3059" w:type="dxa"/>
            <w:vMerge w:val="restart"/>
            <w:tcBorders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189"/>
              <w:ind w:left="449"/>
              <w:jc w:val="left"/>
              <w:rPr>
                <w:sz w:val="24"/>
              </w:rPr>
            </w:pPr>
            <w:r>
              <w:rPr>
                <w:spacing w:val="-8"/>
                <w:sz w:val="24"/>
              </w:rPr>
              <w:t xml:space="preserve">尺量检查不少于 </w:t>
            </w:r>
            <w:r>
              <w:rPr>
                <w:sz w:val="24"/>
              </w:rPr>
              <w:t>5</w:t>
            </w:r>
            <w:r>
              <w:rPr>
                <w:spacing w:val="-35"/>
                <w:sz w:val="24"/>
              </w:rPr>
              <w:t xml:space="preserve"> 处</w:t>
            </w: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779" w:type="dxa"/>
          </w:tcPr>
          <w:p>
            <w:pPr>
              <w:pStyle w:val="TableParagraph"/>
              <w:ind w:left="320" w:right="301"/>
              <w:rPr>
                <w:sz w:val="24"/>
              </w:rPr>
            </w:pPr>
            <w:r>
              <w:rPr>
                <w:spacing w:val="-3"/>
                <w:sz w:val="24"/>
              </w:rPr>
              <w:t>腹板厚度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z w:val="24"/>
              </w:rPr>
              <w:t>＋10、</w: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59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79" w:type="dxa"/>
          </w:tcPr>
          <w:p>
            <w:pPr>
              <w:pStyle w:val="TableParagraph"/>
              <w:ind w:left="320" w:right="301"/>
              <w:rPr>
                <w:sz w:val="24"/>
              </w:rPr>
            </w:pPr>
            <w:r>
              <w:rPr>
                <w:spacing w:val="-3"/>
                <w:sz w:val="24"/>
              </w:rPr>
              <w:t>底板厚度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z w:val="24"/>
              </w:rPr>
              <w:t>＋10、</w: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59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779" w:type="dxa"/>
          </w:tcPr>
          <w:p>
            <w:pPr>
              <w:pStyle w:val="TableParagraph"/>
              <w:ind w:left="320" w:right="301"/>
              <w:rPr>
                <w:sz w:val="24"/>
              </w:rPr>
            </w:pPr>
            <w:r>
              <w:rPr>
                <w:spacing w:val="-3"/>
                <w:sz w:val="24"/>
              </w:rPr>
              <w:t>顶板厚度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z w:val="24"/>
              </w:rPr>
              <w:t>＋10、</w: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059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横隔板厚度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2"/>
                <w:sz w:val="24"/>
              </w:rPr>
              <w:t>＋10－5</w:t>
            </w:r>
          </w:p>
        </w:tc>
        <w:tc>
          <w:tcPr>
            <w:tcW w:w="3059" w:type="dxa"/>
            <w:vMerge/>
            <w:tcBorders>
              <w:top w:val="nil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29" w:type="dxa"/>
            <w:tcBorders>
              <w:left w:val="single" w:sz="8" w:space="0" w:color="000000"/>
            </w:tcBorders>
          </w:tcPr>
          <w:p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779" w:type="dxa"/>
          </w:tcPr>
          <w:p>
            <w:pPr>
              <w:pStyle w:val="TableParagraph"/>
              <w:ind w:left="321" w:right="301"/>
              <w:rPr>
                <w:sz w:val="24"/>
              </w:rPr>
            </w:pPr>
            <w:r>
              <w:rPr>
                <w:spacing w:val="-2"/>
                <w:sz w:val="24"/>
              </w:rPr>
              <w:t>预应力孔道中心偏差</w:t>
            </w:r>
          </w:p>
        </w:tc>
        <w:tc>
          <w:tcPr>
            <w:tcW w:w="1260" w:type="dxa"/>
          </w:tcPr>
          <w:p>
            <w:pPr>
              <w:pStyle w:val="TableParagraph"/>
              <w:ind w:left="140" w:right="121"/>
              <w:rPr>
                <w:sz w:val="24"/>
              </w:rPr>
            </w:pPr>
            <w:r>
              <w:rPr>
                <w:spacing w:val="-5"/>
                <w:sz w:val="24"/>
              </w:rPr>
              <w:t>≤3</w:t>
            </w:r>
          </w:p>
        </w:tc>
        <w:tc>
          <w:tcPr>
            <w:tcW w:w="3059" w:type="dxa"/>
            <w:tcBorders>
              <w:right w:val="single" w:sz="8" w:space="0" w:color="000000"/>
            </w:tcBorders>
          </w:tcPr>
          <w:p>
            <w:pPr>
              <w:pStyle w:val="TableParagraph"/>
              <w:ind w:left="289" w:right="270"/>
              <w:rPr>
                <w:sz w:val="24"/>
              </w:rPr>
            </w:pPr>
            <w:r>
              <w:rPr>
                <w:spacing w:val="-3"/>
                <w:sz w:val="24"/>
              </w:rPr>
              <w:t>尺量检查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98"/>
        <w:ind w:left="1540"/>
      </w:pPr>
      <w:r>
        <w:t>3</w:t>
      </w:r>
      <w:r>
        <w:rPr>
          <w:spacing w:val="-1"/>
        </w:rPr>
        <w:t>、箱梁钢筋的加工及安装监理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2241"/>
        </w:tabs>
        <w:spacing w:before="0" w:after="0" w:line="240" w:lineRule="auto"/>
        <w:ind w:left="2241" w:right="0" w:hanging="701"/>
        <w:jc w:val="left"/>
        <w:rPr>
          <w:sz w:val="28"/>
        </w:rPr>
      </w:pPr>
      <w:r>
        <w:rPr>
          <w:spacing w:val="-2"/>
          <w:sz w:val="28"/>
        </w:rPr>
        <w:t>吊装前的检查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540"/>
      </w:pPr>
      <w:r>
        <w:rPr>
          <w:spacing w:val="-1"/>
        </w:rPr>
        <w:t>①检查梁体钢筋加工胎具是否满足梁体钢筋加工符合设计的要</w:t>
      </w:r>
    </w:p>
    <w:p>
      <w:pPr>
        <w:pStyle w:val="BodyText"/>
        <w:rPr>
          <w:sz w:val="16"/>
        </w:rPr>
      </w:pPr>
    </w:p>
    <w:p>
      <w:pPr>
        <w:pStyle w:val="BodyText"/>
        <w:spacing w:before="60"/>
        <w:ind w:left="980"/>
      </w:pPr>
      <w:r>
        <w:t>求</w:t>
      </w:r>
    </w:p>
    <w:p>
      <w:pPr>
        <w:pStyle w:val="BodyText"/>
        <w:rPr>
          <w:sz w:val="16"/>
        </w:rPr>
      </w:pPr>
    </w:p>
    <w:p>
      <w:pPr>
        <w:pStyle w:val="BodyText"/>
        <w:spacing w:before="61" w:line="417" w:lineRule="auto"/>
        <w:ind w:left="980" w:right="885" w:firstLine="560"/>
      </w:pPr>
      <w:r>
        <w:rPr>
          <w:spacing w:val="-2"/>
        </w:rPr>
        <w:t>②检查从事钢筋加工和焊（连）接的操作人员必须经考试合格，</w:t>
      </w:r>
      <w:r>
        <w:rPr>
          <w:spacing w:val="-2"/>
        </w:rPr>
        <w:t>持证上岗。钢筋正式焊（连）接前，应进行现场条件下的焊（连）接</w:t>
      </w:r>
      <w:r>
        <w:rPr>
          <w:spacing w:val="-2"/>
        </w:rPr>
        <w:t>性能检验，合格后方能正式生产。</w:t>
      </w:r>
    </w:p>
    <w:p>
      <w:pPr>
        <w:pStyle w:val="BodyText"/>
        <w:spacing w:line="358" w:lineRule="exact"/>
        <w:ind w:left="1540"/>
      </w:pPr>
      <w:r>
        <w:rPr>
          <w:spacing w:val="-1"/>
        </w:rPr>
        <w:t>③钢筋进场检验合格后方准使用。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540"/>
      </w:pPr>
      <w:r>
        <w:rPr>
          <w:spacing w:val="-1"/>
        </w:rPr>
        <w:t>④在钢筋加工前，应将钢筋调直，并符合下列规定：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980" w:right="978" w:firstLine="560"/>
      </w:pPr>
      <w:r>
        <w:rPr>
          <w:spacing w:val="-4"/>
        </w:rPr>
        <w:t>A</w:t>
      </w:r>
      <w:r>
        <w:rPr>
          <w:spacing w:val="-8"/>
        </w:rPr>
        <w:t xml:space="preserve"> 钢筋表面的油渍、漆污、水泥浆和用锤敲击能剥落的浮皮、铁</w:t>
      </w:r>
      <w:r>
        <w:rPr>
          <w:spacing w:val="-2"/>
        </w:rPr>
        <w:t>锈等均应清除干净；</w:t>
      </w:r>
    </w:p>
    <w:p>
      <w:pPr>
        <w:pStyle w:val="BodyText"/>
        <w:spacing w:line="358" w:lineRule="exact"/>
        <w:ind w:left="1540"/>
      </w:pPr>
      <w:r>
        <w:t>B</w:t>
      </w:r>
      <w:r>
        <w:rPr>
          <w:spacing w:val="-1"/>
        </w:rPr>
        <w:t xml:space="preserve"> 钢筋应平直，无局部折曲；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540"/>
      </w:pPr>
      <w:r>
        <w:t>C</w:t>
      </w:r>
      <w:r>
        <w:rPr>
          <w:spacing w:val="-1"/>
        </w:rPr>
        <w:t xml:space="preserve"> 加工后的钢筋，表面不应有削弱钢筋截面的伤痕；</w:t>
      </w:r>
    </w:p>
    <w:p>
      <w:pPr>
        <w:pStyle w:val="BodyText"/>
        <w:spacing w:before="4" w:line="620" w:lineRule="atLeast"/>
        <w:ind w:left="980" w:right="978" w:firstLine="560"/>
      </w:pPr>
      <w:r>
        <w:rPr>
          <w:spacing w:val="-6"/>
        </w:rPr>
        <w:t>⑤受力钢筋焊接接头或绑扎接头应设置在内力较小处，并错开布</w:t>
      </w:r>
      <w:r>
        <w:t>置；在同一截面内，其绑扎接头数量，在受压区不超过总数的</w:t>
      </w:r>
      <w:r>
        <w:rPr>
          <w:spacing w:val="-4"/>
        </w:rPr>
        <w:t>50%,</w:t>
      </w:r>
    </w:p>
    <w:p>
      <w:pPr>
        <w:spacing w:after="0" w:line="620" w:lineRule="atLeast"/>
        <w:sectPr>
          <w:headerReference w:type="default" r:id="rId24"/>
          <w:footerReference w:type="default" r:id="rId25"/>
          <w:pgSz w:w="11910" w:h="16840"/>
          <w:pgMar w:top="1340" w:right="820" w:bottom="1380" w:left="820" w:header="873" w:footer="1181"/>
          <w:pgNumType w:start="11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47" style="width:418.2pt;height:0.75pt;mso-position-horizontal-relative:char;mso-position-vertical-relative:line" coordorigin="0,0" coordsize="8364,15">
            <v:line id="_x0000_s1048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 w:line="417" w:lineRule="auto"/>
        <w:ind w:left="980" w:right="978"/>
      </w:pPr>
      <w:r>
        <w:rPr>
          <w:spacing w:val="-2"/>
        </w:rPr>
        <w:t>在受拉区不超过总数的25%；对于主筋焊接接头数量，在受拉区不超</w:t>
      </w:r>
      <w:r>
        <w:t>过总数的50%, 在受压区不受限制。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11"/>
        </w:rPr>
        <w:t>⑥检查钢筋的纵向焊接，接头两端的主筋的轴线是否在同一直线</w:t>
      </w:r>
      <w:r>
        <w:rPr>
          <w:spacing w:val="-6"/>
        </w:rPr>
        <w:t>上。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2"/>
        </w:rPr>
        <w:t>⑦检查钢筋接头，双面焊缝长度不小于5倍的钢筋直径，单面焊</w:t>
      </w:r>
      <w:r>
        <w:t>缝长度不小于10倍的钢筋直径 钢筋交叉点铁丝绑扎是否结实。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2"/>
        </w:rPr>
        <w:t>⑧检查钢筋的保护层厚度,钢筋与模板之间应设置每平方米不少</w:t>
      </w:r>
      <w:r>
        <w:rPr>
          <w:spacing w:val="-2"/>
        </w:rPr>
        <w:t>于四个与梁体砼同强度等级的砼垫块。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⑨检查钢筋的根数、间距、规格形状等是否符合设计与规范的要</w:t>
      </w:r>
      <w:r>
        <w:rPr>
          <w:spacing w:val="-6"/>
        </w:rPr>
        <w:t>求。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⑩普通钢筋与预应力束有交错时，应避开橡胶棒绑扎，但不准割</w:t>
      </w:r>
      <w:r>
        <w:rPr>
          <w:spacing w:val="-4"/>
        </w:rPr>
        <w:t>断钢筋。</w:t>
      </w:r>
    </w:p>
    <w:p>
      <w:pPr>
        <w:pStyle w:val="BodyText"/>
        <w:spacing w:line="374" w:lineRule="exact"/>
        <w:ind w:left="1380"/>
      </w:pPr>
      <w:r>
        <w:rPr>
          <w:spacing w:val="-235"/>
        </w:rPr>
        <w:t>○</w:t>
      </w:r>
      <w:r>
        <w:rPr>
          <w:position w:val="4"/>
          <w:sz w:val="19"/>
        </w:rPr>
        <w:t xml:space="preserve">11 </w:t>
      </w:r>
      <w:r>
        <w:rPr>
          <w:spacing w:val="-1"/>
          <w:position w:val="2"/>
        </w:rPr>
        <w:t>钢筋绑扎时,其扎丝头均须进入钢筋骨架区域内,不得外伸至保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61"/>
        <w:ind w:left="980"/>
      </w:pPr>
      <w:r>
        <w:rPr>
          <w:spacing w:val="-3"/>
        </w:rPr>
        <w:t>护层内。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59"/>
        <w:ind w:left="1380"/>
      </w:pPr>
      <w:r>
        <w:rPr>
          <w:spacing w:val="-235"/>
        </w:rPr>
        <w:t>○</w:t>
      </w:r>
      <w:r>
        <w:rPr>
          <w:position w:val="4"/>
          <w:sz w:val="19"/>
        </w:rPr>
        <w:t>12</w:t>
      </w:r>
      <w:r>
        <w:rPr>
          <w:spacing w:val="-50"/>
          <w:position w:val="4"/>
          <w:sz w:val="19"/>
        </w:rPr>
        <w:t xml:space="preserve"> </w:t>
      </w:r>
      <w:r>
        <w:rPr>
          <w:spacing w:val="-6"/>
          <w:position w:val="2"/>
        </w:rPr>
        <w:t>监理工程师应对安装好的钢筋进行检查 , 合格后方准进行下道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61"/>
        <w:ind w:left="980"/>
      </w:pPr>
      <w:r>
        <w:rPr>
          <w:spacing w:val="-2"/>
        </w:rPr>
        <w:t>工序施工。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2241"/>
        </w:tabs>
        <w:spacing w:before="0" w:after="0" w:line="240" w:lineRule="auto"/>
        <w:ind w:left="2241" w:right="0" w:hanging="701"/>
        <w:jc w:val="left"/>
        <w:rPr>
          <w:sz w:val="28"/>
        </w:rPr>
      </w:pPr>
      <w:r>
        <w:rPr>
          <w:spacing w:val="-1"/>
          <w:sz w:val="28"/>
        </w:rPr>
        <w:t>箱梁钢筋整体吊装质量检查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</w:pPr>
      <w:r>
        <w:rPr>
          <w:spacing w:val="-7"/>
        </w:rPr>
        <w:t>①梁体钢筋整体吊装应在适当的位置加密吊点，并且使各吊点的</w:t>
      </w:r>
      <w:r>
        <w:rPr>
          <w:spacing w:val="-2"/>
        </w:rPr>
        <w:t>受力均匀才能进行施吊，必须保证梁体钢筋的整体质量。</w:t>
      </w:r>
    </w:p>
    <w:p>
      <w:pPr>
        <w:pStyle w:val="BodyText"/>
        <w:spacing w:line="417" w:lineRule="auto"/>
        <w:ind w:left="980" w:right="978" w:firstLine="560"/>
      </w:pPr>
      <w:r>
        <w:rPr>
          <w:spacing w:val="-4"/>
        </w:rPr>
        <w:t>②绑扎和焊接的钢筋骨（网）架，在吊装和浇注混凝土过程中不</w:t>
      </w:r>
      <w:r>
        <w:rPr>
          <w:spacing w:val="-2"/>
        </w:rPr>
        <w:t>得有变形、开焊或松脱现象，并应符合下列规定：</w:t>
      </w:r>
    </w:p>
    <w:p>
      <w:pPr>
        <w:pStyle w:val="BodyText"/>
        <w:spacing w:line="358" w:lineRule="exact"/>
        <w:ind w:left="1540"/>
      </w:pPr>
      <w:r>
        <w:t>A 在钢筋的交叉点处，应用铁丝按逐点改变绕丝方向（8字形</w:t>
      </w:r>
      <w:r>
        <w:rPr>
          <w:spacing w:val="-10"/>
        </w:rPr>
        <w:t>）</w:t>
      </w:r>
    </w:p>
    <w:p>
      <w:pPr>
        <w:spacing w:after="0" w:line="358" w:lineRule="exact"/>
        <w:sectPr>
          <w:headerReference w:type="default" r:id="rId26"/>
          <w:footerReference w:type="default" r:id="rId27"/>
          <w:pgSz w:w="11910" w:h="16840"/>
          <w:pgMar w:top="1340" w:right="820" w:bottom="1380" w:left="820" w:header="873" w:footer="1181"/>
          <w:pgNumType w:start="12"/>
          <w:cols w:space="708"/>
        </w:sectPr>
      </w:pPr>
    </w:p>
    <w:p>
      <w:pPr>
        <w:pStyle w:val="BodyText"/>
        <w:spacing w:line="20" w:lineRule="exact"/>
        <w:ind w:left="951"/>
        <w:rPr>
          <w:sz w:val="2"/>
        </w:rPr>
      </w:pPr>
      <w:r>
        <w:rPr>
          <w:sz w:val="2"/>
        </w:rPr>
        <w:pict>
          <v:group id="_x0000_i1049" style="width:418.2pt;height:0.75pt;mso-position-horizontal-relative:char;mso-position-vertical-relative:line" coordorigin="0,0" coordsize="8364,15">
            <v:line id="_x0000_s1050" style="position:absolute" from="0,7" to="8364,7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rPr>
          <w:sz w:val="12"/>
        </w:rPr>
      </w:pPr>
    </w:p>
    <w:p>
      <w:pPr>
        <w:pStyle w:val="BodyText"/>
        <w:spacing w:before="60"/>
        <w:ind w:left="980"/>
      </w:pPr>
      <w:r>
        <w:t>的方式交错扎结，或按双对角线（十字形）</w:t>
      </w:r>
      <w:r>
        <w:rPr>
          <w:spacing w:val="-2"/>
        </w:rPr>
        <w:t>方式扎结。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815" w:firstLine="560"/>
      </w:pPr>
      <w:r>
        <w:t>B</w:t>
      </w:r>
      <w:r>
        <w:rPr>
          <w:spacing w:val="-16"/>
        </w:rPr>
        <w:t xml:space="preserve"> 除设计有要求外，梁结构中钢筋骨架的箍筋应与主筋垂直围紧；</w:t>
      </w:r>
      <w:r>
        <w:rPr>
          <w:spacing w:val="-2"/>
        </w:rPr>
        <w:t>箍筋与主筋交叉点处应以铁丝绑扎；梁构件拐角处的交叉点应全部绑</w:t>
      </w:r>
      <w:r>
        <w:rPr>
          <w:spacing w:val="-2"/>
        </w:rPr>
        <w:t>扎；中间平直部分的交叉点可交错扎结。</w:t>
      </w:r>
    </w:p>
    <w:p>
      <w:pPr>
        <w:pStyle w:val="BodyText"/>
        <w:spacing w:line="417" w:lineRule="auto"/>
        <w:ind w:left="980" w:right="885" w:firstLine="560"/>
      </w:pPr>
      <w:r>
        <w:rPr>
          <w:spacing w:val="-2"/>
        </w:rPr>
        <w:t>③安装钢筋骨架时，应保证其在模型中的正确位置，不得倾斜、</w:t>
      </w:r>
      <w:r>
        <w:rPr>
          <w:spacing w:val="-2"/>
        </w:rPr>
        <w:t>扭曲，也不得变更保护层的规定厚度。</w:t>
      </w:r>
    </w:p>
    <w:p>
      <w:pPr>
        <w:pStyle w:val="BodyText"/>
        <w:spacing w:line="358" w:lineRule="exact"/>
        <w:ind w:left="1540"/>
      </w:pPr>
      <w:r>
        <w:rPr>
          <w:spacing w:val="-1"/>
        </w:rPr>
        <w:t>④钢筋骨架经安装就位后，应进行检查，作出记录并妥加保护。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980" w:right="978" w:firstLine="560"/>
      </w:pPr>
      <w:r>
        <w:rPr>
          <w:spacing w:val="-8"/>
        </w:rPr>
        <w:t>⑤当设计或专业施工规范无规定时，钢筋安装的允许偏差应符合</w:t>
      </w:r>
      <w:r>
        <w:rPr>
          <w:spacing w:val="-2"/>
        </w:rPr>
        <w:t>下表之规定。</w:t>
      </w:r>
    </w:p>
    <w:p>
      <w:pPr>
        <w:pStyle w:val="ListParagraph"/>
        <w:numPr>
          <w:ilvl w:val="0"/>
          <w:numId w:val="9"/>
        </w:numPr>
        <w:tabs>
          <w:tab w:val="left" w:pos="2241"/>
        </w:tabs>
        <w:spacing w:before="0" w:after="0" w:line="417" w:lineRule="auto"/>
        <w:ind w:left="1540" w:right="3545" w:firstLine="0"/>
        <w:jc w:val="left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width:427.1pt;height:109.15pt;margin-top:55.66pt;margin-left:84.1pt;mso-position-horizontal-relative:page;position:absolute;z-index:25165824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8"/>
                    <w:gridCol w:w="2997"/>
                    <w:gridCol w:w="2414"/>
                    <w:gridCol w:w="2253"/>
                  </w:tblGrid>
                  <w:tr>
                    <w:tblPrEx>
                      <w:tblW w:w="0" w:type="auto"/>
                      <w:jc w:val="left"/>
                      <w:tblInd w:w="1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858" w:type="dxa"/>
                        <w:tcBorders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176" w:right="156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项次</w:t>
                        </w:r>
                      </w:p>
                    </w:tc>
                    <w:tc>
                      <w:tcPr>
                        <w:tcW w:w="2997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171" w:right="151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检查项目</w:t>
                        </w:r>
                      </w:p>
                    </w:tc>
                    <w:tc>
                      <w:tcPr>
                        <w:tcW w:w="2414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240" w:right="22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规定值或允许偏差</w:t>
                        </w:r>
                      </w:p>
                    </w:tc>
                    <w:tc>
                      <w:tcPr>
                        <w:tcW w:w="2253" w:type="dxa"/>
                        <w:tcBorders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62"/>
                          <w:ind w:left="637" w:right="617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检查方法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5"/>
                      <w:jc w:val="left"/>
                    </w:trPr>
                    <w:tc>
                      <w:tcPr>
                        <w:tcW w:w="858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299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0" w:line="242" w:lineRule="auto"/>
                          <w:ind w:left="663" w:right="161" w:hanging="48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受力钢筋顺长度方向加工</w:t>
                        </w:r>
                        <w:r>
                          <w:rPr>
                            <w:spacing w:val="-2"/>
                            <w:sz w:val="24"/>
                          </w:rPr>
                          <w:t>后的全长（mm）</w:t>
                        </w:r>
                      </w:p>
                    </w:tc>
                    <w:tc>
                      <w:tcPr>
                        <w:tcW w:w="241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40" w:right="22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±10</w:t>
                        </w:r>
                      </w:p>
                    </w:tc>
                    <w:tc>
                      <w:tcPr>
                        <w:tcW w:w="22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0"/>
                          <w:jc w:val="left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37" w:right="617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用尺量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858" w:type="dxa"/>
                        <w:tcBorders>
                          <w:top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299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171" w:right="1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弯起钢筋弯折位置</w:t>
                        </w:r>
                        <w:r>
                          <w:rPr>
                            <w:spacing w:val="-4"/>
                            <w:sz w:val="24"/>
                          </w:rPr>
                          <w:t>（mm）</w:t>
                        </w:r>
                      </w:p>
                    </w:tc>
                    <w:tc>
                      <w:tcPr>
                        <w:tcW w:w="241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240" w:right="22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±20</w:t>
                        </w:r>
                      </w:p>
                    </w:tc>
                    <w:tc>
                      <w:tcPr>
                        <w:tcW w:w="225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637" w:right="617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用尺量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1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858" w:type="dxa"/>
                        <w:tcBorders>
                          <w:top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2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2997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171" w:right="15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箍筋内径尺寸</w:t>
                        </w:r>
                        <w:r>
                          <w:rPr>
                            <w:spacing w:val="-4"/>
                            <w:sz w:val="24"/>
                          </w:rPr>
                          <w:t>（mm）</w:t>
                        </w:r>
                      </w:p>
                    </w:tc>
                    <w:tc>
                      <w:tcPr>
                        <w:tcW w:w="2414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240" w:right="22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±3</w:t>
                        </w:r>
                      </w:p>
                    </w:tc>
                    <w:tc>
                      <w:tcPr>
                        <w:tcW w:w="2253" w:type="dxa"/>
                        <w:tcBorders>
                          <w:top w:val="single" w:sz="4" w:space="0" w:color="000000"/>
                          <w:left w:val="single" w:sz="4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78"/>
                          <w:ind w:left="637" w:right="617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用尺量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2"/>
          <w:sz w:val="28"/>
        </w:rPr>
        <w:t>钢筋加工及安装允许偏差和检验方法</w:t>
      </w:r>
      <w:r>
        <w:rPr>
          <w:spacing w:val="-2"/>
          <w:sz w:val="28"/>
        </w:rPr>
        <w:t>钢筋加工允许偏差和检验方法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after="10"/>
        <w:ind w:left="220" w:right="685"/>
        <w:jc w:val="center"/>
      </w:pPr>
      <w:r>
        <w:rPr>
          <w:spacing w:val="-1"/>
        </w:rPr>
        <w:t>钢筋骨架允许偏差和检验方法</w:t>
      </w:r>
    </w:p>
    <w:tbl>
      <w:tblPr>
        <w:tblStyle w:val="TableNormal2"/>
        <w:tblW w:w="0" w:type="auto"/>
        <w:jc w:val="left"/>
        <w:tblInd w:w="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3593"/>
        <w:gridCol w:w="2066"/>
        <w:gridCol w:w="2261"/>
      </w:tblGrid>
      <w:tr>
        <w:tblPrEx>
          <w:tblW w:w="0" w:type="auto"/>
          <w:jc w:val="left"/>
          <w:tblInd w:w="9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5" w:right="95"/>
              <w:rPr>
                <w:sz w:val="24"/>
              </w:rPr>
            </w:pPr>
            <w:r>
              <w:rPr>
                <w:spacing w:val="-5"/>
                <w:sz w:val="24"/>
              </w:rPr>
              <w:t>序号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5"/>
                <w:sz w:val="24"/>
              </w:rPr>
              <w:t>名称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z w:val="24"/>
              </w:rPr>
              <w:t>允许偏差</w:t>
            </w:r>
            <w:r>
              <w:rPr>
                <w:spacing w:val="-4"/>
                <w:sz w:val="24"/>
              </w:rPr>
              <w:t>（mm）</w:t>
            </w:r>
          </w:p>
        </w:tc>
        <w:tc>
          <w:tcPr>
            <w:tcW w:w="2261" w:type="dxa"/>
          </w:tcPr>
          <w:p>
            <w:pPr>
              <w:pStyle w:val="TableParagraph"/>
              <w:spacing w:before="112"/>
              <w:ind w:left="102" w:right="92"/>
              <w:rPr>
                <w:sz w:val="24"/>
              </w:rPr>
            </w:pPr>
            <w:r>
              <w:rPr>
                <w:spacing w:val="-3"/>
                <w:sz w:val="24"/>
              </w:rPr>
              <w:t>检验方法</w:t>
            </w: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0"/>
          <w:jc w:val="left"/>
        </w:trPr>
        <w:tc>
          <w:tcPr>
            <w:tcW w:w="720" w:type="dxa"/>
          </w:tcPr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1"/>
              <w:ind w:left="0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93" w:type="dxa"/>
          </w:tcPr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1"/>
              <w:ind w:left="0"/>
              <w:jc w:val="left"/>
              <w:rPr>
                <w:sz w:val="19"/>
              </w:rPr>
            </w:pPr>
          </w:p>
          <w:p>
            <w:pPr>
              <w:pStyle w:val="TableParagraph"/>
              <w:spacing w:before="0"/>
              <w:ind w:left="163" w:right="153"/>
              <w:rPr>
                <w:sz w:val="24"/>
              </w:rPr>
            </w:pPr>
            <w:r>
              <w:rPr>
                <w:spacing w:val="-1"/>
                <w:sz w:val="24"/>
              </w:rPr>
              <w:t>橡胶棒与任何方向的设计偏差</w:t>
            </w:r>
          </w:p>
        </w:tc>
        <w:tc>
          <w:tcPr>
            <w:tcW w:w="2066" w:type="dxa"/>
          </w:tcPr>
          <w:p>
            <w:pPr>
              <w:pStyle w:val="TableParagraph"/>
              <w:spacing w:before="0" w:line="440" w:lineRule="exact"/>
              <w:ind w:left="132" w:right="121"/>
              <w:rPr>
                <w:sz w:val="24"/>
              </w:rPr>
            </w:pPr>
            <w:r>
              <w:rPr>
                <w:spacing w:val="-2"/>
                <w:sz w:val="24"/>
              </w:rPr>
              <w:t>距跨中4m范围≤</w:t>
            </w:r>
            <w:r>
              <w:rPr>
                <w:spacing w:val="-2"/>
                <w:sz w:val="24"/>
              </w:rPr>
              <w:t xml:space="preserve">4 mm，其余部分≤6 </w:t>
            </w:r>
            <w:r>
              <w:rPr>
                <w:spacing w:val="-6"/>
                <w:sz w:val="24"/>
              </w:rPr>
              <w:t>mm</w:t>
            </w:r>
          </w:p>
        </w:tc>
        <w:tc>
          <w:tcPr>
            <w:tcW w:w="2261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TableParagraph"/>
              <w:spacing w:before="9"/>
              <w:ind w:left="0"/>
              <w:jc w:val="left"/>
              <w:rPr>
                <w:sz w:val="23"/>
              </w:rPr>
            </w:pPr>
          </w:p>
          <w:p>
            <w:pPr>
              <w:pStyle w:val="TableParagraph"/>
              <w:spacing w:before="1"/>
              <w:ind w:left="4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用钢卷尺测量</w:t>
            </w: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1"/>
                <w:sz w:val="24"/>
              </w:rPr>
              <w:t>桥面主筋间距及位置偏差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pacing w:val="-2"/>
                <w:sz w:val="24"/>
              </w:rPr>
              <w:t>≤15mm</w:t>
            </w:r>
          </w:p>
        </w:tc>
        <w:tc>
          <w:tcPr>
            <w:tcW w:w="22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1"/>
                <w:sz w:val="24"/>
              </w:rPr>
              <w:t>底板钢筋间距及位置偏差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pacing w:val="-4"/>
                <w:sz w:val="24"/>
              </w:rPr>
              <w:t>≤8mm</w:t>
            </w:r>
          </w:p>
        </w:tc>
        <w:tc>
          <w:tcPr>
            <w:tcW w:w="22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2"/>
                <w:sz w:val="24"/>
              </w:rPr>
              <w:t>箍筋间距及位置偏差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pacing w:val="-2"/>
                <w:sz w:val="24"/>
              </w:rPr>
              <w:t>≤15mm</w:t>
            </w:r>
          </w:p>
        </w:tc>
        <w:tc>
          <w:tcPr>
            <w:tcW w:w="22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2"/>
                <w:sz w:val="24"/>
              </w:rPr>
              <w:t>腹板钢筋的不垂直度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pacing w:val="-2"/>
                <w:sz w:val="24"/>
              </w:rPr>
              <w:t>≤15mm</w:t>
            </w:r>
          </w:p>
        </w:tc>
        <w:tc>
          <w:tcPr>
            <w:tcW w:w="2261" w:type="dxa"/>
          </w:tcPr>
          <w:p>
            <w:pPr>
              <w:pStyle w:val="TableParagraph"/>
              <w:spacing w:before="68"/>
              <w:ind w:left="102" w:right="92"/>
              <w:rPr>
                <w:sz w:val="24"/>
              </w:rPr>
            </w:pPr>
            <w:r>
              <w:rPr>
                <w:spacing w:val="-16"/>
                <w:sz w:val="24"/>
              </w:rPr>
              <w:t>用垂线、钢卷尺测量</w:t>
            </w:r>
          </w:p>
        </w:tc>
      </w:tr>
      <w:tr>
        <w:tblPrEx>
          <w:tblW w:w="0" w:type="auto"/>
          <w:jc w:val="left"/>
          <w:tblInd w:w="9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720" w:type="dxa"/>
          </w:tcPr>
          <w:p>
            <w:pPr>
              <w:pStyle w:val="TableParagraph"/>
              <w:spacing w:before="112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93" w:type="dxa"/>
          </w:tcPr>
          <w:p>
            <w:pPr>
              <w:pStyle w:val="TableParagraph"/>
              <w:spacing w:before="112"/>
              <w:ind w:left="163" w:right="153"/>
              <w:rPr>
                <w:sz w:val="24"/>
              </w:rPr>
            </w:pPr>
            <w:r>
              <w:rPr>
                <w:spacing w:val="-1"/>
                <w:sz w:val="24"/>
              </w:rPr>
              <w:t>钢筋保护层厚度与设计值 偏差</w:t>
            </w:r>
          </w:p>
        </w:tc>
        <w:tc>
          <w:tcPr>
            <w:tcW w:w="2066" w:type="dxa"/>
          </w:tcPr>
          <w:p>
            <w:pPr>
              <w:pStyle w:val="TableParagraph"/>
              <w:spacing w:before="112"/>
              <w:ind w:left="130" w:right="121"/>
              <w:rPr>
                <w:sz w:val="24"/>
              </w:rPr>
            </w:pPr>
            <w:r>
              <w:rPr>
                <w:sz w:val="24"/>
              </w:rPr>
              <w:t xml:space="preserve">+5 </w:t>
            </w:r>
            <w:r>
              <w:rPr>
                <w:spacing w:val="-4"/>
                <w:sz w:val="24"/>
              </w:rPr>
              <w:t>mm，0</w:t>
            </w:r>
          </w:p>
        </w:tc>
        <w:tc>
          <w:tcPr>
            <w:tcW w:w="2261" w:type="dxa"/>
          </w:tcPr>
          <w:p>
            <w:pPr>
              <w:pStyle w:val="TableParagraph"/>
              <w:spacing w:before="112"/>
              <w:ind w:left="102" w:right="92"/>
              <w:rPr>
                <w:sz w:val="24"/>
              </w:rPr>
            </w:pPr>
            <w:r>
              <w:rPr>
                <w:spacing w:val="-2"/>
                <w:sz w:val="24"/>
              </w:rPr>
              <w:t>用钢卷尺测量</w:t>
            </w:r>
          </w:p>
        </w:tc>
      </w:tr>
    </w:tbl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https://d.book118.com/528142124130006042</w:t>
        </w:r>
      </w:hyperlink>
    </w:p>
    <w:p>
      <w:pPr>
        <w:spacing w:after="0"/>
        <w:rPr>
          <w:sz w:val="24"/>
        </w:rPr>
      </w:pPr>
    </w:p>
    <w:sectPr>
      <w:headerReference w:type="default" r:id="rId29"/>
      <w:footerReference w:type="default" r:id="rId30"/>
      <w:pgSz w:w="11910" w:h="16840"/>
      <w:pgMar w:top="1340" w:right="820" w:bottom="1380" w:left="820" w:header="873" w:footer="1181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8240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5pt;height:12pt;margin-top:778.11pt;margin-left:286.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54" type="#_x0000_t202" style="width:192.55pt;height:13.15pt;margin-top:778.79pt;margin-left: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5168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1.5pt;height:12pt;margin-top:778.11pt;margin-left:286.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60" type="#_x0000_t202" style="width:192.55pt;height:13.15pt;margin-top:778.79pt;margin-left: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52096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1.5pt;height:12pt;margin-top:778.11pt;margin-left:286.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66" type="#_x0000_t202" style="width:192.55pt;height:13.15pt;margin-top:778.79pt;margin-left:8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0" style="mso-position-horizontal-relative:page;mso-position-vertical-relative:page;position:absolute;z-index:-251649024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1.5pt;height:12pt;margin-top:778.11pt;margin-left:286.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72" type="#_x0000_t202" style="width:192.55pt;height:13.15pt;margin-top:778.79pt;margin-left:8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6" style="mso-position-horizontal-relative:page;mso-position-vertical-relative:page;position:absolute;z-index:-251645952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1.5pt;height:12pt;margin-top:778.11pt;margin-left:286.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78" type="#_x0000_t202" style="width:192.55pt;height:13.15pt;margin-top:778.79pt;margin-left:8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2" style="mso-position-horizontal-relative:page;mso-position-vertical-relative:page;position:absolute;z-index:-251642880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21.5pt;height:12pt;margin-top:778.11pt;margin-left:286.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84" type="#_x0000_t202" style="width:192.55pt;height:13.15pt;margin-top:778.79pt;margin-left:8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8" style="mso-position-horizontal-relative:page;mso-position-vertical-relative:page;position:absolute;z-index:-251639808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1.5pt;height:12pt;margin-top:778.11pt;margin-left:286.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90" type="#_x0000_t202" style="width:192.55pt;height:13.15pt;margin-top:778.79pt;margin-left:8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36736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21.5pt;height:12pt;margin-top:778.11pt;margin-left:286.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8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096" type="#_x0000_t202" style="width:192.55pt;height:13.15pt;margin-top:778.79pt;margin-left:8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0" style="mso-position-horizontal-relative:page;mso-position-vertical-relative:page;position:absolute;z-index:-251633664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21.5pt;height:12pt;margin-top:778.11pt;margin-left:286.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9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102" type="#_x0000_t202" style="width:192.55pt;height:13.15pt;margin-top:778.79pt;margin-left:8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6" style="mso-position-horizontal-relative:page;mso-position-vertical-relative:page;position:absolute;z-index:-251630592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21.5pt;height:12pt;margin-top:778.11pt;margin-left:286.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10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108" type="#_x0000_t202" style="width:192.55pt;height:13.15pt;margin-top:778.79pt;margin-left:8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2" style="mso-position-horizontal-relative:page;mso-position-vertical-relative:page;position:absolute;z-index:-251627520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21.5pt;height:12pt;margin-top:778.11pt;margin-left:286.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114" type="#_x0000_t202" style="width:192.55pt;height:13.15pt;margin-top:778.79pt;margin-left:8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8" style="mso-position-horizontal-relative:page;mso-position-vertical-relative:page;position:absolute;z-index:-251624448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1.5pt;height:12pt;margin-top:778.11pt;margin-left:286.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120" type="#_x0000_t202" style="width:192.55pt;height:13.15pt;margin-top:778.79pt;margin-left:8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4" style="mso-position-horizontal-relative:page;mso-position-vertical-relative:page;position:absolute;z-index:-251621376" from="80.65pt,774pt" to="516.6pt,774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21.5pt;height:12pt;margin-top:778.11pt;margin-left:286.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  <w:r>
      <w:pict>
        <v:shape id="_x0000_s2126" type="#_x0000_t202" style="width:192.55pt;height:13.15pt;margin-top:778.79pt;margin-left:8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中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铁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二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都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)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咨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询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监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理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有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限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责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任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公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司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(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联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合</w:t>
                </w:r>
                <w:r>
                  <w:rPr>
                    <w:rFonts w:ascii="微软雅黑" w:eastAsia="微软雅黑"/>
                    <w:b/>
                    <w:spacing w:val="-8"/>
                    <w:sz w:val="19"/>
                  </w:rPr>
                  <w:t>体</w:t>
                </w:r>
                <w:r>
                  <w:rPr>
                    <w:rFonts w:ascii="微软雅黑" w:eastAsia="微软雅黑"/>
                    <w:b/>
                    <w:spacing w:val="-10"/>
                    <w:sz w:val="22"/>
                  </w:rPr>
                  <w:t>)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0.25pt;height:13.85pt;margin-top:42.66pt;margin-left: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51" type="#_x0000_t202" style="width:107.4pt;height:13.15pt;margin-top:42.66pt;margin-left:396.5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5168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0.25pt;height:13.85pt;margin-top:42.66pt;margin-left: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57" type="#_x0000_t202" style="width:107.4pt;height:13.15pt;margin-top:42.66pt;margin-left:396.5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2096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20.25pt;height:13.85pt;margin-top:42.66pt;margin-left: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63" type="#_x0000_t202" style="width:107.4pt;height:13.15pt;margin-top:42.66pt;margin-left:396.5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49024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20.25pt;height:13.85pt;margin-top:42.66pt;margin-left:8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69" type="#_x0000_t202" style="width:107.4pt;height:13.15pt;margin-top:42.66pt;margin-left:396.5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45952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20.25pt;height:13.85pt;margin-top:42.66pt;margin-left:8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75" type="#_x0000_t202" style="width:107.4pt;height:13.15pt;margin-top:42.66pt;margin-left:396.5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42880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20.25pt;height:13.85pt;margin-top:42.66pt;margin-left:8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81" type="#_x0000_t202" style="width:107.4pt;height:13.15pt;margin-top:42.66pt;margin-left:396.5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39808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20.25pt;height:13.85pt;margin-top:42.66pt;margin-left:8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87" type="#_x0000_t202" style="width:107.4pt;height:13.15pt;margin-top:42.66pt;margin-left:396.5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1" style="mso-position-horizontal-relative:page;mso-position-vertical-relative:page;position:absolute;z-index:-251636736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20.25pt;height:13.85pt;margin-top:42.66pt;margin-left:8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93" type="#_x0000_t202" style="width:107.4pt;height:13.15pt;margin-top:42.66pt;margin-left:396.5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7" style="mso-position-horizontal-relative:page;mso-position-vertical-relative:page;position:absolute;z-index:-251633664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20.25pt;height:13.85pt;margin-top:42.66pt;margin-left:8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099" type="#_x0000_t202" style="width:107.4pt;height:13.15pt;margin-top:42.66pt;margin-left:396.5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3" style="mso-position-horizontal-relative:page;mso-position-vertical-relative:page;position:absolute;z-index:-251630592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20.25pt;height:13.85pt;margin-top:42.66pt;margin-left:8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105" type="#_x0000_t202" style="width:107.4pt;height:13.15pt;margin-top:42.66pt;margin-left:396.5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627520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20.25pt;height:13.85pt;margin-top:42.66pt;margin-left:8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111" type="#_x0000_t202" style="width:107.4pt;height:13.15pt;margin-top:42.66pt;margin-left:396.5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5" style="mso-position-horizontal-relative:page;mso-position-vertical-relative:page;position:absolute;z-index:-251624448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20.25pt;height:13.85pt;margin-top:42.66pt;margin-left:8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117" type="#_x0000_t202" style="width:107.4pt;height:13.15pt;margin-top:42.66pt;margin-left:396.5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1" style="mso-position-horizontal-relative:page;mso-position-vertical-relative:page;position:absolute;z-index:-251621376" from="87.6pt,57.85pt" to="513pt,57.85pt" stroked="t" strokecolor="black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20.25pt;height:13.85pt;margin-top:42.66pt;margin-left:8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77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新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京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沪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高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铁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路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土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建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工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程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3"/>
                    <w:sz w:val="22"/>
                  </w:rPr>
                  <w:t xml:space="preserve"> 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pacing w:val="-8"/>
                    <w:sz w:val="21"/>
                  </w:rPr>
                  <w:t>JHJL-4</w:t>
                </w:r>
                <w:r>
                  <w:rPr>
                    <w:rFonts w:ascii="Times New Roman" w:eastAsia="Times New Roman"/>
                    <w:b/>
                    <w:i/>
                    <w:color w:val="800000"/>
                    <w:sz w:val="21"/>
                  </w:rPr>
                  <w:t xml:space="preserve"> 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合</w:t>
                </w:r>
                <w:r>
                  <w:rPr>
                    <w:rFonts w:ascii="微软雅黑" w:eastAsia="微软雅黑"/>
                    <w:b/>
                    <w:color w:val="800000"/>
                    <w:spacing w:val="-8"/>
                    <w:sz w:val="22"/>
                  </w:rPr>
                  <w:t>同</w:t>
                </w:r>
                <w:r>
                  <w:rPr>
                    <w:rFonts w:ascii="微软雅黑" w:eastAsia="微软雅黑"/>
                    <w:b/>
                    <w:color w:val="800000"/>
                    <w:spacing w:val="-10"/>
                    <w:sz w:val="22"/>
                  </w:rPr>
                  <w:t>段</w:t>
                </w:r>
              </w:p>
            </w:txbxContent>
          </v:textbox>
        </v:shape>
      </w:pict>
    </w:r>
    <w:r>
      <w:pict>
        <v:shape id="_x0000_s2123" type="#_x0000_t202" style="width:107.4pt;height:13.15pt;margin-top:42.66pt;margin-left:396.5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262" w:lineRule="exact"/>
                  <w:ind w:left="20" w:right="0" w:firstLine="0"/>
                  <w:jc w:val="left"/>
                  <w:rPr>
                    <w:rFonts w:ascii="微软雅黑" w:eastAsia="微软雅黑"/>
                    <w:b/>
                    <w:sz w:val="22"/>
                  </w:rPr>
                </w:pP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箱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梁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预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制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监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实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施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细</w:t>
                </w:r>
                <w:r>
                  <w:rPr>
                    <w:rFonts w:ascii="微软雅黑" w:eastAsia="微软雅黑"/>
                    <w:b/>
                    <w:color w:val="800000"/>
                    <w:spacing w:val="-12"/>
                    <w:sz w:val="22"/>
                  </w:rPr>
                  <w:t>则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564D4E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1">
    <w:nsid w:val="086B036D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2">
    <w:nsid w:val="0E9C9F97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4"/>
      </w:pPr>
      <w:rPr>
        <w:rFonts w:hint="default"/>
        <w:lang w:val="en-US" w:eastAsia="zh-CN" w:bidi="ar-SA"/>
      </w:rPr>
    </w:lvl>
  </w:abstractNum>
  <w:abstractNum w:abstractNumId="3">
    <w:nsid w:val="1CABEF39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4">
    <w:nsid w:val="22A2CE5B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4"/>
      </w:pPr>
      <w:rPr>
        <w:rFonts w:hint="default"/>
        <w:lang w:val="en-US" w:eastAsia="zh-CN" w:bidi="ar-SA"/>
      </w:rPr>
    </w:lvl>
  </w:abstractNum>
  <w:abstractNum w:abstractNumId="5">
    <w:nsid w:val="294F8420"/>
    <w:multiLevelType w:val="hybridMultilevel"/>
    <w:tmpl w:val="00000000"/>
    <w:lvl w:ilvl="0">
      <w:start w:val="7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6">
    <w:nsid w:val="2AD064B2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4"/>
      </w:pPr>
      <w:rPr>
        <w:rFonts w:hint="default"/>
        <w:lang w:val="en-US" w:eastAsia="zh-CN" w:bidi="ar-SA"/>
      </w:rPr>
    </w:lvl>
  </w:abstractNum>
  <w:abstractNum w:abstractNumId="7">
    <w:nsid w:val="31D04585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1"/>
      </w:pPr>
      <w:rPr>
        <w:rFonts w:hint="default"/>
        <w:lang w:val="en-US" w:eastAsia="zh-CN" w:bidi="ar-SA"/>
      </w:rPr>
    </w:lvl>
  </w:abstractNum>
  <w:abstractNum w:abstractNumId="8">
    <w:nsid w:val="344AB6C7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9">
    <w:nsid w:val="4CC6F44E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8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1"/>
      </w:pPr>
      <w:rPr>
        <w:rFonts w:hint="default"/>
        <w:lang w:val="en-US" w:eastAsia="zh-CN" w:bidi="ar-SA"/>
      </w:rPr>
    </w:lvl>
  </w:abstractNum>
  <w:abstractNum w:abstractNumId="10">
    <w:nsid w:val="5118BD1F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4"/>
      </w:pPr>
      <w:rPr>
        <w:rFonts w:hint="default"/>
        <w:lang w:val="en-US" w:eastAsia="zh-CN" w:bidi="ar-SA"/>
      </w:rPr>
    </w:lvl>
  </w:abstractNum>
  <w:abstractNum w:abstractNumId="11">
    <w:nsid w:val="5C85E3F2"/>
    <w:multiLevelType w:val="hybridMultilevel"/>
    <w:tmpl w:val="00000000"/>
    <w:lvl w:ilvl="0">
      <w:start w:val="1"/>
      <w:numFmt w:val="decimal"/>
      <w:lvlText w:val="（%1）"/>
      <w:lvlJc w:val="left"/>
      <w:pPr>
        <w:ind w:left="224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4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4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5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0" w:hanging="701"/>
      </w:pPr>
      <w:rPr>
        <w:rFonts w:hint="default"/>
        <w:lang w:val="en-US" w:eastAsia="zh-CN" w:bidi="ar-SA"/>
      </w:rPr>
    </w:lvl>
  </w:abstractNum>
  <w:abstractNum w:abstractNumId="12">
    <w:nsid w:val="73894924"/>
    <w:multiLevelType w:val="hybridMultilevel"/>
    <w:tmpl w:val="00000000"/>
    <w:lvl w:ilvl="0">
      <w:start w:val="3"/>
      <w:numFmt w:val="decimal"/>
      <w:lvlText w:val="（%1）"/>
      <w:lvlJc w:val="left"/>
      <w:pPr>
        <w:ind w:left="980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8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8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840"/>
      </w:pPr>
      <w:rPr>
        <w:rFonts w:hint="default"/>
        <w:lang w:val="en-US" w:eastAsia="zh-CN" w:bidi="ar-SA"/>
      </w:rPr>
    </w:lvl>
  </w:abstractNum>
  <w:abstractNum w:abstractNumId="13">
    <w:nsid w:val="79815FF9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4"/>
      </w:pPr>
      <w:rPr>
        <w:rFonts w:hint="default"/>
        <w:lang w:val="en-US" w:eastAsia="zh-CN" w:bidi="ar-SA"/>
      </w:rPr>
    </w:lvl>
  </w:abstractNum>
  <w:abstractNum w:abstractNumId="14">
    <w:nsid w:val="7A0432AA"/>
    <w:multiLevelType w:val="hybridMultilevel"/>
    <w:tmpl w:val="00000000"/>
    <w:lvl w:ilvl="0">
      <w:start w:val="1"/>
      <w:numFmt w:val="decimal"/>
      <w:lvlText w:val="（%1）"/>
      <w:lvlJc w:val="left"/>
      <w:pPr>
        <w:ind w:left="154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1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28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1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3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0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7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4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0" w:hanging="701"/>
      </w:pPr>
      <w:rPr>
        <w:rFonts w:hint="default"/>
        <w:lang w:val="en-US" w:eastAsia="zh-CN" w:bidi="ar-SA"/>
      </w:rPr>
    </w:lvl>
  </w:abstractNum>
  <w:abstractNum w:abstractNumId="15">
    <w:nsid w:val="7CD3F2EC"/>
    <w:multiLevelType w:val="hybridMultilevel"/>
    <w:tmpl w:val="00000000"/>
    <w:lvl w:ilvl="0">
      <w:start w:val="1"/>
      <w:numFmt w:val="decimal"/>
      <w:lvlText w:val="（%1）"/>
      <w:lvlJc w:val="left"/>
      <w:pPr>
        <w:ind w:left="98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48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0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3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6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5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08" w:hanging="701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0"/>
  </w:num>
  <w:num w:numId="5">
    <w:abstractNumId w:val="2"/>
  </w:num>
  <w:num w:numId="6">
    <w:abstractNumId w:val="1"/>
  </w:num>
  <w:num w:numId="7">
    <w:abstractNumId w:val="14"/>
  </w:num>
  <w:num w:numId="8">
    <w:abstractNumId w:val="3"/>
  </w:num>
  <w:num w:numId="9">
    <w:abstractNumId w:val="0"/>
  </w:num>
  <w:num w:numId="10">
    <w:abstractNumId w:val="8"/>
  </w:num>
  <w:num w:numId="11">
    <w:abstractNumId w:val="9"/>
  </w:num>
  <w:num w:numId="12">
    <w:abstractNumId w:val="6"/>
  </w:num>
  <w:num w:numId="13">
    <w:abstractNumId w:val="4"/>
  </w:num>
  <w:num w:numId="14">
    <w:abstractNumId w:val="13"/>
  </w:num>
  <w:num w:numId="15">
    <w:abstractNumId w:val="1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right="1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right="1"/>
      <w:jc w:val="center"/>
      <w:outlineLvl w:val="1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1540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13"/>
      <w:jc w:val="center"/>
    </w:pPr>
    <w:rPr>
      <w:rFonts w:ascii="宋体" w:eastAsia="宋体" w:hAnsi="宋体" w:cs="宋体"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980" w:hanging="70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82"/>
      <w:ind w:left="107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8142124130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2024-03-04T13:01:39Z</dcterms:created>
  <dcterms:modified xsi:type="dcterms:W3CDTF">2024-03-04T13:01:39Z</dcterms:modified>
</cp:coreProperties>
</file>