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医用缝合材料相关行业公司成立方案及可行性研究报告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_Toc16241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(七)、医用缝合材料项目建设必要性分析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二、医用缝合材料项目概况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(二)、医用缝合材料项目提出的理由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(三)、医用缝合材料项目选址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(六)、医用缝合材料项目投资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(七)、医用缝合材料项目进度规划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7" w:history="1">
        <w:r>
          <w:rPr>
            <w:rFonts w:ascii="仿宋" w:eastAsia="仿宋" w:hAnsi="仿宋" w:cs="仿宋" w:hint="eastAsia"/>
            <w:lang w:eastAsia="zh-CN"/>
          </w:rPr>
          <w:t>(九)、医用缝合材料项目综合评价</w:t>
        </w:r>
        <w:r>
          <w:tab/>
        </w:r>
        <w:r>
          <w:fldChar w:fldCharType="begin"/>
        </w:r>
        <w:r>
          <w:instrText xml:space="preserve"> PAGEREF _Toc9517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六、医用缝合材料项目风险分析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eastAsia="zh-CN"/>
          </w:rPr>
          <w:t>(一)、医用缝合材料项目风险分析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(二)、医用缝合材料项目风险对策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_Toc13910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(一)、医用缝合材料项目进度安排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(二)、医用缝合材料项目实施保障措施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5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9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https://d.book118.com/535232003323011110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医用缝合材料相关行业公司成立方案及可行性研究报告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23200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2024-02-04T05:17:00Z</dcterms:created>
  <dcterms:modified xsi:type="dcterms:W3CDTF">2024-02-04T05:17:10Z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AC6DED5AAB0447F8A84F2BB510527425_11</vt:lpwstr>
  </property>
  <property fmtid="{D5CDD505-2E9C-101B-9397-08002B2CF9AE}" pid="3" name="KSOProductBuildVer">
    <vt:lpwstr>2052-12.1.0.16250</vt:lpwstr>
  </property>
</Properties>
</file>