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螺纹磨床行业相关公司筹备报告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_Toc19870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二、螺纹磨床项目概况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_Toc13976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(二)、螺纹磨床项目提出的理由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(三)、螺纹磨床项目选址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(六)、螺纹磨床项目投资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7" w:history="1">
        <w:r>
          <w:rPr>
            <w:rFonts w:ascii="仿宋" w:eastAsia="仿宋" w:hAnsi="仿宋" w:cs="仿宋" w:hint="eastAsia"/>
            <w:lang w:eastAsia="zh-CN"/>
          </w:rPr>
          <w:t>(七)、螺纹磨床项目进度规划</w:t>
        </w:r>
        <w:r>
          <w:tab/>
        </w:r>
        <w:r>
          <w:fldChar w:fldCharType="begin"/>
        </w:r>
        <w:r>
          <w:instrText xml:space="preserve"> PAGEREF _Toc32667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(九)、螺纹磨床项目综合评价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_Toc25346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2" w:history="1">
        <w:r>
          <w:rPr>
            <w:rFonts w:ascii="仿宋" w:eastAsia="仿宋" w:hAnsi="仿宋" w:cs="仿宋" w:hint="eastAsia"/>
            <w:lang w:eastAsia="zh-CN"/>
          </w:rPr>
          <w:t>(七)、螺纹磨床项目建设必要性分析</w:t>
        </w:r>
        <w:r>
          <w:tab/>
        </w:r>
        <w:r>
          <w:fldChar w:fldCharType="begin"/>
        </w:r>
        <w:r>
          <w:instrText xml:space="preserve"> PAGEREF _Toc11112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_Toc11065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_Toc10177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_Toc29423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_Toc3757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_Toc21983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_Toc25536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_Toc30761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_Toc13189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_Toc20556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(一)、螺纹磨床项目背景分析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2" w:history="1">
        <w:r>
          <w:rPr>
            <w:rFonts w:ascii="仿宋" w:eastAsia="仿宋" w:hAnsi="仿宋" w:cs="仿宋" w:hint="eastAsia"/>
            <w:lang w:eastAsia="zh-CN"/>
          </w:rPr>
          <w:t>(二)、螺纹磨床项目建设必要性分析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九、螺纹磨床项目经济效益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(三)、螺纹磨床项目盈利能力分析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_Toc22333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(一)、螺纹磨床项目进度安排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(二)、螺纹磨床项目实施保障措施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52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9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58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https://d.book118.com/535243201010011102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螺纹磨床行业相关公司筹备报告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螺纹磨床行业相关公司筹备报告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螺纹磨床行业相关公司筹备报告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螺纹磨床行业相关公司筹备报告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螺纹磨床行业相关公司筹备报告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5243201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2024-01-19T16:13:00Z</dcterms:created>
  <dcterms:modified xsi:type="dcterms:W3CDTF">2024-01-19T16:14:02Z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FFD2048AEB174790B2DEE6EA7246D1D1_11</vt:lpwstr>
  </property>
  <property fmtid="{D5CDD505-2E9C-101B-9397-08002B2CF9AE}" pid="3" name="KSOProductBuildVer">
    <vt:lpwstr>2052-12.1.0.16120</vt:lpwstr>
  </property>
</Properties>
</file>