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二乙二醇项目融资计划书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二、法人治理结构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三、二乙二醇项目建设背景及必要性分析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(一)、二乙二醇项目承办单位背景分析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(二)、二乙二醇项目背景分析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(三)、二乙二醇项目建设必要性分析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四、二乙二醇筹建公司基本信息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五、重点企业调研分析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_Toc9073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六、企业管理方案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5" w:history="1">
        <w:r>
          <w:rPr>
            <w:rFonts w:ascii="仿宋" w:eastAsia="仿宋" w:hAnsi="仿宋" w:cs="仿宋" w:hint="eastAsia"/>
            <w:lang w:eastAsia="zh-CN"/>
          </w:rPr>
          <w:t>七、对策措施与建议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2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九、财务分析及盈利预测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_Toc30701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2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_Toc18552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3" w:history="1">
        <w:r>
          <w:rPr>
            <w:rFonts w:ascii="仿宋" w:eastAsia="仿宋" w:hAnsi="仿宋" w:cs="仿宋" w:hint="eastAsia"/>
            <w:lang w:eastAsia="zh-CN"/>
          </w:rPr>
          <w:t>十、风险风险及应对措施</w:t>
        </w:r>
        <w:r>
          <w:tab/>
        </w:r>
        <w:r>
          <w:fldChar w:fldCharType="begin"/>
        </w:r>
        <w:r>
          <w:instrText xml:space="preserve"> PAGEREF _Toc5733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(一)、二乙二醇项目风险分析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(二)、二乙二醇项目风险对策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十一、二乙二醇制度建设与执行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4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_Toc18959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十三、产品规划方案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_Toc30269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十四、二乙二醇项目合作伙伴与利益相关者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十五、二乙二醇项目工程方案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_Toc5719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十六、风险分析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_Toc32251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十七、风险沟通与管理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eastAsia="zh-CN"/>
          </w:rPr>
          <w:t>十八、二乙二醇项目风险防范分析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(一)、二乙二醇项目风险分析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(二)、二乙二醇项目风险对策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十九、二乙二醇行业企业过去战略的影响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(一)、二乙二醇行业企业过去战略的影响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二十、竞争分析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7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6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595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_Toc12595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二十一、二乙二醇项目实施时间节点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(一)、二乙二醇项目启动阶段时间节点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(二)、二乙二醇项目执行阶段时间节点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(三)、二乙二醇项目完成阶段时间节点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3" w:history="1">
        <w:r>
          <w:rPr>
            <w:rFonts w:ascii="仿宋" w:eastAsia="仿宋" w:hAnsi="仿宋" w:cs="仿宋" w:hint="eastAsia"/>
            <w:lang w:eastAsia="zh-CN"/>
          </w:rPr>
          <w:t>二十二团队建设与领导力发展</w:t>
        </w:r>
        <w:r>
          <w:tab/>
        </w:r>
        <w:r>
          <w:fldChar w:fldCharType="begin"/>
        </w:r>
        <w:r>
          <w:instrText xml:space="preserve"> PAGEREF _Toc11673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二十三、社会责任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_Toc31870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58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4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股东权利: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支配权： 持有股份的股东在股东大会上享有可支配权，可参与公司的战略决策和选举董事会成员等关键事务。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分红权： 股东有权分享公司的利润，可通过派发现金股利或股票红利的方式获取经济回报。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首购权： 在公司进行新一轮融资时，股东一般享有优先购股权，有权以优惠价格购买新发行的股票，维持其在公司中的股权比例。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获悉权： 股东有权了解公司的经营状况、财务状况和重要决策，通过公司披露的信息来保障股东的知情权。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转售权： 股东可以将其持有的股份转售给其他投资者，以实现股权变现。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https://d.book118.com/536012031041010053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二乙二醇项目融资计划书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5A5CD5"/>
    <w:rsid w:val="4593521B"/>
    <w:rsid w:val="655A5CD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6012031041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2024-02-28T03:05:00Z</dcterms:created>
  <dcterms:modified xsi:type="dcterms:W3CDTF">2024-02-28T03:05:31Z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8BE21791E6EB48CEB20D935B3EC2B452_11</vt:lpwstr>
  </property>
  <property fmtid="{D5CDD505-2E9C-101B-9397-08002B2CF9AE}" pid="3" name="KSOProductBuildVer">
    <vt:lpwstr>2052-12.1.0.16250</vt:lpwstr>
  </property>
</Properties>
</file>