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5"/>
        <w:rPr>
          <w:rFonts w:ascii="Times New Roman"/>
          <w:sz w:val="12"/>
        </w:rPr>
      </w:pPr>
      <w:r>
        <w:pict>
          <v:group id="_x0000_s1025" style="width:595.35pt;height:41.2pt;margin-top:800.29pt;margin-left:0;mso-position-horizontal-relative:page;mso-position-vertical-relative:page;position:absolute;z-index:251658240" coordorigin="0,16006" coordsize="11907,824">
            <v:rect id="_x0000_s1026" style="width:11907;height:473;position:absolute;top:16356" filled="t" fillcolor="#17365d" stroked="f">
              <v:fill type="solid"/>
            </v:rect>
            <v:rect id="_x0000_s1027" style="width:4080;height:437;left:7;position:absolute;top:16082" filled="t" fillcolor="#d7d7d7" stroked="f">
              <v:fill type="solid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707;height:240;left:9218;position:absolute;top:1600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17365D"/>
                        <w:sz w:val="24"/>
                      </w:rPr>
                      <w:t>东吴证券研究所</w:t>
                    </w:r>
                  </w:p>
                </w:txbxContent>
              </v:textbox>
            </v:shape>
          </v:group>
        </w:pict>
      </w:r>
    </w:p>
    <w:p>
      <w:pPr>
        <w:spacing w:before="0" w:line="498" w:lineRule="exact"/>
        <w:ind w:left="0" w:right="434" w:firstLine="0"/>
        <w:jc w:val="center"/>
        <w:rPr>
          <w:rFonts w:ascii="Microsoft JhengHei" w:eastAsia="Microsoft JhengHei" w:hint="eastAsia"/>
          <w:b/>
          <w:sz w:val="30"/>
        </w:rPr>
      </w:pPr>
      <w:r>
        <w:rPr>
          <w:rFonts w:ascii="Microsoft JhengHei" w:eastAsia="Microsoft JhengHei" w:hint="eastAsia"/>
          <w:b/>
          <w:color w:val="17365D"/>
          <w:sz w:val="30"/>
        </w:rPr>
        <w:t>内容目录</w:t>
      </w:r>
    </w:p>
    <w:sdt>
      <w:sdtPr>
        <w:id w:val="987221879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4"/>
            </w:numPr>
            <w:tabs>
              <w:tab w:val="left" w:pos="541"/>
              <w:tab w:val="right" w:leader="dot" w:pos="10230"/>
            </w:tabs>
            <w:spacing w:before="0" w:after="0" w:line="364" w:lineRule="exact"/>
            <w:ind w:left="540" w:right="0" w:hanging="301"/>
            <w:jc w:val="left"/>
            <w:rPr>
              <w:rFonts w:ascii="Times New Roman" w:eastAsia="Times New Roman"/>
            </w:rPr>
          </w:pPr>
          <w:hyperlink w:anchor="_TOC_250006" w:history="1">
            <w:r>
              <w:t>环卫新能源销量同增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/>
              </w:rPr>
              <w:t>28%</w:t>
            </w:r>
            <w:r>
              <w:t>，渗透率同比提升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/>
              </w:rPr>
              <w:t>2.18pct</w:t>
            </w:r>
            <w:r>
              <w:rPr>
                <w:rFonts w:ascii="Times New Roman" w:eastAsia="Times New Roman"/>
                <w:spacing w:val="-1"/>
              </w:rPr>
              <w:t xml:space="preserve"> </w:t>
            </w:r>
            <w:r>
              <w:t>至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/>
              </w:rPr>
              <w:t>8.12%</w:t>
              <w:tab/>
              <w:t>5</w:t>
            </w:r>
          </w:hyperlink>
        </w:p>
        <w:p>
          <w:pPr>
            <w:pStyle w:val="TOC1"/>
            <w:numPr>
              <w:ilvl w:val="0"/>
              <w:numId w:val="4"/>
            </w:numPr>
            <w:tabs>
              <w:tab w:val="left" w:pos="541"/>
              <w:tab w:val="right" w:leader="dot" w:pos="10230"/>
            </w:tabs>
            <w:spacing w:before="0" w:after="0" w:line="312" w:lineRule="exact"/>
            <w:ind w:left="540" w:right="0" w:hanging="301"/>
            <w:jc w:val="left"/>
            <w:rPr>
              <w:rFonts w:ascii="Times New Roman" w:eastAsia="Times New Roman"/>
            </w:rPr>
          </w:pPr>
          <w:r>
            <w:t>全面电动化试</w:t>
          </w:r>
          <w:r>
            <w:rPr>
              <w:spacing w:val="3"/>
            </w:rPr>
            <w:t>点</w:t>
          </w:r>
          <w:r>
            <w:rPr>
              <w:rFonts w:ascii="Times New Roman" w:eastAsia="Times New Roman"/>
            </w:rPr>
            <w:t>&amp;</w:t>
          </w:r>
          <w:r>
            <w:t>空气改善计划驱动，</w:t>
          </w:r>
          <w:r>
            <w:rPr>
              <w:rFonts w:ascii="Times New Roman" w:eastAsia="Times New Roman"/>
            </w:rPr>
            <w:t xml:space="preserve">2024-2025 </w:t>
          </w:r>
          <w:r>
            <w:t>年有望迎环卫新能源放量</w:t>
            <w:tab/>
          </w:r>
          <w:r>
            <w:rPr>
              <w:rFonts w:ascii="Times New Roman" w:eastAsia="Times New Roman"/>
            </w:rPr>
            <w:t>7</w:t>
          </w:r>
        </w:p>
        <w:p>
          <w:pPr>
            <w:pStyle w:val="TOC1"/>
            <w:numPr>
              <w:ilvl w:val="0"/>
              <w:numId w:val="4"/>
            </w:numPr>
            <w:tabs>
              <w:tab w:val="left" w:pos="541"/>
              <w:tab w:val="right" w:leader="dot" w:pos="10230"/>
            </w:tabs>
            <w:spacing w:before="0" w:after="0" w:line="312" w:lineRule="exact"/>
            <w:ind w:left="540" w:right="0" w:hanging="301"/>
            <w:jc w:val="left"/>
            <w:rPr>
              <w:rFonts w:ascii="Times New Roman" w:eastAsia="Times New Roman"/>
            </w:rPr>
          </w:pPr>
          <w:hyperlink w:anchor="_TOC_250005" w:history="1">
            <w:r>
              <w:t>新能源集中度下滑，盈</w:t>
            </w:r>
            <w:r>
              <w:rPr>
                <w:spacing w:val="3"/>
              </w:rPr>
              <w:t>峰</w:t>
            </w:r>
            <w:r>
              <w:rPr>
                <w:rFonts w:ascii="Times New Roman" w:eastAsia="Times New Roman"/>
              </w:rPr>
              <w:t>&amp;</w:t>
            </w:r>
            <w:r>
              <w:t>宇通市占率领先</w:t>
              <w:tab/>
            </w:r>
            <w:r>
              <w:rPr>
                <w:rFonts w:ascii="Times New Roman" w:eastAsia="Times New Roman"/>
              </w:rPr>
              <w:t>9</w:t>
            </w:r>
          </w:hyperlink>
        </w:p>
        <w:p>
          <w:pPr>
            <w:pStyle w:val="TOC1"/>
            <w:numPr>
              <w:ilvl w:val="0"/>
              <w:numId w:val="4"/>
            </w:numPr>
            <w:tabs>
              <w:tab w:val="left" w:pos="541"/>
              <w:tab w:val="right" w:leader="dot" w:pos="10230"/>
            </w:tabs>
            <w:spacing w:before="0" w:after="0" w:line="312" w:lineRule="exact"/>
            <w:ind w:left="540" w:right="0" w:hanging="301"/>
            <w:jc w:val="left"/>
            <w:rPr>
              <w:rFonts w:ascii="Times New Roman" w:eastAsia="Times New Roman"/>
            </w:rPr>
          </w:pPr>
          <w:hyperlink w:anchor="_TOC_250004" w:history="1">
            <w:r>
              <w:t>新能源环卫清洁类装备放量，中高端产品占比持</w:t>
            </w:r>
            <w:r>
              <w:rPr>
                <w:spacing w:val="3"/>
              </w:rPr>
              <w:t>续</w:t>
            </w:r>
            <w:r>
              <w:t>提升</w:t>
              <w:tab/>
            </w:r>
            <w:r>
              <w:rPr>
                <w:rFonts w:ascii="Times New Roman" w:eastAsia="Times New Roman"/>
              </w:rPr>
              <w:t>15</w:t>
            </w:r>
          </w:hyperlink>
        </w:p>
        <w:p>
          <w:pPr>
            <w:pStyle w:val="TOC1"/>
            <w:numPr>
              <w:ilvl w:val="0"/>
              <w:numId w:val="4"/>
            </w:numPr>
            <w:tabs>
              <w:tab w:val="left" w:pos="541"/>
              <w:tab w:val="right" w:leader="dot" w:pos="10230"/>
            </w:tabs>
            <w:spacing w:before="0" w:after="0" w:line="312" w:lineRule="exact"/>
            <w:ind w:left="540" w:right="0" w:hanging="301"/>
            <w:jc w:val="left"/>
            <w:rPr>
              <w:rFonts w:ascii="Times New Roman" w:eastAsia="Times New Roman"/>
            </w:rPr>
          </w:pPr>
          <w:hyperlink w:anchor="_TOC_250003" w:history="1">
            <w:r>
              <w:t>河北新能源销量大增，上海新能源渗透率高达</w:t>
            </w:r>
            <w:r>
              <w:rPr>
                <w:spacing w:val="4"/>
              </w:rPr>
              <w:t xml:space="preserve"> </w:t>
            </w:r>
            <w:r>
              <w:rPr>
                <w:rFonts w:ascii="Times New Roman" w:eastAsia="Times New Roman"/>
              </w:rPr>
              <w:t>49.7%</w:t>
              <w:tab/>
              <w:t>19</w:t>
            </w:r>
          </w:hyperlink>
        </w:p>
        <w:p>
          <w:pPr>
            <w:pStyle w:val="TOC1"/>
            <w:numPr>
              <w:ilvl w:val="0"/>
              <w:numId w:val="4"/>
            </w:numPr>
            <w:tabs>
              <w:tab w:val="left" w:pos="541"/>
              <w:tab w:val="right" w:leader="dot" w:pos="10230"/>
            </w:tabs>
            <w:spacing w:before="0" w:after="0" w:line="352" w:lineRule="exact"/>
            <w:ind w:left="540" w:right="0" w:hanging="301"/>
            <w:jc w:val="left"/>
            <w:rPr>
              <w:rFonts w:ascii="Times New Roman" w:eastAsia="Times New Roman"/>
            </w:rPr>
          </w:pPr>
          <w:hyperlink w:anchor="_TOC_250002" w:history="1">
            <w:r>
              <w:t>环卫新能源成长与竞争力分析：</w:t>
              <w:tab/>
            </w:r>
            <w:r>
              <w:rPr>
                <w:rFonts w:ascii="Times New Roman" w:eastAsia="Times New Roman"/>
              </w:rPr>
              <w:t>22</w:t>
            </w:r>
          </w:hyperlink>
        </w:p>
        <w:p>
          <w:pPr>
            <w:pStyle w:val="TOC2"/>
            <w:numPr>
              <w:ilvl w:val="1"/>
              <w:numId w:val="4"/>
            </w:numPr>
            <w:tabs>
              <w:tab w:val="left" w:pos="1141"/>
              <w:tab w:val="right" w:leader="dot" w:pos="10230"/>
            </w:tabs>
            <w:spacing w:before="0" w:after="0" w:line="282" w:lineRule="exact"/>
            <w:ind w:left="1140" w:right="0" w:hanging="481"/>
            <w:jc w:val="left"/>
            <w:rPr>
              <w:rFonts w:ascii="Times New Roman" w:eastAsia="Times New Roman"/>
            </w:rPr>
          </w:pPr>
          <w:r>
            <w:t>盈峰环境：河北贡献最大增量，新能源洗扫车增量最大</w:t>
            <w:tab/>
          </w:r>
          <w:r>
            <w:rPr>
              <w:rFonts w:ascii="Times New Roman" w:eastAsia="Times New Roman"/>
            </w:rPr>
            <w:t>22</w:t>
          </w:r>
        </w:p>
        <w:p>
          <w:pPr>
            <w:pStyle w:val="TOC2"/>
            <w:numPr>
              <w:ilvl w:val="1"/>
              <w:numId w:val="4"/>
            </w:numPr>
            <w:tabs>
              <w:tab w:val="left" w:pos="1141"/>
              <w:tab w:val="right" w:leader="dot" w:pos="10230"/>
            </w:tabs>
            <w:spacing w:before="4" w:after="0" w:line="240" w:lineRule="auto"/>
            <w:ind w:left="1140" w:right="0" w:hanging="481"/>
            <w:jc w:val="left"/>
            <w:rPr>
              <w:rFonts w:ascii="Times New Roman" w:eastAsia="Times New Roman"/>
            </w:rPr>
          </w:pPr>
          <w:r>
            <w:t>宇通重工：上海贡献最大增量，压缩式垃圾车市占率最高</w:t>
            <w:tab/>
          </w:r>
          <w:r>
            <w:rPr>
              <w:rFonts w:ascii="Times New Roman" w:eastAsia="Times New Roman"/>
            </w:rPr>
            <w:t>23</w:t>
          </w:r>
        </w:p>
        <w:p>
          <w:pPr>
            <w:pStyle w:val="TOC2"/>
            <w:numPr>
              <w:ilvl w:val="1"/>
              <w:numId w:val="4"/>
            </w:numPr>
            <w:tabs>
              <w:tab w:val="left" w:pos="1141"/>
              <w:tab w:val="right" w:leader="dot" w:pos="10230"/>
            </w:tabs>
            <w:spacing w:before="5" w:after="0" w:line="270" w:lineRule="exact"/>
            <w:ind w:left="1140" w:right="0" w:hanging="481"/>
            <w:jc w:val="left"/>
            <w:rPr>
              <w:rFonts w:ascii="Times New Roman" w:eastAsia="Times New Roman"/>
            </w:rPr>
          </w:pPr>
          <w:r>
            <w:t>福龙马：河北区域销量增量最大，洗扫车销量增幅最高</w:t>
            <w:tab/>
          </w:r>
          <w:r>
            <w:rPr>
              <w:rFonts w:ascii="Times New Roman" w:eastAsia="Times New Roman"/>
            </w:rPr>
            <w:t>25</w:t>
          </w:r>
        </w:p>
        <w:p>
          <w:pPr>
            <w:pStyle w:val="TOC1"/>
            <w:numPr>
              <w:ilvl w:val="0"/>
              <w:numId w:val="4"/>
            </w:numPr>
            <w:tabs>
              <w:tab w:val="left" w:pos="541"/>
              <w:tab w:val="right" w:leader="dot" w:pos="10230"/>
            </w:tabs>
            <w:spacing w:before="0" w:after="0" w:line="340" w:lineRule="exact"/>
            <w:ind w:left="540" w:right="0" w:hanging="301"/>
            <w:jc w:val="left"/>
            <w:rPr>
              <w:rFonts w:ascii="Times New Roman" w:eastAsia="Times New Roman"/>
            </w:rPr>
          </w:pPr>
          <w:hyperlink w:anchor="_TOC_250001" w:history="1">
            <w:r>
              <w:t>投资建议</w:t>
              <w:tab/>
            </w:r>
            <w:r>
              <w:rPr>
                <w:rFonts w:ascii="Times New Roman" w:eastAsia="Times New Roman"/>
              </w:rPr>
              <w:t>27</w:t>
            </w:r>
          </w:hyperlink>
        </w:p>
        <w:p>
          <w:pPr>
            <w:pStyle w:val="TOC1"/>
            <w:numPr>
              <w:ilvl w:val="0"/>
              <w:numId w:val="4"/>
            </w:numPr>
            <w:tabs>
              <w:tab w:val="left" w:pos="541"/>
              <w:tab w:val="right" w:leader="dot" w:pos="10230"/>
            </w:tabs>
            <w:spacing w:before="0" w:after="0" w:line="377" w:lineRule="exact"/>
            <w:ind w:left="540" w:right="0" w:hanging="301"/>
            <w:jc w:val="left"/>
            <w:rPr>
              <w:rFonts w:ascii="Times New Roman" w:eastAsia="Times New Roman"/>
            </w:rPr>
          </w:pPr>
          <w:hyperlink w:anchor="_TOC_250000" w:history="1">
            <w:r>
              <w:t>风险提示</w:t>
              <w:tab/>
            </w:r>
            <w:r>
              <w:rPr>
                <w:rFonts w:ascii="Times New Roman" w:eastAsia="Times New Roman"/>
              </w:rPr>
              <w:t>28</w:t>
            </w:r>
          </w:hyperlink>
        </w:p>
      </w:sdtContent>
    </w:sdt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Heading3"/>
        <w:spacing w:before="194"/>
      </w:pPr>
      <w:r>
        <w:t>2 / 29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1910" w:h="16840"/>
          <w:pgMar w:top="1340" w:right="280" w:bottom="500" w:left="720" w:header="708" w:footer="708"/>
          <w:cols w:space="708"/>
        </w:sectPr>
      </w:pPr>
    </w:p>
    <w:p>
      <w:pPr>
        <w:pStyle w:val="BodyText"/>
        <w:spacing w:before="5"/>
        <w:rPr>
          <w:rFonts w:ascii="Times New Roman"/>
          <w:b/>
          <w:sz w:val="12"/>
        </w:rPr>
      </w:pPr>
      <w:r>
        <w:pict>
          <v:group id="_x0000_s1029" style="width:595.35pt;height:41.2pt;margin-top:800.29pt;margin-left:0;mso-position-horizontal-relative:page;mso-position-vertical-relative:page;position:absolute;z-index:251659264" coordorigin="0,16006" coordsize="11907,824">
            <v:rect id="_x0000_s1030" style="width:11907;height:473;position:absolute;top:16356" filled="t" fillcolor="#17365d" stroked="f">
              <v:fill type="solid"/>
            </v:rect>
            <v:rect id="_x0000_s1031" style="width:4080;height:437;left:7;position:absolute;top:16082" filled="t" fillcolor="#d7d7d7" stroked="f">
              <v:fill type="solid"/>
            </v:rect>
            <v:shape id="_x0000_s1032" type="#_x0000_t202" style="width:1707;height:240;left:9218;position:absolute;top:1600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17365D"/>
                        <w:sz w:val="24"/>
                      </w:rPr>
                      <w:t>东吴证券研究所</w:t>
                    </w:r>
                  </w:p>
                </w:txbxContent>
              </v:textbox>
            </v:shape>
          </v:group>
        </w:pict>
      </w:r>
    </w:p>
    <w:p>
      <w:pPr>
        <w:spacing w:before="0" w:line="511" w:lineRule="exact"/>
        <w:ind w:left="0" w:right="434" w:firstLine="0"/>
        <w:jc w:val="center"/>
        <w:rPr>
          <w:rFonts w:ascii="Microsoft JhengHei" w:eastAsia="Microsoft JhengHei" w:hint="eastAsia"/>
          <w:b/>
          <w:sz w:val="30"/>
        </w:rPr>
      </w:pPr>
      <w:r>
        <w:rPr>
          <w:rFonts w:ascii="Microsoft JhengHei" w:eastAsia="Microsoft JhengHei" w:hint="eastAsia"/>
          <w:b/>
          <w:color w:val="17365D"/>
          <w:sz w:val="30"/>
        </w:rPr>
        <w:t>图表目录</w:t>
      </w:r>
    </w:p>
    <w:p>
      <w:pPr>
        <w:tabs>
          <w:tab w:val="right" w:leader="dot" w:pos="10230"/>
        </w:tabs>
        <w:spacing w:before="53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</w:t>
      </w:r>
      <w:r>
        <w:rPr>
          <w:sz w:val="24"/>
        </w:rPr>
        <w:t>： 环卫车销量与增速（单位：辆）</w:t>
        <w:tab/>
      </w:r>
      <w:r>
        <w:rPr>
          <w:rFonts w:ascii="Times New Roman" w:eastAsia="Times New Roman"/>
          <w:sz w:val="24"/>
        </w:rPr>
        <w:t>5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</w:t>
      </w:r>
      <w:r>
        <w:rPr>
          <w:sz w:val="24"/>
        </w:rPr>
        <w:t>： 新能源环卫车销量与增速（单位：辆）</w:t>
        <w:tab/>
      </w:r>
      <w:r>
        <w:rPr>
          <w:rFonts w:ascii="Times New Roman" w:eastAsia="Times New Roman"/>
          <w:sz w:val="24"/>
        </w:rPr>
        <w:t>5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3</w:t>
      </w:r>
      <w:r>
        <w:rPr>
          <w:sz w:val="24"/>
        </w:rPr>
        <w:t>： 环卫车单月销量与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单月销量同环比数据（单位：辆）</w:t>
        <w:tab/>
      </w:r>
      <w:r>
        <w:rPr>
          <w:rFonts w:ascii="Times New Roman" w:eastAsia="Times New Roman"/>
          <w:sz w:val="24"/>
        </w:rPr>
        <w:t>5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</w:t>
      </w:r>
      <w:r>
        <w:rPr>
          <w:sz w:val="24"/>
        </w:rPr>
        <w:t>： 新能源环卫车单月销量与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单月销量同环比数据（单位：辆）</w:t>
        <w:tab/>
      </w:r>
      <w:r>
        <w:rPr>
          <w:rFonts w:ascii="Times New Roman" w:eastAsia="Times New Roman"/>
          <w:sz w:val="24"/>
        </w:rPr>
        <w:t>6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5</w:t>
      </w:r>
      <w:r>
        <w:rPr>
          <w:sz w:val="24"/>
        </w:rPr>
        <w:t>： 环卫新能源渗透率</w:t>
        <w:tab/>
      </w:r>
      <w:r>
        <w:rPr>
          <w:rFonts w:ascii="Times New Roman" w:eastAsia="Times New Roman"/>
          <w:sz w:val="24"/>
        </w:rPr>
        <w:t>6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6</w:t>
      </w:r>
      <w:r>
        <w:rPr>
          <w:sz w:val="24"/>
        </w:rPr>
        <w:t>： 环卫新能源渗透率（单月）</w:t>
        <w:tab/>
      </w:r>
      <w:r>
        <w:rPr>
          <w:rFonts w:ascii="Times New Roman" w:eastAsia="Times New Roman"/>
          <w:sz w:val="24"/>
        </w:rPr>
        <w:t>6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7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2016-2022 </w:t>
      </w:r>
      <w:r>
        <w:rPr>
          <w:sz w:val="24"/>
        </w:rPr>
        <w:t>年全国市容环卫专用车辆设备保有量</w:t>
        <w:tab/>
      </w:r>
      <w:r>
        <w:rPr>
          <w:rFonts w:ascii="Times New Roman" w:eastAsia="Times New Roman"/>
          <w:sz w:val="24"/>
        </w:rPr>
        <w:t>7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8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2016-2023 </w:t>
      </w:r>
      <w:r>
        <w:rPr>
          <w:sz w:val="24"/>
        </w:rPr>
        <w:t>年环卫车年均销量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9.16 </w:t>
      </w:r>
      <w:r>
        <w:rPr>
          <w:sz w:val="24"/>
        </w:rPr>
        <w:t>万辆</w:t>
        <w:tab/>
      </w:r>
      <w:r>
        <w:rPr>
          <w:rFonts w:ascii="Times New Roman" w:eastAsia="Times New Roman"/>
          <w:sz w:val="24"/>
        </w:rPr>
        <w:t>7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9</w:t>
      </w:r>
      <w:r>
        <w:rPr>
          <w:sz w:val="24"/>
        </w:rPr>
        <w:t>： 环卫车与新能源环卫车销量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CR3</w:t>
        <w:tab/>
        <w:t>10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10</w:t>
      </w:r>
      <w:r>
        <w:rPr>
          <w:sz w:val="24"/>
        </w:rPr>
        <w:t>： 环卫车与新能源环卫车销量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CR6</w:t>
        <w:tab/>
        <w:t>10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pacing w:val="-4"/>
          <w:sz w:val="24"/>
        </w:rPr>
        <w:t>11</w:t>
      </w:r>
      <w:r>
        <w:rPr>
          <w:spacing w:val="-4"/>
          <w:sz w:val="24"/>
        </w:rPr>
        <w:t>：</w:t>
      </w:r>
      <w:r>
        <w:rPr>
          <w:sz w:val="24"/>
        </w:rPr>
        <w:t xml:space="preserve"> 盈峰环境环卫车销量与增速（单位：辆）</w:t>
        <w:tab/>
      </w:r>
      <w:r>
        <w:rPr>
          <w:rFonts w:ascii="Times New Roman" w:eastAsia="Times New Roman"/>
          <w:sz w:val="24"/>
        </w:rPr>
        <w:t>10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12</w:t>
      </w:r>
      <w:r>
        <w:rPr>
          <w:sz w:val="24"/>
        </w:rPr>
        <w:t>： 盈峰环境新能源环卫车销量与增速（单位：辆）</w:t>
        <w:tab/>
      </w:r>
      <w:r>
        <w:rPr>
          <w:rFonts w:ascii="Times New Roman" w:eastAsia="Times New Roman"/>
          <w:sz w:val="24"/>
        </w:rPr>
        <w:t>10</w:t>
      </w:r>
    </w:p>
    <w:p>
      <w:pPr>
        <w:tabs>
          <w:tab w:val="right" w:leader="dot" w:pos="10221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13</w:t>
      </w:r>
      <w:r>
        <w:rPr>
          <w:sz w:val="24"/>
        </w:rPr>
        <w:t>： 盈峰环境环卫车单月销量与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2023 </w:t>
      </w:r>
      <w:r>
        <w:rPr>
          <w:sz w:val="24"/>
        </w:rPr>
        <w:t>年单月销量同环比数据（单位：辆）</w:t>
        <w:tab/>
      </w:r>
      <w:r>
        <w:rPr>
          <w:rFonts w:ascii="Times New Roman" w:eastAsia="Times New Roman"/>
          <w:spacing w:val="-10"/>
          <w:sz w:val="24"/>
        </w:rPr>
        <w:t>11</w:t>
      </w:r>
    </w:p>
    <w:p>
      <w:pPr>
        <w:tabs>
          <w:tab w:val="right" w:leader="dot" w:pos="10221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14</w:t>
      </w:r>
      <w:r>
        <w:rPr>
          <w:sz w:val="24"/>
        </w:rPr>
        <w:t>： 盈峰环境新能源环卫车单月销量与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2023 </w:t>
      </w:r>
      <w:r>
        <w:rPr>
          <w:sz w:val="24"/>
        </w:rPr>
        <w:t>年单月销量同环比数据（单位：辆）</w:t>
        <w:tab/>
      </w:r>
      <w:r>
        <w:rPr>
          <w:rFonts w:ascii="Times New Roman" w:eastAsia="Times New Roman"/>
          <w:spacing w:val="-10"/>
          <w:sz w:val="24"/>
        </w:rPr>
        <w:t>11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15</w:t>
      </w:r>
      <w:r>
        <w:rPr>
          <w:sz w:val="24"/>
        </w:rPr>
        <w:t>： 宇通重工环卫车销量与增速（单位：辆）</w:t>
        <w:tab/>
      </w:r>
      <w:r>
        <w:rPr>
          <w:rFonts w:ascii="Times New Roman" w:eastAsia="Times New Roman"/>
          <w:sz w:val="24"/>
        </w:rPr>
        <w:t>12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16</w:t>
      </w:r>
      <w:r>
        <w:rPr>
          <w:sz w:val="24"/>
        </w:rPr>
        <w:t>： 宇通重工新能源环卫车销量与增速（单位：辆）</w:t>
        <w:tab/>
      </w:r>
      <w:r>
        <w:rPr>
          <w:rFonts w:ascii="Times New Roman" w:eastAsia="Times New Roman"/>
          <w:sz w:val="24"/>
        </w:rPr>
        <w:t>12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17</w:t>
      </w:r>
      <w:r>
        <w:rPr>
          <w:sz w:val="24"/>
        </w:rPr>
        <w:t>： 宇通重工环卫车单月销量与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2023 </w:t>
      </w:r>
      <w:r>
        <w:rPr>
          <w:sz w:val="24"/>
        </w:rPr>
        <w:t>年单月销量同环比数据（单位：辆）</w:t>
        <w:tab/>
      </w:r>
      <w:r>
        <w:rPr>
          <w:rFonts w:ascii="Times New Roman" w:eastAsia="Times New Roman"/>
          <w:sz w:val="24"/>
        </w:rPr>
        <w:t>12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18</w:t>
      </w:r>
      <w:r>
        <w:rPr>
          <w:sz w:val="24"/>
        </w:rPr>
        <w:t>： 宇通重工新能源环卫车单月销量与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2023 </w:t>
      </w:r>
      <w:r>
        <w:rPr>
          <w:sz w:val="24"/>
        </w:rPr>
        <w:t>年单月销量同环比数据（单位：辆）</w:t>
        <w:tab/>
      </w:r>
      <w:r>
        <w:rPr>
          <w:rFonts w:ascii="Times New Roman" w:eastAsia="Times New Roman"/>
          <w:sz w:val="24"/>
        </w:rPr>
        <w:t>12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19</w:t>
      </w:r>
      <w:r>
        <w:rPr>
          <w:sz w:val="24"/>
        </w:rPr>
        <w:t>： 福龙马环卫车销量与增速（单位：辆）</w:t>
        <w:tab/>
      </w:r>
      <w:r>
        <w:rPr>
          <w:rFonts w:ascii="Times New Roman" w:eastAsia="Times New Roman"/>
          <w:sz w:val="24"/>
        </w:rPr>
        <w:t>13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20</w:t>
      </w:r>
      <w:r>
        <w:rPr>
          <w:sz w:val="24"/>
        </w:rPr>
        <w:t>： 福龙马新能源环卫车销量与增速（单位：辆）</w:t>
        <w:tab/>
      </w:r>
      <w:r>
        <w:rPr>
          <w:rFonts w:ascii="Times New Roman" w:eastAsia="Times New Roman"/>
          <w:sz w:val="24"/>
        </w:rPr>
        <w:t>13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21</w:t>
      </w:r>
      <w:r>
        <w:rPr>
          <w:sz w:val="24"/>
        </w:rPr>
        <w:t>： 福龙马环卫车单月销量与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2023 </w:t>
      </w:r>
      <w:r>
        <w:rPr>
          <w:sz w:val="24"/>
        </w:rPr>
        <w:t>年单月销量同环比数据（单位：辆）</w:t>
        <w:tab/>
      </w:r>
      <w:r>
        <w:rPr>
          <w:rFonts w:ascii="Times New Roman" w:eastAsia="Times New Roman"/>
          <w:sz w:val="24"/>
        </w:rPr>
        <w:t>13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22</w:t>
      </w:r>
      <w:r>
        <w:rPr>
          <w:sz w:val="24"/>
        </w:rPr>
        <w:t>： 福龙马新能源环卫车单月销量与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2023 </w:t>
      </w:r>
      <w:r>
        <w:rPr>
          <w:sz w:val="24"/>
        </w:rPr>
        <w:t>年单月销量同环比数据（单位：辆）</w:t>
        <w:tab/>
      </w:r>
      <w:r>
        <w:rPr>
          <w:rFonts w:ascii="Times New Roman" w:eastAsia="Times New Roman"/>
          <w:sz w:val="24"/>
        </w:rPr>
        <w:t>14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23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>2023</w:t>
      </w:r>
      <w:r>
        <w:rPr>
          <w:rFonts w:ascii="Times New Roman" w:eastAsia="Times New Roman"/>
          <w:spacing w:val="-1"/>
          <w:sz w:val="24"/>
        </w:rPr>
        <w:t xml:space="preserve"> </w:t>
      </w:r>
      <w:r>
        <w:rPr>
          <w:sz w:val="24"/>
        </w:rPr>
        <w:t>年环卫装备销售市占率</w:t>
        <w:tab/>
      </w:r>
      <w:r>
        <w:rPr>
          <w:rFonts w:ascii="Times New Roman" w:eastAsia="Times New Roman"/>
          <w:sz w:val="24"/>
        </w:rPr>
        <w:t>14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24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>2022</w:t>
      </w:r>
      <w:r>
        <w:rPr>
          <w:rFonts w:ascii="Times New Roman" w:eastAsia="Times New Roman"/>
          <w:spacing w:val="-1"/>
          <w:sz w:val="24"/>
        </w:rPr>
        <w:t xml:space="preserve"> </w:t>
      </w:r>
      <w:r>
        <w:rPr>
          <w:sz w:val="24"/>
        </w:rPr>
        <w:t>年环卫装备销售市占率</w:t>
        <w:tab/>
      </w:r>
      <w:r>
        <w:rPr>
          <w:rFonts w:ascii="Times New Roman" w:eastAsia="Times New Roman"/>
          <w:sz w:val="24"/>
        </w:rPr>
        <w:t>14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25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>2023</w:t>
      </w:r>
      <w:r>
        <w:rPr>
          <w:rFonts w:ascii="Times New Roman" w:eastAsia="Times New Roman"/>
          <w:spacing w:val="-1"/>
          <w:sz w:val="24"/>
        </w:rPr>
        <w:t xml:space="preserve"> </w:t>
      </w:r>
      <w:r>
        <w:rPr>
          <w:sz w:val="24"/>
        </w:rPr>
        <w:t>年新能源环卫装备销售市占率</w:t>
        <w:tab/>
      </w:r>
      <w:r>
        <w:rPr>
          <w:rFonts w:ascii="Times New Roman" w:eastAsia="Times New Roman"/>
          <w:sz w:val="24"/>
        </w:rPr>
        <w:t>15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26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>2022</w:t>
      </w:r>
      <w:r>
        <w:rPr>
          <w:rFonts w:ascii="Times New Roman" w:eastAsia="Times New Roman"/>
          <w:spacing w:val="-1"/>
          <w:sz w:val="24"/>
        </w:rPr>
        <w:t xml:space="preserve"> </w:t>
      </w:r>
      <w:r>
        <w:rPr>
          <w:sz w:val="24"/>
        </w:rPr>
        <w:t>年新能源环卫装备销售市占率</w:t>
        <w:tab/>
      </w:r>
      <w:r>
        <w:rPr>
          <w:rFonts w:ascii="Times New Roman" w:eastAsia="Times New Roman"/>
          <w:sz w:val="24"/>
        </w:rPr>
        <w:t>15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27</w:t>
      </w:r>
      <w:r>
        <w:rPr>
          <w:sz w:val="24"/>
        </w:rPr>
        <w:t>： 环卫清洁与垃圾转运销量增速（环卫车）</w:t>
        <w:tab/>
      </w:r>
      <w:r>
        <w:rPr>
          <w:rFonts w:ascii="Times New Roman" w:eastAsia="Times New Roman"/>
          <w:sz w:val="24"/>
        </w:rPr>
        <w:t>15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28</w:t>
      </w:r>
      <w:r>
        <w:rPr>
          <w:sz w:val="24"/>
        </w:rPr>
        <w:t>： 环卫清洁与垃圾转运销量增速（新能源环卫车）</w:t>
        <w:tab/>
      </w:r>
      <w:r>
        <w:rPr>
          <w:rFonts w:ascii="Times New Roman" w:eastAsia="Times New Roman"/>
          <w:sz w:val="24"/>
        </w:rPr>
        <w:t>15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29</w:t>
      </w:r>
      <w:r>
        <w:rPr>
          <w:sz w:val="24"/>
        </w:rPr>
        <w:t>： 环卫车与新能源环卫车环卫清洁、垃圾转运占比</w:t>
        <w:tab/>
      </w:r>
      <w:r>
        <w:rPr>
          <w:rFonts w:ascii="Times New Roman" w:eastAsia="Times New Roman"/>
          <w:sz w:val="24"/>
        </w:rPr>
        <w:t>16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30</w:t>
      </w:r>
      <w:r>
        <w:rPr>
          <w:sz w:val="24"/>
        </w:rPr>
        <w:t>： 低、中高端销量增速（环卫车）</w:t>
        <w:tab/>
      </w:r>
      <w:r>
        <w:rPr>
          <w:rFonts w:ascii="Times New Roman" w:eastAsia="Times New Roman"/>
          <w:sz w:val="24"/>
        </w:rPr>
        <w:t>16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31</w:t>
      </w:r>
      <w:r>
        <w:rPr>
          <w:sz w:val="24"/>
        </w:rPr>
        <w:t>： 低、中高端销量增速（新能源环卫车）</w:t>
        <w:tab/>
      </w:r>
      <w:r>
        <w:rPr>
          <w:rFonts w:ascii="Times New Roman" w:eastAsia="Times New Roman"/>
          <w:sz w:val="24"/>
        </w:rPr>
        <w:t>16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32</w:t>
      </w:r>
      <w:r>
        <w:rPr>
          <w:sz w:val="24"/>
        </w:rPr>
        <w:t>： 环卫车与新能源环卫车低、中高端占比</w:t>
        <w:tab/>
      </w:r>
      <w:r>
        <w:rPr>
          <w:rFonts w:ascii="Times New Roman" w:eastAsia="Times New Roman"/>
          <w:sz w:val="24"/>
        </w:rPr>
        <w:t>17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33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环卫车各车型销售情况及占比（单位：辆）</w:t>
        <w:tab/>
      </w:r>
      <w:r>
        <w:rPr>
          <w:rFonts w:ascii="Times New Roman" w:eastAsia="Times New Roman"/>
          <w:sz w:val="24"/>
        </w:rPr>
        <w:t>17</w:t>
      </w:r>
    </w:p>
    <w:p>
      <w:pPr>
        <w:tabs>
          <w:tab w:val="right" w:leader="dot" w:pos="10230"/>
        </w:tabs>
        <w:spacing w:before="6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34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环卫车各车型销售增量与同比增速（单位：辆）</w:t>
        <w:tab/>
      </w:r>
      <w:r>
        <w:rPr>
          <w:rFonts w:ascii="Times New Roman" w:eastAsia="Times New Roman"/>
          <w:sz w:val="24"/>
        </w:rPr>
        <w:t>18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35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新能源环卫车各车型销售及占比（单位：辆）</w:t>
        <w:tab/>
      </w:r>
      <w:r>
        <w:rPr>
          <w:rFonts w:ascii="Times New Roman" w:eastAsia="Times New Roman"/>
          <w:sz w:val="24"/>
        </w:rPr>
        <w:t>18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36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新能源环卫车各车型销售增量与同比增速（单位：辆）</w:t>
        <w:tab/>
      </w:r>
      <w:r>
        <w:rPr>
          <w:rFonts w:ascii="Times New Roman" w:eastAsia="Times New Roman"/>
          <w:sz w:val="24"/>
        </w:rPr>
        <w:t>19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37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各车型新能源渗透率</w:t>
        <w:tab/>
      </w:r>
      <w:r>
        <w:rPr>
          <w:rFonts w:ascii="Times New Roman" w:eastAsia="Times New Roman"/>
          <w:sz w:val="24"/>
        </w:rPr>
        <w:t>19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38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环卫车各地区销售情况及占比（单位：辆）</w:t>
        <w:tab/>
      </w:r>
      <w:r>
        <w:rPr>
          <w:rFonts w:ascii="Times New Roman" w:eastAsia="Times New Roman"/>
          <w:sz w:val="24"/>
        </w:rPr>
        <w:t>20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39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环卫车各地区销售增量与同比增速（单位：辆）</w:t>
        <w:tab/>
      </w:r>
      <w:r>
        <w:rPr>
          <w:rFonts w:ascii="Times New Roman" w:eastAsia="Times New Roman"/>
          <w:sz w:val="24"/>
        </w:rPr>
        <w:t>20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40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新能源环卫车各地区销售及占比（单位：辆）</w:t>
        <w:tab/>
      </w:r>
      <w:r>
        <w:rPr>
          <w:rFonts w:ascii="Times New Roman" w:eastAsia="Times New Roman"/>
          <w:sz w:val="24"/>
        </w:rPr>
        <w:t>21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41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新能源环卫车各地区销售增量与同比增速（单位：辆）</w:t>
        <w:tab/>
      </w:r>
      <w:r>
        <w:rPr>
          <w:rFonts w:ascii="Times New Roman" w:eastAsia="Times New Roman"/>
          <w:sz w:val="24"/>
        </w:rPr>
        <w:t>21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  <w:sectPr>
          <w:headerReference w:type="default" r:id="rId6"/>
          <w:footerReference w:type="default" r:id="rId7"/>
          <w:pgSz w:w="11910" w:h="16840"/>
          <w:pgMar w:top="1340" w:right="280" w:bottom="500" w:left="720" w:header="708" w:footer="708"/>
          <w:pgNumType w:start="2"/>
          <w:cols w:space="708"/>
        </w:sect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42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各地区新能源渗透率</w:t>
        <w:tab/>
      </w:r>
      <w:r>
        <w:rPr>
          <w:rFonts w:ascii="Times New Roman" w:eastAsia="Times New Roman"/>
          <w:sz w:val="24"/>
        </w:rPr>
        <w:t>21</w:t>
      </w:r>
    </w:p>
    <w:p>
      <w:pPr>
        <w:pStyle w:val="Heading3"/>
        <w:spacing w:before="443"/>
      </w:pPr>
      <w:r>
        <w:t>3 / 29</w:t>
      </w:r>
    </w:p>
    <w:p>
      <w:pPr>
        <w:spacing w:after="0"/>
        <w:sectPr>
          <w:headerReference w:type="default" r:id="rId8"/>
          <w:footerReference w:type="default" r:id="rId9"/>
          <w:type w:val="nextPage"/>
          <w:pgSz w:w="11910" w:h="16840"/>
          <w:pgMar w:top="1340" w:right="280" w:bottom="500" w:left="720" w:header="708" w:footer="708"/>
          <w:pgNumType w:start="3"/>
          <w:cols w:space="708"/>
          <w:titlePg w:val="0"/>
        </w:sectPr>
      </w:pPr>
    </w:p>
    <w:p>
      <w:pPr>
        <w:tabs>
          <w:tab w:val="right" w:leader="dot" w:pos="10230"/>
        </w:tabs>
        <w:spacing w:before="64"/>
        <w:ind w:left="240" w:right="0" w:firstLine="0"/>
        <w:jc w:val="left"/>
        <w:rPr>
          <w:rFonts w:ascii="Times New Roman" w:eastAsia="Times New Roman"/>
          <w:sz w:val="24"/>
        </w:rPr>
      </w:pPr>
      <w:r>
        <w:pict>
          <v:group id="_x0000_s1033" style="width:595.35pt;height:41.2pt;margin-top:800.29pt;margin-left:0;mso-position-horizontal-relative:page;mso-position-vertical-relative:page;position:absolute;z-index:251660288" coordorigin="0,16006" coordsize="11907,824">
            <v:rect id="_x0000_s1034" style="width:11907;height:473;position:absolute;top:16356" filled="t" fillcolor="#17365d" stroked="f">
              <v:fill type="solid"/>
            </v:rect>
            <v:rect id="_x0000_s1035" style="width:4080;height:437;left:7;position:absolute;top:16082" filled="t" fillcolor="#d7d7d7" stroked="f">
              <v:fill type="solid"/>
            </v:rect>
            <v:shape id="_x0000_s1036" type="#_x0000_t202" style="width:1707;height:240;left:9218;position:absolute;top:1600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17365D"/>
                        <w:sz w:val="24"/>
                      </w:rPr>
                      <w:t>东吴证券研究所</w:t>
                    </w:r>
                  </w:p>
                </w:txbxContent>
              </v:textbox>
            </v:shape>
          </v:group>
        </w:pict>
      </w: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43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盈峰环境新能源环卫市场成长分析（地区）</w:t>
        <w:tab/>
      </w:r>
      <w:r>
        <w:rPr>
          <w:rFonts w:ascii="Times New Roman" w:eastAsia="Times New Roman"/>
          <w:sz w:val="24"/>
        </w:rPr>
        <w:t>22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44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盈峰环境新能源环卫市场成长分析（品类）</w:t>
        <w:tab/>
      </w:r>
      <w:r>
        <w:rPr>
          <w:rFonts w:ascii="Times New Roman" w:eastAsia="Times New Roman"/>
          <w:sz w:val="24"/>
        </w:rPr>
        <w:t>23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45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宇通重工新能源环卫市场成长分析（地区）</w:t>
        <w:tab/>
      </w:r>
      <w:r>
        <w:rPr>
          <w:rFonts w:ascii="Times New Roman" w:eastAsia="Times New Roman"/>
          <w:sz w:val="24"/>
        </w:rPr>
        <w:t>24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46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宇通重工新能源环卫市场成长分析（品类）</w:t>
        <w:tab/>
      </w:r>
      <w:r>
        <w:rPr>
          <w:rFonts w:ascii="Times New Roman" w:eastAsia="Times New Roman"/>
          <w:sz w:val="24"/>
        </w:rPr>
        <w:t>25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47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福龙马新能源环卫市场成长分析（地区）</w:t>
        <w:tab/>
      </w:r>
      <w:r>
        <w:rPr>
          <w:rFonts w:ascii="Times New Roman" w:eastAsia="Times New Roman"/>
          <w:sz w:val="24"/>
        </w:rPr>
        <w:t>26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图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48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2023M1-12 </w:t>
      </w:r>
      <w:r>
        <w:rPr>
          <w:sz w:val="24"/>
        </w:rPr>
        <w:t>福龙马新能源环卫市场成长分析（品类）</w:t>
        <w:tab/>
      </w:r>
      <w:r>
        <w:rPr>
          <w:rFonts w:ascii="Times New Roman" w:eastAsia="Times New Roman"/>
          <w:sz w:val="24"/>
        </w:rPr>
        <w:t>27</w:t>
      </w:r>
    </w:p>
    <w:p>
      <w:pPr>
        <w:tabs>
          <w:tab w:val="right" w:leader="dot" w:pos="10230"/>
        </w:tabs>
        <w:spacing w:before="629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表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1</w:t>
      </w:r>
      <w:r>
        <w:rPr>
          <w:sz w:val="24"/>
        </w:rPr>
        <w:t>： 全面电动化试点和空气质量持续改善行动计划重点区域</w:t>
        <w:tab/>
      </w:r>
      <w:r>
        <w:rPr>
          <w:rFonts w:ascii="Times New Roman" w:eastAsia="Times New Roman"/>
          <w:sz w:val="24"/>
        </w:rPr>
        <w:t>8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表</w:t>
      </w:r>
      <w:r>
        <w:rPr>
          <w:spacing w:val="-61"/>
          <w:sz w:val="24"/>
        </w:rPr>
        <w:t xml:space="preserve"> </w:t>
      </w:r>
      <w:r>
        <w:rPr>
          <w:rFonts w:ascii="Times New Roman" w:eastAsia="Times New Roman"/>
          <w:sz w:val="24"/>
        </w:rPr>
        <w:t>2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 xml:space="preserve">2021-2023 </w:t>
      </w:r>
      <w:r>
        <w:rPr>
          <w:sz w:val="24"/>
        </w:rPr>
        <w:t>年试点</w:t>
      </w:r>
      <w:r>
        <w:rPr>
          <w:rFonts w:ascii="Times New Roman" w:eastAsia="Times New Roman"/>
          <w:sz w:val="24"/>
        </w:rPr>
        <w:t>&amp;</w:t>
      </w:r>
      <w:r>
        <w:rPr>
          <w:sz w:val="24"/>
        </w:rPr>
        <w:t>空气改善重点区域销量情况</w:t>
        <w:tab/>
      </w:r>
      <w:r>
        <w:rPr>
          <w:rFonts w:ascii="Times New Roman" w:eastAsia="Times New Roman"/>
          <w:sz w:val="24"/>
        </w:rPr>
        <w:t>9</w:t>
      </w:r>
    </w:p>
    <w:p>
      <w:pPr>
        <w:tabs>
          <w:tab w:val="right" w:leader="dot" w:pos="10230"/>
        </w:tabs>
        <w:spacing w:before="5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表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3</w:t>
      </w:r>
      <w:r>
        <w:rPr>
          <w:sz w:val="24"/>
        </w:rPr>
        <w:t xml:space="preserve">： </w:t>
      </w:r>
      <w:r>
        <w:rPr>
          <w:rFonts w:ascii="Times New Roman" w:eastAsia="Times New Roman"/>
          <w:sz w:val="24"/>
        </w:rPr>
        <w:t>2025</w:t>
      </w:r>
      <w:r>
        <w:rPr>
          <w:rFonts w:ascii="Times New Roman" w:eastAsia="Times New Roman"/>
          <w:spacing w:val="-1"/>
          <w:sz w:val="24"/>
        </w:rPr>
        <w:t xml:space="preserve"> </w:t>
      </w:r>
      <w:r>
        <w:rPr>
          <w:sz w:val="24"/>
        </w:rPr>
        <w:t>年新能源环卫装备销量预测</w:t>
        <w:tab/>
      </w:r>
      <w:r>
        <w:rPr>
          <w:rFonts w:ascii="Times New Roman" w:eastAsia="Times New Roman"/>
          <w:sz w:val="24"/>
        </w:rPr>
        <w:t>9</w:t>
      </w:r>
    </w:p>
    <w:p>
      <w:pPr>
        <w:tabs>
          <w:tab w:val="right" w:leader="dot" w:pos="10230"/>
        </w:tabs>
        <w:spacing w:before="4"/>
        <w:ind w:left="24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表</w:t>
      </w:r>
      <w:r>
        <w:rPr>
          <w:spacing w:val="-60"/>
          <w:sz w:val="24"/>
        </w:rPr>
        <w:t xml:space="preserve"> </w:t>
      </w:r>
      <w:r>
        <w:rPr>
          <w:rFonts w:ascii="Times New Roman" w:eastAsia="Times New Roman"/>
          <w:sz w:val="24"/>
        </w:rPr>
        <w:t>4</w:t>
      </w:r>
      <w:r>
        <w:rPr>
          <w:sz w:val="24"/>
        </w:rPr>
        <w:t>： 上市公司估值表（估值日期：</w:t>
      </w:r>
      <w:r>
        <w:rPr>
          <w:rFonts w:ascii="Times New Roman" w:eastAsia="Times New Roman"/>
          <w:sz w:val="24"/>
        </w:rPr>
        <w:t>2024/1/20</w:t>
      </w:r>
      <w:r>
        <w:rPr>
          <w:sz w:val="24"/>
        </w:rPr>
        <w:t>）</w:t>
        <w:tab/>
      </w:r>
      <w:r>
        <w:rPr>
          <w:rFonts w:ascii="Times New Roman" w:eastAsia="Times New Roman"/>
          <w:sz w:val="24"/>
        </w:rPr>
        <w:t>28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"/>
        <w:rPr>
          <w:rFonts w:ascii="Times New Roman"/>
          <w:sz w:val="28"/>
        </w:rPr>
        <w:sectPr>
          <w:headerReference w:type="default" r:id="rId10"/>
          <w:footerReference w:type="default" r:id="rId11"/>
          <w:pgSz w:w="11910" w:h="16840"/>
          <w:pgMar w:top="1340" w:right="280" w:bottom="500" w:left="720" w:header="708" w:footer="708"/>
          <w:pgNumType w:start="4"/>
          <w:cols w:space="708"/>
        </w:sectPr>
      </w:pPr>
    </w:p>
    <w:p>
      <w:pPr>
        <w:spacing w:before="0"/>
        <w:ind w:left="0" w:right="563" w:firstLine="0"/>
        <w:jc w:val="right"/>
        <w:rPr>
          <w:rFonts w:ascii="Times New Roman"/>
          <w:b/>
          <w:sz w:val="21"/>
        </w:rPr>
      </w:pPr>
      <w:r>
        <w:rPr>
          <w:rFonts w:ascii="Times New Roman"/>
          <w:b/>
          <w:sz w:val="21"/>
        </w:rPr>
        <w:t>4 / 29</w:t>
      </w:r>
    </w:p>
    <w:p>
      <w:pPr>
        <w:spacing w:after="0"/>
        <w:jc w:val="right"/>
        <w:rPr>
          <w:rFonts w:ascii="Times New Roman"/>
          <w:sz w:val="21"/>
        </w:rPr>
        <w:sectPr>
          <w:headerReference w:type="default" r:id="rId12"/>
          <w:footerReference w:type="default" r:id="rId13"/>
          <w:type w:val="nextPage"/>
          <w:pgSz w:w="11910" w:h="16840"/>
          <w:pgMar w:top="1340" w:right="280" w:bottom="500" w:left="720" w:header="708" w:footer="708"/>
          <w:pgNumType w:start="5"/>
          <w:cols w:space="708"/>
          <w:titlePg w:val="0"/>
        </w:sectPr>
      </w:pPr>
    </w:p>
    <w:p>
      <w:pPr>
        <w:pStyle w:val="BodyText"/>
        <w:rPr>
          <w:rFonts w:ascii="Times New Roman"/>
          <w:b/>
          <w:sz w:val="11"/>
        </w:rPr>
      </w:pPr>
    </w:p>
    <w:p>
      <w:pPr>
        <w:pStyle w:val="Heading1"/>
        <w:numPr>
          <w:ilvl w:val="0"/>
          <w:numId w:val="3"/>
        </w:numPr>
        <w:tabs>
          <w:tab w:val="left" w:pos="2719"/>
          <w:tab w:val="left" w:pos="2720"/>
        </w:tabs>
        <w:spacing w:before="0" w:after="0" w:line="493" w:lineRule="exact"/>
        <w:ind w:left="2719" w:right="0" w:hanging="428"/>
        <w:jc w:val="left"/>
        <w:rPr>
          <w:rFonts w:ascii="Times New Roman" w:eastAsia="Times New Roman"/>
        </w:rPr>
      </w:pPr>
      <w:bookmarkStart w:id="0" w:name="_TOC_250006"/>
      <w:r>
        <w:rPr>
          <w:color w:val="17365D"/>
        </w:rPr>
        <w:t xml:space="preserve">环卫新能源销量同增 </w:t>
      </w:r>
      <w:r>
        <w:rPr>
          <w:rFonts w:ascii="Times New Roman" w:eastAsia="Times New Roman"/>
          <w:color w:val="17365D"/>
        </w:rPr>
        <w:t>28%</w:t>
      </w:r>
      <w:r>
        <w:rPr>
          <w:color w:val="17365D"/>
        </w:rPr>
        <w:t xml:space="preserve">，渗透率同比提升 </w:t>
      </w:r>
      <w:r>
        <w:rPr>
          <w:rFonts w:ascii="Times New Roman" w:eastAsia="Times New Roman"/>
          <w:color w:val="17365D"/>
        </w:rPr>
        <w:t>2.18pct</w:t>
      </w:r>
      <w:r>
        <w:rPr>
          <w:rFonts w:ascii="Times New Roman" w:eastAsia="Times New Roman"/>
          <w:color w:val="17365D"/>
          <w:spacing w:val="-2"/>
        </w:rPr>
        <w:t xml:space="preserve"> </w:t>
      </w:r>
      <w:r>
        <w:rPr>
          <w:color w:val="17365D"/>
          <w:spacing w:val="1"/>
        </w:rPr>
        <w:t xml:space="preserve">至 </w:t>
      </w:r>
      <w:bookmarkEnd w:id="0"/>
      <w:r>
        <w:rPr>
          <w:rFonts w:ascii="Times New Roman" w:eastAsia="Times New Roman"/>
          <w:color w:val="17365D"/>
        </w:rPr>
        <w:t>8.12%</w:t>
      </w:r>
    </w:p>
    <w:p>
      <w:pPr>
        <w:spacing w:before="189" w:line="374" w:lineRule="exact"/>
        <w:ind w:left="2400" w:right="560" w:firstLine="424"/>
        <w:jc w:val="both"/>
        <w:rPr>
          <w:sz w:val="21"/>
        </w:rPr>
      </w:pPr>
      <w:r>
        <w:rPr>
          <w:rFonts w:ascii="Times New Roman" w:eastAsia="Times New Roman"/>
          <w:b/>
          <w:sz w:val="21"/>
        </w:rPr>
        <w:t>2023M1-12</w:t>
      </w:r>
      <w:r>
        <w:rPr>
          <w:rFonts w:ascii="Times New Roman" w:eastAsia="Times New Roman"/>
          <w:b/>
          <w:spacing w:val="1"/>
          <w:sz w:val="21"/>
        </w:rPr>
        <w:t xml:space="preserve"> </w:t>
      </w:r>
      <w:r>
        <w:rPr>
          <w:rFonts w:ascii="Microsoft JhengHei" w:eastAsia="Microsoft JhengHei" w:hint="eastAsia"/>
          <w:b/>
          <w:spacing w:val="-1"/>
          <w:sz w:val="21"/>
        </w:rPr>
        <w:t xml:space="preserve">环卫新能源销量同增 </w:t>
      </w:r>
      <w:r>
        <w:rPr>
          <w:rFonts w:ascii="Times New Roman" w:eastAsia="Times New Roman"/>
          <w:b/>
          <w:spacing w:val="-6"/>
          <w:sz w:val="21"/>
        </w:rPr>
        <w:t>28%</w:t>
      </w:r>
      <w:r>
        <w:rPr>
          <w:rFonts w:ascii="Microsoft JhengHei" w:eastAsia="Microsoft JhengHei" w:hint="eastAsia"/>
          <w:b/>
          <w:spacing w:val="-3"/>
          <w:sz w:val="21"/>
        </w:rPr>
        <w:t xml:space="preserve">，渗透率同比提升 </w:t>
      </w:r>
      <w:r>
        <w:rPr>
          <w:rFonts w:ascii="Times New Roman" w:eastAsia="Times New Roman"/>
          <w:b/>
          <w:sz w:val="21"/>
        </w:rPr>
        <w:t>2.18pct</w:t>
      </w:r>
      <w:r>
        <w:rPr>
          <w:rFonts w:ascii="Times New Roman" w:eastAsia="Times New Roman"/>
          <w:b/>
          <w:spacing w:val="2"/>
          <w:sz w:val="21"/>
        </w:rPr>
        <w:t xml:space="preserve"> </w:t>
      </w:r>
      <w:r>
        <w:rPr>
          <w:rFonts w:ascii="Microsoft JhengHei" w:eastAsia="Microsoft JhengHei" w:hint="eastAsia"/>
          <w:b/>
          <w:spacing w:val="3"/>
          <w:sz w:val="21"/>
        </w:rPr>
        <w:t xml:space="preserve">至 </w:t>
      </w:r>
      <w:r>
        <w:rPr>
          <w:rFonts w:ascii="Times New Roman" w:eastAsia="Times New Roman"/>
          <w:b/>
          <w:sz w:val="21"/>
        </w:rPr>
        <w:t>8.12%</w:t>
      </w:r>
      <w:r>
        <w:rPr>
          <w:rFonts w:ascii="Microsoft JhengHei" w:eastAsia="Microsoft JhengHei" w:hint="eastAsia"/>
          <w:b/>
          <w:spacing w:val="-17"/>
          <w:sz w:val="21"/>
        </w:rPr>
        <w:t>。</w:t>
      </w:r>
      <w:r>
        <w:rPr>
          <w:spacing w:val="-2"/>
          <w:sz w:val="21"/>
        </w:rPr>
        <w:t>根据银</w:t>
      </w:r>
      <w:r>
        <w:rPr>
          <w:spacing w:val="-3"/>
          <w:sz w:val="21"/>
        </w:rPr>
        <w:t>保监会交强险数据，</w:t>
      </w:r>
      <w:r>
        <w:rPr>
          <w:rFonts w:ascii="Times New Roman" w:eastAsia="Times New Roman"/>
          <w:sz w:val="21"/>
        </w:rPr>
        <w:t>2023M1-12</w:t>
      </w:r>
      <w:r>
        <w:rPr>
          <w:spacing w:val="-6"/>
          <w:sz w:val="21"/>
        </w:rPr>
        <w:t xml:space="preserve">，环卫车合计销量 </w:t>
      </w:r>
      <w:r>
        <w:rPr>
          <w:rFonts w:ascii="Times New Roman" w:eastAsia="Times New Roman"/>
          <w:sz w:val="21"/>
        </w:rPr>
        <w:t>76983</w:t>
      </w:r>
      <w:r>
        <w:rPr>
          <w:rFonts w:ascii="Times New Roman" w:eastAsia="Times New Roman"/>
          <w:spacing w:val="23"/>
          <w:sz w:val="21"/>
        </w:rPr>
        <w:t xml:space="preserve"> </w:t>
      </w:r>
      <w:r>
        <w:rPr>
          <w:spacing w:val="-3"/>
          <w:sz w:val="21"/>
        </w:rPr>
        <w:t>辆，同比变动</w:t>
      </w:r>
      <w:r>
        <w:rPr>
          <w:rFonts w:ascii="Times New Roman" w:eastAsia="Times New Roman"/>
          <w:sz w:val="21"/>
        </w:rPr>
        <w:t>-6.06%</w:t>
      </w:r>
      <w:r>
        <w:rPr>
          <w:spacing w:val="-1"/>
          <w:sz w:val="21"/>
        </w:rPr>
        <w:t xml:space="preserve">。其中， </w:t>
      </w:r>
      <w:r>
        <w:rPr>
          <w:spacing w:val="1"/>
          <w:w w:val="100"/>
          <w:sz w:val="21"/>
        </w:rPr>
        <w:t>新能源环卫车销售</w:t>
      </w:r>
      <w:r>
        <w:rPr>
          <w:rFonts w:ascii="Times New Roman" w:eastAsia="Times New Roman"/>
          <w:w w:val="100"/>
          <w:sz w:val="21"/>
        </w:rPr>
        <w:t>6248</w:t>
      </w:r>
      <w:r>
        <w:rPr>
          <w:rFonts w:ascii="Times New Roman" w:eastAsia="Times New Roman"/>
          <w:spacing w:val="-19"/>
          <w:sz w:val="21"/>
        </w:rPr>
        <w:t xml:space="preserve"> </w:t>
      </w:r>
      <w:r>
        <w:rPr>
          <w:spacing w:val="-21"/>
          <w:w w:val="100"/>
          <w:sz w:val="21"/>
        </w:rPr>
        <w:t>辆，同比变动</w:t>
      </w:r>
      <w:r>
        <w:rPr>
          <w:rFonts w:ascii="Times New Roman" w:eastAsia="Times New Roman"/>
          <w:w w:val="100"/>
          <w:sz w:val="21"/>
        </w:rPr>
        <w:t>+28</w:t>
      </w:r>
      <w:r>
        <w:rPr>
          <w:rFonts w:ascii="Times New Roman" w:eastAsia="Times New Roman"/>
          <w:spacing w:val="-3"/>
          <w:w w:val="100"/>
          <w:sz w:val="21"/>
        </w:rPr>
        <w:t>.</w:t>
      </w:r>
      <w:r>
        <w:rPr>
          <w:rFonts w:ascii="Times New Roman" w:eastAsia="Times New Roman"/>
          <w:w w:val="100"/>
          <w:sz w:val="21"/>
        </w:rPr>
        <w:t>3</w:t>
      </w:r>
      <w:r>
        <w:rPr>
          <w:rFonts w:ascii="Times New Roman" w:eastAsia="Times New Roman"/>
          <w:spacing w:val="-1"/>
          <w:w w:val="100"/>
          <w:sz w:val="21"/>
        </w:rPr>
        <w:t>7%</w:t>
      </w:r>
      <w:r>
        <w:rPr>
          <w:spacing w:val="-13"/>
          <w:w w:val="100"/>
          <w:sz w:val="21"/>
        </w:rPr>
        <w:t>，新能源渗透率</w:t>
      </w:r>
      <w:r>
        <w:rPr>
          <w:rFonts w:ascii="Times New Roman" w:eastAsia="Times New Roman"/>
          <w:spacing w:val="-3"/>
          <w:w w:val="100"/>
          <w:sz w:val="21"/>
        </w:rPr>
        <w:t>8</w:t>
      </w:r>
      <w:r>
        <w:rPr>
          <w:rFonts w:ascii="Times New Roman" w:eastAsia="Times New Roman"/>
          <w:w w:val="100"/>
          <w:sz w:val="21"/>
        </w:rPr>
        <w:t>.12</w:t>
      </w:r>
      <w:r>
        <w:rPr>
          <w:rFonts w:ascii="Times New Roman" w:eastAsia="Times New Roman"/>
          <w:spacing w:val="-1"/>
          <w:w w:val="100"/>
          <w:sz w:val="21"/>
        </w:rPr>
        <w:t>%</w:t>
      </w:r>
      <w:r>
        <w:rPr>
          <w:spacing w:val="-23"/>
          <w:w w:val="100"/>
          <w:sz w:val="21"/>
        </w:rPr>
        <w:t>，同比变动</w:t>
      </w:r>
      <w:r>
        <w:rPr>
          <w:rFonts w:ascii="Times New Roman" w:eastAsia="Times New Roman"/>
          <w:w w:val="100"/>
          <w:sz w:val="21"/>
        </w:rPr>
        <w:t>+2</w:t>
      </w:r>
      <w:r>
        <w:rPr>
          <w:rFonts w:ascii="Times New Roman" w:eastAsia="Times New Roman"/>
          <w:spacing w:val="-3"/>
          <w:w w:val="100"/>
          <w:sz w:val="21"/>
        </w:rPr>
        <w:t>.</w:t>
      </w:r>
      <w:r>
        <w:rPr>
          <w:rFonts w:ascii="Times New Roman" w:eastAsia="Times New Roman"/>
          <w:w w:val="100"/>
          <w:sz w:val="21"/>
        </w:rPr>
        <w:t>18pc</w:t>
      </w:r>
      <w:r>
        <w:rPr>
          <w:rFonts w:ascii="Times New Roman" w:eastAsia="Times New Roman"/>
          <w:spacing w:val="-2"/>
          <w:w w:val="100"/>
          <w:sz w:val="21"/>
        </w:rPr>
        <w:t>t</w:t>
      </w:r>
      <w:r>
        <w:rPr>
          <w:w w:val="100"/>
          <w:sz w:val="21"/>
        </w:rPr>
        <w:t>。</w:t>
      </w:r>
    </w:p>
    <w:p>
      <w:pPr>
        <w:spacing w:before="177" w:line="276" w:lineRule="auto"/>
        <w:ind w:left="2400" w:right="565" w:firstLine="424"/>
        <w:jc w:val="both"/>
        <w:rPr>
          <w:sz w:val="21"/>
        </w:rPr>
      </w:pPr>
      <w:r>
        <w:rPr>
          <w:rFonts w:ascii="Times New Roman" w:eastAsia="Times New Roman"/>
          <w:b/>
          <w:sz w:val="21"/>
        </w:rPr>
        <w:t>2023M12</w:t>
      </w:r>
      <w:r>
        <w:rPr>
          <w:rFonts w:ascii="Times New Roman" w:eastAsia="Times New Roman"/>
          <w:b/>
          <w:spacing w:val="7"/>
          <w:sz w:val="21"/>
        </w:rPr>
        <w:t xml:space="preserve"> </w:t>
      </w:r>
      <w:r>
        <w:rPr>
          <w:rFonts w:ascii="Microsoft JhengHei" w:eastAsia="Microsoft JhengHei" w:hint="eastAsia"/>
          <w:b/>
          <w:sz w:val="21"/>
        </w:rPr>
        <w:t xml:space="preserve">新能源环卫车单月销量同增 </w:t>
      </w:r>
      <w:r>
        <w:rPr>
          <w:rFonts w:ascii="Times New Roman" w:eastAsia="Times New Roman"/>
          <w:b/>
          <w:spacing w:val="-6"/>
          <w:sz w:val="21"/>
        </w:rPr>
        <w:t>11%</w:t>
      </w:r>
      <w:r>
        <w:rPr>
          <w:rFonts w:ascii="Microsoft JhengHei" w:eastAsia="Microsoft JhengHei" w:hint="eastAsia"/>
          <w:b/>
          <w:spacing w:val="-2"/>
          <w:sz w:val="21"/>
        </w:rPr>
        <w:t xml:space="preserve">，单月渗透率为 </w:t>
      </w:r>
      <w:r>
        <w:rPr>
          <w:rFonts w:ascii="Times New Roman" w:eastAsia="Times New Roman"/>
          <w:b/>
          <w:sz w:val="21"/>
        </w:rPr>
        <w:t>12.69%</w:t>
      </w:r>
      <w:r>
        <w:rPr>
          <w:rFonts w:ascii="Microsoft JhengHei" w:eastAsia="Microsoft JhengHei" w:hint="eastAsia"/>
          <w:b/>
          <w:spacing w:val="-5"/>
          <w:sz w:val="21"/>
        </w:rPr>
        <w:t>。</w:t>
      </w:r>
      <w:r>
        <w:rPr>
          <w:rFonts w:ascii="Times New Roman" w:eastAsia="Times New Roman"/>
          <w:spacing w:val="-3"/>
          <w:sz w:val="21"/>
        </w:rPr>
        <w:t>2023M12</w:t>
      </w:r>
      <w:r>
        <w:rPr>
          <w:spacing w:val="-6"/>
          <w:sz w:val="21"/>
        </w:rPr>
        <w:t>，环</w:t>
      </w:r>
      <w:r>
        <w:rPr>
          <w:spacing w:val="-7"/>
          <w:sz w:val="21"/>
        </w:rPr>
        <w:t xml:space="preserve">卫车合计销量 </w:t>
      </w:r>
      <w:r>
        <w:rPr>
          <w:rFonts w:ascii="Times New Roman" w:eastAsia="Times New Roman"/>
          <w:sz w:val="21"/>
        </w:rPr>
        <w:t>6274</w:t>
      </w:r>
      <w:r>
        <w:rPr>
          <w:rFonts w:ascii="Times New Roman" w:eastAsia="Times New Roman"/>
          <w:spacing w:val="11"/>
          <w:sz w:val="21"/>
        </w:rPr>
        <w:t xml:space="preserve"> </w:t>
      </w:r>
      <w:r>
        <w:rPr>
          <w:spacing w:val="-3"/>
          <w:sz w:val="21"/>
        </w:rPr>
        <w:t>辆，同比变动</w:t>
      </w:r>
      <w:r>
        <w:rPr>
          <w:rFonts w:ascii="Times New Roman" w:eastAsia="Times New Roman"/>
          <w:sz w:val="21"/>
        </w:rPr>
        <w:t>+6.66%</w:t>
      </w:r>
      <w:r>
        <w:rPr>
          <w:spacing w:val="-3"/>
          <w:sz w:val="21"/>
        </w:rPr>
        <w:t>，环比变动</w:t>
      </w:r>
      <w:r>
        <w:rPr>
          <w:rFonts w:ascii="Times New Roman" w:eastAsia="Times New Roman"/>
          <w:sz w:val="21"/>
        </w:rPr>
        <w:t>+4.72%</w:t>
      </w:r>
      <w:r>
        <w:rPr>
          <w:spacing w:val="-3"/>
          <w:sz w:val="21"/>
        </w:rPr>
        <w:t>。其中，新能源环卫车销量</w:t>
      </w:r>
    </w:p>
    <w:p>
      <w:pPr>
        <w:pStyle w:val="BodyText"/>
        <w:spacing w:before="65"/>
        <w:ind w:left="2400"/>
        <w:jc w:val="both"/>
      </w:pPr>
      <w:r>
        <w:rPr>
          <w:rFonts w:ascii="Times New Roman" w:eastAsia="Times New Roman"/>
          <w:w w:val="100"/>
        </w:rPr>
        <w:t>796</w:t>
      </w:r>
      <w:r>
        <w:rPr>
          <w:rFonts w:ascii="Times New Roman" w:eastAsia="Times New Roman"/>
          <w:spacing w:val="-15"/>
        </w:rPr>
        <w:t xml:space="preserve"> </w:t>
      </w:r>
      <w:r>
        <w:rPr>
          <w:spacing w:val="-20"/>
          <w:w w:val="100"/>
        </w:rPr>
        <w:t>辆，同比变动</w:t>
      </w:r>
      <w:r>
        <w:rPr>
          <w:rFonts w:ascii="Times New Roman" w:eastAsia="Times New Roman"/>
          <w:w w:val="100"/>
        </w:rPr>
        <w:t>+10.</w:t>
      </w:r>
      <w:r>
        <w:rPr>
          <w:rFonts w:ascii="Times New Roman" w:eastAsia="Times New Roman"/>
          <w:spacing w:val="-3"/>
          <w:w w:val="100"/>
        </w:rPr>
        <w:t>8</w:t>
      </w:r>
      <w:r>
        <w:rPr>
          <w:rFonts w:ascii="Times New Roman" w:eastAsia="Times New Roman"/>
          <w:spacing w:val="-1"/>
          <w:w w:val="100"/>
        </w:rPr>
        <w:t>6%</w:t>
      </w:r>
      <w:r>
        <w:rPr>
          <w:spacing w:val="-23"/>
          <w:w w:val="100"/>
        </w:rPr>
        <w:t>，环比变动</w:t>
      </w:r>
      <w:r>
        <w:rPr>
          <w:rFonts w:ascii="Times New Roman" w:eastAsia="Times New Roman"/>
          <w:w w:val="100"/>
        </w:rPr>
        <w:t>+37.</w:t>
      </w:r>
      <w:r>
        <w:rPr>
          <w:rFonts w:ascii="Times New Roman" w:eastAsia="Times New Roman"/>
          <w:spacing w:val="-3"/>
          <w:w w:val="100"/>
        </w:rPr>
        <w:t>9</w:t>
      </w:r>
      <w:r>
        <w:rPr>
          <w:rFonts w:ascii="Times New Roman" w:eastAsia="Times New Roman"/>
          <w:w w:val="100"/>
        </w:rPr>
        <w:t>5</w:t>
      </w:r>
      <w:r>
        <w:rPr>
          <w:rFonts w:ascii="Times New Roman" w:eastAsia="Times New Roman"/>
          <w:spacing w:val="-1"/>
          <w:w w:val="100"/>
        </w:rPr>
        <w:t>%</w:t>
      </w:r>
      <w:r>
        <w:rPr>
          <w:spacing w:val="-18"/>
          <w:w w:val="100"/>
        </w:rPr>
        <w:t>，新能源渗透率</w:t>
      </w:r>
      <w:r>
        <w:rPr>
          <w:spacing w:val="-65"/>
        </w:rPr>
        <w:t xml:space="preserve"> </w:t>
      </w:r>
      <w:r>
        <w:rPr>
          <w:rFonts w:ascii="Times New Roman" w:eastAsia="Times New Roman"/>
          <w:w w:val="100"/>
        </w:rPr>
        <w:t>1</w:t>
      </w:r>
      <w:r>
        <w:rPr>
          <w:rFonts w:ascii="Times New Roman" w:eastAsia="Times New Roman"/>
          <w:spacing w:val="-3"/>
          <w:w w:val="100"/>
        </w:rPr>
        <w:t>2</w:t>
      </w:r>
      <w:r>
        <w:rPr>
          <w:rFonts w:ascii="Times New Roman" w:eastAsia="Times New Roman"/>
          <w:w w:val="100"/>
        </w:rPr>
        <w:t>.69</w:t>
      </w:r>
      <w:r>
        <w:rPr>
          <w:rFonts w:ascii="Times New Roman" w:eastAsia="Times New Roman"/>
          <w:spacing w:val="-1"/>
          <w:w w:val="100"/>
        </w:rPr>
        <w:t>%</w:t>
      </w:r>
      <w:r>
        <w:rPr>
          <w:spacing w:val="-23"/>
          <w:w w:val="100"/>
        </w:rPr>
        <w:t>，同比变动</w:t>
      </w:r>
      <w:r>
        <w:rPr>
          <w:rFonts w:ascii="Times New Roman" w:eastAsia="Times New Roman"/>
          <w:spacing w:val="-2"/>
          <w:w w:val="100"/>
        </w:rPr>
        <w:t>+</w:t>
      </w:r>
      <w:r>
        <w:rPr>
          <w:rFonts w:ascii="Times New Roman" w:eastAsia="Times New Roman"/>
          <w:w w:val="100"/>
        </w:rPr>
        <w:t>0.48pc</w:t>
      </w:r>
      <w:r>
        <w:rPr>
          <w:rFonts w:ascii="Times New Roman" w:eastAsia="Times New Roman"/>
          <w:spacing w:val="-2"/>
          <w:w w:val="100"/>
        </w:rPr>
        <w:t>t</w:t>
      </w:r>
      <w:r>
        <w:rPr>
          <w:w w:val="100"/>
        </w:rPr>
        <w:t>。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tabs>
          <w:tab w:val="left" w:pos="5602"/>
        </w:tabs>
        <w:spacing w:before="0" w:after="16"/>
        <w:ind w:left="381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1</w:t>
      </w:r>
      <w:r>
        <w:rPr>
          <w:rFonts w:ascii="Microsoft JhengHei" w:eastAsia="Microsoft JhengHei" w:hint="eastAsia"/>
          <w:b/>
          <w:color w:val="17365D"/>
          <w:sz w:val="20"/>
        </w:rPr>
        <w:t>：环卫车销量与增速（单位：辆）</w:t>
        <w:tab/>
        <w:t>图</w:t>
      </w:r>
      <w:r>
        <w:rPr>
          <w:rFonts w:ascii="Times New Roman" w:eastAsia="Times New Roman"/>
          <w:b/>
          <w:color w:val="17365D"/>
          <w:sz w:val="20"/>
        </w:rPr>
        <w:t>2</w:t>
      </w:r>
      <w:r>
        <w:rPr>
          <w:rFonts w:ascii="Microsoft JhengHei" w:eastAsia="Microsoft JhengHei" w:hint="eastAsia"/>
          <w:b/>
          <w:color w:val="17365D"/>
          <w:sz w:val="20"/>
        </w:rPr>
        <w:t>：新能源环卫车销量与增速（单位：辆）</w:t>
      </w:r>
    </w:p>
    <w:p>
      <w:pPr>
        <w:tabs>
          <w:tab w:val="left" w:pos="5343"/>
        </w:tabs>
        <w:spacing w:line="20" w:lineRule="exact"/>
        <w:ind w:left="122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37" style="width:249.3pt;height:1pt;mso-position-horizontal-relative:char;mso-position-vertical-relative:line" coordorigin="0,0" coordsize="4986,20">
            <v:line id="_x0000_s1038" style="position:absolute" from="0,10" to="4986,10" stroked="t" strokecolor="black" strokeweight="0.96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039" style="width:249.45pt;height:1pt;mso-position-horizontal-relative:char;mso-position-vertical-relative:line" coordorigin="0,0" coordsize="4989,20">
            <v:line id="_x0000_s1040" style="position:absolute" from="0,10" to="4988,10" stroked="t" strokecolor="black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rFonts w:ascii="Microsoft JhengHei"/>
          <w:b/>
          <w:sz w:val="17"/>
        </w:rPr>
      </w:pPr>
    </w:p>
    <w:p>
      <w:pPr>
        <w:spacing w:after="0"/>
        <w:rPr>
          <w:rFonts w:ascii="Microsoft JhengHei"/>
          <w:sz w:val="17"/>
        </w:rPr>
        <w:sectPr>
          <w:headerReference w:type="default" r:id="rId14"/>
          <w:footerReference w:type="default" r:id="rId15"/>
          <w:pgSz w:w="11910" w:h="16840"/>
          <w:pgMar w:top="1340" w:right="280" w:bottom="500" w:left="720" w:header="708" w:footer="708"/>
          <w:pgNumType w:start="6"/>
          <w:cols w:space="708"/>
        </w:sectPr>
      </w:pPr>
    </w:p>
    <w:p>
      <w:pPr>
        <w:spacing w:before="119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120,000</w:t>
      </w:r>
    </w:p>
    <w:p>
      <w:pPr>
        <w:pStyle w:val="BodyText"/>
        <w:spacing w:before="3"/>
        <w:rPr>
          <w:rFonts w:ascii="Times New Roman"/>
          <w:sz w:val="15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100,000</w:t>
      </w:r>
    </w:p>
    <w:p>
      <w:pPr>
        <w:pStyle w:val="BodyText"/>
        <w:spacing w:before="3"/>
        <w:rPr>
          <w:rFonts w:ascii="Times New Roman"/>
          <w:sz w:val="15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80,000</w:t>
      </w:r>
    </w:p>
    <w:p>
      <w:pPr>
        <w:pStyle w:val="BodyText"/>
        <w:spacing w:before="3"/>
        <w:rPr>
          <w:rFonts w:ascii="Times New Roman"/>
          <w:sz w:val="15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60,000</w:t>
      </w:r>
    </w:p>
    <w:p>
      <w:pPr>
        <w:pStyle w:val="BodyText"/>
        <w:spacing w:before="3"/>
        <w:rPr>
          <w:rFonts w:ascii="Times New Roman"/>
          <w:sz w:val="15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40,000</w:t>
      </w:r>
    </w:p>
    <w:p>
      <w:pPr>
        <w:pStyle w:val="BodyText"/>
        <w:spacing w:before="3"/>
        <w:rPr>
          <w:rFonts w:ascii="Times New Roman"/>
          <w:sz w:val="15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20,000</w:t>
      </w:r>
    </w:p>
    <w:p>
      <w:pPr>
        <w:pStyle w:val="BodyText"/>
        <w:spacing w:before="3"/>
        <w:rPr>
          <w:rFonts w:ascii="Times New Roman"/>
          <w:sz w:val="15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w w:val="101"/>
          <w:sz w:val="12"/>
        </w:rPr>
        <w:t>0</w:t>
      </w:r>
    </w:p>
    <w:p>
      <w:pPr>
        <w:spacing w:before="97"/>
        <w:ind w:left="677" w:right="0" w:firstLine="0"/>
        <w:jc w:val="left"/>
        <w:rPr>
          <w:rFonts w:ascii="Times New Roman"/>
          <w:sz w:val="12"/>
        </w:rPr>
      </w:pPr>
      <w:r>
        <w:br w:type="column"/>
      </w:r>
      <w:r>
        <w:rPr>
          <w:rFonts w:ascii="Times New Roman"/>
          <w:color w:val="404040"/>
          <w:sz w:val="12"/>
        </w:rPr>
        <w:t>45%</w:t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10"/>
        <w:rPr>
          <w:rFonts w:ascii="Times New Roman"/>
          <w:sz w:val="11"/>
        </w:rPr>
      </w:pPr>
    </w:p>
    <w:p>
      <w:pPr>
        <w:tabs>
          <w:tab w:val="left" w:pos="668"/>
          <w:tab w:val="left" w:pos="1132"/>
          <w:tab w:val="left" w:pos="1597"/>
          <w:tab w:val="left" w:pos="2061"/>
          <w:tab w:val="left" w:pos="2526"/>
          <w:tab w:val="left" w:pos="2990"/>
          <w:tab w:val="left" w:pos="3455"/>
        </w:tabs>
        <w:spacing w:before="0"/>
        <w:ind w:left="203" w:right="0" w:firstLine="0"/>
        <w:jc w:val="left"/>
        <w:rPr>
          <w:rFonts w:ascii="Times New Roman"/>
          <w:sz w:val="12"/>
        </w:rPr>
      </w:pPr>
      <w:r>
        <w:pict>
          <v:group id="_x0000_s1041" style="width:189.4pt;height:94.45pt;margin-top:-97.64pt;margin-left:76.43pt;mso-position-horizontal-relative:page;position:absolute;z-index:-251655168" coordorigin="1529,-1953" coordsize="3788,1889">
            <v:shape id="_x0000_s1042" style="width:3396;height:1786;left:1724;position:absolute;top:-1855" coordorigin="1724,-1854" coordsize="3396,1786" path="m1870,-1004l1724,-1004,1724,-68,1870,-68,1870,-1004m2335,-1424l2189,-1424,2189,-68,2335,-68,2335,-1424m2798,-1635l2653,-1635,2653,-68,2798,-68,2798,-1635m3263,-1829l3118,-1829,3118,-68,3263,-68,3263,-1829m3727,-1854l3583,-1854,3583,-68,3727,-68,3727,-1854m4192,-1653l4046,-1653,4046,-68,4192,-68,4192,-1653m4657,-1352l4511,-1352,4511,-68,4657,-68,4657,-1352m5120,-1275l4976,-1275,4976,-68,5120,-68,5120,-1275e" filled="t" fillcolor="#d7d7d7" stroked="f">
              <v:fill type="solid"/>
              <v:path arrowok="t"/>
            </v:shape>
            <v:shape id="_x0000_s1043" style="width:63;height:3255;left:7470;position:absolute;top:4661" coordorigin="7470,4661" coordsize="63,3255" path="m5280,-68l5280,-1949m5280,-68l5316,-68m5280,-304l5316,-304m5280,-538l5316,-538m5280,-774l5316,-774m5280,-1008l5316,-1008m5280,-1244l5316,-1244m5280,-1478l5316,-1478m5280,-1713l5316,-1713m5280,-1949l5316,-1949e" filled="f" stroked="t" strokecolor="#bebebe" strokeweight="0.43pt">
              <v:stroke dashstyle="solid"/>
              <v:path arrowok="t"/>
            </v:shape>
            <v:shape id="_x0000_s1044" style="width:63;height:3255;left:983;position:absolute;top:4661" coordorigin="983,4661" coordsize="63,3255" path="m1565,-68l1565,-1949m1529,-68l1565,-68m1529,-382l1565,-382m1529,-695l1565,-695m1529,-1008l1565,-1008m1529,-1322l1565,-1322m1529,-1635l1565,-1635m1529,-1949l1565,-1949e" filled="f" stroked="t" strokecolor="#aeabab" strokeweight="0.43pt">
              <v:stroke dashstyle="solid"/>
              <v:path arrowok="t"/>
            </v:shape>
            <v:line id="_x0000_s1045" style="position:absolute" from="1565,-68" to="5280,-68" stroked="t" strokecolor="#d9d9d9" strokeweight="0.43pt">
              <v:stroke dashstyle="solid"/>
            </v:line>
            <v:shape id="_x0000_s1046" style="width:2786;height:1498;left:2262;position:absolute;top:-1826" coordorigin="2262,-1826" coordsize="2786,1498" path="m2262,-1826l2726,-1138,3191,-1066,3655,-807,4119,-509,4584,-328,5047,-631e" filled="f" stroked="t" strokecolor="#375f91" strokeweight="1.3pt">
              <v:stroke dashstyle="solid"/>
              <v:path arrowok="t"/>
            </v:shape>
            <v:shape id="_x0000_s1047" style="width:59;height:59;left:2232;position:absolute;top:-1855" coordorigin="2233,-1855" coordsize="59,59" path="m2262,-1855l2250,-1853,2241,-1846,2235,-1837,2233,-1826,2235,-1814,2241,-1805,2250,-1799,2262,-1797,2273,-1799,2282,-1805,2289,-1814,2291,-1826,2289,-1837,2282,-1846,2273,-1853,2262,-1855xe" filled="t" fillcolor="#375f91" stroked="f">
              <v:fill type="solid"/>
              <v:path arrowok="t"/>
            </v:shape>
            <v:shape id="_x0000_s1048" style="width:59;height:59;left:2232;position:absolute;top:-1855" coordorigin="2233,-1855" coordsize="59,59" path="m2291,-1826l2289,-1814,2282,-1805,2273,-1799,2262,-1797,2250,-1799,2241,-1805,2235,-1814,2233,-1826,2235,-1837,2241,-1846,2250,-1853,2262,-1855,2273,-1853,2282,-1846,2289,-1837,2291,-1826xe" filled="f" stroked="t" strokecolor="#375f91" strokeweight="0.43pt">
              <v:stroke dashstyle="solid"/>
              <v:path arrowok="t"/>
            </v:shape>
            <v:shape id="_x0000_s1049" style="width:59;height:59;left:2697;position:absolute;top:-1168" coordorigin="2698,-1167" coordsize="59,59" path="m2727,-1167l2715,-1165,2706,-1159,2700,-1149,2698,-1138,2700,-1127,2706,-1117,2715,-1111,2727,-1109,2738,-1111,2747,-1117,2753,-1127,2756,-1138,2753,-1149,2747,-1159,2738,-1165,2727,-1167xe" filled="t" fillcolor="#375f91" stroked="f">
              <v:fill type="solid"/>
              <v:path arrowok="t"/>
            </v:shape>
            <v:shape id="_x0000_s1050" style="width:59;height:59;left:2697;position:absolute;top:-1168" coordorigin="2698,-1167" coordsize="59,59" path="m2756,-1138l2753,-1127,2747,-1117,2738,-1111,2727,-1109,2715,-1111,2706,-1117,2700,-1127,2698,-1138,2700,-1149,2706,-1159,2715,-1165,2727,-1167,2738,-1165,2747,-1159,2753,-1149,2756,-1138xe" filled="f" stroked="t" strokecolor="#375f91" strokeweight="0.43pt">
              <v:stroke dashstyle="solid"/>
              <v:path arrowok="t"/>
            </v:shape>
            <v:shape id="_x0000_s1051" style="width:59;height:59;left:3161;position:absolute;top:-1096" coordorigin="3161,-1095" coordsize="59,59" path="m3190,-1095l3179,-1093,3170,-1087,3163,-1077,3161,-1066,3163,-1055,3170,-1045,3179,-1039,3190,-1037,3202,-1039,3211,-1045,3217,-1055,3219,-1066,3217,-1077,3211,-1087,3202,-1093,3190,-1095xe" filled="t" fillcolor="#375f91" stroked="f">
              <v:fill type="solid"/>
              <v:path arrowok="t"/>
            </v:shape>
            <v:shape id="_x0000_s1052" style="width:59;height:59;left:3161;position:absolute;top:-1096" coordorigin="3161,-1095" coordsize="59,59" path="m3219,-1066l3217,-1055,3211,-1045,3202,-1039,3190,-1037,3179,-1039,3170,-1045,3163,-1055,3161,-1066,3163,-1077,3170,-1087,3179,-1093,3190,-1095,3202,-1093,3211,-1087,3217,-1077,3219,-1066xe" filled="f" stroked="t" strokecolor="#375f91" strokeweight="0.43pt">
              <v:stroke dashstyle="solid"/>
              <v:path arrowok="t"/>
            </v:shape>
            <v:shape id="_x0000_s1053" style="width:59;height:59;left:3625;position:absolute;top:-836" coordorigin="3626,-836" coordsize="59,59" path="m3655,-836l3644,-834,3634,-827,3628,-818,3626,-807,3628,-795,3634,-786,3644,-780,3655,-778,3666,-780,3676,-786,3682,-795,3684,-807,3682,-818,3676,-827,3666,-834,3655,-836xe" filled="t" fillcolor="#375f91" stroked="f">
              <v:fill type="solid"/>
              <v:path arrowok="t"/>
            </v:shape>
            <v:shape id="_x0000_s1054" style="width:59;height:59;left:3625;position:absolute;top:-836" coordorigin="3626,-836" coordsize="59,59" path="m3684,-807l3682,-795,3676,-786,3666,-780,3655,-778,3644,-780,3634,-786,3628,-795,3626,-807,3628,-818,3634,-827,3644,-834,3655,-836,3666,-834,3676,-827,3682,-818,3684,-807xe" filled="f" stroked="t" strokecolor="#375f91" strokeweight="0.43pt">
              <v:stroke dashstyle="solid"/>
              <v:path arrowok="t"/>
            </v:shape>
            <v:shape id="_x0000_s1055" style="width:59;height:59;left:4090;position:absolute;top:-537" coordorigin="4091,-536" coordsize="59,59" path="m4120,-536l4109,-534,4099,-528,4093,-519,4091,-507,4093,-496,4099,-487,4109,-480,4120,-478,4131,-480,4141,-487,4147,-496,4149,-507,4147,-519,4141,-528,4131,-534,4120,-536xe" filled="t" fillcolor="#375f91" stroked="f">
              <v:fill type="solid"/>
              <v:path arrowok="t"/>
            </v:shape>
            <v:shape id="_x0000_s1056" style="width:59;height:59;left:4090;position:absolute;top:-537" coordorigin="4091,-536" coordsize="59,59" path="m4149,-507l4147,-496,4141,-487,4131,-480,4120,-478,4109,-480,4099,-487,4093,-496,4091,-507,4093,-519,4099,-528,4109,-534,4120,-536,4131,-534,4141,-528,4147,-519,4149,-507xe" filled="f" stroked="t" strokecolor="#375f91" strokeweight="0.43pt">
              <v:stroke dashstyle="solid"/>
              <v:path arrowok="t"/>
            </v:shape>
            <v:shape id="_x0000_s1057" style="width:59;height:59;left:4554;position:absolute;top:-358" coordorigin="4554,-357" coordsize="59,59" path="m4583,-357l4572,-355,4563,-349,4557,-340,4554,-328,4557,-317,4563,-308,4572,-302,4583,-299,4595,-302,4604,-308,4610,-317,4613,-328,4610,-340,4604,-349,4595,-355,4583,-357xe" filled="t" fillcolor="#375f91" stroked="f">
              <v:fill type="solid"/>
              <v:path arrowok="t"/>
            </v:shape>
            <v:shape id="_x0000_s1058" style="width:59;height:59;left:4554;position:absolute;top:-358" coordorigin="4554,-357" coordsize="59,59" path="m4613,-328l4610,-317,4604,-308,4595,-302,4583,-299,4572,-302,4563,-308,4557,-317,4554,-328,4557,-340,4563,-349,4572,-355,4583,-357,4595,-355,4604,-349,4610,-340,4613,-328xe" filled="f" stroked="t" strokecolor="#375f91" strokeweight="0.43pt">
              <v:stroke dashstyle="solid"/>
              <v:path arrowok="t"/>
            </v:shape>
            <v:shape id="_x0000_s1059" style="width:59;height:59;left:5019;position:absolute;top:-660" coordorigin="5019,-660" coordsize="59,59" path="m5048,-660l5037,-657,5028,-651,5022,-642,5019,-631,5022,-619,5028,-610,5037,-604,5048,-602,5060,-604,5069,-610,5075,-619,5078,-631,5075,-642,5069,-651,5060,-657,5048,-660xe" filled="t" fillcolor="#375f91" stroked="f">
              <v:fill type="solid"/>
              <v:path arrowok="t"/>
            </v:shape>
            <v:shape id="_x0000_s1060" style="width:59;height:59;left:5019;position:absolute;top:-660" coordorigin="5019,-660" coordsize="59,59" path="m5078,-631l5075,-619,5069,-610,5060,-604,5048,-602,5037,-604,5028,-610,5022,-619,5019,-631,5022,-642,5028,-651,5037,-657,5048,-660,5060,-657,5069,-651,5075,-642,5078,-631xe" filled="f" stroked="t" strokecolor="#375f91" strokeweight="0.43pt">
              <v:stroke dashstyle="solid"/>
              <v:path arrowok="t"/>
            </v:shape>
            <v:shape id="_x0000_s1061" type="#_x0000_t202" style="width:244;height:136;left:2613;position:absolute;top:-1354" filled="f" stroked="f">
              <v:textbox inset="0,0,0,0">
                <w:txbxContent>
                  <w:p>
                    <w:pPr>
                      <w:spacing w:before="0" w:line="135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sz w:val="12"/>
                      </w:rPr>
                      <w:t>16%</w:t>
                    </w:r>
                  </w:p>
                </w:txbxContent>
              </v:textbox>
            </v:shape>
            <v:shape id="_x0000_s1062" type="#_x0000_t202" style="width:244;height:136;left:3077;position:absolute;top:-1282" filled="f" stroked="f">
              <v:textbox inset="0,0,0,0">
                <w:txbxContent>
                  <w:p>
                    <w:pPr>
                      <w:spacing w:before="0" w:line="135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sz w:val="12"/>
                      </w:rPr>
                      <w:t>12%</w:t>
                    </w:r>
                  </w:p>
                </w:txbxContent>
              </v:textbox>
            </v:shape>
            <v:shape id="_x0000_s1063" type="#_x0000_t202" style="width:183;height:136;left:3573;position:absolute;top:-1022" filled="f" stroked="f">
              <v:textbox inset="0,0,0,0">
                <w:txbxContent>
                  <w:p>
                    <w:pPr>
                      <w:spacing w:before="0" w:line="135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sz w:val="12"/>
                      </w:rPr>
                      <w:t>1%</w:t>
                    </w:r>
                  </w:p>
                </w:txbxContent>
              </v:textbox>
            </v:shape>
            <v:shape id="_x0000_s1064" type="#_x0000_t202" style="width:375;height:136;left:4871;position:absolute;top:-847" filled="f" stroked="f">
              <v:textbox inset="0,0,0,0">
                <w:txbxContent>
                  <w:p>
                    <w:pPr>
                      <w:spacing w:before="0" w:line="135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sz w:val="12"/>
                      </w:rPr>
                      <w:t>-6.06%</w:t>
                    </w:r>
                  </w:p>
                </w:txbxContent>
              </v:textbox>
            </v:shape>
            <v:shape id="_x0000_s1065" type="#_x0000_t202" style="width:283;height:136;left:3987;position:absolute;top:-723" filled="f" stroked="f">
              <v:textbox inset="0,0,0,0">
                <w:txbxContent>
                  <w:p>
                    <w:pPr>
                      <w:spacing w:before="0" w:line="135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sz w:val="12"/>
                      </w:rPr>
                      <w:t>-11%</w:t>
                    </w:r>
                  </w:p>
                </w:txbxContent>
              </v:textbox>
            </v:shape>
            <v:shape id="_x0000_s1066" type="#_x0000_t202" style="width:283;height:136;left:4452;position:absolute;top:-544" filled="f" stroked="f">
              <v:textbox inset="0,0,0,0">
                <w:txbxContent>
                  <w:p>
                    <w:pPr>
                      <w:spacing w:before="0" w:line="135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sz w:val="12"/>
                      </w:rPr>
                      <w:t>-19%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color w:val="585858"/>
          <w:sz w:val="12"/>
        </w:rPr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</w:r>
      <w:r>
        <w:rPr>
          <w:rFonts w:ascii="Times New Roman"/>
          <w:color w:val="585858"/>
          <w:spacing w:val="-6"/>
          <w:sz w:val="12"/>
        </w:rPr>
        <w:t>2023</w:t>
      </w:r>
    </w:p>
    <w:p>
      <w:pPr>
        <w:tabs>
          <w:tab w:val="left" w:pos="2591"/>
        </w:tabs>
        <w:spacing w:before="93"/>
        <w:ind w:left="948" w:right="0" w:firstLine="0"/>
        <w:jc w:val="left"/>
        <w:rPr>
          <w:sz w:val="12"/>
        </w:rPr>
      </w:pPr>
      <w:r>
        <w:pict>
          <v:line id="_x0000_s1067" style="mso-position-horizontal-relative:page;position:absolute;z-index:251664384" from="108.75pt,8.45pt" to="119.85pt,8.45pt" stroked="t" strokecolor="#d7d7d7" strokeweight="2.77pt">
            <v:stroke dashstyle="solid"/>
          </v:line>
        </w:pict>
      </w:r>
      <w:r>
        <w:pict>
          <v:group id="_x0000_s1068" style="width:11.15pt;height:3.35pt;margin-top:6.71pt;margin-left:190.89pt;mso-position-horizontal-relative:page;position:absolute;z-index:-251654144" coordorigin="3818,134" coordsize="223,67">
            <v:line id="_x0000_s1069" style="position:absolute" from="3818,168" to="4040,168" stroked="t" strokecolor="#375f91" strokeweight="1.3pt">
              <v:stroke dashstyle="solid"/>
            </v:line>
            <v:shape id="_x0000_s1070" style="width:59;height:59;left:3898;position:absolute;top:138" coordorigin="3899,139" coordsize="59,59" path="m3928,139l3917,141,3907,147,3901,156,3899,168,3901,179,3907,188,3917,195,3928,197,3939,195,3949,188,3955,179,3957,168,3955,156,3949,147,3939,141,3928,139xe" filled="t" fillcolor="#375f91" stroked="f">
              <v:fill type="solid"/>
              <v:path arrowok="t"/>
            </v:shape>
            <v:shape id="_x0000_s1071" style="width:59;height:59;left:3898;position:absolute;top:138" coordorigin="3899,139" coordsize="59,59" path="m3957,168l3955,179,3949,188,3939,195,3928,197,3917,195,3907,188,3901,179,3899,168,3901,156,3907,147,3917,141,3928,139,3939,141,3949,147,3955,156,3957,168xe" filled="f" stroked="t" strokecolor="#375f91" strokeweight="0.43pt">
              <v:stroke dashstyle="solid"/>
              <v:path arrowok="t"/>
            </v:shape>
          </v:group>
        </w:pict>
      </w:r>
      <w:r>
        <w:rPr>
          <w:color w:val="585858"/>
          <w:sz w:val="12"/>
        </w:rPr>
        <w:t>环卫装备总销量（辆）</w:t>
        <w:tab/>
        <w:t>同比增速</w:t>
      </w:r>
    </w:p>
    <w:p>
      <w:pPr>
        <w:spacing w:before="119"/>
        <w:ind w:left="173" w:right="0" w:firstLine="0"/>
        <w:jc w:val="left"/>
        <w:rPr>
          <w:rFonts w:ascii="Times New Roman"/>
          <w:sz w:val="12"/>
        </w:rPr>
      </w:pPr>
      <w:r>
        <w:br w:type="column"/>
      </w:r>
      <w:r>
        <w:rPr>
          <w:rFonts w:ascii="Times New Roman"/>
          <w:color w:val="585858"/>
          <w:sz w:val="12"/>
        </w:rPr>
        <w:t>50%</w:t>
      </w:r>
    </w:p>
    <w:p>
      <w:pPr>
        <w:spacing w:before="97"/>
        <w:ind w:left="173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sz w:val="12"/>
        </w:rPr>
        <w:t>40%</w:t>
      </w:r>
    </w:p>
    <w:p>
      <w:pPr>
        <w:spacing w:before="98"/>
        <w:ind w:left="173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sz w:val="12"/>
        </w:rPr>
        <w:t>30%</w:t>
      </w:r>
    </w:p>
    <w:p>
      <w:pPr>
        <w:spacing w:before="96"/>
        <w:ind w:left="173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sz w:val="12"/>
        </w:rPr>
        <w:t>20%</w:t>
      </w:r>
    </w:p>
    <w:p>
      <w:pPr>
        <w:spacing w:before="98"/>
        <w:ind w:left="173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sz w:val="12"/>
        </w:rPr>
        <w:t>10%</w:t>
      </w:r>
    </w:p>
    <w:p>
      <w:pPr>
        <w:spacing w:before="97"/>
        <w:ind w:left="173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sz w:val="12"/>
        </w:rPr>
        <w:t>0%</w:t>
      </w:r>
    </w:p>
    <w:p>
      <w:pPr>
        <w:spacing w:before="97"/>
        <w:ind w:left="173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sz w:val="12"/>
        </w:rPr>
        <w:t>-10%</w:t>
      </w:r>
    </w:p>
    <w:p>
      <w:pPr>
        <w:spacing w:before="97"/>
        <w:ind w:left="173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sz w:val="12"/>
        </w:rPr>
        <w:t>-20%</w:t>
      </w:r>
    </w:p>
    <w:p>
      <w:pPr>
        <w:spacing w:before="97"/>
        <w:ind w:left="173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sz w:val="12"/>
        </w:rPr>
        <w:t>-30%</w:t>
      </w:r>
    </w:p>
    <w:p>
      <w:pPr>
        <w:spacing w:before="100"/>
        <w:ind w:left="0" w:right="0" w:firstLine="0"/>
        <w:jc w:val="right"/>
        <w:rPr>
          <w:rFonts w:ascii="Times New Roman"/>
          <w:sz w:val="12"/>
        </w:rPr>
      </w:pPr>
      <w:r>
        <w:br w:type="column"/>
      </w:r>
      <w:r>
        <w:rPr>
          <w:rFonts w:ascii="Times New Roman"/>
          <w:color w:val="585858"/>
          <w:spacing w:val="-1"/>
          <w:sz w:val="12"/>
        </w:rPr>
        <w:t>7,000</w:t>
      </w:r>
    </w:p>
    <w:p>
      <w:pPr>
        <w:pStyle w:val="BodyText"/>
        <w:spacing w:before="9"/>
        <w:rPr>
          <w:rFonts w:ascii="Times New Roman"/>
          <w:sz w:val="11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6,000</w:t>
      </w:r>
    </w:p>
    <w:p>
      <w:pPr>
        <w:pStyle w:val="BodyText"/>
        <w:spacing w:before="9"/>
        <w:rPr>
          <w:rFonts w:ascii="Times New Roman"/>
          <w:sz w:val="11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5,000</w:t>
      </w:r>
    </w:p>
    <w:p>
      <w:pPr>
        <w:pStyle w:val="BodyText"/>
        <w:spacing w:before="8"/>
        <w:rPr>
          <w:rFonts w:ascii="Times New Roman"/>
          <w:sz w:val="11"/>
        </w:rPr>
      </w:pPr>
    </w:p>
    <w:p>
      <w:pPr>
        <w:spacing w:before="1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4,000</w:t>
      </w:r>
    </w:p>
    <w:p>
      <w:pPr>
        <w:pStyle w:val="BodyText"/>
        <w:spacing w:before="8"/>
        <w:rPr>
          <w:rFonts w:ascii="Times New Roman"/>
          <w:sz w:val="11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sz w:val="12"/>
        </w:rPr>
        <w:t>3,000</w:t>
      </w:r>
    </w:p>
    <w:p>
      <w:pPr>
        <w:pStyle w:val="BodyText"/>
        <w:spacing w:before="8"/>
        <w:rPr>
          <w:rFonts w:ascii="Times New Roman"/>
          <w:sz w:val="11"/>
        </w:rPr>
      </w:pPr>
    </w:p>
    <w:p>
      <w:pPr>
        <w:spacing w:before="1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w w:val="105"/>
          <w:sz w:val="12"/>
        </w:rPr>
        <w:t>2,000</w:t>
      </w:r>
    </w:p>
    <w:p>
      <w:pPr>
        <w:pStyle w:val="BodyText"/>
        <w:spacing w:before="8"/>
        <w:rPr>
          <w:rFonts w:ascii="Times New Roman"/>
          <w:sz w:val="11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spacing w:val="-1"/>
          <w:w w:val="105"/>
          <w:sz w:val="12"/>
        </w:rPr>
        <w:t>1,000</w:t>
      </w:r>
    </w:p>
    <w:p>
      <w:pPr>
        <w:pStyle w:val="BodyText"/>
        <w:spacing w:before="9"/>
        <w:rPr>
          <w:rFonts w:ascii="Times New Roman"/>
          <w:sz w:val="11"/>
        </w:rPr>
      </w:pPr>
    </w:p>
    <w:p>
      <w:pPr>
        <w:spacing w:before="0"/>
        <w:ind w:left="0" w:right="0" w:firstLine="0"/>
        <w:jc w:val="right"/>
        <w:rPr>
          <w:rFonts w:ascii="Times New Roman"/>
          <w:sz w:val="12"/>
        </w:rPr>
      </w:pPr>
      <w:r>
        <w:rPr>
          <w:rFonts w:ascii="Times New Roman"/>
          <w:color w:val="585858"/>
          <w:w w:val="103"/>
          <w:sz w:val="12"/>
        </w:rPr>
        <w:t>0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p>
      <w:pPr>
        <w:tabs>
          <w:tab w:val="left" w:pos="684"/>
          <w:tab w:val="left" w:pos="1160"/>
          <w:tab w:val="left" w:pos="1635"/>
          <w:tab w:val="left" w:pos="2110"/>
          <w:tab w:val="left" w:pos="2585"/>
          <w:tab w:val="left" w:pos="3061"/>
          <w:tab w:val="left" w:pos="3536"/>
        </w:tabs>
        <w:spacing w:before="0"/>
        <w:ind w:left="209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w w:val="105"/>
          <w:sz w:val="12"/>
        </w:rPr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</w:r>
      <w:r>
        <w:rPr>
          <w:rFonts w:ascii="Times New Roman"/>
          <w:color w:val="585858"/>
          <w:spacing w:val="-6"/>
          <w:w w:val="105"/>
          <w:sz w:val="12"/>
        </w:rPr>
        <w:t>2023</w:t>
      </w:r>
    </w:p>
    <w:p>
      <w:pPr>
        <w:tabs>
          <w:tab w:val="left" w:pos="2721"/>
        </w:tabs>
        <w:spacing w:before="98"/>
        <w:ind w:left="1048" w:right="0" w:firstLine="0"/>
        <w:jc w:val="left"/>
        <w:rPr>
          <w:sz w:val="12"/>
        </w:rPr>
      </w:pPr>
      <w:r>
        <w:pict>
          <v:line id="_x0000_s1072" style="mso-position-horizontal-relative:page;position:absolute;z-index:251666432" from="368.7pt,8.65pt" to="380pt,8.65pt" stroked="t" strokecolor="#d7d7d7" strokeweight="2.82pt">
            <v:stroke dashstyle="solid"/>
          </v:line>
        </w:pict>
      </w:r>
      <w:r>
        <w:pict>
          <v:group id="_x0000_s1073" style="width:11.35pt;height:3.45pt;margin-top:6.94pt;margin-left:452.36pt;mso-position-horizontal-relative:page;position:absolute;z-index:-251653120" coordorigin="9047,139" coordsize="227,69">
            <v:line id="_x0000_s1074" style="position:absolute" from="9047,174" to="9273,174" stroked="t" strokecolor="#375f91" strokeweight="1.32pt">
              <v:stroke dashstyle="solid"/>
            </v:line>
            <v:shape id="_x0000_s1075" style="width:60;height:60;left:9129;position:absolute;top:143" coordorigin="9130,143" coordsize="60,60" path="m9160,143l9148,146,9139,152,9132,161,9130,173,9132,185,9139,194,9148,200,9160,203,9171,200,9180,194,9187,185,9189,173,9187,161,9180,152,9171,146,9160,143xe" filled="t" fillcolor="#375f91" stroked="f">
              <v:fill type="solid"/>
              <v:path arrowok="t"/>
            </v:shape>
            <v:shape id="_x0000_s1076" style="width:60;height:60;left:9129;position:absolute;top:143" coordorigin="9130,143" coordsize="60,60" path="m9189,173l9187,185,9180,194,9171,200,9160,203,9148,200,9139,194,9132,185,9130,173,9132,161,9139,152,9148,146,9160,143,9171,146,9180,152,9187,161,9189,173xe" filled="f" stroked="t" strokecolor="#375f91" strokeweight="0.44pt">
              <v:stroke dashstyle="solid"/>
              <v:path arrowok="t"/>
            </v:shape>
          </v:group>
        </w:pict>
      </w:r>
      <w:r>
        <w:rPr>
          <w:color w:val="585858"/>
          <w:w w:val="105"/>
          <w:sz w:val="12"/>
        </w:rPr>
        <w:t>新能源装备销量（辆）</w:t>
        <w:tab/>
        <w:t>同比增速</w:t>
      </w:r>
    </w:p>
    <w:p>
      <w:pPr>
        <w:spacing w:before="100"/>
        <w:ind w:left="179" w:right="0" w:firstLine="0"/>
        <w:jc w:val="left"/>
        <w:rPr>
          <w:rFonts w:ascii="Times New Roman"/>
          <w:sz w:val="12"/>
        </w:rPr>
      </w:pPr>
      <w:r>
        <w:br w:type="column"/>
      </w:r>
      <w:r>
        <w:rPr>
          <w:rFonts w:ascii="Times New Roman"/>
          <w:color w:val="585858"/>
          <w:w w:val="105"/>
          <w:sz w:val="12"/>
        </w:rPr>
        <w:t>120%</w:t>
      </w: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before="1"/>
        <w:ind w:left="179" w:right="0" w:firstLine="0"/>
        <w:jc w:val="left"/>
        <w:rPr>
          <w:rFonts w:ascii="Times New Roman"/>
          <w:sz w:val="12"/>
        </w:rPr>
      </w:pPr>
      <w:r>
        <w:pict>
          <v:group id="_x0000_s1077" style="width:193.75pt;height:100pt;margin-top:-15.44pt;margin-left:331.81pt;mso-position-horizontal-relative:page;position:absolute;z-index:251665408" coordorigin="6636,-309" coordsize="3875,2000">
            <v:shape id="_x0000_s1078" style="width:3475;height:1707;left:6835;position:absolute;top:-39" coordorigin="6836,-39" coordsize="3475,1707" path="m6984,1463l6836,1463,6836,1668,6984,1668,6984,1463m7460,1237l7310,1237,7310,1668,7460,1668,7460,1237m8410,882l8260,882,8260,1668,8410,1668,8410,882m8885,675l8737,675,8737,1668,8885,1668,8885,675m9360,586l9212,586,9212,1668,9360,1668,9360,586m9835,338l9687,338,9687,1668,9835,1668,9835,338m10310,-39l10162,-39,10162,1668,10310,1668,10310,-39e" filled="t" fillcolor="#d7d7d7" stroked="f">
              <v:fill type="solid"/>
              <v:path arrowok="t"/>
            </v:shape>
            <v:shape id="_x0000_s1079" style="width:63;height:3248;left:7290;position:absolute;top:6392" coordorigin="7290,6393" coordsize="63,3248" path="m10474,1668l10474,-243m10474,1668l10511,1668m10474,1348l10511,1348m10474,1031l10511,1031m10474,711l10511,711m10474,394l10511,394m10474,74l10511,74m10474,-243l10511,-243e" filled="f" stroked="t" strokecolor="#bebebe" strokeweight="0.44pt">
              <v:stroke dashstyle="solid"/>
              <v:path arrowok="t"/>
            </v:shape>
            <v:shape id="_x0000_s1080" style="width:63;height:3248;left:774;position:absolute;top:6392" coordorigin="775,6393" coordsize="63,3248" path="m6673,1668l6673,-243m6636,1668l6673,1668m6636,1395l6673,1395m6636,1121l6673,1121m6636,848l6673,848m6636,576l6673,576m6636,302l6673,302m6636,29l6673,29m6636,-243l6673,-243e" filled="f" stroked="t" strokecolor="#aeabab" strokeweight="0.44pt">
              <v:stroke dashstyle="solid"/>
              <v:path arrowok="t"/>
            </v:shape>
            <v:line id="_x0000_s1081" style="position:absolute" from="6673,1668" to="10474,1668" stroked="t" strokecolor="#d9d9d9" strokeweight="0.44pt">
              <v:stroke dashstyle="solid"/>
            </v:line>
            <v:shape id="_x0000_s1082" style="width:2852;height:1745;left:7384;position:absolute;top:-89" coordorigin="7385,-89" coordsize="2852,1745" path="m7385,-89l7860,1656,8336,372,8811,1246,9286,1526,9761,1304,10236,1215e" filled="f" stroked="t" strokecolor="#375f91" strokeweight="1.32pt">
              <v:stroke dashstyle="solid"/>
              <v:path arrowok="t"/>
            </v:shape>
            <v:shape id="_x0000_s1083" style="width:60;height:60;left:7356;position:absolute;top:-120" coordorigin="7356,-119" coordsize="60,60" path="m7386,-119l7374,-117,7365,-110,7359,-101,7356,-89,7359,-78,7365,-68,7374,-62,7386,-60,7397,-62,7407,-68,7413,-78,7416,-89,7413,-101,7407,-110,7397,-117,7386,-119xe" filled="t" fillcolor="#375f91" stroked="f">
              <v:fill type="solid"/>
              <v:path arrowok="t"/>
            </v:shape>
            <v:shape id="_x0000_s1084" style="width:60;height:60;left:7356;position:absolute;top:-120" coordorigin="7356,-119" coordsize="60,60" path="m7416,-89l7413,-78,7407,-68,7397,-62,7386,-60,7374,-62,7365,-68,7359,-78,7356,-89,7359,-101,7365,-110,7374,-117,7386,-119,7397,-117,7407,-110,7413,-101,7416,-89xe" filled="f" stroked="t" strokecolor="#375f91" strokeweight="0.44pt">
              <v:stroke dashstyle="solid"/>
              <v:path arrowok="t"/>
            </v:shape>
            <v:shape id="_x0000_s1085" style="width:60;height:60;left:7831;position:absolute;top:1626" coordorigin="7831,1627" coordsize="60,60" path="m7861,1627l7849,1629,7840,1635,7834,1645,7831,1656,7834,1668,7840,1677,7849,1684,7861,1686,7872,1684,7882,1677,7888,1668,7891,1656,7888,1645,7882,1635,7872,1629,7861,1627xe" filled="t" fillcolor="#375f91" stroked="f">
              <v:fill type="solid"/>
              <v:path arrowok="t"/>
            </v:shape>
            <v:shape id="_x0000_s1086" style="width:60;height:60;left:7831;position:absolute;top:1626" coordorigin="7831,1627" coordsize="60,60" path="m7891,1656l7888,1668,7882,1677,7872,1684,7861,1686,7849,1684,7840,1677,7834,1668,7831,1656,7834,1645,7840,1635,7849,1629,7861,1627,7872,1629,7882,1635,7888,1645,7891,1656xe" filled="f" stroked="t" strokecolor="#375f91" strokeweight="0.44pt">
              <v:stroke dashstyle="solid"/>
              <v:path arrowok="t"/>
            </v:shape>
            <v:shape id="_x0000_s1087" style="width:60;height:60;left:8306;position:absolute;top:341" coordorigin="8306,341" coordsize="60,60" path="m8336,341l8324,344,8315,350,8309,360,8306,371,8309,383,8315,392,8324,398,8336,401,8347,398,8357,392,8363,383,8366,371,8363,360,8357,350,8347,344,8336,341xe" filled="t" fillcolor="#375f91" stroked="f">
              <v:fill type="solid"/>
              <v:path arrowok="t"/>
            </v:shape>
            <v:shape id="_x0000_s1088" style="width:60;height:60;left:8306;position:absolute;top:341" coordorigin="8306,341" coordsize="60,60" path="m8366,371l8363,383,8357,392,8347,398,8336,401,8324,398,8315,392,8309,383,8306,371,8309,360,8315,350,8324,344,8336,341,8347,344,8357,350,8363,360,8366,371xe" filled="f" stroked="t" strokecolor="#375f91" strokeweight="0.44pt">
              <v:stroke dashstyle="solid"/>
              <v:path arrowok="t"/>
            </v:shape>
            <v:shape id="_x0000_s1089" style="width:60;height:60;left:8781;position:absolute;top:1217" coordorigin="8781,1217" coordsize="60,60" path="m8811,1217l8799,1219,8790,1226,8784,1235,8781,1247,8784,1258,8790,1268,8799,1274,8811,1276,8822,1274,8832,1268,8838,1258,8841,1247,8838,1235,8832,1226,8822,1219,8811,1217xe" filled="t" fillcolor="#375f91" stroked="f">
              <v:fill type="solid"/>
              <v:path arrowok="t"/>
            </v:shape>
            <v:shape id="_x0000_s1090" style="width:60;height:60;left:8781;position:absolute;top:1217" coordorigin="8781,1217" coordsize="60,60" path="m8841,1247l8838,1258,8832,1268,8822,1274,8811,1276,8799,1274,8790,1268,8784,1258,8781,1247,8784,1235,8790,1226,8799,1219,8811,1217,8822,1219,8832,1226,8838,1235,8841,1247xe" filled="f" stroked="t" strokecolor="#375f91" strokeweight="0.44pt">
              <v:stroke dashstyle="solid"/>
              <v:path arrowok="t"/>
            </v:shape>
            <v:shape id="_x0000_s1091" style="width:60;height:60;left:9256;position:absolute;top:1495" coordorigin="9256,1495" coordsize="60,60" path="m9286,1495l9274,1498,9265,1504,9258,1513,9256,1525,9258,1537,9265,1546,9274,1552,9286,1555,9297,1552,9307,1546,9313,1537,9316,1525,9313,1513,9307,1504,9297,1498,9286,1495xe" filled="t" fillcolor="#375f91" stroked="f">
              <v:fill type="solid"/>
              <v:path arrowok="t"/>
            </v:shape>
            <v:shape id="_x0000_s1092" style="width:60;height:60;left:9256;position:absolute;top:1495" coordorigin="9256,1495" coordsize="60,60" path="m9316,1525l9313,1537,9307,1546,9297,1552,9286,1555,9274,1552,9265,1546,9258,1537,9256,1525,9258,1513,9265,1504,9274,1498,9286,1495,9297,1498,9307,1504,9313,1513,9316,1525xe" filled="f" stroked="t" strokecolor="#375f91" strokeweight="0.44pt">
              <v:stroke dashstyle="solid"/>
              <v:path arrowok="t"/>
            </v:shape>
            <v:shape id="_x0000_s1093" style="width:60;height:60;left:9731;position:absolute;top:1273" coordorigin="9731,1274" coordsize="60,60" path="m9761,1274l9749,1276,9740,1282,9733,1292,9731,1303,9733,1315,9740,1324,9749,1331,9761,1333,9772,1331,9782,1324,9788,1315,9791,1303,9788,1292,9782,1282,9772,1276,9761,1274xe" filled="t" fillcolor="#375f91" stroked="f">
              <v:fill type="solid"/>
              <v:path arrowok="t"/>
            </v:shape>
            <v:shape id="_x0000_s1094" style="width:60;height:60;left:9731;position:absolute;top:1273" coordorigin="9731,1274" coordsize="60,60" path="m9791,1303l9788,1315,9782,1324,9772,1331,9761,1333,9749,1331,9740,1324,9733,1315,9731,1303,9733,1292,9740,1282,9749,1276,9761,1274,9772,1276,9782,1282,9788,1292,9791,1303xe" filled="f" stroked="t" strokecolor="#375f91" strokeweight="0.44pt">
              <v:stroke dashstyle="solid"/>
              <v:path arrowok="t"/>
            </v:shape>
            <v:shape id="_x0000_s1095" style="width:60;height:60;left:10207;position:absolute;top:1186" coordorigin="10208,1186" coordsize="60,60" path="m10237,1186l10226,1188,10216,1195,10210,1204,10208,1216,10210,1227,10216,1237,10226,1243,10237,1245,10249,1243,10258,1237,10265,1227,10267,1216,10265,1204,10258,1195,10249,1188,10237,1186xe" filled="t" fillcolor="#375f91" stroked="f">
              <v:fill type="solid"/>
              <v:path arrowok="t"/>
            </v:shape>
            <v:shape id="_x0000_s1096" style="width:60;height:60;left:10207;position:absolute;top:1186" coordorigin="10208,1186" coordsize="60,60" path="m10267,1216l10265,1227,10258,1237,10249,1243,10237,1245,10226,1243,10216,1237,10210,1227,10208,1216,10210,1204,10216,1195,10226,1188,10237,1186,10249,1188,10258,1195,10265,1204,10267,1216xe" filled="f" stroked="t" strokecolor="#375f91" strokeweight="0.44pt">
              <v:stroke dashstyle="solid"/>
              <v:path arrowok="t"/>
            </v:shape>
            <v:shape id="_x0000_s1097" type="#_x0000_t202" style="width:311;height:138;left:7239;position:absolute;top:-309" filled="f" stroked="f">
              <v:textbox inset="0,0,0,0">
                <w:txbxContent>
                  <w:p>
                    <w:pPr>
                      <w:spacing w:before="0" w:line="137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w w:val="105"/>
                        <w:sz w:val="12"/>
                      </w:rPr>
                      <w:t>110%</w:t>
                    </w:r>
                  </w:p>
                </w:txbxContent>
              </v:textbox>
            </v:shape>
            <v:shape id="_x0000_s1098" type="#_x0000_t202" style="width:249;height:138;left:8221;position:absolute;top:151" filled="f" stroked="f">
              <v:textbox inset="0,0,0,0">
                <w:txbxContent>
                  <w:p>
                    <w:pPr>
                      <w:spacing w:before="0" w:line="137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w w:val="105"/>
                        <w:sz w:val="12"/>
                      </w:rPr>
                      <w:t>81%</w:t>
                    </w:r>
                  </w:p>
                </w:txbxContent>
              </v:textbox>
            </v:shape>
            <v:shape id="_x0000_s1099" type="#_x0000_t202" style="width:83;height:138;left:8696;position:absolute;top:1027" filled="f" stroked="f">
              <v:textbox inset="0,0,0,0">
                <w:txbxContent>
                  <w:p>
                    <w:pPr>
                      <w:spacing w:before="0" w:line="137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spacing w:val="-1"/>
                        <w:w w:val="103"/>
                        <w:sz w:val="12"/>
                      </w:rPr>
                      <w:t>2</w:t>
                    </w:r>
                  </w:p>
                </w:txbxContent>
              </v:textbox>
            </v:shape>
            <v:shape id="_x0000_s1100" type="#_x0000_t202" style="width:83;height:138;left:9647;position:absolute;top:1084" filled="f" stroked="f">
              <v:textbox inset="0,0,0,0">
                <w:txbxContent>
                  <w:p>
                    <w:pPr>
                      <w:spacing w:before="0" w:line="137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w w:val="103"/>
                        <w:sz w:val="12"/>
                      </w:rPr>
                      <w:t>2</w:t>
                    </w:r>
                  </w:p>
                </w:txbxContent>
              </v:textbox>
            </v:shape>
            <v:shape id="_x0000_s1101" type="#_x0000_t202" style="width:404;height:138;left:10044;position:absolute;top:996" filled="f" stroked="f">
              <v:textbox inset="0,0,0,0">
                <w:txbxContent>
                  <w:p>
                    <w:pPr>
                      <w:spacing w:before="0" w:line="137" w:lineRule="exact"/>
                      <w:ind w:left="0" w:right="0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w w:val="105"/>
                        <w:sz w:val="12"/>
                      </w:rPr>
                      <w:t>28.37%</w:t>
                    </w:r>
                  </w:p>
                </w:txbxContent>
              </v:textbox>
            </v:shape>
            <v:shape id="_x0000_s1102" type="#_x0000_t202" style="width:150;height:434;left:7785;position:absolute;top:1233" filled="t" fillcolor="#d7d7d7" stroked="f">
              <v:fill type="solid"/>
              <v:textbox inset="0,0,0,0">
                <w:txbxContent>
                  <w:p>
                    <w:pPr>
                      <w:spacing w:before="6" w:line="240" w:lineRule="auto"/>
                      <w:rPr>
                        <w:rFonts w:ascii="Times New Roman"/>
                        <w:b/>
                        <w:sz w:val="17"/>
                      </w:rPr>
                    </w:pPr>
                  </w:p>
                  <w:p>
                    <w:pPr>
                      <w:spacing w:before="0"/>
                      <w:ind w:left="-9" w:right="-15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w w:val="105"/>
                        <w:sz w:val="12"/>
                      </w:rPr>
                      <w:t>1%</w:t>
                    </w:r>
                  </w:p>
                </w:txbxContent>
              </v:textbox>
            </v:shape>
            <v:shape id="_x0000_s1103" type="#_x0000_t202" style="width:149;height:993;left:8736;position:absolute;top:674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Times New Roman"/>
                        <w:b/>
                        <w:sz w:val="14"/>
                      </w:rPr>
                    </w:pPr>
                  </w:p>
                  <w:p>
                    <w:pPr>
                      <w:spacing w:before="6" w:line="240" w:lineRule="auto"/>
                      <w:rPr>
                        <w:rFonts w:ascii="Times New Roman"/>
                        <w:b/>
                        <w:sz w:val="16"/>
                      </w:rPr>
                    </w:pPr>
                  </w:p>
                  <w:p>
                    <w:pPr>
                      <w:spacing w:before="0"/>
                      <w:ind w:left="22" w:right="-44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w w:val="105"/>
                        <w:sz w:val="12"/>
                      </w:rPr>
                      <w:t>6%</w:t>
                    </w:r>
                  </w:p>
                </w:txbxContent>
              </v:textbox>
            </v:shape>
            <v:shape id="_x0000_s1104" type="#_x0000_t202" style="width:149;height:1082;left:9211;position:absolute;top:585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Times New Roman"/>
                        <w:b/>
                        <w:sz w:val="14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b/>
                        <w:sz w:val="14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b/>
                        <w:sz w:val="14"/>
                      </w:rPr>
                    </w:pPr>
                  </w:p>
                  <w:p>
                    <w:pPr>
                      <w:spacing w:before="6" w:line="240" w:lineRule="auto"/>
                      <w:rPr>
                        <w:rFonts w:ascii="Times New Roman"/>
                        <w:b/>
                        <w:sz w:val="20"/>
                      </w:rPr>
                    </w:pPr>
                  </w:p>
                  <w:p>
                    <w:pPr>
                      <w:spacing w:before="0"/>
                      <w:ind w:left="-9" w:right="-15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w w:val="105"/>
                        <w:sz w:val="12"/>
                      </w:rPr>
                      <w:t>9%</w:t>
                    </w:r>
                  </w:p>
                </w:txbxContent>
              </v:textbox>
            </v:shape>
            <v:shape id="_x0000_s1105" type="#_x0000_t202" style="width:149;height:1330;left:9686;position:absolute;top:33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Times New Roman"/>
                        <w:b/>
                        <w:sz w:val="14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b/>
                        <w:sz w:val="14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b/>
                        <w:sz w:val="14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b/>
                        <w:sz w:val="14"/>
                      </w:rPr>
                    </w:pPr>
                  </w:p>
                  <w:p>
                    <w:pPr>
                      <w:spacing w:before="101"/>
                      <w:ind w:left="22" w:right="-44" w:firstLine="0"/>
                      <w:jc w:val="left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4040"/>
                        <w:w w:val="105"/>
                        <w:sz w:val="12"/>
                      </w:rPr>
                      <w:t>3%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color w:val="585858"/>
          <w:w w:val="105"/>
          <w:sz w:val="12"/>
        </w:rPr>
        <w:t>100%</w:t>
      </w: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before="0"/>
        <w:ind w:left="179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w w:val="105"/>
          <w:sz w:val="12"/>
        </w:rPr>
        <w:t>80%</w:t>
      </w: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before="0"/>
        <w:ind w:left="179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w w:val="105"/>
          <w:sz w:val="12"/>
        </w:rPr>
        <w:t>60%</w:t>
      </w: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before="0"/>
        <w:ind w:left="179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w w:val="105"/>
          <w:sz w:val="12"/>
        </w:rPr>
        <w:t>40%</w:t>
      </w: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before="0"/>
        <w:ind w:left="179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w w:val="105"/>
          <w:sz w:val="12"/>
        </w:rPr>
        <w:t>20%</w:t>
      </w: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before="0"/>
        <w:ind w:left="179" w:right="0" w:firstLine="0"/>
        <w:jc w:val="left"/>
        <w:rPr>
          <w:rFonts w:ascii="Times New Roman"/>
          <w:sz w:val="12"/>
        </w:rPr>
      </w:pPr>
      <w:r>
        <w:rPr>
          <w:rFonts w:ascii="Times New Roman"/>
          <w:color w:val="585858"/>
          <w:w w:val="105"/>
          <w:sz w:val="12"/>
        </w:rPr>
        <w:t>0%</w:t>
      </w:r>
    </w:p>
    <w:p>
      <w:pPr>
        <w:spacing w:after="0"/>
        <w:jc w:val="left"/>
        <w:rPr>
          <w:rFonts w:ascii="Times New Roman"/>
          <w:sz w:val="12"/>
        </w:rPr>
        <w:sectPr>
          <w:headerReference w:type="default" r:id="rId16"/>
          <w:footerReference w:type="default" r:id="rId17"/>
          <w:type w:val="continuous"/>
          <w:pgSz w:w="11910" w:h="16840"/>
          <w:pgMar w:top="1340" w:right="280" w:bottom="500" w:left="720" w:header="708" w:footer="708"/>
          <w:pgNumType w:start="7"/>
          <w:cols w:num="6" w:space="708" w:equalWidth="0">
            <w:col w:w="712" w:space="40"/>
            <w:col w:w="3699" w:space="39"/>
            <w:col w:w="478" w:space="253"/>
            <w:col w:w="596" w:space="40"/>
            <w:col w:w="3785" w:space="39"/>
            <w:col w:w="1229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9"/>
        </w:rPr>
      </w:pPr>
    </w:p>
    <w:p>
      <w:pPr>
        <w:tabs>
          <w:tab w:val="left" w:pos="5343"/>
        </w:tabs>
        <w:spacing w:line="20" w:lineRule="exact"/>
        <w:ind w:left="122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106" style="width:249.3pt;height:1pt;mso-position-horizontal-relative:char;mso-position-vertical-relative:line" coordorigin="0,0" coordsize="4986,20">
            <v:line id="_x0000_s1107" style="position:absolute" from="0,10" to="4986,10" stroked="t" strokecolor="black" strokeweight="0.96pt">
              <v:stroke dashstyle="solid"/>
            </v:line>
            <w10:wrap type="none"/>
          </v:group>
        </w:pict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id="_x0000_i1108" style="width:249.45pt;height:1pt;mso-position-horizontal-relative:char;mso-position-vertical-relative:line" coordorigin="0,0" coordsize="4989,20">
            <v:line id="_x0000_s1109" style="position:absolute" from="0,10" to="4988,10" stroked="t" strokecolor="black" strokeweight="0.96pt">
              <v:stroke dashstyle="solid"/>
            </v:line>
            <w10:wrap type="none"/>
          </v:group>
        </w:pict>
      </w:r>
    </w:p>
    <w:p>
      <w:pPr>
        <w:tabs>
          <w:tab w:val="left" w:pos="5460"/>
        </w:tabs>
        <w:spacing w:before="39"/>
        <w:ind w:left="240" w:right="0" w:firstLine="0"/>
        <w:jc w:val="left"/>
        <w:rPr>
          <w:sz w:val="20"/>
        </w:rPr>
      </w:pPr>
      <w:r>
        <w:t xml:space="preserve">数据来源：银保监会交强险数据， </w:t>
        <w:tab/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spacing w:before="12" w:after="16"/>
        <w:ind w:left="273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3</w:t>
      </w:r>
      <w:r>
        <w:rPr>
          <w:rFonts w:ascii="Microsoft JhengHei" w:eastAsia="Microsoft JhengHei" w:hint="eastAsia"/>
          <w:b/>
          <w:color w:val="17365D"/>
          <w:sz w:val="20"/>
        </w:rPr>
        <w:t xml:space="preserve">：环卫车单月销量与 </w:t>
      </w:r>
      <w:r>
        <w:rPr>
          <w:rFonts w:ascii="Times New Roman" w:eastAsia="Times New Roman"/>
          <w:b/>
          <w:color w:val="17365D"/>
          <w:sz w:val="20"/>
        </w:rPr>
        <w:t xml:space="preserve">2023M1-12 </w:t>
      </w:r>
      <w:r>
        <w:rPr>
          <w:rFonts w:ascii="Microsoft JhengHei" w:eastAsia="Microsoft JhengHei" w:hint="eastAsia"/>
          <w:b/>
          <w:color w:val="17365D"/>
          <w:sz w:val="20"/>
        </w:rPr>
        <w:t>单月销量同环比数据（单位：辆）</w:t>
      </w:r>
    </w:p>
    <w:p>
      <w:pPr>
        <w:pStyle w:val="BodyText"/>
        <w:spacing w:line="20" w:lineRule="exact"/>
        <w:ind w:left="14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110" style="width:520.9pt;height:1pt;mso-position-horizontal-relative:char;mso-position-vertical-relative:line" coordorigin="0,0" coordsize="10418,20">
            <v:line id="_x0000_s1111" style="position:absolute" from="0,10" to="10418,10" stroked="t" strokecolor="black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4"/>
        <w:rPr>
          <w:rFonts w:ascii="Microsoft JhengHei"/>
          <w:b/>
          <w:sz w:val="6"/>
        </w:rPr>
      </w:pPr>
    </w:p>
    <w:p>
      <w:pPr>
        <w:spacing w:after="0"/>
        <w:rPr>
          <w:rFonts w:ascii="Microsoft JhengHei"/>
          <w:sz w:val="6"/>
        </w:rPr>
        <w:sectPr>
          <w:headerReference w:type="default" r:id="rId18"/>
          <w:footerReference w:type="default" r:id="rId19"/>
          <w:type w:val="continuous"/>
          <w:pgSz w:w="11910" w:h="16840"/>
          <w:pgMar w:top="1340" w:right="280" w:bottom="500" w:left="720" w:header="708" w:footer="708"/>
          <w:pgNumType w:start="8"/>
          <w:cols w:space="708"/>
        </w:sectPr>
      </w:pPr>
    </w:p>
    <w:p>
      <w:pPr>
        <w:pStyle w:val="BodyText"/>
        <w:spacing w:before="95"/>
        <w:ind w:right="39"/>
        <w:jc w:val="right"/>
        <w:rPr>
          <w:rFonts w:ascii="Times New Roman"/>
        </w:rPr>
      </w:pPr>
      <w:r>
        <w:rPr>
          <w:rFonts w:ascii="Times New Roman"/>
          <w:color w:val="585858"/>
          <w:spacing w:val="-1"/>
        </w:rPr>
        <w:t>20000</w:t>
      </w:r>
    </w:p>
    <w:p>
      <w:pPr>
        <w:pStyle w:val="BodyText"/>
        <w:spacing w:before="8"/>
        <w:rPr>
          <w:rFonts w:ascii="Times New Roman"/>
          <w:sz w:val="28"/>
        </w:rPr>
      </w:pPr>
    </w:p>
    <w:p>
      <w:pPr>
        <w:pStyle w:val="BodyText"/>
        <w:ind w:right="39"/>
        <w:jc w:val="right"/>
        <w:rPr>
          <w:rFonts w:ascii="Times New Roman"/>
        </w:rPr>
      </w:pPr>
      <w:r>
        <w:rPr>
          <w:rFonts w:ascii="Times New Roman"/>
          <w:color w:val="585858"/>
          <w:spacing w:val="-1"/>
        </w:rPr>
        <w:t>15000</w:t>
      </w:r>
    </w:p>
    <w:p>
      <w:pPr>
        <w:pStyle w:val="BodyText"/>
        <w:spacing w:before="7"/>
        <w:rPr>
          <w:rFonts w:ascii="Times New Roman"/>
          <w:sz w:val="28"/>
        </w:rPr>
      </w:pPr>
    </w:p>
    <w:p>
      <w:pPr>
        <w:pStyle w:val="BodyText"/>
        <w:spacing w:before="1"/>
        <w:ind w:right="39"/>
        <w:jc w:val="right"/>
        <w:rPr>
          <w:rFonts w:ascii="Times New Roman"/>
        </w:rPr>
      </w:pPr>
      <w:r>
        <w:rPr>
          <w:rFonts w:ascii="Times New Roman"/>
          <w:color w:val="585858"/>
          <w:spacing w:val="-1"/>
        </w:rPr>
        <w:t>10000</w:t>
      </w:r>
    </w:p>
    <w:p>
      <w:pPr>
        <w:pStyle w:val="BodyText"/>
        <w:spacing w:before="7"/>
        <w:rPr>
          <w:rFonts w:ascii="Times New Roman"/>
          <w:sz w:val="28"/>
        </w:rPr>
      </w:pPr>
    </w:p>
    <w:p>
      <w:pPr>
        <w:pStyle w:val="BodyText"/>
        <w:ind w:right="38"/>
        <w:jc w:val="right"/>
        <w:rPr>
          <w:rFonts w:ascii="Times New Roman"/>
        </w:rPr>
      </w:pPr>
      <w:r>
        <w:rPr>
          <w:rFonts w:ascii="Times New Roman"/>
          <w:color w:val="585858"/>
        </w:rPr>
        <w:t>5000</w:t>
      </w:r>
    </w:p>
    <w:p>
      <w:pPr>
        <w:pStyle w:val="BodyText"/>
        <w:spacing w:before="7"/>
        <w:rPr>
          <w:rFonts w:ascii="Times New Roman"/>
          <w:sz w:val="28"/>
        </w:rPr>
      </w:pPr>
    </w:p>
    <w:p>
      <w:pPr>
        <w:pStyle w:val="BodyText"/>
        <w:spacing w:before="1"/>
        <w:ind w:right="38"/>
        <w:jc w:val="right"/>
        <w:rPr>
          <w:rFonts w:ascii="Times New Roman"/>
        </w:rPr>
      </w:pPr>
      <w:r>
        <w:rPr>
          <w:rFonts w:ascii="Times New Roman"/>
          <w:color w:val="585858"/>
          <w:w w:val="102"/>
        </w:rPr>
        <w:t>0</w:t>
      </w:r>
    </w:p>
    <w:p>
      <w:pPr>
        <w:pStyle w:val="BodyText"/>
        <w:rPr>
          <w:rFonts w:ascii="Times New Roman"/>
          <w:sz w:val="24"/>
        </w:rPr>
      </w:pPr>
      <w:r>
        <w:br w:type="column"/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tabs>
          <w:tab w:val="left" w:pos="1003"/>
          <w:tab w:val="left" w:pos="1696"/>
          <w:tab w:val="left" w:pos="2419"/>
          <w:tab w:val="left" w:pos="3100"/>
          <w:tab w:val="left" w:pos="3858"/>
          <w:tab w:val="left" w:pos="4592"/>
          <w:tab w:val="left" w:pos="5243"/>
          <w:tab w:val="left" w:pos="5978"/>
          <w:tab w:val="left" w:pos="6694"/>
          <w:tab w:val="left" w:pos="7375"/>
          <w:tab w:val="left" w:pos="8098"/>
        </w:tabs>
        <w:spacing w:before="147"/>
        <w:ind w:left="311"/>
        <w:rPr>
          <w:rFonts w:ascii="Times New Roman"/>
        </w:rPr>
      </w:pPr>
      <w:r>
        <w:rPr>
          <w:rFonts w:ascii="Times New Roman"/>
          <w:color w:val="585858"/>
          <w:w w:val="105"/>
        </w:rPr>
        <w:t>Jan</w:t>
        <w:tab/>
        <w:t>Feb</w:t>
        <w:tab/>
        <w:t>Mar</w:t>
        <w:tab/>
        <w:t>Apr</w:t>
        <w:tab/>
        <w:t>May</w:t>
        <w:tab/>
        <w:t>Jun</w:t>
        <w:tab/>
        <w:t>Jul</w:t>
        <w:tab/>
        <w:t>Aug</w:t>
        <w:tab/>
        <w:t>Sep</w:t>
        <w:tab/>
        <w:t>Oct</w:t>
        <w:tab/>
        <w:t>Nov</w:t>
        <w:tab/>
      </w:r>
      <w:r>
        <w:rPr>
          <w:rFonts w:ascii="Times New Roman"/>
          <w:color w:val="585858"/>
          <w:spacing w:val="-8"/>
          <w:w w:val="105"/>
        </w:rPr>
        <w:t>Dec</w:t>
      </w:r>
    </w:p>
    <w:p>
      <w:pPr>
        <w:spacing w:before="120"/>
        <w:ind w:left="291" w:right="0" w:firstLine="0"/>
        <w:jc w:val="left"/>
        <w:rPr>
          <w:rFonts w:ascii="Times New Roman"/>
          <w:sz w:val="17"/>
        </w:rPr>
      </w:pPr>
      <w:r>
        <w:br w:type="column"/>
      </w:r>
      <w:r>
        <w:rPr>
          <w:rFonts w:ascii="Times New Roman"/>
          <w:color w:val="585858"/>
          <w:w w:val="105"/>
          <w:sz w:val="17"/>
        </w:rPr>
        <w:t>80%</w:t>
      </w:r>
    </w:p>
    <w:p>
      <w:pPr>
        <w:spacing w:before="131"/>
        <w:ind w:left="291" w:right="0" w:firstLine="0"/>
        <w:jc w:val="left"/>
        <w:rPr>
          <w:rFonts w:ascii="Times New Roman"/>
          <w:sz w:val="17"/>
        </w:rPr>
      </w:pPr>
      <w:r>
        <w:pict>
          <v:group id="_x0000_s1112" style="width:432.1pt;height:117.65pt;margin-top:-4.91pt;margin-left:86.97pt;mso-position-horizontal-relative:page;position:absolute;z-index:251667456" coordorigin="1739,-98" coordsize="8642,2353">
            <v:line id="_x0000_s1113" style="position:absolute" from="1908,1619" to="1908,2191" stroked="t" strokecolor="#c7cdd7" strokeweight="4.21pt">
              <v:stroke dashstyle="solid"/>
            </v:line>
            <v:line id="_x0000_s1114" style="position:absolute" from="1991,1346" to="1991,2191" stroked="t" strokecolor="#b0b8c8" strokeweight="4.09pt">
              <v:stroke dashstyle="solid"/>
            </v:line>
            <v:line id="_x0000_s1115" style="position:absolute" from="2074,1234" to="2074,2191" stroked="t" strokecolor="#96a2b8" strokeweight="4.21pt">
              <v:stroke dashstyle="solid"/>
            </v:line>
            <v:line id="_x0000_s1116" style="position:absolute" from="2158,1355" to="2158,2191" stroked="t" strokecolor="#7386a6" strokeweight="4.21pt">
              <v:stroke dashstyle="solid"/>
            </v:line>
            <v:line id="_x0000_s1117" style="position:absolute" from="2242,1248" to="2242,2191" stroked="t" strokecolor="#375f91" strokeweight="4.21pt">
              <v:stroke dashstyle="solid"/>
            </v:line>
            <v:line id="_x0000_s1118" style="position:absolute" from="2326,1355" to="2326,2191" stroked="t" strokecolor="#335886" strokeweight="4.21pt">
              <v:stroke dashstyle="solid"/>
            </v:line>
            <v:rect id="_x0000_s1119" style="width:85;height:512;left:2366;position:absolute;top:1681" filled="f" stroked="t" strokecolor="#c00000" strokeweight="2.19pt">
              <v:stroke dashstyle="solid"/>
            </v:rect>
            <v:shape id="_x0000_s1120" style="width:65;height:2345;left:906;position:absolute;top:2891" coordorigin="907,2891" coordsize="65,2345" path="m1802,2191l1802,-91m1739,2191l1802,2191m1739,1621l1802,1621m1739,1049l1802,1049m1739,479l1802,479m1739,-91l1802,-91e" filled="f" stroked="t" strokecolor="#bebebe" strokeweight="0.73pt">
              <v:stroke dashstyle="solid"/>
              <v:path arrowok="t"/>
            </v:shape>
            <v:line id="_x0000_s1121" style="position:absolute" from="2618,1811" to="2618,2191" stroked="t" strokecolor="#c7cdd7" strokeweight="4.21pt">
              <v:stroke dashstyle="solid"/>
            </v:line>
            <v:line id="_x0000_s1122" style="position:absolute" from="2702,1720" to="2702,2191" stroked="t" strokecolor="#b0b8c8" strokeweight="4.21pt">
              <v:stroke dashstyle="solid"/>
            </v:line>
            <v:line id="_x0000_s1123" style="position:absolute" from="2785,1759" to="2785,2191" stroked="t" strokecolor="#96a2b8" strokeweight="4.09pt">
              <v:stroke dashstyle="solid"/>
            </v:line>
            <v:line id="_x0000_s1124" style="position:absolute" from="2868,2044" to="2868,2191" stroked="t" strokecolor="#7386a6" strokeweight="4.21pt">
              <v:stroke dashstyle="solid"/>
            </v:line>
            <v:line id="_x0000_s1125" style="position:absolute" from="2952,1743" to="2952,2191" stroked="t" strokecolor="#375f91" strokeweight="4.21pt">
              <v:stroke dashstyle="solid"/>
            </v:line>
            <v:line id="_x0000_s1126" style="position:absolute" from="3036,1685" to="3036,2191" stroked="t" strokecolor="#335886" strokeweight="4.21pt">
              <v:stroke dashstyle="solid"/>
            </v:line>
            <v:rect id="_x0000_s1127" style="width:85;height:627;left:3077;position:absolute;top:1566" filled="f" stroked="t" strokecolor="#c00000" strokeweight="2.19pt">
              <v:stroke dashstyle="solid"/>
            </v:rect>
            <v:line id="_x0000_s1128" style="position:absolute" from="3328,1411" to="3328,2191" stroked="t" strokecolor="#c7cdd7" strokeweight="4.21pt">
              <v:stroke dashstyle="solid"/>
            </v:line>
            <v:line id="_x0000_s1129" style="position:absolute" from="3413,1236" to="3413,2191" stroked="t" strokecolor="#b0b8c8" strokeweight="4.21pt">
              <v:stroke dashstyle="solid"/>
            </v:line>
            <v:line id="_x0000_s1130" style="position:absolute" from="3496,1007" to="3496,2191" stroked="t" strokecolor="#96a2b8" strokeweight="4.09pt">
              <v:stroke dashstyle="solid"/>
            </v:line>
            <v:line id="_x0000_s1131" style="position:absolute" from="3578,1591" to="3578,2191" stroked="t" strokecolor="#7386a6" strokeweight="4.21pt">
              <v:stroke dashstyle="solid"/>
            </v:line>
            <v:line id="_x0000_s1132" style="position:absolute" from="3663,1112" to="3663,2191" stroked="t" strokecolor="#375f91" strokeweight="4.21pt">
              <v:stroke dashstyle="solid"/>
            </v:line>
            <v:line id="_x0000_s1133" style="position:absolute" from="3747,1157" to="3747,2191" stroked="t" strokecolor="#335886" strokeweight="4.21pt">
              <v:stroke dashstyle="solid"/>
            </v:line>
            <v:rect id="_x0000_s1134" style="width:85;height:1003;left:3787;position:absolute;top:1190" filled="f" stroked="t" strokecolor="#c00000" strokeweight="2.19pt">
              <v:stroke dashstyle="solid"/>
            </v:rect>
            <v:line id="_x0000_s1135" style="position:absolute" from="4039,1428" to="4039,2191" stroked="t" strokecolor="#c7cdd7" strokeweight="4.21pt">
              <v:stroke dashstyle="solid"/>
            </v:line>
            <v:line id="_x0000_s1136" style="position:absolute" from="4123,1117" to="4123,2191" stroked="t" strokecolor="#b0b8c8" strokeweight="4.21pt">
              <v:stroke dashstyle="solid"/>
            </v:line>
            <v:line id="_x0000_s1137" style="position:absolute" from="4206,790" to="4206,2191" stroked="t" strokecolor="#96a2b8" strokeweight="4.09pt">
              <v:stroke dashstyle="solid"/>
            </v:line>
            <v:line id="_x0000_s1138" style="position:absolute" from="4289,729" to="4289,2191" stroked="t" strokecolor="#7386a6" strokeweight="4.21pt">
              <v:stroke dashstyle="solid"/>
            </v:line>
            <v:line id="_x0000_s1139" style="position:absolute" from="4373,839" to="4373,2191" stroked="t" strokecolor="#375f91" strokeweight="4.21pt">
              <v:stroke dashstyle="solid"/>
            </v:line>
            <v:line id="_x0000_s1140" style="position:absolute" from="4457,1388" to="4457,2191" stroked="t" strokecolor="#335886" strokeweight="4.21pt">
              <v:stroke dashstyle="solid"/>
            </v:line>
            <v:rect id="_x0000_s1141" style="width:85;height:842;left:4497;position:absolute;top:1351" filled="f" stroked="t" strokecolor="#c00000" strokeweight="2.19pt">
              <v:stroke dashstyle="solid"/>
            </v:rect>
            <v:line id="_x0000_s1142" style="position:absolute" from="4749,1329" to="4749,2191" stroked="t" strokecolor="#c7cdd7" strokeweight="4.21pt">
              <v:stroke dashstyle="solid"/>
            </v:line>
            <v:line id="_x0000_s1143" style="position:absolute" from="4833,1040" to="4833,2191" stroked="t" strokecolor="#b0b8c8" strokeweight="4.21pt">
              <v:stroke dashstyle="solid"/>
            </v:line>
            <v:line id="_x0000_s1144" style="position:absolute" from="4916,946" to="4916,2191" stroked="t" strokecolor="#96a2b8" strokeweight="4.09pt">
              <v:stroke dashstyle="solid"/>
            </v:line>
            <v:line id="_x0000_s1145" style="position:absolute" from="4999,549" to="4999,2191" stroked="t" strokecolor="#7386a6" strokeweight="4.21pt">
              <v:stroke dashstyle="solid"/>
            </v:line>
            <v:line id="_x0000_s1146" style="position:absolute" from="5083,1009" to="5083,2191" stroked="t" strokecolor="#375f91" strokeweight="4.21pt">
              <v:stroke dashstyle="solid"/>
            </v:line>
            <v:line id="_x0000_s1147" style="position:absolute" from="5167,1283" to="5167,2191" stroked="t" strokecolor="#335886" strokeweight="4.21pt">
              <v:stroke dashstyle="solid"/>
            </v:line>
            <v:rect id="_x0000_s1148" style="width:85;height:804;left:5208;position:absolute;top:1389" filled="f" stroked="t" strokecolor="#c00000" strokeweight="2.19pt">
              <v:stroke dashstyle="solid"/>
            </v:rect>
            <v:line id="_x0000_s1149" style="position:absolute" from="5459,1147" to="5459,2191" stroked="t" strokecolor="#c7cdd7" strokeweight="4.21pt">
              <v:stroke dashstyle="solid"/>
            </v:line>
            <v:line id="_x0000_s1150" style="position:absolute" from="5544,1171" to="5544,2191" stroked="t" strokecolor="#b0b8c8" strokeweight="4.21pt">
              <v:stroke dashstyle="solid"/>
            </v:line>
            <v:line id="_x0000_s1151" style="position:absolute" from="5628,636" to="5628,2191" stroked="t" strokecolor="#96a2b8" strokeweight="4.21pt">
              <v:stroke dashstyle="solid"/>
            </v:line>
            <v:line id="_x0000_s1152" style="position:absolute" from="5711,185" to="5711,2191" stroked="t" strokecolor="#7386a6" strokeweight="4.09pt">
              <v:stroke dashstyle="solid"/>
            </v:line>
            <v:line id="_x0000_s1153" style="position:absolute" from="5794,1019" to="5794,2191" stroked="t" strokecolor="#375f91" strokeweight="4.21pt">
              <v:stroke dashstyle="solid"/>
            </v:line>
            <v:line id="_x0000_s1154" style="position:absolute" from="5878,1271" to="5878,2191" stroked="t" strokecolor="#335886" strokeweight="4.21pt">
              <v:stroke dashstyle="solid"/>
            </v:line>
            <v:rect id="_x0000_s1155" style="width:85;height:844;left:5918;position:absolute;top:1349" filled="f" stroked="t" strokecolor="#c00000" strokeweight="2.19pt">
              <v:stroke dashstyle="solid"/>
            </v:rect>
            <v:line id="_x0000_s1156" style="position:absolute" from="6170,1215" to="6170,2191" stroked="t" strokecolor="#c7cdd7" strokeweight="4.21pt">
              <v:stroke dashstyle="solid"/>
            </v:line>
            <v:line id="_x0000_s1157" style="position:absolute" from="6254,1171" to="6254,2191" stroked="t" strokecolor="#b0b8c8" strokeweight="4.21pt">
              <v:stroke dashstyle="solid"/>
            </v:line>
            <v:line id="_x0000_s1158" style="position:absolute" from="6338,1019" to="6338,2191" stroked="t" strokecolor="#96a2b8" strokeweight="4.21pt">
              <v:stroke dashstyle="solid"/>
            </v:line>
            <v:line id="_x0000_s1159" style="position:absolute" from="6421,953" to="6421,2191" stroked="t" strokecolor="#7386a6" strokeweight="4.09pt">
              <v:stroke dashstyle="solid"/>
            </v:line>
            <v:line id="_x0000_s1160" style="position:absolute" from="6504,1227" to="6504,2191" stroked="t" strokecolor="#375f91" strokeweight="4.21pt">
              <v:stroke dashstyle="solid"/>
            </v:line>
            <v:line id="_x0000_s1161" style="position:absolute" from="6588,1364" to="6588,2191" stroked="t" strokecolor="#335886" strokeweight="4.21pt">
              <v:stroke dashstyle="solid"/>
            </v:line>
            <v:rect id="_x0000_s1162" style="width:85;height:809;left:6629;position:absolute;top:1384" filled="f" stroked="t" strokecolor="#c00000" strokeweight="2.19pt">
              <v:stroke dashstyle="solid"/>
            </v:rect>
            <v:line id="_x0000_s1163" style="position:absolute" from="6880,1252" to="6880,2191" stroked="t" strokecolor="#c7cdd7" strokeweight="4.21pt">
              <v:stroke dashstyle="solid"/>
            </v:line>
            <v:line id="_x0000_s1164" style="position:absolute" from="6964,1136" to="6964,2191" stroked="t" strokecolor="#b0b8c8" strokeweight="4.21pt">
              <v:stroke dashstyle="solid"/>
            </v:line>
            <v:line id="_x0000_s1165" style="position:absolute" from="7048,1383" to="7048,2191" stroked="t" strokecolor="#96a2b8" strokeweight="4.21pt">
              <v:stroke dashstyle="solid"/>
            </v:line>
            <v:line id="_x0000_s1166" style="position:absolute" from="7131,1213" to="7131,2191" stroked="t" strokecolor="#7386a6" strokeweight="4.09pt">
              <v:stroke dashstyle="solid"/>
            </v:line>
            <v:line id="_x0000_s1167" style="position:absolute" from="7214,1341" to="7214,2191" stroked="t" strokecolor="#375f91" strokeweight="4.21pt">
              <v:stroke dashstyle="solid"/>
            </v:line>
            <v:line id="_x0000_s1168" style="position:absolute" from="7298,1285" to="7298,2191" stroked="t" strokecolor="#335886" strokeweight="4.21pt">
              <v:stroke dashstyle="solid"/>
            </v:line>
            <v:rect id="_x0000_s1169" style="width:85;height:694;left:7339;position:absolute;top:1498" filled="f" stroked="t" strokecolor="#c00000" strokeweight="2.19pt">
              <v:stroke dashstyle="solid"/>
            </v:rect>
            <v:line id="_x0000_s1170" style="position:absolute" from="7591,1364" to="7591,2191" stroked="t" strokecolor="#c7cdd7" strokeweight="4.21pt">
              <v:stroke dashstyle="solid"/>
            </v:line>
            <v:line id="_x0000_s1171" style="position:absolute" from="7675,1313" to="7675,2191" stroked="t" strokecolor="#b0b8c8" strokeweight="4.21pt">
              <v:stroke dashstyle="solid"/>
            </v:line>
            <v:line id="_x0000_s1172" style="position:absolute" from="7759,1250" to="7759,2191" stroked="t" strokecolor="#96a2b8" strokeweight="4.21pt">
              <v:stroke dashstyle="solid"/>
            </v:line>
            <v:line id="_x0000_s1173" style="position:absolute" from="7842,1175" to="7842,2191" stroked="t" strokecolor="#7386a6" strokeweight="4.09pt">
              <v:stroke dashstyle="solid"/>
            </v:line>
            <v:line id="_x0000_s1174" style="position:absolute" from="7925,1313" to="7925,2191" stroked="t" strokecolor="#375f91" strokeweight="4.21pt">
              <v:stroke dashstyle="solid"/>
            </v:line>
            <v:line id="_x0000_s1175" style="position:absolute" from="8009,1470" to="8009,2191" stroked="t" strokecolor="#335886" strokeweight="4.21pt">
              <v:stroke dashstyle="solid"/>
            </v:line>
            <v:rect id="_x0000_s1176" style="width:85;height:687;left:8049;position:absolute;top:1505" filled="f" stroked="t" strokecolor="#c00000" strokeweight="2.19pt">
              <v:stroke dashstyle="solid"/>
            </v:rect>
            <v:line id="_x0000_s1177" style="position:absolute" from="8301,1516" to="8301,2191" stroked="t" strokecolor="#c7cdd7" strokeweight="4.21pt">
              <v:stroke dashstyle="solid"/>
            </v:line>
            <v:line id="_x0000_s1178" style="position:absolute" from="8385,1348" to="8385,2191" stroked="t" strokecolor="#b0b8c8" strokeweight="4.21pt">
              <v:stroke dashstyle="solid"/>
            </v:line>
            <v:line id="_x0000_s1179" style="position:absolute" from="8469,1276" to="8469,2191" stroked="t" strokecolor="#96a2b8" strokeweight="4.2pt">
              <v:stroke dashstyle="solid"/>
            </v:line>
            <v:line id="_x0000_s1180" style="position:absolute" from="8552,1353" to="8552,2191" stroked="t" strokecolor="#7386a6" strokeweight="4.1pt">
              <v:stroke dashstyle="solid"/>
            </v:line>
            <v:line id="_x0000_s1181" style="position:absolute" from="8635,1449" to="8635,2191" stroked="t" strokecolor="#375f91" strokeweight="4.21pt">
              <v:stroke dashstyle="solid"/>
            </v:line>
            <v:line id="_x0000_s1182" style="position:absolute" from="8719,1635" to="8719,2191" stroked="t" strokecolor="#335886" strokeweight="4.21pt">
              <v:stroke dashstyle="solid"/>
            </v:line>
            <v:rect id="_x0000_s1183" style="width:82;height:580;left:8762;position:absolute;top:1613" filled="f" stroked="t" strokecolor="#c00000" strokeweight="2.19pt">
              <v:stroke dashstyle="solid"/>
            </v:rect>
            <v:line id="_x0000_s1184" style="position:absolute" from="9011,1325" to="9011,2191" stroked="t" strokecolor="#c7cdd7" strokeweight="4.21pt">
              <v:stroke dashstyle="solid"/>
            </v:line>
            <v:line id="_x0000_s1185" style="position:absolute" from="9095,1192" to="9095,2191" stroked="t" strokecolor="#b0b8c8" strokeweight="4.21pt">
              <v:stroke dashstyle="solid"/>
            </v:line>
            <v:line id="_x0000_s1186" style="position:absolute" from="9179,1133" to="9179,2191" stroked="t" strokecolor="#96a2b8" strokeweight="4.21pt">
              <v:stroke dashstyle="solid"/>
            </v:line>
            <v:line id="_x0000_s1187" style="position:absolute" from="9264,1231" to="9264,2191" stroked="t" strokecolor="#7386a6" strokeweight="4.21pt">
              <v:stroke dashstyle="solid"/>
            </v:line>
            <v:line id="_x0000_s1188" style="position:absolute" from="9346,1315" to="9346,2191" stroked="t" strokecolor="#375f91" strokeweight="4.08pt">
              <v:stroke dashstyle="solid"/>
            </v:line>
            <v:line id="_x0000_s1189" style="position:absolute" from="9429,1537" to="9429,2191" stroked="t" strokecolor="#335886" strokeweight="4.22pt">
              <v:stroke dashstyle="solid"/>
            </v:line>
            <v:rect id="_x0000_s1190" style="width:82;height:685;left:9472;position:absolute;top:1508" filled="f" stroked="t" strokecolor="#c00000" strokeweight="2.19pt">
              <v:stroke dashstyle="solid"/>
            </v:rect>
            <v:line id="_x0000_s1191" style="position:absolute" from="9723,1002" to="9723,2191" stroked="t" strokecolor="#c7cdd7" strokeweight="4.1pt">
              <v:stroke dashstyle="solid"/>
            </v:line>
            <v:line id="_x0000_s1192" style="position:absolute" from="9806,1103" to="9806,2191" stroked="t" strokecolor="#b0b8c8" strokeweight="4.21pt">
              <v:stroke dashstyle="solid"/>
            </v:line>
            <v:line id="_x0000_s1193" style="position:absolute" from="9890,1033" to="9890,2191" stroked="t" strokecolor="#96a2b8" strokeweight="4.21pt">
              <v:stroke dashstyle="solid"/>
            </v:line>
            <v:line id="_x0000_s1194" style="position:absolute" from="9974,911" to="9974,2191" stroked="t" strokecolor="#7386a6" strokeweight="4.2pt">
              <v:stroke dashstyle="solid"/>
            </v:line>
            <v:line id="_x0000_s1195" style="position:absolute" from="10057,1143" to="10057,2191" stroked="t" strokecolor="#375f91" strokeweight="4.1pt">
              <v:stroke dashstyle="solid"/>
            </v:line>
            <v:line id="_x0000_s1196" style="position:absolute" from="10140,1521" to="10140,2191" stroked="t" strokecolor="#335886" strokeweight="4.21pt">
              <v:stroke dashstyle="solid"/>
            </v:line>
            <v:rect id="_x0000_s1197" style="width:82;height:718;left:10183;position:absolute;top:1475" filled="f" stroked="t" strokecolor="#c00000" strokeweight="2.19pt">
              <v:stroke dashstyle="solid"/>
            </v:rect>
            <v:shape id="_x0000_s1198" style="width:8811;height:2410;left:971;position:absolute;top:2891" coordorigin="971,2891" coordsize="8811,2410" path="m10329,2191l10329,-91m10329,2191l10381,2191m10329,1864l10381,1864m10329,1540l10381,1540m10329,1213l10381,1213m10329,888l10381,888m10329,561l10381,561m10329,236l10381,236m10329,-91l10381,-91m1802,2191l10329,2191m1802,2191l1802,2255m2513,2191l2513,2255m3223,2191l3223,2255m3934,2191l3934,2255m4644,2191l4644,2255m5354,2191l5354,2255m6065,2191l6065,2255m6775,2191l6775,2255m7488,2191l7488,2255m8198,2191l8198,2255m8908,2191l8908,2255m9619,2191l9619,2255m10329,2191l10329,2255e" filled="f" stroked="t" strokecolor="#d9d9d9" strokeweight="0.73pt">
              <v:stroke dashstyle="solid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99" type="#_x0000_t75" style="width:136;height:136;left:2090;position:absolute;top:1782" stroked="f">
              <v:imagedata r:id="rId20" o:title=""/>
            </v:shape>
            <v:shape id="_x0000_s1200" style="width:136;height:136;left:2800;position:absolute;top:768" coordorigin="2800,768" coordsize="136,136" path="m2868,768l2842,774,2820,788,2806,810,2800,836,2806,862,2820,884,2842,898,2868,904,2895,898,2916,884,2931,862,2936,836,2931,810,2916,788,2895,774,2868,768xe" filled="t" fillcolor="#ffc000" stroked="f">
              <v:fill type="solid"/>
              <v:path arrowok="t"/>
            </v:shape>
            <v:shape id="_x0000_s1201" type="#_x0000_t75" style="width:136;height:136;left:3510;position:absolute;top:1198" stroked="f">
              <v:imagedata r:id="rId21" o:title=""/>
            </v:shape>
            <v:shape id="_x0000_s1202" type="#_x0000_t75" style="width:136;height:136;left:4221;position:absolute;top:1071" stroked="f">
              <v:imagedata r:id="rId22" o:title=""/>
            </v:shape>
            <v:shape id="_x0000_s1203" style="width:136;height:136;left:4931;position:absolute;top:1333" coordorigin="4932,1334" coordsize="136,136" path="m4999,1334l4973,1339,4951,1353,4937,1375,4932,1401,4937,1428,4951,1449,4973,1464,4999,1469,5026,1464,5047,1449,5062,1428,5067,1401,5062,1375,5047,1353,5026,1339,4999,1334xe" filled="t" fillcolor="#ffc000" stroked="f">
              <v:fill type="solid"/>
              <v:path arrowok="t"/>
            </v:shape>
            <v:shape id="_x0000_s1204" type="#_x0000_t75" style="width:136;height:136;left:5641;position:absolute;top:1286" stroked="f">
              <v:imagedata r:id="rId23" o:title=""/>
            </v:shape>
            <v:shape id="_x0000_s1205" style="width:1559;height:482;left:6352;position:absolute;top:1186" coordorigin="6352,1186" coordsize="1559,482" path="m6488,1254l6482,1228,6468,1206,6446,1192,6420,1186,6394,1192,6372,1206,6358,1228,6352,1254,6358,1280,6372,1302,6394,1317,6420,1322,6446,1317,6468,1302,6482,1280,6488,1254m7198,1600l7193,1573,7178,1552,7157,1537,7130,1532,7104,1537,7083,1552,7068,1573,7063,1600,7068,1626,7083,1648,7104,1662,7130,1668,7157,1662,7178,1648,7193,1626,7198,1600m7911,1296l7906,1270,7891,1248,7869,1234,7843,1228,7817,1234,7795,1248,7781,1270,7775,1296,7781,1323,7795,1344,7817,1359,7843,1364,7869,1359,7891,1344,7906,1323,7911,1296e" filled="t" fillcolor="#ffc000" stroked="f">
              <v:fill type="solid"/>
              <v:path arrowok="t"/>
            </v:shape>
            <v:shape id="_x0000_s1206" type="#_x0000_t75" style="width:136;height:136;left:8485;position:absolute;top:1081" stroked="f">
              <v:imagedata r:id="rId22" o:title=""/>
            </v:shape>
            <v:shape id="_x0000_s1207" type="#_x0000_t75" style="width:136;height:136;left:9196;position:absolute;top:1074" stroked="f">
              <v:imagedata r:id="rId22" o:title=""/>
            </v:shape>
            <v:shape id="_x0000_s1208" style="width:7952;height:1510;left:2090;position:absolute;top:163" coordorigin="2090,163" coordsize="7952,1510" path="m2226,1672l2158,1537,2090,1672,2226,1672m2936,908l2868,773,2800,908,2936,908m3646,299l3579,163,3511,299,3646,299m4357,1544l4289,1408,4221,1544,4357,1544m5067,1352l4999,1217,4932,1352,5067,1352m5777,1203l5710,1067,5642,1203,5777,1203m6488,1348l6420,1212,6352,1348,6488,1348m7198,1513l7130,1378,7063,1513,7198,1513m7911,1296l7843,1161,7775,1296,7911,1296m8621,1534l8553,1399,8486,1534,8621,1534m9332,985l9264,850,9196,985,9332,985m10042,1105l10037,1078,10022,1057,10001,1042,9974,1037,9948,1042,9926,1057,9912,1078,9906,1105,9912,1131,9926,1153,9930,1155,9906,1203,10042,1203,10018,1155,10022,1153,10037,1131,10042,1105e" filled="t" fillcolor="#ffc000" stroked="f">
              <v:fill type="solid"/>
              <v:path arrowok="t"/>
            </v:shape>
          </v:group>
        </w:pict>
      </w:r>
      <w:r>
        <w:rPr>
          <w:rFonts w:ascii="Times New Roman"/>
          <w:color w:val="585858"/>
          <w:w w:val="105"/>
          <w:sz w:val="17"/>
        </w:rPr>
        <w:t>60%</w:t>
      </w:r>
    </w:p>
    <w:p>
      <w:pPr>
        <w:spacing w:before="131"/>
        <w:ind w:left="291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w w:val="105"/>
          <w:sz w:val="17"/>
        </w:rPr>
        <w:t>40%</w:t>
      </w:r>
    </w:p>
    <w:p>
      <w:pPr>
        <w:spacing w:before="131"/>
        <w:ind w:left="291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w w:val="105"/>
          <w:sz w:val="17"/>
        </w:rPr>
        <w:t>20%</w:t>
      </w:r>
    </w:p>
    <w:p>
      <w:pPr>
        <w:spacing w:before="130"/>
        <w:ind w:left="291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w w:val="105"/>
          <w:sz w:val="17"/>
        </w:rPr>
        <w:t>0%</w:t>
      </w:r>
    </w:p>
    <w:p>
      <w:pPr>
        <w:spacing w:before="131"/>
        <w:ind w:left="291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w w:val="105"/>
          <w:sz w:val="17"/>
        </w:rPr>
        <w:t>-20%</w:t>
      </w:r>
    </w:p>
    <w:p>
      <w:pPr>
        <w:spacing w:before="131"/>
        <w:ind w:left="291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w w:val="105"/>
          <w:sz w:val="17"/>
        </w:rPr>
        <w:t>-40%</w:t>
      </w:r>
    </w:p>
    <w:p>
      <w:pPr>
        <w:spacing w:before="131"/>
        <w:ind w:left="291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w w:val="105"/>
          <w:sz w:val="17"/>
        </w:rPr>
        <w:t>-60%</w:t>
      </w:r>
    </w:p>
    <w:p>
      <w:pPr>
        <w:spacing w:after="0"/>
        <w:jc w:val="left"/>
        <w:rPr>
          <w:rFonts w:ascii="Times New Roman"/>
          <w:sz w:val="17"/>
        </w:rPr>
        <w:sectPr>
          <w:headerReference w:type="default" r:id="rId24"/>
          <w:footerReference w:type="default" r:id="rId25"/>
          <w:type w:val="continuous"/>
          <w:pgSz w:w="11910" w:h="16840"/>
          <w:pgMar w:top="1340" w:right="280" w:bottom="500" w:left="720" w:header="708" w:footer="708"/>
          <w:pgNumType w:start="9"/>
          <w:cols w:num="3" w:space="708" w:equalWidth="0">
            <w:col w:w="889" w:space="95"/>
            <w:col w:w="8444" w:space="39"/>
            <w:col w:w="1443" w:space="0"/>
          </w:cols>
        </w:sectPr>
      </w:pPr>
    </w:p>
    <w:p>
      <w:pPr>
        <w:pStyle w:val="BodyText"/>
        <w:spacing w:before="11"/>
        <w:rPr>
          <w:rFonts w:ascii="Times New Roman"/>
          <w:sz w:val="11"/>
        </w:rPr>
      </w:pPr>
      <w:r>
        <w:pict>
          <v:group id="_x0000_s1209" style="width:595.35pt;height:41.2pt;margin-top:800.29pt;margin-left:0;mso-position-horizontal-relative:page;mso-position-vertical-relative:page;position:absolute;z-index:251677696" coordorigin="0,16006" coordsize="11907,824">
            <v:rect id="_x0000_s1210" style="width:11907;height:473;position:absolute;top:16356" filled="t" fillcolor="#17365d" stroked="f">
              <v:fill type="solid"/>
            </v:rect>
            <v:rect id="_x0000_s1211" style="width:4080;height:437;left:7;position:absolute;top:16082" filled="t" fillcolor="#d7d7d7" stroked="f">
              <v:fill type="solid"/>
            </v:rect>
            <v:shape id="_x0000_s1212" type="#_x0000_t202" style="width:1707;height:240;left:9218;position:absolute;top:1600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17365D"/>
                        <w:sz w:val="24"/>
                      </w:rPr>
                      <w:t>东吴证券研究所</w:t>
                    </w:r>
                  </w:p>
                </w:txbxContent>
              </v:textbox>
            </v:shape>
          </v:group>
        </w:pict>
      </w:r>
    </w:p>
    <w:p>
      <w:pPr>
        <w:tabs>
          <w:tab w:val="left" w:pos="739"/>
          <w:tab w:val="left" w:pos="1478"/>
          <w:tab w:val="left" w:pos="2217"/>
          <w:tab w:val="left" w:pos="2957"/>
          <w:tab w:val="left" w:pos="3697"/>
          <w:tab w:val="left" w:pos="4436"/>
          <w:tab w:val="left" w:pos="5175"/>
          <w:tab w:val="left" w:pos="6324"/>
        </w:tabs>
        <w:spacing w:before="87"/>
        <w:ind w:left="0" w:right="214" w:firstLine="0"/>
        <w:jc w:val="center"/>
        <w:rPr>
          <w:sz w:val="20"/>
        </w:rPr>
      </w:pPr>
      <w:r>
        <w:pict>
          <v:rect id="_x0000_s1213" style="width:5.02pt;height:5.02pt;margin-top:8.41pt;margin-left:117.35pt;mso-position-horizontal-relative:page;position:absolute;z-index:251678720" filled="t" fillcolor="#c7cdd7" stroked="f">
            <v:fill type="solid"/>
          </v:rect>
        </w:pict>
      </w:r>
      <w:r>
        <w:pict>
          <v:rect id="_x0000_s1214" style="width:5.14pt;height:5.02pt;margin-top:8.41pt;margin-left:154.27pt;mso-position-horizontal-relative:page;position:absolute;z-index:-251648000" filled="t" fillcolor="#b0b8c8" stroked="f">
            <v:fill type="solid"/>
          </v:rect>
        </w:pict>
      </w:r>
      <w:r>
        <w:pict>
          <v:rect id="_x0000_s1215" style="width:5.02pt;height:5.02pt;margin-top:8.41pt;margin-left:191.31pt;mso-position-horizontal-relative:page;position:absolute;z-index:-251646976" filled="t" fillcolor="#96a2b8" stroked="f">
            <v:fill type="solid"/>
          </v:rect>
        </w:pict>
      </w:r>
      <w:r>
        <w:pict>
          <v:rect id="_x0000_s1216" style="width:5.14pt;height:5.02pt;margin-top:8.41pt;margin-left:228.23pt;mso-position-horizontal-relative:page;position:absolute;z-index:-251645952" filled="t" fillcolor="#7386a6" stroked="f">
            <v:fill type="solid"/>
          </v:rect>
        </w:pict>
      </w:r>
      <w:r>
        <w:pict>
          <v:rect id="_x0000_s1217" style="width:5.14pt;height:5.02pt;margin-top:8.41pt;margin-left:265.15pt;mso-position-horizontal-relative:page;position:absolute;z-index:-251644928" filled="t" fillcolor="#375f91" stroked="f">
            <v:fill type="solid"/>
          </v:rect>
        </w:pict>
      </w:r>
      <w:r>
        <w:pict>
          <v:rect id="_x0000_s1218" style="width:5.02pt;height:5.02pt;margin-top:8.41pt;margin-left:302.17pt;mso-position-horizontal-relative:page;position:absolute;z-index:-251643904" filled="t" fillcolor="#335886" stroked="f">
            <v:fill type="solid"/>
          </v:rect>
        </w:pict>
      </w:r>
      <w:r>
        <w:pict>
          <v:rect id="_x0000_s1219" style="width:5.02pt;height:5.14pt;margin-top:8.35pt;margin-left:339.16pt;mso-position-horizontal-relative:page;position:absolute;z-index:-251642880" filled="f" stroked="t" strokecolor="#c00000" strokeweight="2.19pt">
            <v:stroke dashstyle="solid"/>
          </v:rect>
        </w:pict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4771034</wp:posOffset>
            </wp:positionH>
            <wp:positionV relativeFrom="paragraph">
              <wp:posOffset>100815</wp:posOffset>
            </wp:positionV>
            <wp:extent cx="74189" cy="74172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89" cy="74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20" style="width:5.85pt;height:5.85pt;margin-top:7.94pt;margin-left:433.03pt;mso-position-horizontal-relative:page;position:absolute;z-index:-251640832" coordorigin="8661,159" coordsize="117,117" path="m8719,159l8661,276,8777,276,8719,159xe" filled="t" fillcolor="#ffc000" stroked="f">
            <v:fill type="solid"/>
            <v:path arrowok="t"/>
          </v:shape>
        </w:pict>
      </w:r>
      <w:r>
        <w:rPr>
          <w:rFonts w:ascii="Times New Roman" w:eastAsia="Times New Roman"/>
          <w:color w:val="585858"/>
          <w:w w:val="105"/>
          <w:sz w:val="20"/>
        </w:rPr>
        <w:t>2017</w:t>
        <w:tab/>
        <w:t>2018</w:t>
        <w:tab/>
        <w:t>2019</w:t>
        <w:tab/>
        <w:t>2020</w:t>
        <w:tab/>
        <w:t>2021</w:t>
        <w:tab/>
        <w:t>2022</w:t>
        <w:tab/>
        <w:t>2023</w:t>
        <w:tab/>
      </w:r>
      <w:r>
        <w:rPr>
          <w:color w:val="585858"/>
          <w:w w:val="105"/>
          <w:sz w:val="20"/>
        </w:rPr>
        <w:t>单</w:t>
      </w:r>
      <w:r>
        <w:rPr>
          <w:color w:val="585858"/>
          <w:spacing w:val="-4"/>
          <w:w w:val="105"/>
          <w:sz w:val="20"/>
        </w:rPr>
        <w:t>月</w:t>
      </w:r>
      <w:r>
        <w:rPr>
          <w:color w:val="585858"/>
          <w:w w:val="105"/>
          <w:sz w:val="20"/>
        </w:rPr>
        <w:t>同比</w:t>
        <w:tab/>
        <w:t>单</w:t>
      </w:r>
      <w:r>
        <w:rPr>
          <w:color w:val="585858"/>
          <w:spacing w:val="-4"/>
          <w:w w:val="105"/>
          <w:sz w:val="20"/>
        </w:rPr>
        <w:t>月</w:t>
      </w:r>
      <w:r>
        <w:rPr>
          <w:color w:val="585858"/>
          <w:w w:val="105"/>
          <w:sz w:val="20"/>
        </w:rPr>
        <w:t>环比</w:t>
      </w:r>
    </w:p>
    <w:p>
      <w:pPr>
        <w:pStyle w:val="BodyText"/>
        <w:spacing w:before="6"/>
        <w:rPr>
          <w:sz w:val="18"/>
        </w:rPr>
      </w:pPr>
      <w:r>
        <w:pict>
          <v:shape id="_x0000_s1221" style="width:520.9pt;height:0.1pt;margin-top:14.32pt;margin-left:37.2pt;mso-position-horizontal-relative:page;mso-wrap-distance-left:0;mso-wrap-distance-right:0;position:absolute;z-index:-251639808" coordorigin="744,286" coordsize="10418,0" path="m744,286l11162,286e" filled="f" stroked="t" strokecolor="black" strokeweight="0.96pt">
            <v:stroke dashstyle="solid"/>
            <v:path arrowok="t"/>
            <w10:wrap type="topAndBottom"/>
          </v:shape>
        </w:pict>
      </w:r>
    </w:p>
    <w:p>
      <w:pPr>
        <w:spacing w:before="10"/>
        <w:ind w:left="132" w:right="0" w:firstLine="0"/>
        <w:jc w:val="left"/>
        <w:rPr>
          <w:sz w:val="20"/>
        </w:rPr>
      </w:pPr>
      <w:r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Heading3"/>
      </w:pPr>
      <w:r>
        <w:t>5 / 29</w:t>
      </w:r>
    </w:p>
    <w:p>
      <w:pPr>
        <w:spacing w:after="0"/>
        <w:sectPr>
          <w:headerReference w:type="default" r:id="rId27"/>
          <w:footerReference w:type="default" r:id="rId28"/>
          <w:type w:val="continuous"/>
          <w:pgSz w:w="11910" w:h="16840"/>
          <w:pgMar w:top="1340" w:right="280" w:bottom="500" w:left="720" w:header="708" w:footer="708"/>
          <w:pgNumType w:start="10"/>
          <w:cols w:space="708"/>
        </w:sectPr>
      </w:pPr>
    </w:p>
    <w:p>
      <w:pPr>
        <w:spacing w:before="55" w:after="15"/>
        <w:ind w:left="381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4</w:t>
      </w:r>
      <w:r>
        <w:rPr>
          <w:rFonts w:ascii="Microsoft JhengHei" w:eastAsia="Microsoft JhengHei" w:hint="eastAsia"/>
          <w:b/>
          <w:color w:val="17365D"/>
          <w:sz w:val="20"/>
        </w:rPr>
        <w:t xml:space="preserve">：新能源环卫车单月销量与 </w:t>
      </w:r>
      <w:r>
        <w:rPr>
          <w:rFonts w:ascii="Times New Roman" w:eastAsia="Times New Roman"/>
          <w:b/>
          <w:color w:val="17365D"/>
          <w:sz w:val="20"/>
        </w:rPr>
        <w:t xml:space="preserve">2023M1-12 </w:t>
      </w:r>
      <w:r>
        <w:rPr>
          <w:rFonts w:ascii="Microsoft JhengHei" w:eastAsia="Microsoft JhengHei" w:hint="eastAsia"/>
          <w:b/>
          <w:color w:val="17365D"/>
          <w:sz w:val="20"/>
        </w:rPr>
        <w:t>单月销量同环比数据（单位：辆）</w:t>
      </w:r>
    </w:p>
    <w:p>
      <w:pPr>
        <w:pStyle w:val="BodyText"/>
        <w:spacing w:line="20" w:lineRule="exact"/>
        <w:ind w:left="122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222" style="width:510.5pt;height:1pt;mso-position-horizontal-relative:char;mso-position-vertical-relative:line" coordorigin="0,0" coordsize="10210,20">
            <v:line id="_x0000_s1223" style="position:absolute" from="0,10" to="10209,10" stroked="t" strokecolor="black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15"/>
        <w:rPr>
          <w:rFonts w:ascii="Microsoft JhengHei"/>
          <w:b/>
          <w:sz w:val="3"/>
        </w:rPr>
      </w:pPr>
    </w:p>
    <w:p>
      <w:pPr>
        <w:spacing w:after="0"/>
        <w:rPr>
          <w:rFonts w:ascii="Microsoft JhengHei"/>
          <w:sz w:val="3"/>
        </w:rPr>
        <w:sectPr>
          <w:headerReference w:type="default" r:id="rId29"/>
          <w:footerReference w:type="default" r:id="rId30"/>
          <w:pgSz w:w="11910" w:h="16840"/>
          <w:pgMar w:top="1340" w:right="280" w:bottom="500" w:left="720" w:header="708" w:footer="708"/>
          <w:pgNumType w:start="11"/>
          <w:cols w:space="708"/>
        </w:sectPr>
      </w:pPr>
    </w:p>
    <w:p>
      <w:pPr>
        <w:pStyle w:val="BodyText"/>
        <w:spacing w:before="91"/>
        <w:ind w:right="38"/>
        <w:jc w:val="right"/>
        <w:rPr>
          <w:rFonts w:ascii="Times New Roman"/>
        </w:rPr>
      </w:pPr>
      <w:r>
        <w:rPr>
          <w:rFonts w:ascii="Times New Roman"/>
          <w:color w:val="585858"/>
          <w:w w:val="95"/>
        </w:rPr>
        <w:t>1000</w:t>
      </w:r>
    </w:p>
    <w:p>
      <w:pPr>
        <w:pStyle w:val="BodyText"/>
        <w:spacing w:before="10"/>
        <w:rPr>
          <w:rFonts w:ascii="Times New Roman"/>
          <w:sz w:val="19"/>
        </w:rPr>
      </w:pPr>
    </w:p>
    <w:p>
      <w:pPr>
        <w:pStyle w:val="BodyText"/>
        <w:spacing w:before="1"/>
        <w:ind w:right="38"/>
        <w:jc w:val="right"/>
        <w:rPr>
          <w:rFonts w:ascii="Times New Roman"/>
        </w:rPr>
      </w:pPr>
      <w:r>
        <w:rPr>
          <w:rFonts w:ascii="Times New Roman"/>
          <w:color w:val="585858"/>
        </w:rPr>
        <w:t>800</w:t>
      </w:r>
    </w:p>
    <w:p>
      <w:pPr>
        <w:pStyle w:val="BodyText"/>
        <w:spacing w:before="9"/>
        <w:rPr>
          <w:rFonts w:ascii="Times New Roman"/>
          <w:sz w:val="19"/>
        </w:rPr>
      </w:pPr>
    </w:p>
    <w:p>
      <w:pPr>
        <w:pStyle w:val="BodyText"/>
        <w:ind w:right="38"/>
        <w:jc w:val="right"/>
        <w:rPr>
          <w:rFonts w:ascii="Times New Roman"/>
        </w:rPr>
      </w:pPr>
      <w:r>
        <w:rPr>
          <w:rFonts w:ascii="Times New Roman"/>
          <w:color w:val="585858"/>
          <w:spacing w:val="-1"/>
        </w:rPr>
        <w:t>600</w:t>
      </w:r>
    </w:p>
    <w:p>
      <w:pPr>
        <w:pStyle w:val="BodyText"/>
        <w:spacing w:before="10"/>
        <w:rPr>
          <w:rFonts w:ascii="Times New Roman"/>
          <w:sz w:val="19"/>
        </w:rPr>
      </w:pPr>
    </w:p>
    <w:p>
      <w:pPr>
        <w:pStyle w:val="BodyText"/>
        <w:ind w:right="38"/>
        <w:jc w:val="right"/>
        <w:rPr>
          <w:rFonts w:ascii="Times New Roman"/>
        </w:rPr>
      </w:pPr>
      <w:r>
        <w:rPr>
          <w:rFonts w:ascii="Times New Roman"/>
          <w:color w:val="585858"/>
        </w:rPr>
        <w:t>400</w:t>
      </w:r>
    </w:p>
    <w:p>
      <w:pPr>
        <w:pStyle w:val="BodyText"/>
        <w:spacing w:before="10"/>
        <w:rPr>
          <w:rFonts w:ascii="Times New Roman"/>
          <w:sz w:val="19"/>
        </w:rPr>
      </w:pPr>
    </w:p>
    <w:p>
      <w:pPr>
        <w:pStyle w:val="BodyText"/>
        <w:ind w:right="38"/>
        <w:jc w:val="right"/>
        <w:rPr>
          <w:rFonts w:ascii="Times New Roman"/>
        </w:rPr>
      </w:pPr>
      <w:r>
        <w:rPr>
          <w:rFonts w:ascii="Times New Roman"/>
          <w:color w:val="585858"/>
        </w:rPr>
        <w:t>200</w:t>
      </w:r>
    </w:p>
    <w:p>
      <w:pPr>
        <w:pStyle w:val="BodyText"/>
        <w:spacing w:before="10"/>
        <w:rPr>
          <w:rFonts w:ascii="Times New Roman"/>
          <w:sz w:val="19"/>
        </w:rPr>
      </w:pPr>
    </w:p>
    <w:p>
      <w:pPr>
        <w:pStyle w:val="BodyText"/>
        <w:ind w:right="39"/>
        <w:jc w:val="right"/>
        <w:rPr>
          <w:rFonts w:ascii="Times New Roman"/>
        </w:rPr>
      </w:pPr>
      <w:r>
        <w:rPr>
          <w:rFonts w:ascii="Times New Roman"/>
          <w:color w:val="585858"/>
          <w:w w:val="100"/>
        </w:rPr>
        <w:t>0</w:t>
      </w:r>
    </w:p>
    <w:p>
      <w:pPr>
        <w:pStyle w:val="BodyText"/>
        <w:rPr>
          <w:rFonts w:ascii="Times New Roman"/>
          <w:sz w:val="22"/>
        </w:rPr>
      </w:pPr>
      <w:r>
        <w:br w:type="column"/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tabs>
          <w:tab w:val="left" w:pos="1037"/>
          <w:tab w:val="left" w:pos="1736"/>
          <w:tab w:val="left" w:pos="2464"/>
          <w:tab w:val="left" w:pos="3152"/>
          <w:tab w:val="left" w:pos="3914"/>
          <w:tab w:val="left" w:pos="4654"/>
          <w:tab w:val="left" w:pos="5312"/>
          <w:tab w:val="left" w:pos="6052"/>
          <w:tab w:val="left" w:pos="6775"/>
          <w:tab w:val="left" w:pos="7462"/>
          <w:tab w:val="left" w:pos="8190"/>
        </w:tabs>
        <w:spacing w:before="157"/>
        <w:ind w:left="338"/>
        <w:rPr>
          <w:rFonts w:ascii="Times New Roman"/>
        </w:rPr>
      </w:pPr>
      <w:r>
        <w:rPr>
          <w:rFonts w:ascii="Times New Roman"/>
          <w:color w:val="585858"/>
        </w:rPr>
        <w:t>Jan</w:t>
        <w:tab/>
        <w:t>Feb</w:t>
        <w:tab/>
        <w:t>Mar</w:t>
        <w:tab/>
        <w:t>Apr</w:t>
        <w:tab/>
        <w:t>May</w:t>
        <w:tab/>
        <w:t>Jun</w:t>
        <w:tab/>
        <w:t>Jul</w:t>
        <w:tab/>
        <w:t>Aug</w:t>
        <w:tab/>
        <w:t>Sep</w:t>
        <w:tab/>
        <w:t>Oct</w:t>
        <w:tab/>
        <w:t>Nov</w:t>
        <w:tab/>
      </w:r>
      <w:r>
        <w:rPr>
          <w:rFonts w:ascii="Times New Roman"/>
          <w:color w:val="585858"/>
          <w:spacing w:val="-7"/>
        </w:rPr>
        <w:t>Dec</w:t>
      </w:r>
    </w:p>
    <w:p>
      <w:pPr>
        <w:spacing w:before="117"/>
        <w:ind w:left="295" w:right="0" w:firstLine="0"/>
        <w:jc w:val="left"/>
        <w:rPr>
          <w:rFonts w:ascii="Times New Roman"/>
          <w:sz w:val="17"/>
        </w:rPr>
      </w:pPr>
      <w:r>
        <w:br w:type="column"/>
      </w:r>
      <w:r>
        <w:rPr>
          <w:rFonts w:ascii="Times New Roman"/>
          <w:color w:val="585858"/>
          <w:sz w:val="17"/>
        </w:rPr>
        <w:t>120%</w:t>
      </w:r>
    </w:p>
    <w:p>
      <w:pPr>
        <w:spacing w:before="39"/>
        <w:ind w:left="295" w:right="0" w:firstLine="0"/>
        <w:jc w:val="left"/>
        <w:rPr>
          <w:rFonts w:ascii="Times New Roman"/>
          <w:sz w:val="17"/>
        </w:rPr>
      </w:pPr>
      <w:r>
        <w:pict>
          <v:group id="_x0000_s1224" style="width:435.55pt;height:120.85pt;margin-top:-4.85pt;margin-left:82.27pt;mso-position-horizontal-relative:page;position:absolute;z-index:251679744" coordorigin="1645,-97" coordsize="8711,2417">
            <v:line id="_x0000_s1225" style="position:absolute" from="1813,2121" to="1813,2258" stroked="t" strokecolor="#ddd" strokeweight="4.22pt">
              <v:stroke dashstyle="solid"/>
            </v:line>
            <v:rect id="_x0000_s1226" style="width:85;height:67;left:1855;position:absolute;top:2191" filled="t" fillcolor="#d1d1d1" stroked="f">
              <v:fill type="solid"/>
            </v:rect>
            <v:line id="_x0000_s1227" style="position:absolute" from="1982,1840" to="1982,2258" stroked="t" strokecolor="#c4c4c4" strokeweight="4.22pt">
              <v:stroke dashstyle="solid"/>
            </v:line>
            <v:line id="_x0000_s1228" style="position:absolute" from="2067,1956" to="2067,2258" stroked="t" strokecolor="#b5b5b5" strokeweight="4.22pt">
              <v:stroke dashstyle="solid"/>
            </v:line>
            <v:rect id="_x0000_s1229" style="width:85;height:663;left:2109;position:absolute;top:1595" filled="t" fillcolor="#a4a4a4" stroked="f">
              <v:fill type="solid"/>
            </v:rect>
            <v:rect id="_x0000_s1230" style="width:83;height:663;left:2193;position:absolute;top:1595" filled="t" fillcolor="#9a9a9a" stroked="f">
              <v:fill type="solid"/>
            </v:rect>
            <v:rect id="_x0000_s1231" style="width:85;height:1250;left:2276;position:absolute;top:1007" filled="f" stroked="t" strokecolor="#c00000" strokeweight="2.14pt">
              <v:stroke dashstyle="solid"/>
            </v:rect>
            <v:shape id="_x0000_s1232" style="width:65;height:2468;left:649;position:absolute;top:11070" coordorigin="650,11070" coordsize="65,2468" path="m1707,2258l1707,-90m1645,2258l1707,2258m1645,1787l1707,1787m1645,1317l1707,1317m1645,849l1707,849m1645,378l1707,378m1645,-90l1707,-90e" filled="f" stroked="t" strokecolor="#bebebe" strokeweight="0.71pt">
              <v:stroke dashstyle="solid"/>
              <v:path arrowok="t"/>
            </v:shape>
            <v:rect id="_x0000_s1233" style="width:85;height:74;left:2488;position:absolute;top:2184" filled="t" fillcolor="#ddd" stroked="f">
              <v:fill type="solid"/>
            </v:rect>
            <v:rect id="_x0000_s1234" style="width:85;height:35;left:2572;position:absolute;top:2223" filled="t" fillcolor="#d1d1d1" stroked="f">
              <v:fill type="solid"/>
            </v:rect>
            <v:rect id="_x0000_s1235" style="width:83;height:96;left:2657;position:absolute;top:2162" filled="t" fillcolor="#c4c4c4" stroked="f">
              <v:fill type="solid"/>
            </v:rect>
            <v:rect id="_x0000_s1236" style="width:85;height:110;left:2739;position:absolute;top:2148" filled="t" fillcolor="#b5b5b5" stroked="f">
              <v:fill type="solid"/>
            </v:rect>
            <v:rect id="_x0000_s1237" style="width:85;height:254;left:2823;position:absolute;top:2004" filled="t" fillcolor="#a4a4a4" stroked="f">
              <v:fill type="solid"/>
            </v:rect>
            <v:rect id="_x0000_s1238" style="width:85;height:254;left:2908;position:absolute;top:2004" filled="t" fillcolor="#9a9a9a" stroked="f">
              <v:fill type="solid"/>
            </v:rect>
            <v:rect id="_x0000_s1239" style="width:85;height:592;left:2994;position:absolute;top:1665" filled="f" stroked="t" strokecolor="#c00000" strokeweight="2.14pt">
              <v:stroke dashstyle="solid"/>
            </v:rect>
            <v:line id="_x0000_s1240" style="position:absolute" from="3245,2098" to="3245,2258" stroked="t" strokecolor="#ddd" strokeweight="4.22pt">
              <v:stroke dashstyle="solid"/>
            </v:line>
            <v:rect id="_x0000_s1241" style="width:85;height:133;left:3287;position:absolute;top:2125" filled="t" fillcolor="#d1d1d1" stroked="f">
              <v:fill type="solid"/>
            </v:rect>
            <v:line id="_x0000_s1242" style="position:absolute" from="3414,1998" to="3414,2258" stroked="t" strokecolor="#c4c4c4" strokeweight="4.22pt">
              <v:stroke dashstyle="solid"/>
            </v:line>
            <v:line id="_x0000_s1243" style="position:absolute" from="3499,1701" to="3499,2258" stroked="t" strokecolor="#b5b5b5" strokeweight="4.22pt">
              <v:stroke dashstyle="solid"/>
            </v:line>
            <v:rect id="_x0000_s1244" style="width:85;height:608;left:3540;position:absolute;top:1650" filled="t" fillcolor="#a4a4a4" stroked="f">
              <v:fill type="solid"/>
            </v:rect>
            <v:rect id="_x0000_s1245" style="width:85;height:608;left:3625;position:absolute;top:1650" filled="t" fillcolor="#9a9a9a" stroked="f">
              <v:fill type="solid"/>
            </v:rect>
            <v:rect id="_x0000_s1246" style="width:85;height:1168;left:3708;position:absolute;top:1089" filled="f" stroked="t" strokecolor="#c00000" strokeweight="2.14pt">
              <v:stroke dashstyle="solid"/>
            </v:rect>
            <v:rect id="_x0000_s1247" style="width:85;height:99;left:3920;position:absolute;top:2159" filled="t" fillcolor="#ddd" stroked="f">
              <v:fill type="solid"/>
            </v:rect>
            <v:rect id="_x0000_s1248" style="width:85;height:48;left:4004;position:absolute;top:2209" filled="t" fillcolor="#d1d1d1" stroked="f">
              <v:fill type="solid"/>
            </v:rect>
            <v:line id="_x0000_s1249" style="position:absolute" from="4131,1739" to="4131,2258" stroked="t" strokecolor="#c4c4c4" strokeweight="4.22pt">
              <v:stroke dashstyle="solid"/>
            </v:line>
            <v:line id="_x0000_s1250" style="position:absolute" from="4216,1614" to="4216,2258" stroked="t" strokecolor="#b5b5b5" strokeweight="4.22pt">
              <v:stroke dashstyle="solid"/>
            </v:line>
            <v:rect id="_x0000_s1251" style="width:85;height:338;left:4258;position:absolute;top:1919" filled="t" fillcolor="#a4a4a4" stroked="f">
              <v:fill type="solid"/>
            </v:rect>
            <v:rect id="_x0000_s1252" style="width:83;height:338;left:4342;position:absolute;top:1919" filled="t" fillcolor="#9a9a9a" stroked="f">
              <v:fill type="solid"/>
            </v:rect>
            <v:rect id="_x0000_s1253" style="width:85;height:992;left:4425;position:absolute;top:1265" filled="f" stroked="t" strokecolor="#c00000" strokeweight="2.14pt">
              <v:stroke dashstyle="solid"/>
            </v:rect>
            <v:line id="_x0000_s1254" style="position:absolute" from="4679,2025" to="4679,2258" stroked="t" strokecolor="#ddd" strokeweight="4.22pt">
              <v:stroke dashstyle="solid"/>
            </v:line>
            <v:line id="_x0000_s1255" style="position:absolute" from="4764,1840" to="4764,2258" stroked="t" strokecolor="#d1d1d1" strokeweight="4.22pt">
              <v:stroke dashstyle="solid"/>
            </v:line>
            <v:line id="_x0000_s1256" style="position:absolute" from="4847,1934" to="4847,2258" stroked="t" strokecolor="#c4c4c4" strokeweight="4.11pt">
              <v:stroke dashstyle="solid"/>
            </v:line>
            <v:line id="_x0000_s1257" style="position:absolute" from="4931,1673" to="4931,2258" stroked="t" strokecolor="#b5b5b5" strokeweight="4.22pt">
              <v:stroke dashstyle="solid"/>
            </v:line>
            <v:rect id="_x0000_s1258" style="width:85;height:478;left:4972;position:absolute;top:1780" filled="t" fillcolor="#a4a4a4" stroked="f">
              <v:fill type="solid"/>
            </v:rect>
            <v:rect id="_x0000_s1259" style="width:85;height:478;left:5057;position:absolute;top:1780" filled="t" fillcolor="#9a9a9a" stroked="f">
              <v:fill type="solid"/>
            </v:rect>
            <v:rect id="_x0000_s1260" style="width:85;height:846;left:5143;position:absolute;top:1411" filled="f" stroked="t" strokecolor="#c00000" strokeweight="2.14pt">
              <v:stroke dashstyle="solid"/>
            </v:rect>
            <v:line id="_x0000_s1261" style="position:absolute" from="5394,2018" to="5394,2258" stroked="t" strokecolor="#ddd" strokeweight="4.22pt">
              <v:stroke dashstyle="solid"/>
            </v:line>
            <v:line id="_x0000_s1262" style="position:absolute" from="5479,1436" to="5479,2258" stroked="t" strokecolor="#d1d1d1" strokeweight="4.22pt">
              <v:stroke dashstyle="solid"/>
            </v:line>
            <v:line id="_x0000_s1263" style="position:absolute" from="5563,1529" to="5563,2258" stroked="t" strokecolor="#c4c4c4" strokeweight="4.22pt">
              <v:stroke dashstyle="solid"/>
            </v:line>
            <v:line id="_x0000_s1264" style="position:absolute" from="5648,1358" to="5648,2258" stroked="t" strokecolor="#b5b5b5" strokeweight="4.22pt">
              <v:stroke dashstyle="solid"/>
            </v:line>
            <v:rect id="_x0000_s1265" style="width:85;height:430;left:5689;position:absolute;top:1828" filled="t" fillcolor="#a4a4a4" stroked="f">
              <v:fill type="solid"/>
            </v:rect>
            <v:rect id="_x0000_s1266" style="width:85;height:430;left:5774;position:absolute;top:1828" filled="t" fillcolor="#9a9a9a" stroked="f">
              <v:fill type="solid"/>
            </v:rect>
            <v:rect id="_x0000_s1267" style="width:85;height:955;left:5857;position:absolute;top:1302" filled="f" stroked="t" strokecolor="#c00000" strokeweight="2.14pt">
              <v:stroke dashstyle="solid"/>
            </v:rect>
            <v:line id="_x0000_s1268" style="position:absolute" from="6111,1851" to="6111,2258" stroked="t" strokecolor="#ddd" strokeweight="4.22pt">
              <v:stroke dashstyle="solid"/>
            </v:line>
            <v:rect id="_x0000_s1269" style="width:85;height:110;left:6153;position:absolute;top:2148" filled="t" fillcolor="#d1d1d1" stroked="f">
              <v:fill type="solid"/>
            </v:rect>
            <v:line id="_x0000_s1270" style="position:absolute" from="6280,1666" to="6280,2258" stroked="t" strokecolor="#c4c4c4" strokeweight="4.22pt">
              <v:stroke dashstyle="solid"/>
            </v:line>
            <v:line id="_x0000_s1271" style="position:absolute" from="6365,1228" to="6365,2258" stroked="t" strokecolor="#b5b5b5" strokeweight="4.22pt">
              <v:stroke dashstyle="solid"/>
            </v:line>
            <v:rect id="_x0000_s1272" style="width:85;height:868;left:6407;position:absolute;top:1390" filled="t" fillcolor="#a4a4a4" stroked="f">
              <v:fill type="solid"/>
            </v:rect>
            <v:rect id="_x0000_s1273" style="width:85;height:868;left:6491;position:absolute;top:1390" filled="t" fillcolor="#9a9a9a" stroked="f">
              <v:fill type="solid"/>
            </v:rect>
            <v:rect id="_x0000_s1274" style="width:85;height:1300;left:6574;position:absolute;top:957" filled="f" stroked="t" strokecolor="#c00000" strokeweight="2.14pt">
              <v:stroke dashstyle="solid"/>
            </v:rect>
            <v:line id="_x0000_s1275" style="position:absolute" from="6828,1507" to="6828,2258" stroked="t" strokecolor="#ddd" strokeweight="4.22pt">
              <v:stroke dashstyle="solid"/>
            </v:line>
            <v:rect id="_x0000_s1276" style="width:85;height:124;left:6870;position:absolute;top:2134" filled="t" fillcolor="#d1d1d1" stroked="f">
              <v:fill type="solid"/>
            </v:rect>
            <v:line id="_x0000_s1277" style="position:absolute" from="6996,1717" to="6996,2258" stroked="t" strokecolor="#c4c4c4" strokeweight="4.11pt">
              <v:stroke dashstyle="solid"/>
            </v:line>
            <v:line id="_x0000_s1278" style="position:absolute" from="7080,1507" to="7080,2258" stroked="t" strokecolor="#b5b5b5" strokeweight="4.22pt">
              <v:stroke dashstyle="solid"/>
            </v:line>
            <v:rect id="_x0000_s1279" style="width:85;height:791;left:7121;position:absolute;top:1467" filled="t" fillcolor="#a4a4a4" stroked="f">
              <v:fill type="solid"/>
            </v:rect>
            <v:rect id="_x0000_s1280" style="width:85;height:791;left:7206;position:absolute;top:1467" filled="t" fillcolor="#9a9a9a" stroked="f">
              <v:fill type="solid"/>
            </v:rect>
            <v:rect id="_x0000_s1281" style="width:85;height:1544;left:7291;position:absolute;top:712" filled="f" stroked="t" strokecolor="#c00000" strokeweight="2.14pt">
              <v:stroke dashstyle="solid"/>
            </v:rect>
            <v:rect id="_x0000_s1282" style="width:85;height:71;left:7500;position:absolute;top:2187" filled="t" fillcolor="#ddd" stroked="f">
              <v:fill type="solid"/>
            </v:rect>
            <v:line id="_x0000_s1283" style="position:absolute" from="7628,2119" to="7628,2258" stroked="t" strokecolor="#d1d1d1" strokeweight="4.22pt">
              <v:stroke dashstyle="solid"/>
            </v:line>
            <v:line id="_x0000_s1284" style="position:absolute" from="7712,1742" to="7712,2258" stroked="t" strokecolor="#c4c4c4" strokeweight="4.22pt">
              <v:stroke dashstyle="solid"/>
            </v:line>
            <v:line id="_x0000_s1285" style="position:absolute" from="7797,1278" to="7797,2258" stroked="t" strokecolor="#b5b5b5" strokeweight="4.22pt">
              <v:stroke dashstyle="solid"/>
            </v:line>
            <v:rect id="_x0000_s1286" style="width:85;height:825;left:7838;position:absolute;top:1433" filled="t" fillcolor="#a4a4a4" stroked="f">
              <v:fill type="solid"/>
            </v:rect>
            <v:rect id="_x0000_s1287" style="width:85;height:825;left:7923;position:absolute;top:1433" filled="t" fillcolor="#9a9a9a" stroked="f">
              <v:fill type="solid"/>
            </v:rect>
            <v:rect id="_x0000_s1288" style="width:85;height:1444;left:8006;position:absolute;top:813" filled="f" stroked="t" strokecolor="#c00000" strokeweight="2.14pt">
              <v:stroke dashstyle="solid"/>
            </v:rect>
            <v:line id="_x0000_s1289" style="position:absolute" from="8260,2121" to="8260,2258" stroked="t" strokecolor="#ddd" strokeweight="4.22pt">
              <v:stroke dashstyle="solid"/>
            </v:line>
            <v:line id="_x0000_s1290" style="position:absolute" from="8345,2052" to="8345,2258" stroked="t" strokecolor="#d1d1d1" strokeweight="4.22pt">
              <v:stroke dashstyle="solid"/>
            </v:line>
            <v:line id="_x0000_s1291" style="position:absolute" from="8429,1201" to="8429,2258" stroked="t" strokecolor="#c4c4c4" strokeweight="4.22pt">
              <v:stroke dashstyle="solid"/>
            </v:line>
            <v:line id="_x0000_s1292" style="position:absolute" from="8514,1758" to="8514,2258" stroked="t" strokecolor="#b5b5b5" strokeweight="4.22pt">
              <v:stroke dashstyle="solid"/>
            </v:line>
            <v:rect id="_x0000_s1293" style="width:85;height:914;left:8556;position:absolute;top:1344" filled="t" fillcolor="#a4a4a4" stroked="f">
              <v:fill type="solid"/>
            </v:rect>
            <v:rect id="_x0000_s1294" style="width:85;height:914;left:8640;position:absolute;top:1344" filled="t" fillcolor="#9a9a9a" stroked="f">
              <v:fill type="solid"/>
            </v:rect>
            <v:rect id="_x0000_s1295" style="width:85;height:1357;left:8723;position:absolute;top:900" filled="f" stroked="t" strokecolor="#c00000" strokeweight="2.14pt">
              <v:stroke dashstyle="solid"/>
            </v:rect>
            <v:line id="_x0000_s1296" style="position:absolute" from="8977,1993" to="8977,2258" stroked="t" strokecolor="#ddd" strokeweight="4.23pt">
              <v:stroke dashstyle="solid"/>
            </v:line>
            <v:line id="_x0000_s1297" style="position:absolute" from="9062,1755" to="9062,2258" stroked="t" strokecolor="#d1d1d1" strokeweight="4.22pt">
              <v:stroke dashstyle="solid"/>
            </v:line>
            <v:rect id="_x0000_s1298" style="width:83;height:868;left:9104;position:absolute;top:1390" filled="t" fillcolor="#c4c4c4" stroked="f">
              <v:fill type="solid"/>
            </v:rect>
            <v:rect id="_x0000_s1299" style="width:85;height:882;left:9186;position:absolute;top:1376" filled="t" fillcolor="#b5b5b5" stroked="f">
              <v:fill type="solid"/>
            </v:rect>
            <v:rect id="_x0000_s1300" style="width:85;height:1049;left:9270;position:absolute;top:1209" filled="t" fillcolor="#a4a4a4" stroked="f">
              <v:fill type="solid"/>
            </v:rect>
            <v:rect id="_x0000_s1301" style="width:85;height:1049;left:9355;position:absolute;top:1209" filled="t" fillcolor="#9a9a9a" stroked="f">
              <v:fill type="solid"/>
            </v:rect>
            <v:rect id="_x0000_s1302" style="width:85;height:1355;left:9440;position:absolute;top:902" filled="f" stroked="t" strokecolor="#c00000" strokeweight="2.14pt">
              <v:stroke dashstyle="solid"/>
            </v:rect>
            <v:rect id="_x0000_s1303" style="width:85;height:1131;left:9649;position:absolute;top:1127" filled="t" fillcolor="#ddd" stroked="f">
              <v:fill type="solid"/>
            </v:rect>
            <v:rect id="_x0000_s1304" style="width:85;height:1133;left:9734;position:absolute;top:1125" filled="t" fillcolor="#d1d1d1" stroked="f">
              <v:fill type="solid"/>
            </v:rect>
            <v:line id="_x0000_s1305" style="position:absolute" from="9861,1420" to="9861,2258" stroked="t" strokecolor="#c4c4c4" strokeweight="4.22pt">
              <v:stroke dashstyle="solid"/>
            </v:line>
            <v:line id="_x0000_s1306" style="position:absolute" from="9946,949" to="9946,2258" stroked="t" strokecolor="#b5b5b5" strokeweight="4.22pt">
              <v:stroke dashstyle="solid"/>
            </v:line>
            <v:rect id="_x0000_s1307" style="width:85;height:2097;left:9987;position:absolute;top:161" filled="t" fillcolor="#a4a4a4" stroked="f">
              <v:fill type="solid"/>
            </v:rect>
            <v:rect id="_x0000_s1308" style="width:85;height:2097;left:10072;position:absolute;top:161" filled="t" fillcolor="#9a9a9a" stroked="f">
              <v:fill type="solid"/>
            </v:rect>
            <v:rect id="_x0000_s1309" style="width:85;height:1869;left:10155;position:absolute;top:388" filled="f" stroked="t" strokecolor="#c00000" strokeweight="2.14pt">
              <v:stroke dashstyle="solid"/>
            </v:rect>
            <v:shape id="_x0000_s1310" style="width:9089;height:2532;left:714;position:absolute;top:11070" coordorigin="714,11070" coordsize="9089,2532" path="m10303,2258l10303,-90m10303,2258l10356,2258m10303,2023l10356,2023m10303,1787l10356,1787m10303,1552l10356,1552m10303,1317l10356,1317m10303,1084l10356,1084m10303,849l10356,849m10303,614l10356,614m10303,378l10356,378m10303,143l10356,143m10303,-90l10356,-90m1707,2258l10303,2258m1707,2258l1707,2320m2424,2258l2424,2320m3141,2258l3141,2320m3856,2258l3856,2320m4573,2258l4573,2320m5290,2258l5290,2320m6005,2258l6005,2320m6722,2258l6722,2320m7439,2258l7439,2320m8154,2258l8154,2320m8871,2258l8871,2320m9588,2258l9588,2320m10303,2258l10303,2320e" filled="f" stroked="t" strokecolor="#d9d9d9" strokeweight="0.71pt">
              <v:stroke dashstyle="solid"/>
              <v:path arrowok="t"/>
            </v:shape>
            <v:shape id="_x0000_s1311" type="#_x0000_t75" style="width:133;height:133;left:1998;position:absolute;top:928" stroked="f">
              <v:imagedata r:id="rId31" o:title=""/>
            </v:shape>
            <v:shape id="_x0000_s1312" type="#_x0000_t75" style="width:133;height:133;left:2715;position:absolute;top:1115" stroked="f">
              <v:imagedata r:id="rId31" o:title=""/>
            </v:shape>
            <v:shape id="_x0000_s1313" type="#_x0000_t75" style="width:133;height:133;left:3432;position:absolute;top:823" stroked="f">
              <v:imagedata r:id="rId32" o:title=""/>
            </v:shape>
            <v:shape id="_x0000_s1314" type="#_x0000_t75" style="width:133;height:133;left:4147;position:absolute;top:352" stroked="f">
              <v:imagedata r:id="rId33" o:title=""/>
            </v:shape>
            <v:shape id="_x0000_s1315" style="width:2282;height:772;left:4864;position:absolute;top:677" coordorigin="4865,677" coordsize="2282,772" path="m4997,1383l4992,1357,4978,1336,4957,1322,4931,1317,4905,1322,4884,1336,4870,1357,4865,1383,4870,1409,4884,1430,4905,1444,4931,1449,4957,1444,4978,1430,4992,1409,4997,1383m5714,1285l5709,1259,5695,1238,5674,1224,5648,1218,5622,1224,5601,1238,5587,1259,5582,1285,5587,1310,5601,1331,5622,1346,5648,1351,5674,1346,5695,1331,5709,1310,5714,1285m6429,743l6424,718,6410,697,6389,682,6363,677,6337,682,6316,697,6302,718,6297,743,6302,769,6316,790,6337,804,6363,810,6389,804,6410,790,6424,769,6429,743m7146,1239l7141,1213,7127,1192,7106,1178,7080,1173,7054,1178,7033,1192,7019,1213,7014,1239,7019,1265,7033,1286,7054,1300,7080,1305,7106,1300,7127,1286,7141,1265,7146,1239e" filled="t" fillcolor="#ffc000" stroked="f">
              <v:fill type="solid"/>
              <v:path arrowok="t"/>
            </v:shape>
            <v:shape id="_x0000_s1316" type="#_x0000_t75" style="width:133;height:133;left:7730;position:absolute;top:898" stroked="f">
              <v:imagedata r:id="rId34" o:title=""/>
            </v:shape>
            <v:shape id="_x0000_s1317" type="#_x0000_t75" style="width:133;height:133;left:8445;position:absolute;top:457" stroked="f">
              <v:imagedata r:id="rId33" o:title=""/>
            </v:shape>
            <v:shape id="_x0000_s1318" type="#_x0000_t75" style="width:133;height:133;left:9162;position:absolute;top:302" stroked="f">
              <v:imagedata r:id="rId32" o:title=""/>
            </v:shape>
            <v:shape id="_x0000_s1319" type="#_x0000_t75" style="width:133;height:133;left:9879;position:absolute;top:1124" stroked="f">
              <v:imagedata r:id="rId33" o:title=""/>
            </v:shape>
            <v:shape id="_x0000_s1320" style="width:8014;height:1892;left:1998;position:absolute;top:110" coordorigin="1999,111" coordsize="8014,1892" path="m2131,1689l2065,1556,1999,1689,2131,1689m2848,2002l2782,1869,2716,2002,2848,2002m3565,243l3499,111,3433,243,3565,243m4280,1561l4214,1429,4148,1561,4280,1561m4997,1556l4931,1424,4865,1556,4997,1556m5714,1230l5648,1097,5582,1230,5714,1230m6429,960l6363,828,6297,960,6429,960m7146,1164l7080,1031,7014,1164,7146,1164m7863,1460l7797,1328,7731,1460,7863,1460m8578,1454l8512,1321,8446,1454,8578,1454m9295,1385l9229,1253,9163,1385,9295,1385m10012,937l9946,805,9880,937,10012,937e" filled="t" fillcolor="#ffc000" stroked="f">
              <v:fill type="solid"/>
              <v:path arrowok="t"/>
            </v:shape>
          </v:group>
        </w:pict>
      </w:r>
      <w:r>
        <w:rPr>
          <w:rFonts w:ascii="Times New Roman"/>
          <w:color w:val="585858"/>
          <w:sz w:val="17"/>
        </w:rPr>
        <w:t>100%</w:t>
      </w:r>
    </w:p>
    <w:p>
      <w:pPr>
        <w:spacing w:before="40"/>
        <w:ind w:left="295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80%</w:t>
      </w:r>
    </w:p>
    <w:p>
      <w:pPr>
        <w:spacing w:before="39"/>
        <w:ind w:left="295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60%</w:t>
      </w:r>
    </w:p>
    <w:p>
      <w:pPr>
        <w:spacing w:before="40"/>
        <w:ind w:left="295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40%</w:t>
      </w:r>
    </w:p>
    <w:p>
      <w:pPr>
        <w:spacing w:before="39"/>
        <w:ind w:left="295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20%</w:t>
      </w:r>
    </w:p>
    <w:p>
      <w:pPr>
        <w:spacing w:before="39"/>
        <w:ind w:left="295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0%</w:t>
      </w:r>
    </w:p>
    <w:p>
      <w:pPr>
        <w:spacing w:before="40"/>
        <w:ind w:left="295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-20%</w:t>
      </w:r>
    </w:p>
    <w:p>
      <w:pPr>
        <w:spacing w:before="39"/>
        <w:ind w:left="295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-40%</w:t>
      </w:r>
    </w:p>
    <w:p>
      <w:pPr>
        <w:spacing w:before="40"/>
        <w:ind w:left="295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-60%</w:t>
      </w:r>
    </w:p>
    <w:p>
      <w:pPr>
        <w:spacing w:before="39"/>
        <w:ind w:left="295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-80%</w:t>
      </w:r>
    </w:p>
    <w:p>
      <w:pPr>
        <w:spacing w:after="0"/>
        <w:jc w:val="left"/>
        <w:rPr>
          <w:rFonts w:ascii="Times New Roman"/>
          <w:sz w:val="17"/>
        </w:rPr>
        <w:sectPr>
          <w:headerReference w:type="default" r:id="rId35"/>
          <w:footerReference w:type="default" r:id="rId36"/>
          <w:type w:val="continuous"/>
          <w:pgSz w:w="11910" w:h="16840"/>
          <w:pgMar w:top="1340" w:right="280" w:bottom="500" w:left="720" w:header="708" w:footer="708"/>
          <w:pgNumType w:start="12"/>
          <w:cols w:num="3" w:space="708" w:equalWidth="0">
            <w:col w:w="799" w:space="68"/>
            <w:col w:w="8529" w:space="40"/>
            <w:col w:w="1474" w:space="0"/>
          </w:cols>
        </w:sectPr>
      </w:pP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tabs>
          <w:tab w:val="left" w:pos="722"/>
          <w:tab w:val="left" w:pos="1445"/>
          <w:tab w:val="left" w:pos="2168"/>
          <w:tab w:val="left" w:pos="2890"/>
          <w:tab w:val="left" w:pos="3613"/>
          <w:tab w:val="left" w:pos="4336"/>
          <w:tab w:val="left" w:pos="5058"/>
          <w:tab w:val="left" w:pos="6181"/>
        </w:tabs>
        <w:spacing w:before="83"/>
        <w:ind w:left="0" w:right="219" w:firstLine="0"/>
        <w:jc w:val="center"/>
        <w:rPr>
          <w:sz w:val="20"/>
        </w:rPr>
      </w:pPr>
      <w:r>
        <w:pict>
          <v:rect id="_x0000_s1321" style="width:5.02pt;height:5.02pt;margin-top:8.27pt;margin-left:121.44pt;mso-position-horizontal-relative:page;position:absolute;z-index:251689984" filled="t" fillcolor="#ddd" stroked="f">
            <v:fill type="solid"/>
          </v:rect>
        </w:pict>
      </w:r>
      <w:r>
        <w:pict>
          <v:rect id="_x0000_s1322" style="width:5.02pt;height:5.02pt;margin-top:8.27pt;margin-left:157.52pt;mso-position-horizontal-relative:page;position:absolute;z-index:-251635712" filled="t" fillcolor="#d1d1d1" stroked="f">
            <v:fill type="solid"/>
          </v:rect>
        </w:pict>
      </w:r>
      <w:r>
        <w:pict>
          <v:rect id="_x0000_s1323" style="width:4.91pt;height:5.02pt;margin-top:8.27pt;margin-left:193.72pt;mso-position-horizontal-relative:page;position:absolute;z-index:-251634688" filled="t" fillcolor="#c4c4c4" stroked="f">
            <v:fill type="solid"/>
          </v:rect>
        </w:pict>
      </w:r>
      <w:r>
        <w:pict>
          <v:rect id="_x0000_s1324" style="width:5.02pt;height:5.02pt;margin-top:8.27pt;margin-left:229.8pt;mso-position-horizontal-relative:page;position:absolute;z-index:-251633664" filled="t" fillcolor="#b5b5b5" stroked="f">
            <v:fill type="solid"/>
          </v:rect>
        </w:pict>
      </w:r>
      <w:r>
        <w:pict>
          <v:rect id="_x0000_s1325" style="width:4.91pt;height:5.02pt;margin-top:8.27pt;margin-left:266pt;mso-position-horizontal-relative:page;position:absolute;z-index:-251632640" filled="t" fillcolor="#a4a4a4" stroked="f">
            <v:fill type="solid"/>
          </v:rect>
        </w:pict>
      </w:r>
      <w:r>
        <w:pict>
          <v:rect id="_x0000_s1326" style="width:5.02pt;height:5.02pt;margin-top:8.27pt;margin-left:302.07pt;mso-position-horizontal-relative:page;position:absolute;z-index:-251631616" filled="t" fillcolor="#9a9a9a" stroked="f">
            <v:fill type="solid"/>
          </v:rect>
        </w:pict>
      </w:r>
      <w:r>
        <w:pict>
          <v:rect id="_x0000_s1327" style="width:4.91pt;height:4.91pt;margin-top:8.33pt;margin-left:338.22pt;mso-position-horizontal-relative:page;position:absolute;z-index:-251630592" filled="f" stroked="t" strokecolor="#c00000" strokeweight="2.14pt">
            <v:stroke dashstyle="solid"/>
          </v:rect>
        </w:pict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4748589</wp:posOffset>
            </wp:positionH>
            <wp:positionV relativeFrom="paragraph">
              <wp:posOffset>100679</wp:posOffset>
            </wp:positionV>
            <wp:extent cx="72507" cy="72512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7" cy="72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28" style="width:5.75pt;height:5.75pt;margin-top:7.93pt;margin-left:429.97pt;mso-position-horizontal-relative:page;position:absolute;z-index:-251628544" coordorigin="8599,159" coordsize="115,115" path="m8656,159l8599,273,8714,273,8656,159xe" filled="t" fillcolor="#ffc000" stroked="f">
            <v:fill type="solid"/>
            <v:path arrowok="t"/>
          </v:shape>
        </w:pict>
      </w:r>
      <w:r>
        <w:rPr>
          <w:rFonts w:ascii="Times New Roman" w:eastAsia="Times New Roman"/>
          <w:color w:val="585858"/>
          <w:sz w:val="20"/>
        </w:rPr>
        <w:t>2017</w:t>
        <w:tab/>
        <w:t>2018</w:t>
        <w:tab/>
        <w:t>2019</w:t>
        <w:tab/>
        <w:t>2020</w:t>
        <w:tab/>
        <w:t>2021</w:t>
        <w:tab/>
        <w:t>2021</w:t>
        <w:tab/>
        <w:t>2023</w:t>
        <w:tab/>
      </w:r>
      <w:r>
        <w:rPr>
          <w:color w:val="585858"/>
          <w:sz w:val="20"/>
        </w:rPr>
        <w:t>单</w:t>
      </w:r>
      <w:r>
        <w:rPr>
          <w:color w:val="585858"/>
          <w:spacing w:val="-3"/>
          <w:sz w:val="20"/>
        </w:rPr>
        <w:t>月</w:t>
      </w:r>
      <w:r>
        <w:rPr>
          <w:color w:val="585858"/>
          <w:sz w:val="20"/>
        </w:rPr>
        <w:t>同比</w:t>
        <w:tab/>
        <w:t>单</w:t>
      </w:r>
      <w:r>
        <w:rPr>
          <w:color w:val="585858"/>
          <w:spacing w:val="-3"/>
          <w:sz w:val="20"/>
        </w:rPr>
        <w:t>月</w:t>
      </w:r>
      <w:r>
        <w:rPr>
          <w:color w:val="585858"/>
          <w:sz w:val="20"/>
        </w:rPr>
        <w:t>环比</w:t>
      </w:r>
    </w:p>
    <w:p>
      <w:pPr>
        <w:pStyle w:val="BodyText"/>
        <w:spacing w:before="4"/>
        <w:rPr>
          <w:sz w:val="13"/>
        </w:rPr>
      </w:pPr>
      <w:r>
        <w:pict>
          <v:shape id="_x0000_s1329" style="width:510.5pt;height:0.1pt;margin-top:10.98pt;margin-left:42.6pt;mso-position-horizontal-relative:page;mso-wrap-distance-left:0;mso-wrap-distance-right:0;position:absolute;z-index:-251627520" coordorigin="852,220" coordsize="10210,0" path="m852,220l11061,220e" filled="f" stroked="t" strokecolor="black" strokeweight="0.96pt">
            <v:stroke dashstyle="solid"/>
            <v:path arrowok="t"/>
            <w10:wrap type="topAndBottom"/>
          </v:shape>
        </w:pict>
      </w:r>
    </w:p>
    <w:p>
      <w:pPr>
        <w:spacing w:before="0" w:line="252" w:lineRule="exact"/>
        <w:ind w:left="240" w:right="0" w:firstLine="0"/>
        <w:jc w:val="left"/>
        <w:rPr>
          <w:sz w:val="20"/>
        </w:rPr>
      </w:pPr>
      <w:r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7"/>
          <w:footerReference w:type="default" r:id="rId38"/>
          <w:type w:val="continuous"/>
          <w:pgSz w:w="11910" w:h="16840"/>
          <w:pgMar w:top="1340" w:right="280" w:bottom="500" w:left="720" w:header="708" w:footer="708"/>
          <w:pgNumType w:start="13"/>
          <w:cols w:space="708"/>
        </w:sectPr>
      </w:pPr>
    </w:p>
    <w:p>
      <w:pPr>
        <w:spacing w:before="168"/>
        <w:ind w:left="415" w:right="0" w:firstLine="0"/>
        <w:jc w:val="left"/>
        <w:rPr>
          <w:rFonts w:ascii="Microsoft JhengHei" w:eastAsia="Microsoft JhengHei" w:hint="eastAsia"/>
          <w:b/>
          <w:sz w:val="20"/>
        </w:rPr>
      </w:pPr>
      <w:r>
        <w:pict>
          <v:line id="_x0000_s1330" style="mso-position-horizontal-relative:page;position:absolute;z-index:251692032" from="44.3pt,28.05pt" to="551.15pt,28.05pt" stroked="t" strokecolor="black" strokeweight="0.96pt">
            <v:stroke dashstyle="solid"/>
          </v:line>
        </w:pict>
      </w: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5</w:t>
      </w:r>
      <w:r>
        <w:rPr>
          <w:rFonts w:ascii="Microsoft JhengHei" w:eastAsia="Microsoft JhengHei" w:hint="eastAsia"/>
          <w:b/>
          <w:color w:val="17365D"/>
          <w:sz w:val="20"/>
        </w:rPr>
        <w:t>：环卫新能源渗透率</w:t>
      </w:r>
    </w:p>
    <w:p>
      <w:pPr>
        <w:spacing w:before="150"/>
        <w:ind w:left="496" w:right="0" w:firstLine="0"/>
        <w:jc w:val="left"/>
        <w:rPr>
          <w:rFonts w:ascii="Times New Roman"/>
          <w:sz w:val="19"/>
        </w:rPr>
      </w:pPr>
      <w:r>
        <w:pict>
          <v:group id="_x0000_s1331" style="width:432.9pt;height:114.6pt;margin-top:13.09pt;margin-left:79.06pt;mso-position-horizontal-relative:page;position:absolute;z-index:251693056" coordorigin="1581,262" coordsize="8658,2292">
            <v:shape id="_x0000_s1332" style="width:6742;height:2055;left:3074;position:absolute;top:492" coordorigin="3074,492" coordsize="6742,2055" path="m3408,2087l3074,2087,3074,2547,3408,2547,3408,2087m4477,2147l4141,2147,4141,2547,4477,2547,4477,2147m5545,1899l5209,1899,5209,2547,5545,2547,5545,1899m6611,1740l6277,1740,6277,2547,6611,2547,6611,1740m7680,1556l7346,1556,7346,2547,7680,2547,7680,1556m8748,1043l8414,1043,8414,2547,8748,2547,8748,1043m9816,492l9480,492,9480,2547,9816,2547,9816,492e" filled="t" fillcolor="#d7d7d7" stroked="f">
              <v:fill type="solid"/>
              <v:path arrowok="t"/>
            </v:shape>
            <v:shape id="_x0000_s1333" style="width:63;height:2473;left:9877;position:absolute;top:6771" coordorigin="9878,6771" coordsize="63,2473" path="m10181,2547l10182,269m10181,2547l10226,2547m10181,2222l10226,2222m10181,1897l10226,1897m10181,1572l10226,1572m10181,1244l10226,1244m10181,919l10226,919m10181,594l10226,594m10181,269l10226,269m10181,2547l10239,2547m10181,2222l10239,2222m10181,1897l10239,1897m10181,1572l10239,1572m10181,1244l10239,1244m10181,919l10239,919m10181,594l10239,594m10181,269l10239,269e" filled="f" stroked="t" strokecolor="#bebebe" strokeweight="0.69pt">
              <v:stroke dashstyle="solid"/>
              <v:path arrowok="t"/>
            </v:shape>
            <v:shape id="_x0000_s1334" style="width:63;height:2473;left:546;position:absolute;top:6771" coordorigin="546,6771" coordsize="63,2473" path="m1639,2547l1639,269m1581,2547l1639,2547m1581,2295l1639,2295m1581,2040l1639,2040m1581,1788l1639,1788m1581,1534l1639,1534m1581,1282l1639,1282m1581,1027l1639,1027m1581,775l1639,775m1581,521l1639,521m1581,269l1639,269e" filled="f" stroked="t" strokecolor="#aeabab" strokeweight="0.69pt">
              <v:stroke dashstyle="solid"/>
              <v:path arrowok="t"/>
            </v:shape>
            <v:line id="_x0000_s1335" style="position:absolute" from="1639,2547" to="10182,2547" stroked="t" strokecolor="#d9d9d9" strokeweight="0.69pt">
              <v:stroke dashstyle="solid"/>
            </v:line>
            <v:shape id="_x0000_s1336" type="#_x0000_t75" style="width:143;height:143;left:3168;position:absolute;top:1456" stroked="f">
              <v:imagedata r:id="rId39" o:title=""/>
            </v:shape>
            <v:shape id="_x0000_s1337" type="#_x0000_t75" style="width:143;height:143;left:4236;position:absolute;top:1978" stroked="f">
              <v:imagedata r:id="rId40" o:title=""/>
            </v:shape>
            <v:shape id="_x0000_s1338" type="#_x0000_t75" style="width:143;height:143;left:5305;position:absolute;top:1191" stroked="f">
              <v:imagedata r:id="rId40" o:title=""/>
            </v:shape>
            <v:shape id="_x0000_s1339" type="#_x0000_t75" style="width:143;height:143;left:6373;position:absolute;top:1414" stroked="f">
              <v:imagedata r:id="rId41" o:title=""/>
            </v:shape>
            <v:shape id="_x0000_s1340" type="#_x0000_t75" style="width:143;height:143;left:7439;position:absolute;top:1350" stroked="f">
              <v:imagedata r:id="rId41" o:title=""/>
            </v:shape>
            <v:shape id="_x0000_s1341" type="#_x0000_t75" style="width:143;height:143;left:8507;position:absolute;top:510" stroked="f">
              <v:imagedata r:id="rId41" o:title=""/>
            </v:shape>
            <v:shape id="_x0000_s1342" type="#_x0000_t75" style="width:143;height:143;left:9576;position:absolute;top:408" stroked="f">
              <v:imagedata r:id="rId41" o:title=""/>
            </v:shape>
            <v:shape id="_x0000_s1343" type="#_x0000_t202" style="width:523;height:216;left:9399;position:absolute;top:1416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404040"/>
                        <w:sz w:val="19"/>
                      </w:rPr>
                      <w:t>8.12%</w:t>
                    </w:r>
                  </w:p>
                </w:txbxContent>
              </v:textbox>
            </v:shape>
            <v:shape id="_x0000_s1344" type="#_x0000_t202" style="width:523;height:217;left:8330;position:absolute;top:1692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404040"/>
                        <w:sz w:val="19"/>
                      </w:rPr>
                      <w:t>5.94%</w:t>
                    </w:r>
                  </w:p>
                </w:txbxContent>
              </v:textbox>
            </v:shape>
            <v:shape id="_x0000_s1345" type="#_x0000_t202" style="width:523;height:216;left:6194;position:absolute;top:2041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404040"/>
                        <w:sz w:val="19"/>
                      </w:rPr>
                      <w:t>3.19%</w:t>
                    </w:r>
                  </w:p>
                </w:txbxContent>
              </v:textbox>
            </v:shape>
            <v:shape id="_x0000_s1346" type="#_x0000_t202" style="width:523;height:216;left:7262;position:absolute;top:1948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404040"/>
                        <w:sz w:val="19"/>
                      </w:rPr>
                      <w:t>3.92%</w:t>
                    </w:r>
                  </w:p>
                </w:txbxContent>
              </v:textbox>
            </v:shape>
            <v:shape id="_x0000_s1347" type="#_x0000_t202" style="width:523;height:217;left:1922;position:absolute;top:2250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404040"/>
                        <w:sz w:val="19"/>
                      </w:rPr>
                      <w:t>1</w:t>
                    </w:r>
                    <w:r>
                      <w:rPr>
                        <w:rFonts w:ascii="Times New Roman"/>
                        <w:color w:val="404040"/>
                        <w:sz w:val="19"/>
                        <w:shd w:val="clear" w:color="auto" w:fill="D7D7D7"/>
                      </w:rPr>
                      <w:t>.25%</w:t>
                    </w:r>
                  </w:p>
                </w:txbxContent>
              </v:textbox>
            </v:shape>
            <v:shape id="_x0000_s1348" type="#_x0000_t202" style="width:523;height:217;left:2990;position:absolute;top:2214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404040"/>
                        <w:sz w:val="19"/>
                      </w:rPr>
                      <w:t>1.82%</w:t>
                    </w:r>
                  </w:p>
                </w:txbxContent>
              </v:textbox>
            </v:shape>
            <v:shape id="_x0000_s1349" type="#_x0000_t202" style="width:523;height:216;left:4058;position:absolute;top:2244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404040"/>
                        <w:sz w:val="19"/>
                      </w:rPr>
                      <w:t>1.59%</w:t>
                    </w:r>
                  </w:p>
                </w:txbxContent>
              </v:textbox>
            </v:shape>
            <v:shape id="_x0000_s1350" type="#_x0000_t202" style="width:523;height:216;left:5126;position:absolute;top:2121" filled="f" stroked="f">
              <v:textbox inset="0,0,0,0">
                <w:txbxContent>
                  <w:p>
                    <w:pPr>
                      <w:spacing w:before="0" w:line="215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404040"/>
                        <w:sz w:val="19"/>
                      </w:rPr>
                      <w:t>2.56%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color w:val="585858"/>
          <w:w w:val="105"/>
          <w:sz w:val="19"/>
        </w:rPr>
        <w:t>9%</w:t>
      </w:r>
    </w:p>
    <w:p>
      <w:pPr>
        <w:spacing w:before="35"/>
        <w:ind w:left="496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w w:val="105"/>
          <w:sz w:val="19"/>
        </w:rPr>
        <w:t>8%</w:t>
      </w:r>
    </w:p>
    <w:p>
      <w:pPr>
        <w:spacing w:before="35"/>
        <w:ind w:left="496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w w:val="105"/>
          <w:sz w:val="19"/>
        </w:rPr>
        <w:t>7%</w:t>
      </w:r>
    </w:p>
    <w:p>
      <w:pPr>
        <w:spacing w:before="35"/>
        <w:ind w:left="496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w w:val="105"/>
          <w:sz w:val="19"/>
        </w:rPr>
        <w:t>6%</w:t>
      </w:r>
    </w:p>
    <w:p>
      <w:pPr>
        <w:spacing w:before="35"/>
        <w:ind w:left="496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w w:val="105"/>
          <w:sz w:val="19"/>
        </w:rPr>
        <w:t>5%</w:t>
      </w:r>
    </w:p>
    <w:p>
      <w:pPr>
        <w:spacing w:before="35"/>
        <w:ind w:left="496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w w:val="105"/>
          <w:sz w:val="19"/>
        </w:rPr>
        <w:t>4%</w:t>
      </w:r>
    </w:p>
    <w:p>
      <w:pPr>
        <w:spacing w:before="35"/>
        <w:ind w:left="496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w w:val="105"/>
          <w:sz w:val="19"/>
        </w:rPr>
        <w:t>3%</w:t>
      </w:r>
    </w:p>
    <w:p>
      <w:pPr>
        <w:spacing w:before="35"/>
        <w:ind w:left="496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sz w:val="19"/>
        </w:rPr>
        <w:t>2%</w:t>
      </w:r>
    </w:p>
    <w:p>
      <w:pPr>
        <w:spacing w:before="35"/>
        <w:ind w:left="496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sz w:val="19"/>
        </w:rPr>
        <w:t>1%</w:t>
      </w:r>
    </w:p>
    <w:p>
      <w:pPr>
        <w:spacing w:before="35"/>
        <w:ind w:left="496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sz w:val="19"/>
        </w:rPr>
        <w:t>0%</w:t>
      </w:r>
    </w:p>
    <w:p>
      <w:pPr>
        <w:tabs>
          <w:tab w:val="left" w:pos="2327"/>
          <w:tab w:val="left" w:pos="3395"/>
          <w:tab w:val="left" w:pos="4463"/>
          <w:tab w:val="left" w:pos="5531"/>
          <w:tab w:val="left" w:pos="6599"/>
          <w:tab w:val="left" w:pos="7668"/>
          <w:tab w:val="left" w:pos="8736"/>
        </w:tabs>
        <w:spacing w:before="9"/>
        <w:ind w:left="1259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w w:val="105"/>
          <w:sz w:val="19"/>
        </w:rPr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  <w:t>2023</w:t>
      </w:r>
    </w:p>
    <w:p>
      <w:pPr>
        <w:tabs>
          <w:tab w:val="left" w:pos="5364"/>
        </w:tabs>
        <w:spacing w:before="157"/>
        <w:ind w:left="3830" w:right="0" w:firstLine="0"/>
        <w:jc w:val="left"/>
        <w:rPr>
          <w:sz w:val="19"/>
        </w:rPr>
      </w:pPr>
      <w:r>
        <w:pict>
          <v:rect id="_x0000_s1351" style="width:4.42pt;height:4.31pt;margin-top:11.68pt;margin-left:221.3pt;mso-position-horizontal-relative:page;position:absolute;z-index:251694080" filled="t" fillcolor="#d7d7d7" stroked="f">
            <v:fill type="solid"/>
          </v:rect>
        </w:pict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3772381</wp:posOffset>
            </wp:positionH>
            <wp:positionV relativeFrom="paragraph">
              <wp:posOffset>135490</wp:posOffset>
            </wp:positionV>
            <wp:extent cx="79009" cy="79002"/>
            <wp:effectExtent l="0" t="0" r="0" b="0"/>
            <wp:wrapNone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09" cy="79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8"/>
          <w:sz w:val="19"/>
        </w:rPr>
        <w:t>新</w:t>
      </w:r>
      <w:r>
        <w:rPr>
          <w:color w:val="585858"/>
          <w:spacing w:val="-3"/>
          <w:sz w:val="19"/>
        </w:rPr>
        <w:t>能</w:t>
      </w:r>
      <w:r>
        <w:rPr>
          <w:color w:val="585858"/>
          <w:sz w:val="19"/>
        </w:rPr>
        <w:t>源</w:t>
      </w:r>
      <w:r>
        <w:rPr>
          <w:color w:val="585858"/>
          <w:spacing w:val="-3"/>
          <w:sz w:val="19"/>
        </w:rPr>
        <w:t>渗</w:t>
      </w:r>
      <w:r>
        <w:rPr>
          <w:color w:val="585858"/>
          <w:sz w:val="19"/>
        </w:rPr>
        <w:t>透率</w:t>
        <w:tab/>
        <w:t>同</w:t>
      </w:r>
      <w:r>
        <w:rPr>
          <w:color w:val="585858"/>
          <w:spacing w:val="-3"/>
          <w:sz w:val="19"/>
        </w:rPr>
        <w:t>比</w:t>
      </w:r>
      <w:r>
        <w:rPr>
          <w:color w:val="585858"/>
          <w:sz w:val="19"/>
        </w:rPr>
        <w:t>变</w:t>
      </w:r>
      <w:r>
        <w:rPr>
          <w:color w:val="585858"/>
          <w:spacing w:val="-3"/>
          <w:sz w:val="19"/>
        </w:rPr>
        <w:t>动</w:t>
      </w:r>
      <w:r>
        <w:rPr>
          <w:color w:val="585858"/>
          <w:sz w:val="19"/>
        </w:rPr>
        <w:t>（pct）</w:t>
      </w:r>
    </w:p>
    <w:p>
      <w:pPr>
        <w:pStyle w:val="BodyText"/>
        <w:rPr>
          <w:sz w:val="22"/>
        </w:rPr>
      </w:pPr>
      <w:r>
        <w:br w:type="column"/>
      </w:r>
    </w:p>
    <w:p>
      <w:pPr>
        <w:pStyle w:val="BodyText"/>
        <w:spacing w:before="7"/>
        <w:rPr>
          <w:sz w:val="31"/>
        </w:rPr>
      </w:pPr>
    </w:p>
    <w:p>
      <w:pPr>
        <w:spacing w:before="0"/>
        <w:ind w:left="415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w w:val="105"/>
          <w:sz w:val="19"/>
        </w:rPr>
        <w:t>2.5</w:t>
      </w:r>
    </w:p>
    <w:p>
      <w:pPr>
        <w:spacing w:before="108"/>
        <w:ind w:left="415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sz w:val="19"/>
        </w:rPr>
        <w:t>2.0</w:t>
      </w:r>
    </w:p>
    <w:p>
      <w:pPr>
        <w:spacing w:before="107"/>
        <w:ind w:left="415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sz w:val="19"/>
        </w:rPr>
        <w:t>1.5</w:t>
      </w:r>
    </w:p>
    <w:p>
      <w:pPr>
        <w:spacing w:before="107"/>
        <w:ind w:left="415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w w:val="105"/>
          <w:sz w:val="19"/>
        </w:rPr>
        <w:t>1.0</w:t>
      </w:r>
    </w:p>
    <w:p>
      <w:pPr>
        <w:spacing w:before="108"/>
        <w:ind w:left="415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sz w:val="19"/>
        </w:rPr>
        <w:t>0.5</w:t>
      </w:r>
    </w:p>
    <w:p>
      <w:pPr>
        <w:spacing w:before="107"/>
        <w:ind w:left="415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585858"/>
          <w:sz w:val="19"/>
        </w:rPr>
        <w:t>0.0</w:t>
      </w:r>
    </w:p>
    <w:p>
      <w:pPr>
        <w:spacing w:before="107"/>
        <w:ind w:left="415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FF0000"/>
          <w:w w:val="105"/>
          <w:sz w:val="19"/>
        </w:rPr>
        <w:t>(0.5)</w:t>
      </w:r>
    </w:p>
    <w:p>
      <w:pPr>
        <w:spacing w:before="108"/>
        <w:ind w:left="415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FF0000"/>
          <w:sz w:val="19"/>
        </w:rPr>
        <w:t>(1.0)</w:t>
      </w:r>
    </w:p>
    <w:p>
      <w:pPr>
        <w:spacing w:after="0"/>
        <w:jc w:val="left"/>
        <w:rPr>
          <w:rFonts w:ascii="Times New Roman"/>
          <w:sz w:val="19"/>
        </w:rPr>
        <w:sectPr>
          <w:headerReference w:type="default" r:id="rId43"/>
          <w:footerReference w:type="default" r:id="rId44"/>
          <w:type w:val="continuous"/>
          <w:pgSz w:w="11910" w:h="16840"/>
          <w:pgMar w:top="1340" w:right="280" w:bottom="500" w:left="720" w:header="708" w:footer="708"/>
          <w:pgNumType w:start="14"/>
          <w:cols w:num="2" w:space="708" w:equalWidth="0">
            <w:col w:w="9164" w:space="49"/>
            <w:col w:w="1697" w:space="0"/>
          </w:cols>
        </w:sectPr>
      </w:pPr>
    </w:p>
    <w:p>
      <w:pPr>
        <w:pStyle w:val="BodyText"/>
        <w:spacing w:before="5"/>
        <w:rPr>
          <w:rFonts w:ascii="Times New Roman"/>
          <w:sz w:val="16"/>
        </w:rPr>
      </w:pPr>
      <w:r>
        <w:pict>
          <v:group id="_x0000_s1352" style="width:595.35pt;height:41.2pt;margin-top:800.29pt;margin-left:0;mso-position-horizontal-relative:page;mso-position-vertical-relative:page;position:absolute;z-index:251702272" coordorigin="0,16006" coordsize="11907,824">
            <v:rect id="_x0000_s1353" style="width:11907;height:473;position:absolute;top:16356" filled="t" fillcolor="#17365d" stroked="f">
              <v:fill type="solid"/>
            </v:rect>
            <v:rect id="_x0000_s1354" style="width:4080;height:437;left:7;position:absolute;top:16082" filled="t" fillcolor="#d7d7d7" stroked="f">
              <v:fill type="solid"/>
            </v:rect>
            <v:shape id="_x0000_s1355" type="#_x0000_t202" style="width:1707;height:240;left:9218;position:absolute;top:1600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17365D"/>
                        <w:sz w:val="24"/>
                      </w:rPr>
                      <w:t>东吴证券研究所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0" w:lineRule="exact"/>
        <w:ind w:left="155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356" style="width:506.9pt;height:1pt;mso-position-horizontal-relative:char;mso-position-vertical-relative:line" coordorigin="0,0" coordsize="10138,20">
            <v:line id="_x0000_s1357" style="position:absolute" from="0,10" to="10137,10" stroked="t" strokecolor="black" strokeweight="0.96pt">
              <v:stroke dashstyle="solid"/>
            </v:line>
            <w10:wrap type="none"/>
          </v:group>
        </w:pict>
      </w:r>
    </w:p>
    <w:p>
      <w:pPr>
        <w:spacing w:before="42"/>
        <w:ind w:left="273" w:right="0" w:firstLine="0"/>
        <w:jc w:val="left"/>
        <w:rPr>
          <w:sz w:val="20"/>
        </w:rPr>
      </w:pPr>
      <w:r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spacing w:before="151" w:after="16"/>
        <w:ind w:left="254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6</w:t>
      </w:r>
      <w:r>
        <w:rPr>
          <w:rFonts w:ascii="Microsoft JhengHei" w:eastAsia="Microsoft JhengHei" w:hint="eastAsia"/>
          <w:b/>
          <w:color w:val="17365D"/>
          <w:sz w:val="20"/>
        </w:rPr>
        <w:t>：环卫新能源渗透率（单月）</w:t>
      </w:r>
    </w:p>
    <w:p>
      <w:pPr>
        <w:pStyle w:val="BodyText"/>
        <w:spacing w:line="20" w:lineRule="exact"/>
        <w:ind w:left="-6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358" style="width:522.95pt;height:1pt;mso-position-horizontal-relative:char;mso-position-vertical-relative:line" coordorigin="0,0" coordsize="10459,20">
            <v:line id="_x0000_s1359" style="position:absolute" from="0,10" to="10459,10" stroked="t" strokecolor="black" strokeweight="0.96pt">
              <v:stroke dashstyle="solid"/>
            </v:line>
            <w10:wrap type="none"/>
          </v:group>
        </w:pict>
      </w:r>
    </w:p>
    <w:p>
      <w:pPr>
        <w:spacing w:before="127"/>
        <w:ind w:left="670" w:right="0" w:firstLine="0"/>
        <w:jc w:val="left"/>
        <w:rPr>
          <w:rFonts w:ascii="Times New Roman"/>
          <w:sz w:val="20"/>
        </w:rPr>
      </w:pPr>
      <w:r>
        <w:pict>
          <v:group id="_x0000_s1360" style="width:434.5pt;height:118.25pt;margin-top:12.2pt;margin-left:93.24pt;mso-position-horizontal-relative:page;position:absolute;z-index:251703296" coordorigin="1865,244" coordsize="8690,2365">
            <v:line id="_x0000_s1361" style="position:absolute" from="2031,2360" to="2031,2551" stroked="t" strokecolor="#d6d3c7" strokeweight="4.23pt">
              <v:stroke dashstyle="solid"/>
            </v:line>
            <v:rect id="_x0000_s1362" style="width:85;height:63;left:2072;position:absolute;top:2487" filled="t" fillcolor="#c5c2af" stroked="f">
              <v:fill type="solid"/>
            </v:rect>
            <v:line id="_x0000_s1363" style="position:absolute" from="2200,2202" to="2200,2551" stroked="t" strokecolor="#b4ae93" strokeweight="4.23pt">
              <v:stroke dashstyle="solid"/>
            </v:line>
            <v:line id="_x0000_s1364" style="position:absolute" from="2284,2263" to="2284,2551" stroked="t" strokecolor="#9f966c" strokeweight="4.23pt">
              <v:stroke dashstyle="solid"/>
            </v:line>
            <v:line id="_x0000_s1365" style="position:absolute" from="2369,1990" to="2369,2551" stroked="t" strokecolor="#8e8551" strokeweight="4.23pt">
              <v:stroke dashstyle="solid"/>
            </v:line>
            <v:line id="_x0000_s1366" style="position:absolute" from="2453,1616" to="2453,2551" stroked="t" strokecolor="#827948" strokeweight="4.23pt">
              <v:stroke dashstyle="solid"/>
            </v:line>
            <v:rect id="_x0000_s1367" style="width:85;height:1956;left:2494;position:absolute;top:593" filled="f" stroked="t" strokecolor="#c00000" strokeweight="2.03pt">
              <v:stroke dashstyle="solid"/>
            </v:rect>
            <v:shape id="_x0000_s1368" style="width:65;height:2552;left:839;position:absolute;top:1722" coordorigin="839,1722" coordsize="65,2552" path="m1923,2551l1923,251m1865,2551l1923,2551m1865,2222l1923,2222m1865,1893l1923,1893m1865,1564l1923,1564m1865,1237l1923,1237m1865,908l1923,908m1865,580l1923,580m1865,251l1923,251e" filled="f" stroked="t" strokecolor="#bebebe" strokeweight="0.68pt">
              <v:stroke dashstyle="solid"/>
              <v:path arrowok="t"/>
            </v:shape>
            <v:line id="_x0000_s1369" style="position:absolute" from="2748,2397" to="2748,2551" stroked="t" strokecolor="#d6d3c7" strokeweight="4.23pt">
              <v:stroke dashstyle="solid"/>
            </v:line>
            <v:rect id="_x0000_s1370" style="width:85;height:57;left:2790;position:absolute;top:2494" filled="t" fillcolor="#c5c2af" stroked="f">
              <v:fill type="solid"/>
            </v:rect>
            <v:line id="_x0000_s1371" style="position:absolute" from="2918,2371" to="2918,2551" stroked="t" strokecolor="#b4ae93" strokeweight="4.23pt">
              <v:stroke dashstyle="solid"/>
            </v:line>
            <v:line id="_x0000_s1372" style="position:absolute" from="3002,1962" to="3002,2551" stroked="t" strokecolor="#9f966c" strokeweight="4.23pt">
              <v:stroke dashstyle="solid"/>
            </v:line>
            <v:line id="_x0000_s1373" style="position:absolute" from="3087,2098" to="3087,2551" stroked="t" strokecolor="#8e8551" strokeweight="4.23pt">
              <v:stroke dashstyle="solid"/>
            </v:line>
            <v:line id="_x0000_s1374" style="position:absolute" from="3171,1715" to="3171,2551" stroked="t" strokecolor="#827948" strokeweight="4.23pt">
              <v:stroke dashstyle="solid"/>
            </v:line>
            <v:rect id="_x0000_s1375" style="width:85;height:756;left:3212;position:absolute;top:1794" filled="f" stroked="t" strokecolor="#c00000" strokeweight="2.03pt">
              <v:stroke dashstyle="solid"/>
            </v:rect>
            <v:line id="_x0000_s1376" style="position:absolute" from="3466,2386" to="3466,2551" stroked="t" strokecolor="#d6d3c7" strokeweight="4.23pt">
              <v:stroke dashstyle="solid"/>
            </v:line>
            <v:rect id="_x0000_s1377" style="width:85;height:111;left:3508;position:absolute;top:2440" filled="t" fillcolor="#c5c2af" stroked="f">
              <v:fill type="solid"/>
            </v:rect>
            <v:line id="_x0000_s1378" style="position:absolute" from="3635,2373" to="3635,2551" stroked="t" strokecolor="#b4ae93" strokeweight="4.23pt">
              <v:stroke dashstyle="solid"/>
            </v:line>
            <v:line id="_x0000_s1379" style="position:absolute" from="3720,1811" to="3720,2551" stroked="t" strokecolor="#9f966c" strokeweight="4.23pt">
              <v:stroke dashstyle="solid"/>
            </v:line>
            <v:line id="_x0000_s1380" style="position:absolute" from="3804,2101" to="3804,2551" stroked="t" strokecolor="#8e8551" strokeweight="4.23pt">
              <v:stroke dashstyle="solid"/>
            </v:line>
            <v:line id="_x0000_s1381" style="position:absolute" from="3889,1891" to="3889,2551" stroked="t" strokecolor="#827948" strokeweight="4.23pt">
              <v:stroke dashstyle="solid"/>
            </v:line>
            <v:rect id="_x0000_s1382" style="width:85;height:931;left:3932;position:absolute;top:1619" filled="f" stroked="t" strokecolor="#c00000" strokeweight="2.03pt">
              <v:stroke dashstyle="solid"/>
            </v:rect>
            <v:rect id="_x0000_s1383" style="width:85;height:104;left:4143;position:absolute;top:2446" filled="t" fillcolor="#d6d3c7" stroked="f">
              <v:fill type="solid"/>
            </v:rect>
            <v:rect id="_x0000_s1384" style="width:85;height:37;left:4228;position:absolute;top:2513" filled="t" fillcolor="#c5c2af" stroked="f">
              <v:fill type="solid"/>
            </v:rect>
            <v:line id="_x0000_s1385" style="position:absolute" from="4355,2254" to="4355,2551" stroked="t" strokecolor="#b4ae93" strokeweight="4.23pt">
              <v:stroke dashstyle="solid"/>
            </v:line>
            <v:line id="_x0000_s1386" style="position:absolute" from="4440,2198" to="4440,2551" stroked="t" strokecolor="#9f966c" strokeweight="4.23pt">
              <v:stroke dashstyle="solid"/>
            </v:line>
            <v:line id="_x0000_s1387" style="position:absolute" from="4524,2349" to="4524,2551" stroked="t" strokecolor="#8e8551" strokeweight="4.23pt">
              <v:stroke dashstyle="solid"/>
            </v:line>
            <v:line id="_x0000_s1388" style="position:absolute" from="4609,1992" to="4609,2551" stroked="t" strokecolor="#827948" strokeweight="4.23pt">
              <v:stroke dashstyle="solid"/>
            </v:line>
            <v:rect id="_x0000_s1389" style="width:85;height:942;left:4650;position:absolute;top:1608" filled="f" stroked="t" strokecolor="#c00000" strokeweight="2.03pt">
              <v:stroke dashstyle="solid"/>
            </v:rect>
            <v:line id="_x0000_s1390" style="position:absolute" from="4904,2334" to="4904,2551" stroked="t" strokecolor="#d6d3c7" strokeweight="4.23pt">
              <v:stroke dashstyle="solid"/>
            </v:line>
            <v:line id="_x0000_s1391" style="position:absolute" from="4988,2261" to="4988,2551" stroked="t" strokecolor="#c5c2af" strokeweight="4.23pt">
              <v:stroke dashstyle="solid"/>
            </v:line>
            <v:line id="_x0000_s1392" style="position:absolute" from="5073,2343" to="5073,2551" stroked="t" strokecolor="#b4ae93" strokeweight="4.23pt">
              <v:stroke dashstyle="solid"/>
            </v:line>
            <v:line id="_x0000_s1393" style="position:absolute" from="5158,2265" to="5158,2551" stroked="t" strokecolor="#9f966c" strokeweight="4.23pt">
              <v:stroke dashstyle="solid"/>
            </v:line>
            <v:line id="_x0000_s1394" style="position:absolute" from="5242,2228" to="5242,2551" stroked="t" strokecolor="#8e8551" strokeweight="4.23pt">
              <v:stroke dashstyle="solid"/>
            </v:line>
            <v:line id="_x0000_s1395" style="position:absolute" from="5327,1763" to="5327,2551" stroked="t" strokecolor="#827948" strokeweight="4.23pt">
              <v:stroke dashstyle="solid"/>
            </v:line>
            <v:rect id="_x0000_s1396" style="width:85;height:840;left:5370;position:absolute;top:1710" filled="f" stroked="t" strokecolor="#c00000" strokeweight="2.03pt">
              <v:stroke dashstyle="solid"/>
            </v:rect>
            <v:line id="_x0000_s1397" style="position:absolute" from="5624,2367" to="5624,2551" stroked="t" strokecolor="#d6d3c7" strokeweight="4.23pt">
              <v:stroke dashstyle="solid"/>
            </v:line>
            <v:line id="_x0000_s1398" style="position:absolute" from="5708,1908" to="5708,2551" stroked="t" strokecolor="#c5c2af" strokeweight="4.23pt">
              <v:stroke dashstyle="solid"/>
            </v:line>
            <v:rect id="_x0000_s1399" style="width:85;height:375;left:5750;position:absolute;top:2176" filled="t" fillcolor="#b4ae93" stroked="f">
              <v:fill type="solid"/>
            </v:rect>
            <v:rect id="_x0000_s1400" style="width:85;height:360;left:5835;position:absolute;top:2191" filled="t" fillcolor="#9f966c" stroked="f">
              <v:fill type="solid"/>
            </v:rect>
            <v:line id="_x0000_s1401" style="position:absolute" from="5962,2256" to="5962,2551" stroked="t" strokecolor="#8e8551" strokeweight="4.23pt">
              <v:stroke dashstyle="solid"/>
            </v:line>
            <v:line id="_x0000_s1402" style="position:absolute" from="6047,1744" to="6047,2551" stroked="t" strokecolor="#827948" strokeweight="4.23pt">
              <v:stroke dashstyle="solid"/>
            </v:line>
            <v:rect id="_x0000_s1403" style="width:85;height:907;left:6087;position:absolute;top:1642" filled="f" stroked="t" strokecolor="#c00000" strokeweight="2.03pt">
              <v:stroke dashstyle="solid"/>
            </v:rect>
            <v:line id="_x0000_s1404" style="position:absolute" from="6341,2217" to="6341,2551" stroked="t" strokecolor="#d6d3c7" strokeweight="4.23pt">
              <v:stroke dashstyle="solid"/>
            </v:line>
            <v:rect id="_x0000_s1405" style="width:85;height:85;left:6383;position:absolute;top:2466" filled="t" fillcolor="#c5c2af" stroked="f">
              <v:fill type="solid"/>
            </v:rect>
            <v:line id="_x0000_s1406" style="position:absolute" from="6511,2148" to="6511,2551" stroked="t" strokecolor="#b4ae93" strokeweight="4.23pt">
              <v:stroke dashstyle="solid"/>
            </v:line>
            <v:line id="_x0000_s1407" style="position:absolute" from="6595,1888" to="6595,2551" stroked="t" strokecolor="#9f966c" strokeweight="4.23pt">
              <v:stroke dashstyle="solid"/>
            </v:line>
            <v:line id="_x0000_s1408" style="position:absolute" from="6680,1832" to="6680,2551" stroked="t" strokecolor="#8e8551" strokeweight="4.23pt">
              <v:stroke dashstyle="solid"/>
            </v:line>
            <v:line id="_x0000_s1409" style="position:absolute" from="6764,1707" to="6764,2551" stroked="t" strokecolor="#827948" strokeweight="4.23pt">
              <v:stroke dashstyle="solid"/>
            </v:line>
            <v:rect id="_x0000_s1410" style="width:85;height:1286;left:6805;position:absolute;top:1264" filled="f" stroked="t" strokecolor="#c00000" strokeweight="2.03pt">
              <v:stroke dashstyle="solid"/>
            </v:rect>
            <v:line id="_x0000_s1411" style="position:absolute" from="7059,1912" to="7059,2551" stroked="t" strokecolor="#d6d3c7" strokeweight="4.23pt">
              <v:stroke dashstyle="solid"/>
            </v:line>
            <v:rect id="_x0000_s1412" style="width:85;height:94;left:7101;position:absolute;top:2457" filled="t" fillcolor="#c5c2af" stroked="f">
              <v:fill type="solid"/>
            </v:rect>
            <v:line id="_x0000_s1413" style="position:absolute" from="7228,2016" to="7228,2551" stroked="t" strokecolor="#b4ae93" strokeweight="4.23pt">
              <v:stroke dashstyle="solid"/>
            </v:line>
            <v:line id="_x0000_s1414" style="position:absolute" from="7313,1938" to="7313,2551" stroked="t" strokecolor="#9f966c" strokeweight="4.23pt">
              <v:stroke dashstyle="solid"/>
            </v:line>
            <v:line id="_x0000_s1415" style="position:absolute" from="7397,1808" to="7397,2551" stroked="t" strokecolor="#8e8551" strokeweight="4.23pt">
              <v:stroke dashstyle="solid"/>
            </v:line>
            <v:line id="_x0000_s1416" style="position:absolute" from="7482,1274" to="7482,2551" stroked="t" strokecolor="#827948" strokeweight="4.23pt">
              <v:stroke dashstyle="solid"/>
            </v:line>
            <v:rect id="_x0000_s1417" style="width:85;height:1781;left:7525;position:absolute;top:768" filled="f" stroked="t" strokecolor="#c00000" strokeweight="2.03pt">
              <v:stroke dashstyle="solid"/>
            </v:rect>
            <v:rect id="_x0000_s1418" style="width:85;height:70;left:7736;position:absolute;top:2481" filled="t" fillcolor="#d6d3c7" stroked="f">
              <v:fill type="solid"/>
            </v:rect>
            <v:rect id="_x0000_s1419" style="width:85;height:128;left:7821;position:absolute;top:2422" filled="t" fillcolor="#c5c2af" stroked="f">
              <v:fill type="solid"/>
            </v:rect>
            <v:line id="_x0000_s1420" style="position:absolute" from="7948,2111" to="7948,2551" stroked="t" strokecolor="#b4ae93" strokeweight="4.23pt">
              <v:stroke dashstyle="solid"/>
            </v:line>
            <v:line id="_x0000_s1421" style="position:absolute" from="8033,1780" to="8033,2551" stroked="t" strokecolor="#9f966c" strokeweight="4.23pt">
              <v:stroke dashstyle="solid"/>
            </v:line>
            <v:line id="_x0000_s1422" style="position:absolute" from="8117,1800" to="8117,2551" stroked="t" strokecolor="#8e8551" strokeweight="4.23pt">
              <v:stroke dashstyle="solid"/>
            </v:line>
            <v:line id="_x0000_s1423" style="position:absolute" from="8202,1324" to="8202,2551" stroked="t" strokecolor="#827948" strokeweight="4.23pt">
              <v:stroke dashstyle="solid"/>
            </v:line>
            <v:rect id="_x0000_s1424" style="width:85;height:1679;left:8243;position:absolute;top:870" filled="f" stroked="t" strokecolor="#c00000" strokeweight="2.03pt">
              <v:stroke dashstyle="solid"/>
            </v:rect>
            <v:line id="_x0000_s1425" style="position:absolute" from="8497,2388" to="8497,2551" stroked="t" strokecolor="#d6d3c7" strokeweight="4.23pt">
              <v:stroke dashstyle="solid"/>
            </v:line>
            <v:line id="_x0000_s1426" style="position:absolute" from="8581,2356" to="8581,2551" stroked="t" strokecolor="#c5c2af" strokeweight="4.23pt">
              <v:stroke dashstyle="solid"/>
            </v:line>
            <v:line id="_x0000_s1427" style="position:absolute" from="8666,1629" to="8666,2551" stroked="t" strokecolor="#b4ae93" strokeweight="4.23pt">
              <v:stroke dashstyle="solid"/>
            </v:line>
            <v:line id="_x0000_s1428" style="position:absolute" from="8751,2075" to="8751,2551" stroked="t" strokecolor="#9f966c" strokeweight="4.23pt">
              <v:stroke dashstyle="solid"/>
            </v:line>
            <v:line id="_x0000_s1429" style="position:absolute" from="8835,1570" to="8835,2551" stroked="t" strokecolor="#8e8551" strokeweight="4.23pt">
              <v:stroke dashstyle="solid"/>
            </v:line>
            <v:line id="_x0000_s1430" style="position:absolute" from="8920,1389" to="8920,2551" stroked="t" strokecolor="#827948" strokeweight="4.23pt">
              <v:stroke dashstyle="solid"/>
            </v:line>
            <v:rect id="_x0000_s1431" style="width:85;height:1870;left:8963;position:absolute;top:680" filled="f" stroked="t" strokecolor="#c00000" strokeweight="2.03pt">
              <v:stroke dashstyle="solid"/>
            </v:rect>
            <v:line id="_x0000_s1432" style="position:absolute" from="9217,2306" to="9217,2551" stroked="t" strokecolor="#d6d3c7" strokeweight="4.23pt">
              <v:stroke dashstyle="solid"/>
            </v:line>
            <v:line id="_x0000_s1433" style="position:absolute" from="9301,2148" to="9301,2551" stroked="t" strokecolor="#c5c2af" strokeweight="4.23pt">
              <v:stroke dashstyle="solid"/>
            </v:line>
            <v:line id="_x0000_s1434" style="position:absolute" from="9386,1895" to="9386,2551" stroked="t" strokecolor="#b4ae93" strokeweight="4.23pt">
              <v:stroke dashstyle="solid"/>
            </v:line>
            <v:line id="_x0000_s1435" style="position:absolute" from="9470,1817" to="9470,2551" stroked="t" strokecolor="#9f966c" strokeweight="4.23pt">
              <v:stroke dashstyle="solid"/>
            </v:line>
            <v:line id="_x0000_s1436" style="position:absolute" from="9554,1596" to="9554,2551" stroked="t" strokecolor="#8e8551" strokeweight="4.12pt">
              <v:stroke dashstyle="solid"/>
            </v:line>
            <v:line id="_x0000_s1437" style="position:absolute" from="9637,1638" to="9637,2551" stroked="t" strokecolor="#827948" strokeweight="4.23pt">
              <v:stroke dashstyle="solid"/>
            </v:line>
            <v:rect id="_x0000_s1438" style="width:85;height:1582;left:9680;position:absolute;top:967" filled="f" stroked="t" strokecolor="#c00000" strokeweight="2.03pt">
              <v:stroke dashstyle="solid"/>
            </v:rect>
            <v:line id="_x0000_s1439" style="position:absolute" from="9935,1791" to="9935,2551" stroked="t" strokecolor="#d6d3c7" strokeweight="4.23pt">
              <v:stroke dashstyle="solid"/>
            </v:line>
            <v:line id="_x0000_s1440" style="position:absolute" from="10019,1720" to="10019,2551" stroked="t" strokecolor="#c5c2af" strokeweight="4.23pt">
              <v:stroke dashstyle="solid"/>
            </v:line>
            <v:line id="_x0000_s1441" style="position:absolute" from="10104,1973" to="10104,2551" stroked="t" strokecolor="#b4ae93" strokeweight="4.23pt">
              <v:stroke dashstyle="solid"/>
            </v:line>
            <v:line id="_x0000_s1442" style="position:absolute" from="10188,1735" to="10188,2551" stroked="t" strokecolor="#9f966c" strokeweight="4.23pt">
              <v:stroke dashstyle="solid"/>
            </v:line>
            <v:line id="_x0000_s1443" style="position:absolute" from="10273,954" to="10273,2551" stroked="t" strokecolor="#8e8551" strokeweight="4.23pt">
              <v:stroke dashstyle="solid"/>
            </v:line>
            <v:line id="_x0000_s1444" style="position:absolute" from="10357,545" to="10357,2551" stroked="t" strokecolor="#827948" strokeweight="4.22pt">
              <v:stroke dashstyle="solid"/>
            </v:line>
            <v:rect id="_x0000_s1445" style="width:85;height:2082;left:10398;position:absolute;top:468" filled="f" stroked="t" strokecolor="#c00000" strokeweight="2.03pt">
              <v:stroke dashstyle="solid"/>
            </v:rect>
            <v:shape id="_x0000_s1446" style="width:9545;height:65;left:904;position:absolute;top:4273" coordorigin="904,4273" coordsize="9545,65" path="m1923,2551l10547,2551m1923,2551l1923,2609m2643,2551l2643,2609m3361,2551l3361,2609m4081,2551l4081,2609m4799,2551l4799,2609m5516,2551l5516,2609m6236,2551l6236,2609m6954,2551l6954,2609m7674,2551l7674,2609m8392,2551l8392,2609m9109,2551l9109,2609m9829,2551l9829,2609m10547,2551l10547,2609e" filled="f" stroked="t" strokecolor="#d9d9d9" strokeweight="0.68pt">
              <v:stroke dashstyle="solid"/>
              <v:path arrowok="t"/>
            </v:shape>
            <v:line id="_x0000_s1447" style="position:absolute" from="2271,1574" to="10202,1574" stroked="t" strokecolor="#ffc000" strokeweight="1.35pt">
              <v:stroke dashstyle="solid"/>
            </v:line>
          </v:group>
        </w:pict>
      </w:r>
      <w:r>
        <w:rPr>
          <w:rFonts w:ascii="Times New Roman"/>
          <w:color w:val="585858"/>
          <w:sz w:val="20"/>
        </w:rPr>
        <w:t>14%</w:t>
      </w:r>
    </w:p>
    <w:p>
      <w:pPr>
        <w:spacing w:before="99"/>
        <w:ind w:left="670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585858"/>
          <w:sz w:val="20"/>
        </w:rPr>
        <w:t>12%</w:t>
      </w:r>
    </w:p>
    <w:p>
      <w:pPr>
        <w:spacing w:before="98"/>
        <w:ind w:left="670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585858"/>
          <w:sz w:val="20"/>
        </w:rPr>
        <w:t>10%</w:t>
      </w:r>
    </w:p>
    <w:p>
      <w:pPr>
        <w:spacing w:before="99"/>
        <w:ind w:left="769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585858"/>
          <w:sz w:val="20"/>
        </w:rPr>
        <w:t>8%</w:t>
      </w:r>
    </w:p>
    <w:p>
      <w:pPr>
        <w:spacing w:before="98"/>
        <w:ind w:left="769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585858"/>
          <w:sz w:val="20"/>
        </w:rPr>
        <w:t>6%</w:t>
      </w:r>
    </w:p>
    <w:p>
      <w:pPr>
        <w:spacing w:before="98"/>
        <w:ind w:left="769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585858"/>
          <w:sz w:val="20"/>
        </w:rPr>
        <w:t>4%</w:t>
      </w:r>
    </w:p>
    <w:p>
      <w:pPr>
        <w:spacing w:before="99"/>
        <w:ind w:left="769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585858"/>
          <w:sz w:val="20"/>
        </w:rPr>
        <w:t>2%</w:t>
      </w:r>
    </w:p>
    <w:p>
      <w:pPr>
        <w:spacing w:before="98"/>
        <w:ind w:left="769" w:right="0" w:firstLine="0"/>
        <w:jc w:val="left"/>
        <w:rPr>
          <w:rFonts w:ascii="Times New Roman"/>
          <w:sz w:val="20"/>
        </w:rPr>
      </w:pPr>
      <w:r>
        <w:rPr>
          <w:rFonts w:ascii="Times New Roman"/>
          <w:color w:val="585858"/>
          <w:sz w:val="20"/>
        </w:rPr>
        <w:t>0%</w:t>
      </w:r>
    </w:p>
    <w:p>
      <w:pPr>
        <w:tabs>
          <w:tab w:val="left" w:pos="855"/>
          <w:tab w:val="left" w:pos="1557"/>
          <w:tab w:val="left" w:pos="2287"/>
          <w:tab w:val="left" w:pos="2978"/>
          <w:tab w:val="left" w:pos="3741"/>
          <w:tab w:val="left" w:pos="4482"/>
          <w:tab w:val="left" w:pos="5145"/>
          <w:tab w:val="left" w:pos="5886"/>
          <w:tab w:val="left" w:pos="6610"/>
          <w:tab w:val="left" w:pos="7301"/>
          <w:tab w:val="left" w:pos="8031"/>
        </w:tabs>
        <w:spacing w:before="4"/>
        <w:ind w:left="153" w:right="0" w:firstLine="0"/>
        <w:jc w:val="center"/>
        <w:rPr>
          <w:rFonts w:ascii="Times New Roman"/>
          <w:sz w:val="20"/>
        </w:rPr>
      </w:pPr>
      <w:r>
        <w:rPr>
          <w:rFonts w:ascii="Times New Roman"/>
          <w:color w:val="585858"/>
          <w:sz w:val="20"/>
        </w:rPr>
        <w:t>Jan</w:t>
        <w:tab/>
        <w:t>Feb</w:t>
        <w:tab/>
        <w:t>Mar</w:t>
        <w:tab/>
        <w:t>Apr</w:t>
        <w:tab/>
        <w:t>May</w:t>
        <w:tab/>
        <w:t>Jun</w:t>
        <w:tab/>
        <w:t>Jul</w:t>
        <w:tab/>
        <w:t>Aug</w:t>
        <w:tab/>
        <w:t>Sep</w:t>
        <w:tab/>
        <w:t>Oct</w:t>
        <w:tab/>
        <w:t>Nov</w:t>
        <w:tab/>
        <w:t>Dec</w:t>
      </w:r>
    </w:p>
    <w:p>
      <w:pPr>
        <w:pStyle w:val="BodyText"/>
        <w:spacing w:before="5"/>
        <w:rPr>
          <w:rFonts w:ascii="Times New Roman"/>
        </w:rPr>
      </w:pPr>
    </w:p>
    <w:p>
      <w:pPr>
        <w:tabs>
          <w:tab w:val="left" w:pos="2222"/>
          <w:tab w:val="left" w:pos="3284"/>
          <w:tab w:val="left" w:pos="4346"/>
          <w:tab w:val="left" w:pos="5407"/>
          <w:tab w:val="left" w:pos="6469"/>
          <w:tab w:val="left" w:pos="7531"/>
          <w:tab w:val="left" w:pos="8592"/>
        </w:tabs>
        <w:spacing w:before="83"/>
        <w:ind w:left="1160" w:right="0" w:firstLine="0"/>
        <w:jc w:val="left"/>
        <w:rPr>
          <w:sz w:val="19"/>
        </w:rPr>
      </w:pPr>
      <w:r>
        <w:pict>
          <v:line id="_x0000_s1448" style="mso-position-horizontal-relative:page;position:absolute;z-index:251704320" from="74.9pt,10.45pt" to="92.25pt,10.45pt" stroked="t" strokecolor="#d6d3c7" strokeweight="4.65pt">
            <v:stroke dashstyle="solid"/>
          </v:line>
        </w:pict>
      </w:r>
      <w:r>
        <w:pict>
          <v:line id="_x0000_s1449" style="mso-position-horizontal-relative:page;position:absolute;z-index:-251621376" from="127.95pt,10.45pt" to="145.3pt,10.45pt" stroked="t" strokecolor="#c5c2af" strokeweight="4.65pt">
            <v:stroke dashstyle="solid"/>
          </v:line>
        </w:pict>
      </w:r>
      <w:r>
        <w:pict>
          <v:line id="_x0000_s1450" style="mso-position-horizontal-relative:page;position:absolute;z-index:-251620352" from="181.05pt,10.45pt" to="198.4pt,10.45pt" stroked="t" strokecolor="#b4ae93" strokeweight="4.65pt">
            <v:stroke dashstyle="solid"/>
          </v:line>
        </w:pict>
      </w:r>
      <w:r>
        <w:pict>
          <v:line id="_x0000_s1451" style="mso-position-horizontal-relative:page;position:absolute;z-index:-251619328" from="234.1pt,10.45pt" to="251.45pt,10.45pt" stroked="t" strokecolor="#9f966c" strokeweight="4.65pt">
            <v:stroke dashstyle="solid"/>
          </v:line>
        </w:pict>
      </w:r>
      <w:r>
        <w:pict>
          <v:line id="_x0000_s1452" style="mso-position-horizontal-relative:page;position:absolute;z-index:-251618304" from="287.2pt,10.45pt" to="304.55pt,10.45pt" stroked="t" strokecolor="#8e8551" strokeweight="4.65pt">
            <v:stroke dashstyle="solid"/>
          </v:line>
        </w:pict>
      </w:r>
      <w:r>
        <w:pict>
          <v:line id="_x0000_s1453" style="mso-position-horizontal-relative:page;position:absolute;z-index:-251617280" from="340.2pt,10.45pt" to="357.55pt,10.45pt" stroked="t" strokecolor="#827948" strokeweight="4.65pt">
            <v:stroke dashstyle="solid"/>
          </v:line>
        </w:pict>
      </w:r>
      <w:r>
        <w:pict>
          <v:rect id="_x0000_s1454" style="width:17.35pt;height:4.76pt;margin-top:8.09pt;margin-left:393.29pt;mso-position-horizontal-relative:page;position:absolute;z-index:-251616256" filled="f" stroked="t" strokecolor="#c00000" strokeweight="2.03pt">
            <v:stroke dashstyle="solid"/>
          </v:rect>
        </w:pict>
      </w:r>
      <w:r>
        <w:pict>
          <v:line id="_x0000_s1455" style="mso-position-horizontal-relative:page;position:absolute;z-index:-251615232" from="446.4pt,10.45pt" to="463.75pt,10.45pt" stroked="t" strokecolor="#ffc000" strokeweight="1.35pt">
            <v:stroke dashstyle="solid"/>
          </v:line>
        </w:pict>
      </w:r>
      <w:r>
        <w:rPr>
          <w:rFonts w:ascii="Times New Roman" w:eastAsia="Times New Roman"/>
          <w:color w:val="585858"/>
          <w:sz w:val="19"/>
        </w:rPr>
        <w:t>2017</w:t>
        <w:tab/>
        <w:t>2018</w:t>
        <w:tab/>
        <w:t>2019</w:t>
        <w:tab/>
        <w:t>2020</w:t>
        <w:tab/>
        <w:t>2021</w:t>
        <w:tab/>
        <w:t>2022</w:t>
        <w:tab/>
        <w:t>2023</w:t>
        <w:tab/>
        <w:t>2022</w:t>
      </w:r>
      <w:r>
        <w:rPr>
          <w:color w:val="585858"/>
          <w:sz w:val="19"/>
        </w:rPr>
        <w:t>年渗透率</w: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spacing w:line="20" w:lineRule="exact"/>
        <w:ind w:left="-6"/>
        <w:rPr>
          <w:sz w:val="2"/>
        </w:rPr>
      </w:pPr>
      <w:r>
        <w:rPr>
          <w:sz w:val="2"/>
        </w:rPr>
        <w:pict>
          <v:group id="_x0000_i1456" style="width:522.95pt;height:1pt;mso-position-horizontal-relative:char;mso-position-vertical-relative:line" coordorigin="0,0" coordsize="10459,20">
            <v:line id="_x0000_s1457" style="position:absolute" from="0,10" to="10459,10" stroked="t" strokecolor="black" strokeweight="0.96pt">
              <v:stroke dashstyle="solid"/>
            </v:line>
            <w10:wrap type="none"/>
          </v:group>
        </w:pict>
      </w:r>
    </w:p>
    <w:p>
      <w:pPr>
        <w:spacing w:before="39"/>
        <w:ind w:left="112" w:right="0" w:firstLine="0"/>
        <w:jc w:val="left"/>
        <w:rPr>
          <w:sz w:val="20"/>
        </w:rPr>
      </w:pPr>
      <w:r>
        <w:t xml:space="preserve">数据来源：银保监会交强险数据， </w:t>
      </w:r>
    </w:p>
    <w:p>
      <w:pPr>
        <w:pStyle w:val="BodyText"/>
        <w:rPr>
          <w:sz w:val="16"/>
        </w:rPr>
      </w:pPr>
    </w:p>
    <w:p>
      <w:pPr>
        <w:pStyle w:val="Heading3"/>
        <w:spacing w:before="93"/>
      </w:pPr>
      <w:r>
        <w:t>6 / 29</w:t>
      </w:r>
    </w:p>
    <w:p>
      <w:pPr>
        <w:spacing w:after="0"/>
        <w:sectPr>
          <w:headerReference w:type="default" r:id="rId45"/>
          <w:footerReference w:type="default" r:id="rId46"/>
          <w:type w:val="continuous"/>
          <w:pgSz w:w="11910" w:h="16840"/>
          <w:pgMar w:top="1340" w:right="280" w:bottom="500" w:left="720" w:header="708" w:footer="708"/>
          <w:pgNumType w:start="15"/>
          <w:cols w:space="708"/>
        </w:sectPr>
      </w:pPr>
    </w:p>
    <w:p>
      <w:pPr>
        <w:pStyle w:val="BodyText"/>
        <w:rPr>
          <w:rFonts w:ascii="Times New Roman"/>
          <w:b/>
          <w:sz w:val="20"/>
        </w:rPr>
      </w:pPr>
      <w:r>
        <w:pict>
          <v:group id="_x0000_s1458" style="width:595.35pt;height:41.2pt;margin-top:800.29pt;margin-left:0;mso-position-horizontal-relative:page;mso-position-vertical-relative:page;position:absolute;z-index:251709440" coordorigin="0,16006" coordsize="11907,824">
            <v:rect id="_x0000_s1459" style="width:11907;height:473;position:absolute;top:16356" filled="t" fillcolor="#17365d" stroked="f">
              <v:fill type="solid"/>
            </v:rect>
            <v:rect id="_x0000_s1460" style="width:4080;height:437;left:7;position:absolute;top:16082" filled="t" fillcolor="#d7d7d7" stroked="f">
              <v:fill type="solid"/>
            </v:rect>
            <v:shape id="_x0000_s1461" type="#_x0000_t202" style="width:1707;height:240;left:9218;position:absolute;top:1600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17365D"/>
                        <w:sz w:val="24"/>
                      </w:rPr>
                      <w:t>东吴证券研究所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6"/>
        <w:rPr>
          <w:rFonts w:ascii="Times New Roman"/>
          <w:b/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2719"/>
          <w:tab w:val="left" w:pos="2720"/>
        </w:tabs>
        <w:spacing w:before="0" w:after="0" w:line="493" w:lineRule="exact"/>
        <w:ind w:left="2719" w:right="0" w:hanging="428"/>
        <w:jc w:val="left"/>
        <w:rPr>
          <w:rFonts w:ascii="Microsoft JhengHei" w:eastAsia="Microsoft JhengHei" w:hint="eastAsia"/>
          <w:b/>
          <w:sz w:val="28"/>
        </w:rPr>
      </w:pPr>
      <w:r>
        <w:rPr>
          <w:rFonts w:ascii="Microsoft JhengHei" w:eastAsia="Microsoft JhengHei" w:hint="eastAsia"/>
          <w:b/>
          <w:color w:val="17365D"/>
          <w:sz w:val="28"/>
        </w:rPr>
        <w:t>全面电动化试点</w:t>
      </w:r>
      <w:r>
        <w:rPr>
          <w:rFonts w:ascii="Times New Roman" w:eastAsia="Times New Roman"/>
          <w:b/>
          <w:color w:val="17365D"/>
          <w:spacing w:val="-4"/>
          <w:sz w:val="28"/>
        </w:rPr>
        <w:t>&amp;</w:t>
      </w:r>
      <w:r>
        <w:rPr>
          <w:rFonts w:ascii="Microsoft JhengHei" w:eastAsia="Microsoft JhengHei" w:hint="eastAsia"/>
          <w:b/>
          <w:color w:val="17365D"/>
          <w:spacing w:val="-1"/>
          <w:sz w:val="28"/>
        </w:rPr>
        <w:t>空气改善计划驱动，</w:t>
      </w:r>
      <w:r>
        <w:rPr>
          <w:rFonts w:ascii="Times New Roman" w:eastAsia="Times New Roman"/>
          <w:b/>
          <w:color w:val="17365D"/>
          <w:spacing w:val="-9"/>
          <w:sz w:val="28"/>
        </w:rPr>
        <w:t>2024-2025</w:t>
      </w:r>
      <w:r>
        <w:rPr>
          <w:rFonts w:ascii="Times New Roman" w:eastAsia="Times New Roman"/>
          <w:b/>
          <w:color w:val="17365D"/>
          <w:sz w:val="28"/>
        </w:rPr>
        <w:t xml:space="preserve"> </w:t>
      </w:r>
      <w:r>
        <w:rPr>
          <w:rFonts w:ascii="Microsoft JhengHei" w:eastAsia="Microsoft JhengHei" w:hint="eastAsia"/>
          <w:b/>
          <w:color w:val="17365D"/>
          <w:sz w:val="28"/>
        </w:rPr>
        <w:t>年有望迎环卫</w:t>
      </w:r>
    </w:p>
    <w:p>
      <w:pPr>
        <w:spacing w:before="109"/>
        <w:ind w:left="2292" w:right="0" w:firstLine="0"/>
        <w:jc w:val="left"/>
        <w:rPr>
          <w:rFonts w:ascii="Microsoft JhengHei" w:eastAsia="Microsoft JhengHei" w:hint="eastAsia"/>
          <w:b/>
          <w:sz w:val="28"/>
        </w:rPr>
      </w:pPr>
      <w:r>
        <w:rPr>
          <w:rFonts w:ascii="Microsoft JhengHei" w:eastAsia="Microsoft JhengHei" w:hint="eastAsia"/>
          <w:b/>
          <w:color w:val="17365D"/>
          <w:sz w:val="28"/>
        </w:rPr>
        <w:t>新能源放量</w:t>
      </w:r>
    </w:p>
    <w:p>
      <w:pPr>
        <w:spacing w:before="209" w:line="380" w:lineRule="exact"/>
        <w:ind w:left="0" w:right="564" w:firstLine="0"/>
        <w:jc w:val="right"/>
        <w:rPr>
          <w:rFonts w:ascii="Times New Roman" w:eastAsia="Times New Roman"/>
          <w:b/>
          <w:sz w:val="21"/>
        </w:rPr>
      </w:pPr>
      <w:r>
        <w:rPr>
          <w:rFonts w:ascii="Microsoft JhengHei" w:eastAsia="Microsoft JhengHei" w:hint="eastAsia"/>
          <w:b/>
          <w:spacing w:val="-2"/>
          <w:sz w:val="21"/>
          <w:u w:val="single"/>
        </w:rPr>
        <w:t>环卫装备总销量有望回升：</w:t>
      </w:r>
      <w:r>
        <w:rPr>
          <w:rFonts w:ascii="Microsoft JhengHei" w:eastAsia="Microsoft JhengHei" w:hint="eastAsia"/>
          <w:b/>
          <w:spacing w:val="1"/>
          <w:sz w:val="21"/>
        </w:rPr>
        <w:t xml:space="preserve">受采购周期影响 </w:t>
      </w:r>
      <w:r>
        <w:rPr>
          <w:rFonts w:ascii="Times New Roman" w:eastAsia="Times New Roman"/>
          <w:b/>
          <w:sz w:val="21"/>
        </w:rPr>
        <w:t>2023</w:t>
      </w:r>
      <w:r>
        <w:rPr>
          <w:rFonts w:ascii="Times New Roman" w:eastAsia="Times New Roman"/>
          <w:b/>
          <w:spacing w:val="14"/>
          <w:sz w:val="21"/>
        </w:rPr>
        <w:t xml:space="preserve"> </w:t>
      </w:r>
      <w:r>
        <w:rPr>
          <w:rFonts w:ascii="Microsoft JhengHei" w:eastAsia="Microsoft JhengHei" w:hint="eastAsia"/>
          <w:b/>
          <w:spacing w:val="-1"/>
          <w:sz w:val="21"/>
        </w:rPr>
        <w:t xml:space="preserve">年环卫装备总销量承压，考虑 </w:t>
      </w:r>
      <w:r>
        <w:rPr>
          <w:rFonts w:ascii="Times New Roman" w:eastAsia="Times New Roman"/>
          <w:b/>
          <w:sz w:val="21"/>
        </w:rPr>
        <w:t>6-</w:t>
      </w:r>
    </w:p>
    <w:p>
      <w:pPr>
        <w:spacing w:before="0" w:line="380" w:lineRule="exact"/>
        <w:ind w:left="0" w:right="560" w:firstLine="0"/>
        <w:jc w:val="right"/>
        <w:rPr>
          <w:sz w:val="21"/>
        </w:rPr>
      </w:pPr>
      <w:r>
        <w:rPr>
          <w:rFonts w:ascii="Times New Roman" w:eastAsia="Times New Roman"/>
          <w:b/>
          <w:sz w:val="21"/>
        </w:rPr>
        <w:t>8</w:t>
      </w:r>
      <w:r>
        <w:rPr>
          <w:rFonts w:ascii="Times New Roman" w:eastAsia="Times New Roman"/>
          <w:b/>
          <w:spacing w:val="32"/>
          <w:sz w:val="21"/>
        </w:rPr>
        <w:t xml:space="preserve"> </w:t>
      </w:r>
      <w:r>
        <w:rPr>
          <w:rFonts w:ascii="Microsoft JhengHei" w:eastAsia="Microsoft JhengHei" w:hint="eastAsia"/>
          <w:b/>
          <w:spacing w:val="4"/>
          <w:sz w:val="21"/>
        </w:rPr>
        <w:t xml:space="preserve">年的更替周期 </w:t>
      </w:r>
      <w:r>
        <w:rPr>
          <w:rFonts w:ascii="Times New Roman" w:eastAsia="Times New Roman"/>
          <w:b/>
          <w:sz w:val="21"/>
        </w:rPr>
        <w:t>2024-2025</w:t>
      </w:r>
      <w:r>
        <w:rPr>
          <w:rFonts w:ascii="Times New Roman" w:eastAsia="Times New Roman"/>
          <w:b/>
          <w:spacing w:val="32"/>
          <w:sz w:val="21"/>
        </w:rPr>
        <w:t xml:space="preserve"> </w:t>
      </w:r>
      <w:r>
        <w:rPr>
          <w:rFonts w:ascii="Microsoft JhengHei" w:eastAsia="Microsoft JhengHei" w:hint="eastAsia"/>
          <w:b/>
          <w:spacing w:val="-2"/>
          <w:sz w:val="21"/>
        </w:rPr>
        <w:t>年环卫车总销量有望回升。</w:t>
      </w:r>
      <w:r>
        <w:rPr>
          <w:spacing w:val="-5"/>
          <w:sz w:val="21"/>
        </w:rPr>
        <w:t xml:space="preserve">根据住建部统计，截至 </w:t>
      </w:r>
      <w:r>
        <w:rPr>
          <w:rFonts w:ascii="Times New Roman" w:eastAsia="Times New Roman"/>
          <w:sz w:val="21"/>
        </w:rPr>
        <w:t>2022</w:t>
      </w:r>
      <w:r>
        <w:rPr>
          <w:rFonts w:ascii="Times New Roman" w:eastAsia="Times New Roman"/>
          <w:spacing w:val="32"/>
          <w:sz w:val="21"/>
        </w:rPr>
        <w:t xml:space="preserve"> </w:t>
      </w:r>
      <w:r>
        <w:rPr>
          <w:sz w:val="21"/>
        </w:rPr>
        <w:t>年</w:t>
      </w:r>
    </w:p>
    <w:p>
      <w:pPr>
        <w:pStyle w:val="BodyText"/>
        <w:spacing w:before="58" w:line="333" w:lineRule="auto"/>
        <w:ind w:left="2400" w:right="455"/>
      </w:pPr>
      <w:r>
        <w:rPr>
          <w:spacing w:val="-7"/>
        </w:rPr>
        <w:t xml:space="preserve">底，全国市容环卫专用车辆设备保有量为 </w:t>
      </w:r>
      <w:r>
        <w:rPr>
          <w:rFonts w:ascii="Times New Roman" w:eastAsia="Times New Roman"/>
        </w:rPr>
        <w:t>57.10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10"/>
        </w:rPr>
        <w:t xml:space="preserve">万辆，同比增长 </w:t>
      </w:r>
      <w:r>
        <w:rPr>
          <w:rFonts w:ascii="Times New Roman" w:eastAsia="Times New Roman"/>
        </w:rPr>
        <w:t>3%</w:t>
      </w:r>
      <w:r>
        <w:rPr>
          <w:spacing w:val="-10"/>
        </w:rPr>
        <w:t>。</w:t>
      </w:r>
      <w:r>
        <w:rPr>
          <w:rFonts w:ascii="Times New Roman" w:eastAsia="Times New Roman"/>
        </w:rPr>
        <w:t>2016-2022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-2"/>
        </w:rPr>
        <w:t>年环卫</w:t>
      </w:r>
      <w:r>
        <w:rPr>
          <w:spacing w:val="-11"/>
        </w:rPr>
        <w:t xml:space="preserve">车销量合计 </w:t>
      </w:r>
      <w:r>
        <w:rPr>
          <w:rFonts w:ascii="Times New Roman" w:eastAsia="Times New Roman"/>
        </w:rPr>
        <w:t>65.58</w:t>
      </w:r>
      <w:r>
        <w:rPr>
          <w:rFonts w:ascii="Times New Roman" w:eastAsia="Times New Roman"/>
          <w:spacing w:val="6"/>
        </w:rPr>
        <w:t xml:space="preserve"> </w:t>
      </w:r>
      <w:r>
        <w:rPr>
          <w:spacing w:val="-22"/>
        </w:rPr>
        <w:t xml:space="preserve">万辆，与 </w:t>
      </w:r>
      <w:r>
        <w:rPr>
          <w:rFonts w:ascii="Times New Roman" w:eastAsia="Times New Roman"/>
        </w:rPr>
        <w:t>2022</w:t>
      </w:r>
      <w:r>
        <w:rPr>
          <w:rFonts w:ascii="Times New Roman" w:eastAsia="Times New Roman"/>
          <w:spacing w:val="6"/>
        </w:rPr>
        <w:t xml:space="preserve"> </w:t>
      </w:r>
      <w:r>
        <w:rPr>
          <w:spacing w:val="-8"/>
        </w:rPr>
        <w:t>年底保有量接近。考虑环卫机械化率持续提升以及非市</w:t>
      </w:r>
      <w:r>
        <w:rPr>
          <w:spacing w:val="-9"/>
        </w:rPr>
        <w:t xml:space="preserve">容环境卫生场景下存在部分环卫车需求，推测环卫车更替周期约 </w:t>
      </w:r>
      <w:r>
        <w:rPr>
          <w:rFonts w:ascii="Times New Roman" w:eastAsia="Times New Roman"/>
        </w:rPr>
        <w:t>6~8</w:t>
      </w:r>
      <w:r>
        <w:rPr>
          <w:rFonts w:ascii="Times New Roman" w:eastAsia="Times New Roman"/>
          <w:spacing w:val="7"/>
        </w:rPr>
        <w:t xml:space="preserve"> </w:t>
      </w:r>
      <w:r>
        <w:rPr>
          <w:spacing w:val="-7"/>
        </w:rPr>
        <w:t>年。受行业采购周</w:t>
      </w:r>
      <w:r>
        <w:rPr>
          <w:spacing w:val="-5"/>
        </w:rPr>
        <w:t>期等因素影响，</w:t>
      </w:r>
      <w:r>
        <w:rPr>
          <w:rFonts w:ascii="Times New Roman" w:eastAsia="Times New Roman"/>
        </w:rPr>
        <w:t>2021-2023</w:t>
      </w:r>
      <w:r>
        <w:rPr>
          <w:rFonts w:ascii="Times New Roman" w:eastAsia="Times New Roman"/>
          <w:spacing w:val="14"/>
        </w:rPr>
        <w:t xml:space="preserve"> </w:t>
      </w:r>
      <w:r>
        <w:rPr>
          <w:spacing w:val="-3"/>
        </w:rPr>
        <w:t>年环卫车总销量连续下滑，</w:t>
      </w:r>
      <w:r>
        <w:rPr>
          <w:rFonts w:ascii="Times New Roman" w:eastAsia="Times New Roman"/>
        </w:rPr>
        <w:t>2023</w:t>
      </w:r>
      <w:r>
        <w:rPr>
          <w:rFonts w:ascii="Times New Roman" w:eastAsia="Times New Roman"/>
          <w:spacing w:val="15"/>
        </w:rPr>
        <w:t xml:space="preserve"> </w:t>
      </w:r>
      <w:r>
        <w:rPr>
          <w:spacing w:val="-7"/>
        </w:rPr>
        <w:t xml:space="preserve">年环卫车总销量 </w:t>
      </w:r>
      <w:r>
        <w:rPr>
          <w:rFonts w:ascii="Times New Roman" w:eastAsia="Times New Roman"/>
        </w:rPr>
        <w:t>7.70</w:t>
      </w:r>
      <w:r>
        <w:rPr>
          <w:rFonts w:ascii="Times New Roman" w:eastAsia="Times New Roman"/>
          <w:spacing w:val="17"/>
        </w:rPr>
        <w:t xml:space="preserve"> </w:t>
      </w:r>
      <w:r>
        <w:t>万辆， 同比</w:t>
      </w:r>
      <w:r>
        <w:rPr>
          <w:rFonts w:ascii="Times New Roman" w:eastAsia="Times New Roman"/>
        </w:rPr>
        <w:t>-6.06%</w:t>
      </w:r>
      <w:r>
        <w:rPr>
          <w:spacing w:val="-3"/>
        </w:rPr>
        <w:t>。</w:t>
      </w:r>
      <w:r>
        <w:rPr>
          <w:rFonts w:ascii="Times New Roman" w:eastAsia="Times New Roman"/>
        </w:rPr>
        <w:t>2016-2023</w:t>
      </w:r>
      <w:r>
        <w:rPr>
          <w:rFonts w:ascii="Times New Roman" w:eastAsia="Times New Roman"/>
          <w:spacing w:val="9"/>
        </w:rPr>
        <w:t xml:space="preserve"> </w:t>
      </w:r>
      <w:r>
        <w:rPr>
          <w:spacing w:val="-22"/>
        </w:rPr>
        <w:t xml:space="preserve">年 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12"/>
        </w:rPr>
        <w:t xml:space="preserve"> </w:t>
      </w:r>
      <w:r>
        <w:rPr>
          <w:spacing w:val="-7"/>
        </w:rPr>
        <w:t xml:space="preserve">年期间环卫装备总销量为 </w:t>
      </w:r>
      <w:r>
        <w:rPr>
          <w:rFonts w:ascii="Times New Roman" w:eastAsia="Times New Roman"/>
        </w:rPr>
        <w:t>73.28</w:t>
      </w:r>
      <w:r>
        <w:rPr>
          <w:rFonts w:ascii="Times New Roman" w:eastAsia="Times New Roman"/>
          <w:spacing w:val="9"/>
        </w:rPr>
        <w:t xml:space="preserve"> </w:t>
      </w:r>
      <w:r>
        <w:rPr>
          <w:spacing w:val="-10"/>
        </w:rPr>
        <w:t xml:space="preserve">万辆，年均 </w:t>
      </w:r>
      <w:r>
        <w:rPr>
          <w:rFonts w:ascii="Times New Roman" w:eastAsia="Times New Roman"/>
        </w:rPr>
        <w:t>9.16</w:t>
      </w:r>
      <w:r>
        <w:rPr>
          <w:rFonts w:ascii="Times New Roman" w:eastAsia="Times New Roman"/>
          <w:spacing w:val="11"/>
        </w:rPr>
        <w:t xml:space="preserve"> </w:t>
      </w:r>
      <w:r>
        <w:rPr>
          <w:spacing w:val="-3"/>
        </w:rPr>
        <w:t>万辆，其</w:t>
      </w:r>
    </w:p>
    <w:p>
      <w:pPr>
        <w:pStyle w:val="BodyText"/>
        <w:spacing w:before="2" w:line="333" w:lineRule="auto"/>
        <w:ind w:left="2400" w:right="562"/>
      </w:pPr>
      <w:r>
        <w:rPr>
          <w:spacing w:val="-24"/>
        </w:rPr>
        <w:t xml:space="preserve">中 </w:t>
      </w:r>
      <w:r>
        <w:rPr>
          <w:rFonts w:ascii="Times New Roman" w:eastAsia="Times New Roman"/>
        </w:rPr>
        <w:t xml:space="preserve">2018-2021 </w:t>
      </w:r>
      <w:r>
        <w:rPr>
          <w:spacing w:val="-13"/>
        </w:rPr>
        <w:t xml:space="preserve">年为采购高峰期，考虑 </w:t>
      </w:r>
      <w:r>
        <w:rPr>
          <w:rFonts w:ascii="Times New Roman" w:eastAsia="Times New Roman"/>
        </w:rPr>
        <w:t xml:space="preserve">6-8 </w:t>
      </w:r>
      <w:r>
        <w:rPr>
          <w:spacing w:val="-4"/>
        </w:rPr>
        <w:t>年的更换周期，</w:t>
      </w:r>
      <w:r>
        <w:rPr>
          <w:rFonts w:ascii="Times New Roman" w:eastAsia="Times New Roman"/>
          <w:spacing w:val="-6"/>
        </w:rPr>
        <w:t xml:space="preserve">2024-2025 </w:t>
      </w:r>
      <w:r>
        <w:rPr>
          <w:spacing w:val="-3"/>
        </w:rPr>
        <w:t>年有望迎来环卫装备总销量的回升。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tabs>
          <w:tab w:val="left" w:pos="5538"/>
        </w:tabs>
        <w:spacing w:before="0" w:after="16"/>
        <w:ind w:left="240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7</w:t>
      </w:r>
      <w:r>
        <w:rPr>
          <w:rFonts w:ascii="Microsoft JhengHei" w:eastAsia="Microsoft JhengHei" w:hint="eastAsia"/>
          <w:b/>
          <w:color w:val="17365D"/>
          <w:sz w:val="20"/>
        </w:rPr>
        <w:t>：</w:t>
      </w:r>
      <w:r>
        <w:rPr>
          <w:rFonts w:ascii="Times New Roman" w:eastAsia="Times New Roman"/>
          <w:b/>
          <w:color w:val="17365D"/>
          <w:sz w:val="20"/>
        </w:rPr>
        <w:t xml:space="preserve">2016-2022 </w:t>
      </w:r>
      <w:r>
        <w:rPr>
          <w:rFonts w:ascii="Microsoft JhengHei" w:eastAsia="Microsoft JhengHei" w:hint="eastAsia"/>
          <w:b/>
          <w:color w:val="17365D"/>
          <w:sz w:val="20"/>
        </w:rPr>
        <w:t>年全国市容环卫专用车辆设备保有量</w:t>
        <w:tab/>
        <w:t>图</w:t>
      </w:r>
      <w:r>
        <w:rPr>
          <w:rFonts w:ascii="Times New Roman" w:eastAsia="Times New Roman"/>
          <w:b/>
          <w:color w:val="17365D"/>
          <w:sz w:val="20"/>
        </w:rPr>
        <w:t>8</w:t>
      </w:r>
      <w:r>
        <w:rPr>
          <w:rFonts w:ascii="Microsoft JhengHei" w:eastAsia="Microsoft JhengHei" w:hint="eastAsia"/>
          <w:b/>
          <w:color w:val="17365D"/>
          <w:sz w:val="20"/>
        </w:rPr>
        <w:t>：</w:t>
      </w:r>
      <w:r>
        <w:rPr>
          <w:rFonts w:ascii="Times New Roman" w:eastAsia="Times New Roman"/>
          <w:b/>
          <w:color w:val="17365D"/>
          <w:sz w:val="20"/>
        </w:rPr>
        <w:t>2016-2023</w:t>
      </w:r>
      <w:r>
        <w:rPr>
          <w:rFonts w:ascii="Times New Roman" w:eastAsia="Times New Roman"/>
          <w:b/>
          <w:color w:val="17365D"/>
          <w:spacing w:val="-1"/>
          <w:sz w:val="20"/>
        </w:rPr>
        <w:t xml:space="preserve"> </w:t>
      </w:r>
      <w:r>
        <w:rPr>
          <w:rFonts w:ascii="Microsoft JhengHei" w:eastAsia="Microsoft JhengHei" w:hint="eastAsia"/>
          <w:b/>
          <w:color w:val="17365D"/>
          <w:sz w:val="20"/>
        </w:rPr>
        <w:t>年环卫车年均销量</w:t>
      </w:r>
      <w:r>
        <w:rPr>
          <w:rFonts w:ascii="Microsoft JhengHei" w:eastAsia="Microsoft JhengHei" w:hint="eastAsia"/>
          <w:b/>
          <w:color w:val="17365D"/>
          <w:spacing w:val="4"/>
          <w:sz w:val="20"/>
        </w:rPr>
        <w:t xml:space="preserve"> </w:t>
      </w:r>
      <w:r>
        <w:rPr>
          <w:rFonts w:ascii="Times New Roman" w:eastAsia="Times New Roman"/>
          <w:b/>
          <w:color w:val="17365D"/>
          <w:sz w:val="20"/>
        </w:rPr>
        <w:t>9.16</w:t>
      </w:r>
      <w:r>
        <w:rPr>
          <w:rFonts w:ascii="Times New Roman" w:eastAsia="Times New Roman"/>
          <w:b/>
          <w:color w:val="17365D"/>
          <w:spacing w:val="-1"/>
          <w:sz w:val="20"/>
        </w:rPr>
        <w:t xml:space="preserve"> </w:t>
      </w:r>
      <w:r>
        <w:rPr>
          <w:rFonts w:ascii="Microsoft JhengHei" w:eastAsia="Microsoft JhengHei" w:hint="eastAsia"/>
          <w:b/>
          <w:color w:val="17365D"/>
          <w:sz w:val="20"/>
        </w:rPr>
        <w:t>万辆</w:t>
      </w:r>
    </w:p>
    <w:p>
      <w:pPr>
        <w:spacing w:line="20" w:lineRule="exact"/>
        <w:ind w:left="122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462" style="width:253.85pt;height:1pt;mso-position-horizontal-relative:char;mso-position-vertical-relative:line" coordorigin="0,0" coordsize="5077,20">
            <v:line id="_x0000_s1463" style="position:absolute" from="0,10" to="5077,10" stroked="t" strokecolor="black" strokeweight="0.96pt">
              <v:stroke dashstyle="solid"/>
            </v:line>
            <w10:wrap type="none"/>
          </v:group>
        </w:pict>
      </w:r>
      <w:r>
        <w:rPr>
          <w:rFonts w:ascii="Times New Roman"/>
          <w:spacing w:val="194"/>
          <w:sz w:val="2"/>
        </w:rPr>
        <w:t xml:space="preserve"> </w:t>
      </w:r>
      <w:r>
        <w:rPr>
          <w:rFonts w:ascii="Microsoft JhengHei"/>
          <w:spacing w:val="194"/>
          <w:sz w:val="2"/>
        </w:rPr>
        <w:pict>
          <v:group id="_x0000_i1464" style="width:251.25pt;height:1pt;mso-position-horizontal-relative:char;mso-position-vertical-relative:line" coordorigin="0,0" coordsize="5025,20">
            <v:line id="_x0000_s1465" style="position:absolute" from="0,10" to="5024,10" stroked="t" strokecolor="black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10"/>
        <w:rPr>
          <w:rFonts w:ascii="Microsoft JhengHei"/>
          <w:b/>
          <w:sz w:val="9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677392</wp:posOffset>
            </wp:positionH>
            <wp:positionV relativeFrom="paragraph">
              <wp:posOffset>136745</wp:posOffset>
            </wp:positionV>
            <wp:extent cx="2962869" cy="1816798"/>
            <wp:effectExtent l="0" t="0" r="0" b="0"/>
            <wp:wrapTopAndBottom/>
            <wp:docPr id="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jpe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869" cy="18167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4047671</wp:posOffset>
            </wp:positionH>
            <wp:positionV relativeFrom="paragraph">
              <wp:posOffset>180470</wp:posOffset>
            </wp:positionV>
            <wp:extent cx="2917578" cy="1736217"/>
            <wp:effectExtent l="0" t="0" r="0" b="0"/>
            <wp:wrapTopAndBottom/>
            <wp:docPr id="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5.jpe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7578" cy="1736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466" style="width:253.85pt;height:0.1pt;margin-top:166.68pt;margin-left:42.6pt;mso-position-horizontal-relative:page;mso-wrap-distance-left:0;mso-wrap-distance-right:0;position:absolute;z-index:-251609088" coordorigin="852,3334" coordsize="5077,0" path="m852,3334l5929,3334e" filled="f" stroked="t" strokecolor="black" strokeweight="0.96pt">
            <v:stroke dashstyle="solid"/>
            <v:path arrowok="t"/>
            <w10:wrap type="topAndBottom"/>
          </v:shape>
        </w:pict>
      </w:r>
      <w:r>
        <w:pict>
          <v:shape id="_x0000_s1467" style="width:251.25pt;height:0.1pt;margin-top:166.68pt;margin-left:307.61pt;mso-position-horizontal-relative:page;mso-wrap-distance-left:0;mso-wrap-distance-right:0;position:absolute;z-index:-251608064" coordorigin="6152,3334" coordsize="5025,0" path="m6152,3334l11176,3334e" filled="f" stroked="t" strokecolor="black" strokeweight="0.96pt">
            <v:stroke dashstyle="solid"/>
            <v:path arrowok="t"/>
            <w10:wrap type="topAndBottom"/>
          </v:shape>
        </w:pict>
      </w:r>
    </w:p>
    <w:p>
      <w:pPr>
        <w:pStyle w:val="BodyText"/>
        <w:spacing w:before="13"/>
        <w:rPr>
          <w:rFonts w:ascii="Microsoft JhengHei"/>
          <w:b/>
          <w:sz w:val="9"/>
        </w:rPr>
      </w:pPr>
    </w:p>
    <w:p>
      <w:pPr>
        <w:tabs>
          <w:tab w:val="left" w:pos="5538"/>
        </w:tabs>
        <w:spacing w:before="10"/>
        <w:ind w:left="240" w:right="0" w:firstLine="0"/>
        <w:jc w:val="left"/>
        <w:rPr>
          <w:sz w:val="20"/>
        </w:rPr>
      </w:pPr>
      <w:r>
        <w:t xml:space="preserve">数据来源：住建部， </w:t>
        <w:tab/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Heading3"/>
        <w:spacing w:before="11" w:line="232" w:lineRule="auto"/>
        <w:ind w:left="2400" w:right="566" w:firstLine="424"/>
        <w:jc w:val="left"/>
        <w:rPr>
          <w:rFonts w:ascii="宋体" w:eastAsia="宋体" w:hint="eastAsia"/>
          <w:b w:val="0"/>
        </w:rPr>
      </w:pPr>
      <w:r>
        <w:rPr>
          <w:rFonts w:ascii="Microsoft JhengHei" w:eastAsia="Microsoft JhengHei" w:hint="eastAsia"/>
          <w:spacing w:val="-5"/>
          <w:u w:val="single"/>
        </w:rPr>
        <w:t>环卫新能源政策加码：</w:t>
      </w:r>
      <w:r>
        <w:rPr>
          <w:rFonts w:ascii="Microsoft JhengHei" w:eastAsia="Microsoft JhengHei" w:hint="eastAsia"/>
          <w:spacing w:val="-7"/>
        </w:rPr>
        <w:t>公共领域全面电动化试点启动，空气质量改善重点区域轻型</w:t>
      </w:r>
      <w:r>
        <w:rPr>
          <w:rFonts w:ascii="Microsoft JhengHei" w:eastAsia="Microsoft JhengHei" w:hint="eastAsia"/>
          <w:spacing w:val="-1"/>
        </w:rPr>
        <w:t xml:space="preserve">环卫新能源比例不低于 </w:t>
      </w:r>
      <w:r>
        <w:t>80%</w:t>
      </w:r>
      <w:r>
        <w:rPr>
          <w:rFonts w:ascii="宋体" w:eastAsia="宋体" w:hint="eastAsia"/>
          <w:b w:val="0"/>
        </w:rPr>
        <w:t>。</w:t>
      </w:r>
    </w:p>
    <w:p>
      <w:pPr>
        <w:pStyle w:val="BodyText"/>
        <w:spacing w:before="12"/>
        <w:rPr>
          <w:sz w:val="16"/>
        </w:rPr>
      </w:pPr>
    </w:p>
    <w:p>
      <w:pPr>
        <w:pStyle w:val="ListParagraph"/>
        <w:numPr>
          <w:ilvl w:val="1"/>
          <w:numId w:val="5"/>
        </w:numPr>
        <w:tabs>
          <w:tab w:val="left" w:pos="3246"/>
        </w:tabs>
        <w:spacing w:before="0" w:after="0" w:line="254" w:lineRule="auto"/>
        <w:ind w:left="3245" w:right="563" w:hanging="421"/>
        <w:jc w:val="both"/>
        <w:rPr>
          <w:sz w:val="21"/>
        </w:rPr>
      </w:pPr>
      <w:r>
        <w:rPr>
          <w:rFonts w:ascii="Times New Roman" w:eastAsia="Times New Roman" w:hAnsi="Times New Roman"/>
          <w:sz w:val="21"/>
        </w:rPr>
        <w:t>2023</w:t>
      </w:r>
      <w:r>
        <w:rPr>
          <w:rFonts w:ascii="Times New Roman" w:eastAsia="Times New Roman" w:hAnsi="Times New Roman"/>
          <w:spacing w:val="4"/>
          <w:sz w:val="21"/>
        </w:rPr>
        <w:t xml:space="preserve"> </w:t>
      </w:r>
      <w:r>
        <w:rPr>
          <w:spacing w:val="-23"/>
          <w:sz w:val="21"/>
        </w:rPr>
        <w:t xml:space="preserve">年 </w:t>
      </w:r>
      <w:r>
        <w:rPr>
          <w:rFonts w:ascii="Times New Roman" w:eastAsia="Times New Roman" w:hAnsi="Times New Roman"/>
          <w:sz w:val="21"/>
        </w:rPr>
        <w:t>2</w:t>
      </w:r>
      <w:r>
        <w:rPr>
          <w:rFonts w:ascii="Times New Roman" w:eastAsia="Times New Roman" w:hAnsi="Times New Roman"/>
          <w:spacing w:val="4"/>
          <w:sz w:val="21"/>
        </w:rPr>
        <w:t xml:space="preserve"> </w:t>
      </w:r>
      <w:r>
        <w:rPr>
          <w:spacing w:val="-23"/>
          <w:sz w:val="21"/>
        </w:rPr>
        <w:t xml:space="preserve">月 </w:t>
      </w:r>
      <w:r>
        <w:rPr>
          <w:rFonts w:ascii="Times New Roman" w:eastAsia="Times New Roman" w:hAnsi="Times New Roman"/>
          <w:sz w:val="21"/>
        </w:rPr>
        <w:t>3</w:t>
      </w:r>
      <w:r>
        <w:rPr>
          <w:rFonts w:ascii="Times New Roman" w:eastAsia="Times New Roman" w:hAnsi="Times New Roman"/>
          <w:spacing w:val="4"/>
          <w:sz w:val="21"/>
        </w:rPr>
        <w:t xml:space="preserve"> </w:t>
      </w:r>
      <w:r>
        <w:rPr>
          <w:spacing w:val="-12"/>
          <w:sz w:val="21"/>
        </w:rPr>
        <w:t>日，工信部等八部门发布《关于组织开展公共领域车辆全面电动</w:t>
      </w:r>
      <w:r>
        <w:rPr>
          <w:spacing w:val="-18"/>
          <w:sz w:val="21"/>
        </w:rPr>
        <w:t>化先行区试点工作的通知》，在</w:t>
      </w:r>
      <w:r>
        <w:rPr>
          <w:rFonts w:ascii="Microsoft JhengHei" w:eastAsia="Microsoft JhengHei" w:hAnsi="Microsoft JhengHei" w:hint="eastAsia"/>
          <w:b/>
          <w:sz w:val="21"/>
        </w:rPr>
        <w:t>全国范围内</w:t>
      </w:r>
      <w:r>
        <w:rPr>
          <w:spacing w:val="-1"/>
          <w:sz w:val="21"/>
        </w:rPr>
        <w:t>启动公共领域车辆全面电动化先行</w:t>
      </w:r>
      <w:r>
        <w:rPr>
          <w:spacing w:val="-3"/>
          <w:sz w:val="21"/>
        </w:rPr>
        <w:t>区试点工作，</w:t>
      </w:r>
      <w:r>
        <w:rPr>
          <w:rFonts w:ascii="Microsoft JhengHei" w:eastAsia="Microsoft JhengHei" w:hAnsi="Microsoft JhengHei" w:hint="eastAsia"/>
          <w:b/>
          <w:spacing w:val="5"/>
          <w:sz w:val="21"/>
        </w:rPr>
        <w:t xml:space="preserve">试点期为 </w:t>
      </w:r>
      <w:r>
        <w:rPr>
          <w:rFonts w:ascii="Times New Roman" w:eastAsia="Times New Roman" w:hAnsi="Times New Roman"/>
          <w:b/>
          <w:sz w:val="21"/>
        </w:rPr>
        <w:t>2023</w:t>
      </w:r>
      <w:r>
        <w:rPr>
          <w:rFonts w:ascii="Microsoft JhengHei" w:eastAsia="Microsoft JhengHei" w:hAnsi="Microsoft JhengHei" w:hint="eastAsia"/>
          <w:b/>
          <w:sz w:val="21"/>
        </w:rPr>
        <w:t>—</w:t>
      </w:r>
      <w:r>
        <w:rPr>
          <w:rFonts w:ascii="Times New Roman" w:eastAsia="Times New Roman" w:hAnsi="Times New Roman"/>
          <w:b/>
          <w:sz w:val="21"/>
        </w:rPr>
        <w:t>2025</w:t>
      </w:r>
      <w:r>
        <w:rPr>
          <w:rFonts w:ascii="Times New Roman" w:eastAsia="Times New Roman" w:hAnsi="Times New Roman"/>
          <w:b/>
          <w:spacing w:val="27"/>
          <w:sz w:val="21"/>
        </w:rPr>
        <w:t xml:space="preserve"> </w:t>
      </w:r>
      <w:r>
        <w:rPr>
          <w:rFonts w:ascii="Microsoft JhengHei" w:eastAsia="Microsoft JhengHei" w:hAnsi="Microsoft JhengHei" w:hint="eastAsia"/>
          <w:b/>
          <w:sz w:val="21"/>
        </w:rPr>
        <w:t>年</w:t>
      </w:r>
      <w:r>
        <w:rPr>
          <w:spacing w:val="-3"/>
          <w:sz w:val="21"/>
        </w:rPr>
        <w:t>，试点领域</w:t>
      </w:r>
      <w:r>
        <w:rPr>
          <w:rFonts w:ascii="Microsoft JhengHei" w:eastAsia="Microsoft JhengHei" w:hAnsi="Microsoft JhengHei" w:hint="eastAsia"/>
          <w:b/>
          <w:sz w:val="21"/>
        </w:rPr>
        <w:t>新增及更新车辆中</w:t>
      </w:r>
      <w:r>
        <w:rPr>
          <w:spacing w:val="-2"/>
          <w:sz w:val="21"/>
        </w:rPr>
        <w:t>新能源汽</w:t>
      </w:r>
      <w:r>
        <w:rPr>
          <w:spacing w:val="-7"/>
          <w:sz w:val="21"/>
        </w:rPr>
        <w:t>车比例显著提高，其中城市公交、出租、</w:t>
      </w:r>
      <w:r>
        <w:rPr>
          <w:rFonts w:ascii="Microsoft JhengHei" w:eastAsia="Microsoft JhengHei" w:hAnsi="Microsoft JhengHei" w:hint="eastAsia"/>
          <w:b/>
          <w:sz w:val="21"/>
        </w:rPr>
        <w:t>环卫</w:t>
      </w:r>
      <w:r>
        <w:rPr>
          <w:spacing w:val="-6"/>
          <w:sz w:val="21"/>
        </w:rPr>
        <w:t>、邮政快递、城市物流配送领域</w:t>
      </w:r>
      <w:r>
        <w:rPr>
          <w:spacing w:val="-14"/>
          <w:sz w:val="21"/>
        </w:rPr>
        <w:t xml:space="preserve">力争达到 </w:t>
      </w:r>
      <w:r>
        <w:rPr>
          <w:rFonts w:ascii="Times New Roman" w:eastAsia="Times New Roman" w:hAnsi="Times New Roman"/>
          <w:b/>
          <w:sz w:val="21"/>
        </w:rPr>
        <w:t>80%</w:t>
      </w:r>
      <w:r>
        <w:rPr>
          <w:sz w:val="21"/>
        </w:rPr>
        <w:t>。</w:t>
      </w: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1"/>
          <w:numId w:val="5"/>
        </w:numPr>
        <w:tabs>
          <w:tab w:val="left" w:pos="3245"/>
          <w:tab w:val="left" w:pos="3246"/>
        </w:tabs>
        <w:spacing w:before="1" w:after="0" w:line="240" w:lineRule="auto"/>
        <w:ind w:left="3245" w:right="0" w:hanging="421"/>
        <w:jc w:val="left"/>
        <w:rPr>
          <w:sz w:val="21"/>
        </w:rPr>
      </w:pPr>
      <w:r>
        <w:rPr>
          <w:rFonts w:ascii="Times New Roman" w:eastAsia="Times New Roman" w:hAnsi="Times New Roman"/>
          <w:sz w:val="21"/>
        </w:rPr>
        <w:t>2023</w:t>
      </w:r>
      <w:r>
        <w:rPr>
          <w:rFonts w:ascii="Times New Roman" w:eastAsia="Times New Roman" w:hAnsi="Times New Roman"/>
          <w:spacing w:val="-1"/>
          <w:sz w:val="21"/>
        </w:rPr>
        <w:t xml:space="preserve"> </w:t>
      </w:r>
      <w:r>
        <w:rPr>
          <w:spacing w:val="-26"/>
          <w:sz w:val="21"/>
        </w:rPr>
        <w:t xml:space="preserve">年 </w:t>
      </w:r>
      <w:r>
        <w:rPr>
          <w:rFonts w:ascii="Times New Roman" w:eastAsia="Times New Roman" w:hAnsi="Times New Roman"/>
          <w:spacing w:val="-5"/>
          <w:sz w:val="21"/>
        </w:rPr>
        <w:t>11</w:t>
      </w:r>
      <w:r>
        <w:rPr>
          <w:rFonts w:ascii="Times New Roman" w:eastAsia="Times New Roman" w:hAnsi="Times New Roman"/>
          <w:spacing w:val="2"/>
          <w:sz w:val="21"/>
        </w:rPr>
        <w:t xml:space="preserve"> </w:t>
      </w:r>
      <w:r>
        <w:rPr>
          <w:spacing w:val="-26"/>
          <w:sz w:val="21"/>
        </w:rPr>
        <w:t xml:space="preserve">月 </w:t>
      </w:r>
      <w:r>
        <w:rPr>
          <w:rFonts w:ascii="Times New Roman" w:eastAsia="Times New Roman" w:hAnsi="Times New Roman"/>
          <w:sz w:val="21"/>
        </w:rPr>
        <w:t>14</w:t>
      </w:r>
      <w:r>
        <w:rPr>
          <w:rFonts w:ascii="Times New Roman" w:eastAsia="Times New Roman" w:hAnsi="Times New Roman"/>
          <w:spacing w:val="3"/>
          <w:sz w:val="21"/>
        </w:rPr>
        <w:t xml:space="preserve"> </w:t>
      </w:r>
      <w:r>
        <w:rPr>
          <w:spacing w:val="-12"/>
          <w:sz w:val="21"/>
        </w:rPr>
        <w:t>日，工信部等八部门印发《关于启动第一批公共领域车辆全面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Heading3"/>
        <w:spacing w:before="0"/>
      </w:pPr>
      <w:r>
        <w:t>7 / 29</w:t>
      </w:r>
    </w:p>
    <w:p>
      <w:pPr>
        <w:spacing w:after="0"/>
        <w:sectPr>
          <w:headerReference w:type="default" r:id="rId49"/>
          <w:footerReference w:type="default" r:id="rId50"/>
          <w:pgSz w:w="11910" w:h="16840"/>
          <w:pgMar w:top="1340" w:right="280" w:bottom="500" w:left="720" w:header="708" w:footer="708"/>
          <w:pgNumType w:start="16"/>
          <w:cols w:space="708"/>
        </w:sectPr>
      </w:pPr>
    </w:p>
    <w:p>
      <w:pPr>
        <w:spacing w:before="49"/>
        <w:ind w:left="3245" w:right="0" w:firstLine="0"/>
        <w:jc w:val="left"/>
        <w:rPr>
          <w:sz w:val="21"/>
        </w:rPr>
      </w:pPr>
      <w:r>
        <w:rPr>
          <w:sz w:val="21"/>
        </w:rPr>
        <w:t>电动化先行区试点的通知》，确定</w:t>
      </w:r>
      <w:r>
        <w:rPr>
          <w:rFonts w:ascii="Microsoft JhengHei" w:eastAsia="Microsoft JhengHei" w:hint="eastAsia"/>
          <w:b/>
          <w:sz w:val="21"/>
        </w:rPr>
        <w:t xml:space="preserve">北京等 </w:t>
      </w:r>
      <w:r>
        <w:rPr>
          <w:rFonts w:ascii="Times New Roman" w:eastAsia="Times New Roman"/>
          <w:b/>
          <w:sz w:val="21"/>
        </w:rPr>
        <w:t xml:space="preserve">15 </w:t>
      </w:r>
      <w:r>
        <w:rPr>
          <w:rFonts w:ascii="Microsoft JhengHei" w:eastAsia="Microsoft JhengHei" w:hint="eastAsia"/>
          <w:b/>
          <w:sz w:val="21"/>
        </w:rPr>
        <w:t>个城市</w:t>
      </w:r>
      <w:r>
        <w:rPr>
          <w:sz w:val="21"/>
        </w:rPr>
        <w:t>为此次试点城市。</w:t>
      </w:r>
    </w:p>
    <w:p>
      <w:pPr>
        <w:pStyle w:val="BodyText"/>
        <w:spacing w:before="8"/>
        <w:rPr>
          <w:sz w:val="16"/>
        </w:rPr>
      </w:pPr>
    </w:p>
    <w:p>
      <w:pPr>
        <w:pStyle w:val="ListParagraph"/>
        <w:numPr>
          <w:ilvl w:val="1"/>
          <w:numId w:val="3"/>
        </w:numPr>
        <w:tabs>
          <w:tab w:val="left" w:pos="3246"/>
        </w:tabs>
        <w:spacing w:before="0" w:after="0" w:line="252" w:lineRule="auto"/>
        <w:ind w:left="3245" w:right="563" w:hanging="421"/>
        <w:jc w:val="both"/>
        <w:rPr>
          <w:sz w:val="21"/>
        </w:rPr>
      </w:pPr>
      <w:r>
        <w:rPr>
          <w:rFonts w:ascii="Times New Roman" w:eastAsia="Times New Roman" w:hAnsi="Times New Roman"/>
          <w:sz w:val="21"/>
        </w:rPr>
        <w:t>2023</w:t>
      </w:r>
      <w:r>
        <w:rPr>
          <w:rFonts w:ascii="Times New Roman" w:eastAsia="Times New Roman" w:hAnsi="Times New Roman"/>
          <w:spacing w:val="12"/>
          <w:sz w:val="21"/>
        </w:rPr>
        <w:t xml:space="preserve"> </w:t>
      </w:r>
      <w:r>
        <w:rPr>
          <w:spacing w:val="-18"/>
          <w:sz w:val="21"/>
        </w:rPr>
        <w:t xml:space="preserve">年 </w:t>
      </w:r>
      <w:r>
        <w:rPr>
          <w:rFonts w:ascii="Times New Roman" w:eastAsia="Times New Roman" w:hAnsi="Times New Roman"/>
          <w:sz w:val="21"/>
        </w:rPr>
        <w:t>12</w:t>
      </w:r>
      <w:r>
        <w:rPr>
          <w:rFonts w:ascii="Times New Roman" w:eastAsia="Times New Roman" w:hAnsi="Times New Roman"/>
          <w:spacing w:val="15"/>
          <w:sz w:val="21"/>
        </w:rPr>
        <w:t xml:space="preserve"> </w:t>
      </w:r>
      <w:r>
        <w:rPr>
          <w:spacing w:val="-20"/>
          <w:sz w:val="21"/>
        </w:rPr>
        <w:t xml:space="preserve">月 </w:t>
      </w:r>
      <w:r>
        <w:rPr>
          <w:rFonts w:ascii="Times New Roman" w:eastAsia="Times New Roman" w:hAnsi="Times New Roman"/>
          <w:sz w:val="21"/>
        </w:rPr>
        <w:t>7</w:t>
      </w:r>
      <w:r>
        <w:rPr>
          <w:rFonts w:ascii="Times New Roman" w:eastAsia="Times New Roman" w:hAnsi="Times New Roman"/>
          <w:spacing w:val="15"/>
          <w:sz w:val="21"/>
        </w:rPr>
        <w:t xml:space="preserve"> </w:t>
      </w:r>
      <w:r>
        <w:rPr>
          <w:spacing w:val="-10"/>
          <w:sz w:val="21"/>
        </w:rPr>
        <w:t xml:space="preserve">日，国务院印发《空气质量持续改善行动计划》，要求到 </w:t>
      </w:r>
      <w:r>
        <w:rPr>
          <w:rFonts w:ascii="Times New Roman" w:eastAsia="Times New Roman" w:hAnsi="Times New Roman"/>
          <w:spacing w:val="-3"/>
          <w:sz w:val="21"/>
        </w:rPr>
        <w:t xml:space="preserve">2025 </w:t>
      </w:r>
      <w:r>
        <w:rPr>
          <w:spacing w:val="-6"/>
          <w:sz w:val="21"/>
        </w:rPr>
        <w:t>年重点区域公共领域新增或更新公交、出租、城市物流配送、</w:t>
      </w:r>
      <w:r>
        <w:rPr>
          <w:rFonts w:ascii="Microsoft JhengHei" w:eastAsia="Microsoft JhengHei" w:hAnsi="Microsoft JhengHei" w:hint="eastAsia"/>
          <w:b/>
          <w:sz w:val="21"/>
        </w:rPr>
        <w:t>轻型环卫</w:t>
      </w:r>
      <w:r>
        <w:rPr>
          <w:spacing w:val="-2"/>
          <w:sz w:val="21"/>
        </w:rPr>
        <w:t>等车辆</w:t>
      </w:r>
      <w:r>
        <w:rPr>
          <w:spacing w:val="-3"/>
          <w:sz w:val="21"/>
        </w:rPr>
        <w:t>中，新能源汽车比例</w:t>
      </w:r>
      <w:r>
        <w:rPr>
          <w:rFonts w:ascii="Microsoft JhengHei" w:eastAsia="Microsoft JhengHei" w:hAnsi="Microsoft JhengHei" w:hint="eastAsia"/>
          <w:b/>
          <w:spacing w:val="-1"/>
          <w:sz w:val="21"/>
        </w:rPr>
        <w:t xml:space="preserve">不低于 </w:t>
      </w:r>
      <w:r>
        <w:rPr>
          <w:rFonts w:ascii="Times New Roman" w:eastAsia="Times New Roman" w:hAnsi="Times New Roman"/>
          <w:b/>
          <w:sz w:val="21"/>
        </w:rPr>
        <w:t>80%</w:t>
      </w:r>
      <w:r>
        <w:rPr>
          <w:sz w:val="21"/>
        </w:rPr>
        <w:t>。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16"/>
        </w:rPr>
      </w:pPr>
    </w:p>
    <w:p>
      <w:pPr>
        <w:spacing w:before="0" w:after="16"/>
        <w:ind w:left="132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表</w:t>
      </w:r>
      <w:r>
        <w:rPr>
          <w:rFonts w:ascii="Times New Roman" w:eastAsia="Times New Roman"/>
          <w:b/>
          <w:color w:val="17365D"/>
          <w:sz w:val="20"/>
        </w:rPr>
        <w:t>1</w:t>
      </w:r>
      <w:r>
        <w:rPr>
          <w:rFonts w:ascii="Microsoft JhengHei" w:eastAsia="Microsoft JhengHei" w:hint="eastAsia"/>
          <w:b/>
          <w:color w:val="17365D"/>
          <w:sz w:val="20"/>
        </w:rPr>
        <w:t>：全面电动化试点和空气质量持续改善行动计划重点区域</w:t>
      </w:r>
    </w:p>
    <w:p>
      <w:pPr>
        <w:pStyle w:val="BodyText"/>
        <w:ind w:left="132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468" style="width:510.5pt;height:19pt;mso-position-horizontal-relative:char;mso-position-vertical-relative:line" coordorigin="0,0" coordsize="10210,380">
            <v:rect id="_x0000_s1469" style="width:1561;height:341;position:absolute;top:19" filled="t" fillcolor="#d9d9d9" stroked="f">
              <v:fill type="solid"/>
            </v:rect>
            <v:rect id="_x0000_s1470" style="width:1345;height:312;left:108;position:absolute;top:33" filled="t" fillcolor="#d9d9d9" stroked="f">
              <v:fill type="solid"/>
            </v:rect>
            <v:rect id="_x0000_s1471" style="width:2694;height:341;left:1560;position:absolute;top:19" filled="t" fillcolor="#d9d9d9" stroked="f">
              <v:fill type="solid"/>
            </v:rect>
            <v:rect id="_x0000_s1472" style="width:2478;height:312;left:1668;position:absolute;top:33" filled="t" fillcolor="#d9d9d9" stroked="f">
              <v:fill type="solid"/>
            </v:rect>
            <v:rect id="_x0000_s1473" style="width:5953;height:341;left:4253;position:absolute;top:19" filled="t" fillcolor="#d9d9d9" stroked="f">
              <v:fill type="solid"/>
            </v:rect>
            <v:rect id="_x0000_s1474" style="width:5737;height:312;left:4361;position:absolute;top:33" filled="t" fillcolor="#d9d9d9" stroked="f">
              <v:fill type="solid"/>
            </v:rect>
            <v:rect id="_x0000_s1475" style="width:1561;height:20;position:absolute" filled="t" fillcolor="black" stroked="f">
              <v:fill type="solid"/>
            </v:rect>
            <v:rect id="_x0000_s1476" style="width:20;height:20;left:1560;position:absolute" filled="t" fillcolor="black" stroked="f">
              <v:fill type="solid"/>
            </v:rect>
            <v:line id="_x0000_s1477" style="position:absolute" from="1580,10" to="4254,10" stroked="t" strokecolor="black" strokeweight="0.96pt">
              <v:stroke dashstyle="solid"/>
            </v:line>
            <v:rect id="_x0000_s1478" style="width:20;height:20;left:4253;position:absolute" filled="t" fillcolor="black" stroked="f">
              <v:fill type="solid"/>
            </v:rect>
            <v:line id="_x0000_s1479" style="position:absolute" from="4273,10" to="10209,10" stroked="t" strokecolor="black" strokeweight="0.96pt">
              <v:stroke dashstyle="solid"/>
            </v:line>
            <v:rect id="_x0000_s1480" style="width:1561;height:20;position:absolute;top:360" filled="t" fillcolor="black" stroked="f">
              <v:fill type="solid"/>
            </v:rect>
            <v:rect id="_x0000_s1481" style="width:20;height:20;left:1560;position:absolute;top:360" filled="t" fillcolor="black" stroked="f">
              <v:fill type="solid"/>
            </v:rect>
            <v:line id="_x0000_s1482" style="position:absolute" from="1580,370" to="4254,370" stroked="t" strokecolor="black" strokeweight="0.96pt">
              <v:stroke dashstyle="solid"/>
            </v:line>
            <v:rect id="_x0000_s1483" style="width:20;height:20;left:4253;position:absolute;top:360" filled="t" fillcolor="black" stroked="f">
              <v:fill type="solid"/>
            </v:rect>
            <v:line id="_x0000_s1484" style="position:absolute" from="4273,370" to="10209,370" stroked="t" strokecolor="black" strokeweight="0.96pt">
              <v:stroke dashstyle="solid"/>
            </v:line>
            <v:shape id="_x0000_s1485" type="#_x0000_t202" style="width:10207;height:341;position:absolute;top:19" filled="f" stroked="f">
              <v:textbox inset="0,0,0,0">
                <w:txbxContent>
                  <w:p>
                    <w:pPr>
                      <w:tabs>
                        <w:tab w:val="left" w:pos="4253"/>
                      </w:tabs>
                      <w:spacing w:before="0" w:line="341" w:lineRule="exact"/>
                      <w:ind w:left="170" w:right="0" w:firstLine="0"/>
                      <w:jc w:val="center"/>
                      <w:rPr>
                        <w:rFonts w:ascii="Microsoft JhengHei" w:eastAsia="Microsoft JhengHei" w:hint="eastAsia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sz w:val="21"/>
                      </w:rPr>
                      <w:t>分类</w:t>
                      <w:tab/>
                      <w:t>城市</w:t>
                    </w:r>
                    <w:r>
                      <w:rPr>
                        <w:rFonts w:ascii="Times New Roman" w:eastAsia="Times New Roman"/>
                        <w:b/>
                        <w:spacing w:val="-4"/>
                        <w:sz w:val="21"/>
                      </w:rPr>
                      <w:t>/</w:t>
                    </w:r>
                    <w:r>
                      <w:rPr>
                        <w:rFonts w:ascii="Microsoft JhengHei" w:eastAsia="Microsoft JhengHei" w:hint="eastAsia"/>
                        <w:b/>
                        <w:sz w:val="21"/>
                      </w:rPr>
                      <w:t>地区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Microsoft JhengHei"/>
          <w:sz w:val="20"/>
        </w:rPr>
        <w:sectPr>
          <w:headerReference w:type="default" r:id="rId51"/>
          <w:footerReference w:type="default" r:id="rId52"/>
          <w:pgSz w:w="11910" w:h="16840"/>
          <w:pgMar w:top="1340" w:right="280" w:bottom="500" w:left="720" w:header="708" w:footer="708"/>
          <w:pgNumType w:start="17"/>
          <w:cols w:space="708"/>
        </w:sectPr>
      </w:pPr>
    </w:p>
    <w:p>
      <w:pPr>
        <w:pStyle w:val="BodyText"/>
        <w:spacing w:before="2"/>
        <w:rPr>
          <w:rFonts w:ascii="Microsoft JhengHei"/>
          <w:b/>
          <w:sz w:val="19"/>
        </w:rPr>
      </w:pPr>
    </w:p>
    <w:p>
      <w:pPr>
        <w:pStyle w:val="BodyText"/>
        <w:ind w:left="240"/>
      </w:pPr>
      <w:r>
        <w:t>首批试点城市</w:t>
      </w:r>
    </w:p>
    <w:p>
      <w:pPr>
        <w:tabs>
          <w:tab w:val="left" w:pos="2011"/>
        </w:tabs>
        <w:spacing w:before="0" w:line="328" w:lineRule="exact"/>
        <w:ind w:left="240" w:right="0" w:firstLine="0"/>
        <w:jc w:val="left"/>
        <w:rPr>
          <w:rFonts w:ascii="Microsoft JhengHei" w:eastAsia="Microsoft JhengHei" w:hint="eastAsia"/>
          <w:b/>
          <w:sz w:val="21"/>
        </w:rPr>
      </w:pPr>
      <w:r>
        <w:br w:type="column"/>
      </w:r>
      <w:r>
        <w:rPr>
          <w:sz w:val="21"/>
        </w:rPr>
        <w:t>第一类</w:t>
        <w:tab/>
      </w:r>
      <w:r>
        <w:rPr>
          <w:rFonts w:ascii="Microsoft JhengHei" w:eastAsia="Microsoft JhengHei" w:hint="eastAsia"/>
          <w:b/>
          <w:color w:val="C00000"/>
          <w:sz w:val="21"/>
        </w:rPr>
        <w:t>北京</w:t>
      </w:r>
      <w:r>
        <w:rPr>
          <w:sz w:val="21"/>
        </w:rPr>
        <w:t>、</w:t>
      </w:r>
      <w:r>
        <w:rPr>
          <w:spacing w:val="-3"/>
          <w:sz w:val="21"/>
        </w:rPr>
        <w:t>深</w:t>
      </w:r>
      <w:r>
        <w:rPr>
          <w:sz w:val="21"/>
        </w:rPr>
        <w:t>圳</w:t>
      </w:r>
      <w:r>
        <w:rPr>
          <w:spacing w:val="-3"/>
          <w:sz w:val="21"/>
        </w:rPr>
        <w:t>、</w:t>
      </w:r>
      <w:r>
        <w:rPr>
          <w:sz w:val="21"/>
        </w:rPr>
        <w:t>重</w:t>
      </w:r>
      <w:r>
        <w:rPr>
          <w:spacing w:val="-3"/>
          <w:sz w:val="21"/>
        </w:rPr>
        <w:t>庆</w:t>
      </w:r>
      <w:r>
        <w:rPr>
          <w:sz w:val="21"/>
        </w:rPr>
        <w:t>、</w:t>
      </w:r>
      <w:r>
        <w:rPr>
          <w:spacing w:val="-3"/>
          <w:sz w:val="21"/>
        </w:rPr>
        <w:t>成都、</w:t>
      </w:r>
      <w:r>
        <w:rPr>
          <w:rFonts w:ascii="Microsoft JhengHei" w:eastAsia="Microsoft JhengHei" w:hint="eastAsia"/>
          <w:b/>
          <w:color w:val="C00000"/>
          <w:sz w:val="21"/>
        </w:rPr>
        <w:t>郑州</w:t>
      </w:r>
    </w:p>
    <w:p>
      <w:pPr>
        <w:pStyle w:val="BodyText"/>
        <w:spacing w:before="13"/>
        <w:rPr>
          <w:rFonts w:ascii="Microsoft JhengHei"/>
          <w:b/>
          <w:sz w:val="19"/>
        </w:rPr>
      </w:pPr>
    </w:p>
    <w:p>
      <w:pPr>
        <w:pStyle w:val="BodyText"/>
        <w:tabs>
          <w:tab w:val="left" w:pos="2011"/>
        </w:tabs>
        <w:spacing w:line="249" w:lineRule="auto"/>
        <w:ind w:left="948" w:right="3045" w:hanging="709"/>
      </w:pPr>
      <w:r>
        <w:pict>
          <v:group id="_x0000_s1486" style="width:510.5pt;height:0.5pt;margin-top:15.18pt;margin-left:42.6pt;mso-position-horizontal-relative:page;position:absolute;z-index:-251606016" coordorigin="852,304" coordsize="10210,10">
            <v:line id="_x0000_s1487" style="position:absolute" from="852,308" to="2412,308" stroked="t" strokecolor="black" strokeweight="0.48pt">
              <v:stroke dashstyle="solid"/>
            </v:line>
            <v:rect id="_x0000_s1488" style="width:10;height:10;left:2412;position:absolute;top:303" filled="t" fillcolor="black" stroked="f">
              <v:fill type="solid"/>
            </v:rect>
            <v:line id="_x0000_s1489" style="position:absolute" from="2422,308" to="3829,308" stroked="t" strokecolor="black" strokeweight="0.48pt">
              <v:stroke dashstyle="solid"/>
            </v:line>
            <v:rect id="_x0000_s1490" style="width:10;height:10;left:3829;position:absolute;top:303" filled="t" fillcolor="black" stroked="f">
              <v:fill type="solid"/>
            </v:rect>
            <v:line id="_x0000_s1491" style="position:absolute" from="3839,308" to="5106,308" stroked="t" strokecolor="black" strokeweight="0.48pt">
              <v:stroke dashstyle="solid"/>
            </v:line>
            <v:rect id="_x0000_s1492" style="width:10;height:10;left:5105;position:absolute;top:303" filled="t" fillcolor="black" stroked="f">
              <v:fill type="solid"/>
            </v:rect>
            <v:line id="_x0000_s1493" style="position:absolute" from="5115,308" to="11061,308" stroked="t" strokecolor="black" strokeweight="0.48pt">
              <v:stroke dashstyle="solid"/>
            </v:line>
          </v:group>
        </w:pict>
      </w:r>
      <w:r>
        <w:pict>
          <v:shape id="_x0000_s1494" type="#_x0000_t202" style="width:361.5pt;height:17.05pt;margin-top:32.7pt;margin-left:191.45pt;mso-position-horizontal-relative:page;position:absolute;z-index:-251604992" filled="t" fillcolor="#f1f1f1" stroked="f">
            <v:fill type="solid"/>
            <v:textbox inset="0,0,0,0">
              <w:txbxContent>
                <w:p>
                  <w:pPr>
                    <w:pStyle w:val="BodyText"/>
                    <w:tabs>
                      <w:tab w:val="left" w:pos="1384"/>
                    </w:tabs>
                    <w:spacing w:before="37"/>
                    <w:ind w:left="321"/>
                  </w:pPr>
                  <w:r>
                    <w:t>天津市</w:t>
                    <w:tab/>
                    <w:t>天津市</w:t>
                  </w:r>
                </w:p>
              </w:txbxContent>
            </v:textbox>
          </v:shape>
        </w:pict>
      </w:r>
      <w:r>
        <w:pict>
          <v:shape id="_x0000_s1495" type="#_x0000_t202" style="width:432.35pt;height:16.95pt;margin-top:-18.81pt;margin-left:120.62pt;mso-position-horizontal-relative:page;position:absolute;z-index:251712512" filled="t" fillcolor="#f1f1f1" stroked="f">
            <v:fill type="solid"/>
            <v:textbox inset="0,0,0,0">
              <w:txbxContent>
                <w:p>
                  <w:pPr>
                    <w:tabs>
                      <w:tab w:val="left" w:pos="2801"/>
                    </w:tabs>
                    <w:spacing w:before="0" w:line="338" w:lineRule="exact"/>
                    <w:ind w:left="1029" w:right="0" w:firstLine="0"/>
                    <w:jc w:val="left"/>
                    <w:rPr>
                      <w:rFonts w:ascii="Microsoft JhengHei" w:eastAsia="Microsoft JhengHei" w:hint="eastAsia"/>
                      <w:b/>
                      <w:sz w:val="21"/>
                    </w:rPr>
                  </w:pPr>
                  <w:r>
                    <w:rPr>
                      <w:sz w:val="21"/>
                    </w:rPr>
                    <w:t>第二类</w:t>
                    <w:tab/>
                  </w:r>
                  <w:r>
                    <w:rPr>
                      <w:rFonts w:ascii="Microsoft JhengHei" w:eastAsia="Microsoft JhengHei" w:hint="eastAsia"/>
                      <w:b/>
                      <w:color w:val="C00000"/>
                      <w:sz w:val="21"/>
                    </w:rPr>
                    <w:t>宁波</w:t>
                  </w:r>
                  <w:r>
                    <w:rPr>
                      <w:sz w:val="21"/>
                    </w:rPr>
                    <w:t>、</w:t>
                  </w:r>
                  <w:r>
                    <w:rPr>
                      <w:spacing w:val="-3"/>
                      <w:sz w:val="21"/>
                    </w:rPr>
                    <w:t>厦</w:t>
                  </w:r>
                  <w:r>
                    <w:rPr>
                      <w:sz w:val="21"/>
                    </w:rPr>
                    <w:t>门</w:t>
                  </w:r>
                  <w:r>
                    <w:rPr>
                      <w:spacing w:val="-3"/>
                      <w:sz w:val="21"/>
                    </w:rPr>
                    <w:t>、</w:t>
                  </w:r>
                  <w:r>
                    <w:rPr>
                      <w:rFonts w:ascii="Microsoft JhengHei" w:eastAsia="Microsoft JhengHei" w:hint="eastAsia"/>
                      <w:b/>
                      <w:color w:val="C00000"/>
                      <w:sz w:val="21"/>
                    </w:rPr>
                    <w:t>济南</w:t>
                  </w:r>
                  <w:r>
                    <w:rPr>
                      <w:spacing w:val="-3"/>
                      <w:sz w:val="21"/>
                    </w:rPr>
                    <w:t>、</w:t>
                  </w:r>
                  <w:r>
                    <w:rPr>
                      <w:rFonts w:ascii="Microsoft JhengHei" w:eastAsia="Microsoft JhengHei" w:hint="eastAsia"/>
                      <w:b/>
                      <w:color w:val="C00000"/>
                      <w:sz w:val="21"/>
                    </w:rPr>
                    <w:t>石家庄</w:t>
                  </w:r>
                  <w:r>
                    <w:rPr>
                      <w:spacing w:val="-3"/>
                      <w:sz w:val="21"/>
                    </w:rPr>
                    <w:t>、</w:t>
                  </w:r>
                  <w:r>
                    <w:rPr>
                      <w:rFonts w:ascii="Microsoft JhengHei" w:eastAsia="Microsoft JhengHei" w:hint="eastAsia"/>
                      <w:b/>
                      <w:color w:val="C00000"/>
                      <w:sz w:val="21"/>
                    </w:rPr>
                    <w:t>唐山</w:t>
                  </w:r>
                </w:p>
              </w:txbxContent>
            </v:textbox>
          </v:shape>
        </w:pict>
      </w:r>
      <w:r>
        <w:t>第三类</w:t>
        <w:tab/>
        <w:tab/>
        <w:t>柳州</w:t>
      </w:r>
      <w:r>
        <w:rPr>
          <w:spacing w:val="-3"/>
        </w:rPr>
        <w:t>、</w:t>
      </w:r>
      <w:r>
        <w:t>海</w:t>
      </w:r>
      <w:r>
        <w:rPr>
          <w:spacing w:val="-3"/>
        </w:rPr>
        <w:t>口</w:t>
      </w:r>
      <w:r>
        <w:t>、</w:t>
      </w:r>
      <w:r>
        <w:rPr>
          <w:spacing w:val="-3"/>
        </w:rPr>
        <w:t>长</w:t>
      </w:r>
      <w:r>
        <w:t>春</w:t>
      </w:r>
      <w:r>
        <w:rPr>
          <w:spacing w:val="-3"/>
        </w:rPr>
        <w:t>、</w:t>
      </w:r>
      <w:r>
        <w:t>银</w:t>
      </w:r>
      <w:r>
        <w:rPr>
          <w:spacing w:val="-3"/>
        </w:rPr>
        <w:t>川</w:t>
      </w:r>
      <w:r>
        <w:t>、鄂</w:t>
      </w:r>
      <w:r>
        <w:rPr>
          <w:spacing w:val="-3"/>
        </w:rPr>
        <w:t>尔</w:t>
      </w:r>
      <w:r>
        <w:t>多</w:t>
      </w:r>
      <w:r>
        <w:rPr>
          <w:spacing w:val="-13"/>
        </w:rPr>
        <w:t>斯</w:t>
      </w:r>
      <w:r>
        <w:t>北京市</w:t>
        <w:tab/>
      </w:r>
      <w:r>
        <w:rPr>
          <w:rFonts w:ascii="Microsoft JhengHei" w:eastAsia="Microsoft JhengHei" w:hint="eastAsia"/>
          <w:b/>
          <w:color w:val="C00000"/>
        </w:rPr>
        <w:t>北京</w:t>
      </w:r>
      <w:r>
        <w:t>市</w:t>
      </w:r>
    </w:p>
    <w:p>
      <w:pPr>
        <w:spacing w:after="0" w:line="249" w:lineRule="auto"/>
        <w:sectPr>
          <w:headerReference w:type="default" r:id="rId53"/>
          <w:footerReference w:type="default" r:id="rId54"/>
          <w:type w:val="continuous"/>
          <w:pgSz w:w="11910" w:h="16840"/>
          <w:pgMar w:top="1340" w:right="280" w:bottom="500" w:left="720" w:header="708" w:footer="708"/>
          <w:pgNumType w:start="18"/>
          <w:cols w:num="2" w:space="708" w:equalWidth="0">
            <w:col w:w="1543" w:space="939"/>
            <w:col w:w="8428" w:space="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55"/>
          <w:footerReference w:type="default" r:id="rId56"/>
          <w:type w:val="continuous"/>
          <w:pgSz w:w="11910" w:h="16840"/>
          <w:pgMar w:top="1340" w:right="280" w:bottom="500" w:left="720" w:header="708" w:footer="708"/>
          <w:pgNumType w:start="19"/>
          <w:cols w:space="708"/>
        </w:sect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spacing w:line="278" w:lineRule="auto"/>
        <w:ind w:left="1800"/>
      </w:pPr>
      <w:r>
        <w:pict>
          <v:group id="_x0000_s1496" style="width:361.5pt;height:31.2pt;margin-top:15.9pt;margin-left:191.45pt;mso-position-horizontal-relative:page;position:absolute;z-index:-251602944" coordorigin="3829,318" coordsize="7230,624">
            <v:shape id="_x0000_s1497" style="width:7230;height:624;left:3829;position:absolute;top:318" coordorigin="3829,318" coordsize="7230,624" path="m11059,318l10951,318,5214,318,5106,318,3829,318,3829,942,5106,942,5214,942,10951,942,11059,942,11059,318e" filled="t" fillcolor="#f1f1f1" stroked="f">
              <v:fill type="solid"/>
              <v:path arrowok="t"/>
            </v:shape>
            <v:shape id="_x0000_s1498" type="#_x0000_t202" style="width:5759;height:524;left:5213;position:absolute;top:369" filled="f" stroked="f">
              <v:textbox inset="0,0,0,0">
                <w:txbxContent>
                  <w:p>
                    <w:pPr>
                      <w:spacing w:before="0" w:line="286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C00000"/>
                        <w:sz w:val="21"/>
                      </w:rPr>
                      <w:t>济南</w:t>
                    </w:r>
                    <w:r>
                      <w:rPr>
                        <w:spacing w:val="-15"/>
                        <w:sz w:val="21"/>
                      </w:rPr>
                      <w:t>、淄博、枣庄、东营、潍坊、济宁、泰安、日照、临沂、德</w:t>
                    </w:r>
                  </w:p>
                  <w:p>
                    <w:pPr>
                      <w:spacing w:before="0" w:line="237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州、聊城、滨州、菏泽市</w:t>
                    </w:r>
                  </w:p>
                </w:txbxContent>
              </v:textbox>
            </v:shape>
            <v:shape id="_x0000_s1499" type="#_x0000_t202" style="width:654;height:212;left:4150;position:absolute;top:525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山东省</w:t>
                    </w:r>
                  </w:p>
                </w:txbxContent>
              </v:textbox>
            </v:shape>
          </v:group>
        </w:pict>
      </w:r>
      <w:r>
        <w:t>京津冀及周边地区</w:t>
      </w:r>
    </w:p>
    <w:p>
      <w:pPr>
        <w:pStyle w:val="BodyText"/>
        <w:spacing w:before="10"/>
        <w:rPr>
          <w:sz w:val="17"/>
        </w:rPr>
      </w:pPr>
      <w:r>
        <w:br w:type="column"/>
      </w:r>
    </w:p>
    <w:p>
      <w:pPr>
        <w:pStyle w:val="BodyText"/>
        <w:ind w:left="388"/>
      </w:pPr>
      <w:r>
        <w:t>河北省</w:t>
      </w:r>
    </w:p>
    <w:p>
      <w:pPr>
        <w:pStyle w:val="BodyText"/>
        <w:spacing w:before="8" w:line="235" w:lineRule="auto"/>
        <w:ind w:left="389" w:right="671"/>
      </w:pPr>
      <w:r>
        <w:br w:type="column"/>
      </w:r>
      <w:r>
        <w:rPr>
          <w:rFonts w:ascii="Microsoft JhengHei" w:eastAsia="Microsoft JhengHei" w:hint="eastAsia"/>
          <w:b/>
          <w:color w:val="C00000"/>
        </w:rPr>
        <w:t>石家庄</w:t>
      </w:r>
      <w:r>
        <w:rPr>
          <w:spacing w:val="-22"/>
        </w:rPr>
        <w:t>、</w:t>
      </w:r>
      <w:r>
        <w:rPr>
          <w:rFonts w:ascii="Microsoft JhengHei" w:eastAsia="Microsoft JhengHei" w:hint="eastAsia"/>
          <w:b/>
          <w:color w:val="C00000"/>
        </w:rPr>
        <w:t>唐山</w:t>
      </w:r>
      <w:r>
        <w:rPr>
          <w:spacing w:val="-14"/>
        </w:rPr>
        <w:t>、秦皇岛、邯郸、邢台、保定、沧州、廊坊、衡水</w:t>
      </w:r>
      <w:r>
        <w:rPr>
          <w:spacing w:val="-3"/>
        </w:rPr>
        <w:t>市以及雄安新区和辛集、定州市</w:t>
      </w:r>
    </w:p>
    <w:p>
      <w:pPr>
        <w:spacing w:after="0" w:line="235" w:lineRule="auto"/>
        <w:sectPr>
          <w:headerReference w:type="default" r:id="rId57"/>
          <w:footerReference w:type="default" r:id="rId58"/>
          <w:type w:val="continuous"/>
          <w:pgSz w:w="11910" w:h="16840"/>
          <w:pgMar w:top="1340" w:right="280" w:bottom="500" w:left="720" w:header="708" w:footer="708"/>
          <w:pgNumType w:start="20"/>
          <w:cols w:num="3" w:space="708" w:equalWidth="0">
            <w:col w:w="3002" w:space="40"/>
            <w:col w:w="1023" w:space="39"/>
            <w:col w:w="6806" w:space="0"/>
          </w:cols>
        </w:sectPr>
      </w:pPr>
    </w:p>
    <w:p>
      <w:pPr>
        <w:pStyle w:val="BodyText"/>
      </w:pPr>
    </w:p>
    <w:p>
      <w:pPr>
        <w:spacing w:after="0"/>
        <w:sectPr>
          <w:headerReference w:type="default" r:id="rId59"/>
          <w:footerReference w:type="default" r:id="rId60"/>
          <w:type w:val="continuous"/>
          <w:pgSz w:w="11910" w:h="16840"/>
          <w:pgMar w:top="1340" w:right="280" w:bottom="500" w:left="72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52" w:line="278" w:lineRule="auto"/>
        <w:ind w:left="240"/>
        <w:jc w:val="both"/>
      </w:pPr>
      <w:r>
        <w:t>空气质量持续改善行动计划重点区域</w:t>
      </w:r>
    </w:p>
    <w:p>
      <w:pPr>
        <w:pStyle w:val="BodyText"/>
        <w:rPr>
          <w:sz w:val="20"/>
        </w:rPr>
      </w:pPr>
      <w:r>
        <w:br w:type="column"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BodyText"/>
        <w:ind w:left="174"/>
      </w:pPr>
      <w:r>
        <w:t>长三角地区</w:t>
      </w:r>
    </w:p>
    <w:p>
      <w:pPr>
        <w:pStyle w:val="BodyText"/>
        <w:spacing w:before="10"/>
        <w:rPr>
          <w:sz w:val="17"/>
        </w:rPr>
      </w:pPr>
      <w:r>
        <w:br w:type="column"/>
      </w:r>
    </w:p>
    <w:p>
      <w:pPr>
        <w:pStyle w:val="BodyText"/>
        <w:ind w:left="240"/>
      </w:pPr>
      <w:r>
        <w:t>河南省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ind w:left="240"/>
      </w:pPr>
      <w:r>
        <w:t>江苏省</w:t>
      </w:r>
    </w:p>
    <w:p>
      <w:pPr>
        <w:pStyle w:val="BodyText"/>
        <w:spacing w:before="8" w:line="235" w:lineRule="auto"/>
        <w:ind w:left="240" w:right="565"/>
      </w:pPr>
      <w:r>
        <w:br w:type="column"/>
      </w:r>
      <w:r>
        <w:rPr>
          <w:rFonts w:ascii="Microsoft JhengHei" w:eastAsia="Microsoft JhengHei" w:hint="eastAsia"/>
          <w:b/>
          <w:color w:val="C00000"/>
        </w:rPr>
        <w:t>郑州</w:t>
      </w:r>
      <w:r>
        <w:rPr>
          <w:spacing w:val="-8"/>
        </w:rPr>
        <w:t>、开封、洛阳、平顶山、安阳、鹤壁、新乡、焦作、濮阳、</w:t>
      </w:r>
      <w:r>
        <w:rPr>
          <w:spacing w:val="-5"/>
        </w:rPr>
        <w:t>许昌、漯河、三门峡、商丘、周口市以及济源市</w:t>
      </w:r>
    </w:p>
    <w:p>
      <w:pPr>
        <w:pStyle w:val="BodyText"/>
        <w:rPr>
          <w:sz w:val="20"/>
        </w:rPr>
      </w:pPr>
    </w:p>
    <w:p>
      <w:pPr>
        <w:pStyle w:val="BodyText"/>
        <w:spacing w:before="138" w:line="278" w:lineRule="auto"/>
        <w:ind w:left="240" w:right="563"/>
      </w:pPr>
      <w:r>
        <w:pict>
          <v:group id="_x0000_s1500" style="width:432.45pt;height:17.4pt;margin-top:-11.64pt;margin-left:120.62pt;mso-position-horizontal-relative:page;position:absolute;z-index:251714560" coordorigin="2412,-233" coordsize="8649,348">
            <v:shape id="_x0000_s1501" style="width:7230;height:339;left:3829;position:absolute;top:-224" coordorigin="3829,-223" coordsize="7230,339" path="m11059,-223l5106,-223,3829,-223,3829,115,5106,115,11059,115,11059,-223e" filled="t" fillcolor="#f1f1f1" stroked="f">
              <v:fill type="solid"/>
              <v:path arrowok="t"/>
            </v:shape>
            <v:line id="_x0000_s1502" style="position:absolute" from="2412,-228" to="3829,-228" stroked="t" strokecolor="black" strokeweight="0.48pt">
              <v:stroke dashstyle="solid"/>
            </v:line>
            <v:rect id="_x0000_s1503" style="width:10;height:10;left:3829;position:absolute;top:-233" filled="t" fillcolor="black" stroked="f">
              <v:fill type="solid"/>
            </v:rect>
            <v:line id="_x0000_s1504" style="position:absolute" from="3839,-228" to="5106,-228" stroked="t" strokecolor="black" strokeweight="0.48pt">
              <v:stroke dashstyle="solid"/>
            </v:line>
            <v:rect id="_x0000_s1505" style="width:10;height:10;left:5105;position:absolute;top:-233" filled="t" fillcolor="black" stroked="f">
              <v:fill type="solid"/>
            </v:rect>
            <v:line id="_x0000_s1506" style="position:absolute" from="5115,-228" to="11061,-228" stroked="t" strokecolor="black" strokeweight="0.48pt">
              <v:stroke dashstyle="solid"/>
            </v:line>
            <v:shape id="_x0000_s1507" type="#_x0000_t202" style="width:654;height:212;left:5213;position:absolute;top:-158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上海市</w:t>
                    </w:r>
                  </w:p>
                </w:txbxContent>
              </v:textbox>
            </v:shape>
            <v:shape id="_x0000_s1508" type="#_x0000_t202" style="width:654;height:212;left:4150;position:absolute;top:-158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上海市</w:t>
                    </w:r>
                  </w:p>
                </w:txbxContent>
              </v:textbox>
            </v:shape>
          </v:group>
        </w:pict>
      </w:r>
      <w:r>
        <w:pict>
          <v:shape id="_x0000_s1509" type="#_x0000_t202" style="width:361.5pt;height:17.05pt;margin-top:36.98pt;margin-left:191.45pt;mso-position-horizontal-relative:page;position:absolute;z-index:251715584" filled="t" fillcolor="#f1f1f1" stroked="f">
            <v:fill type="solid"/>
            <v:textbox inset="0,0,0,0">
              <w:txbxContent>
                <w:p>
                  <w:pPr>
                    <w:pStyle w:val="BodyText"/>
                    <w:tabs>
                      <w:tab w:val="left" w:pos="1384"/>
                    </w:tabs>
                    <w:spacing w:line="341" w:lineRule="exact"/>
                    <w:ind w:left="321"/>
                  </w:pPr>
                  <w:r>
                    <w:t>浙江省</w:t>
                    <w:tab/>
                    <w:t>杭州</w:t>
                  </w:r>
                  <w:r>
                    <w:rPr>
                      <w:spacing w:val="-3"/>
                    </w:rPr>
                    <w:t>、</w:t>
                  </w:r>
                  <w:r>
                    <w:rPr>
                      <w:rFonts w:ascii="Microsoft JhengHei" w:eastAsia="Microsoft JhengHei" w:hint="eastAsia"/>
                      <w:b/>
                      <w:color w:val="C00000"/>
                    </w:rPr>
                    <w:t>宁波</w:t>
                  </w:r>
                  <w:r>
                    <w:rPr>
                      <w:spacing w:val="-3"/>
                    </w:rPr>
                    <w:t>、</w:t>
                  </w:r>
                  <w:r>
                    <w:t>嘉</w:t>
                  </w:r>
                  <w:r>
                    <w:rPr>
                      <w:spacing w:val="-3"/>
                    </w:rPr>
                    <w:t>兴</w:t>
                  </w:r>
                  <w:r>
                    <w:t>、</w:t>
                  </w:r>
                  <w:r>
                    <w:rPr>
                      <w:spacing w:val="-3"/>
                    </w:rPr>
                    <w:t>湖州</w:t>
                  </w:r>
                  <w:r>
                    <w:t>、绍</w:t>
                  </w:r>
                  <w:r>
                    <w:rPr>
                      <w:spacing w:val="-3"/>
                    </w:rPr>
                    <w:t>兴</w:t>
                  </w:r>
                  <w:r>
                    <w:t>、</w:t>
                  </w:r>
                  <w:r>
                    <w:rPr>
                      <w:spacing w:val="-3"/>
                    </w:rPr>
                    <w:t>舟</w:t>
                  </w:r>
                  <w:r>
                    <w:t>山市</w:t>
                  </w:r>
                </w:p>
              </w:txbxContent>
            </v:textbox>
          </v:shape>
        </w:pict>
      </w:r>
      <w:r>
        <w:rPr>
          <w:spacing w:val="-8"/>
        </w:rPr>
        <w:t>常州、淮安、连云港、南京、南通、苏州、宿迁、泰州、无锡、</w:t>
      </w:r>
      <w:r>
        <w:rPr>
          <w:spacing w:val="-5"/>
        </w:rPr>
        <w:t>徐州、盐城、扬州、镇江市</w:t>
      </w:r>
    </w:p>
    <w:p>
      <w:pPr>
        <w:spacing w:after="0" w:line="278" w:lineRule="auto"/>
        <w:sectPr>
          <w:headerReference w:type="default" r:id="rId61"/>
          <w:footerReference w:type="default" r:id="rId62"/>
          <w:type w:val="continuous"/>
          <w:pgSz w:w="11910" w:h="16840"/>
          <w:pgMar w:top="1340" w:right="280" w:bottom="500" w:left="720" w:header="708" w:footer="708"/>
          <w:pgNumType w:start="22"/>
          <w:cols w:num="4" w:space="708" w:equalWidth="0">
            <w:col w:w="1586" w:space="40"/>
            <w:col w:w="1269" w:space="296"/>
            <w:col w:w="914" w:space="149"/>
            <w:col w:w="6656" w:space="0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63"/>
          <w:footerReference w:type="default" r:id="rId64"/>
          <w:type w:val="continuous"/>
          <w:pgSz w:w="11910" w:h="16840"/>
          <w:pgMar w:top="1340" w:right="280" w:bottom="500" w:left="720" w:header="708" w:footer="708"/>
          <w:pgNumType w:start="23"/>
          <w:cols w:space="708"/>
        </w:sect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1"/>
        <w:jc w:val="right"/>
      </w:pPr>
      <w:r>
        <w:t>安徽省</w:t>
      </w:r>
    </w:p>
    <w:p>
      <w:pPr>
        <w:pStyle w:val="BodyText"/>
        <w:spacing w:before="71" w:line="278" w:lineRule="auto"/>
        <w:ind w:left="389" w:right="563"/>
      </w:pPr>
      <w:r>
        <w:br w:type="column"/>
      </w:r>
      <w:r>
        <w:rPr>
          <w:spacing w:val="-8"/>
        </w:rPr>
        <w:t>合肥、芜湖、蚌埠、淮南、马鞍山、淮北、滁州、阜阳、宿州、</w:t>
      </w:r>
      <w:r>
        <w:rPr>
          <w:spacing w:val="-5"/>
        </w:rPr>
        <w:t>六安、亳州市</w:t>
      </w:r>
    </w:p>
    <w:p>
      <w:pPr>
        <w:spacing w:after="0" w:line="278" w:lineRule="auto"/>
        <w:sectPr>
          <w:headerReference w:type="default" r:id="rId65"/>
          <w:footerReference w:type="default" r:id="rId66"/>
          <w:type w:val="continuous"/>
          <w:pgSz w:w="11910" w:h="16840"/>
          <w:pgMar w:top="1340" w:right="280" w:bottom="500" w:left="720" w:header="708" w:footer="708"/>
          <w:pgNumType w:start="24"/>
          <w:cols w:num="2" w:space="708" w:equalWidth="0">
            <w:col w:w="4065" w:space="40"/>
            <w:col w:w="6805" w:space="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7"/>
          <w:footerReference w:type="default" r:id="rId68"/>
          <w:type w:val="continuous"/>
          <w:pgSz w:w="11910" w:h="16840"/>
          <w:pgMar w:top="1340" w:right="280" w:bottom="500" w:left="720" w:header="708" w:footer="708"/>
          <w:pgNumType w:start="25"/>
          <w:cols w:space="708"/>
        </w:sectPr>
      </w:pPr>
    </w:p>
    <w:p>
      <w:pPr>
        <w:pStyle w:val="BodyText"/>
        <w:spacing w:before="72"/>
        <w:jc w:val="right"/>
      </w:pPr>
      <w:r>
        <w:pict>
          <v:group id="_x0000_s1510" style="width:432.45pt;height:17.55pt;margin-top:-14.34pt;margin-left:120.62pt;mso-position-horizontal-relative:page;position:absolute;z-index:251716608" coordorigin="2412,-287" coordsize="8649,351">
            <v:shape id="_x0000_s1511" style="width:7230;height:341;left:3829;position:absolute;top:-278" coordorigin="3829,-277" coordsize="7230,341" path="m11059,-277l5106,-277,3829,-277,3829,64,5106,64,11059,64,11059,-277e" filled="t" fillcolor="#f1f1f1" stroked="f">
              <v:fill type="solid"/>
              <v:path arrowok="t"/>
            </v:shape>
            <v:line id="_x0000_s1512" style="position:absolute" from="2412,-282" to="3829,-282" stroked="t" strokecolor="black" strokeweight="0.48pt">
              <v:stroke dashstyle="solid"/>
            </v:line>
            <v:rect id="_x0000_s1513" style="width:10;height:10;left:3829;position:absolute;top:-287" filled="t" fillcolor="black" stroked="f">
              <v:fill type="solid"/>
            </v:rect>
            <v:line id="_x0000_s1514" style="position:absolute" from="3839,-282" to="5106,-282" stroked="t" strokecolor="black" strokeweight="0.48pt">
              <v:stroke dashstyle="solid"/>
            </v:line>
            <v:rect id="_x0000_s1515" style="width:10;height:10;left:5105;position:absolute;top:-287" filled="t" fillcolor="black" stroked="f">
              <v:fill type="solid"/>
            </v:rect>
            <v:line id="_x0000_s1516" style="position:absolute" from="5115,-282" to="11061,-282" stroked="t" strokecolor="black" strokeweight="0.48pt">
              <v:stroke dashstyle="solid"/>
            </v:line>
            <v:shape id="_x0000_s1517" type="#_x0000_t202" style="width:5066;height:212;left:5213;position:absolute;top:-212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太原、阳泉、长治、晋城、晋中、运城、临汾、吕梁市</w:t>
                    </w:r>
                  </w:p>
                </w:txbxContent>
              </v:textbox>
            </v:shape>
            <v:shape id="_x0000_s1518" type="#_x0000_t202" style="width:654;height:212;left:4150;position:absolute;top:-212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山西省</w:t>
                    </w:r>
                  </w:p>
                </w:txbxContent>
              </v:textbox>
            </v:shape>
          </v:group>
        </w:pict>
      </w:r>
      <w:r>
        <w:t>汾渭平原</w:t>
      </w:r>
    </w:p>
    <w:p>
      <w:pPr>
        <w:pStyle w:val="BodyText"/>
        <w:spacing w:before="12"/>
        <w:rPr>
          <w:sz w:val="18"/>
        </w:rPr>
      </w:pPr>
      <w:r>
        <w:br w:type="column"/>
      </w:r>
    </w:p>
    <w:p>
      <w:pPr>
        <w:pStyle w:val="BodyText"/>
        <w:ind w:left="747"/>
      </w:pPr>
      <w:r>
        <w:t>陕西省</w:t>
      </w:r>
    </w:p>
    <w:p>
      <w:pPr>
        <w:pStyle w:val="BodyText"/>
        <w:spacing w:before="86" w:line="278" w:lineRule="auto"/>
        <w:ind w:left="389" w:right="669"/>
      </w:pPr>
      <w:r>
        <w:br w:type="column"/>
      </w:r>
      <w:r>
        <w:rPr>
          <w:spacing w:val="-14"/>
        </w:rPr>
        <w:t>西安、铜川、宝鸡、咸阳、渭南市以及杨凌农业高新技术产业示</w:t>
      </w:r>
      <w:r>
        <w:rPr>
          <w:spacing w:val="-7"/>
        </w:rPr>
        <w:t>范区、韩城市</w:t>
      </w:r>
    </w:p>
    <w:p>
      <w:pPr>
        <w:spacing w:after="0" w:line="278" w:lineRule="auto"/>
        <w:sectPr>
          <w:headerReference w:type="default" r:id="rId69"/>
          <w:footerReference w:type="default" r:id="rId70"/>
          <w:type w:val="continuous"/>
          <w:pgSz w:w="11910" w:h="16840"/>
          <w:pgMar w:top="1340" w:right="280" w:bottom="500" w:left="720" w:header="708" w:footer="708"/>
          <w:pgNumType w:start="26"/>
          <w:cols w:num="3" w:space="708" w:equalWidth="0">
            <w:col w:w="2643" w:space="40"/>
            <w:col w:w="1382" w:space="39"/>
            <w:col w:w="6806" w:space="0"/>
          </w:cols>
        </w:sectPr>
      </w:pPr>
    </w:p>
    <w:p>
      <w:pPr>
        <w:pStyle w:val="BodyText"/>
        <w:spacing w:before="19"/>
        <w:ind w:left="132"/>
      </w:pPr>
      <w:r>
        <w:t xml:space="preserve">数据来源：工信部，国务院，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4"/>
        </w:rPr>
      </w:pPr>
    </w:p>
    <w:p>
      <w:pPr>
        <w:pStyle w:val="Heading3"/>
        <w:spacing w:before="0" w:line="232" w:lineRule="auto"/>
        <w:ind w:left="2400" w:right="455" w:firstLine="424"/>
        <w:jc w:val="both"/>
        <w:rPr>
          <w:rFonts w:ascii="宋体" w:eastAsia="宋体" w:hint="eastAsia"/>
          <w:b w:val="0"/>
        </w:rPr>
      </w:pPr>
      <w:r>
        <w:rPr>
          <w:rFonts w:ascii="Microsoft JhengHei" w:eastAsia="Microsoft JhengHei" w:hint="eastAsia"/>
          <w:spacing w:val="-6"/>
          <w:u w:val="single"/>
        </w:rPr>
        <w:t>环卫新能源放量情景测算：</w:t>
      </w:r>
      <w:r>
        <w:rPr>
          <w:rFonts w:ascii="Microsoft JhengHei" w:eastAsia="Microsoft JhengHei" w:hint="eastAsia"/>
        </w:rPr>
        <w:t>试点</w:t>
      </w:r>
      <w:r>
        <w:rPr>
          <w:spacing w:val="-4"/>
        </w:rPr>
        <w:t>&amp;</w:t>
      </w:r>
      <w:r>
        <w:rPr>
          <w:rFonts w:ascii="Microsoft JhengHei" w:eastAsia="Microsoft JhengHei" w:hint="eastAsia"/>
          <w:spacing w:val="-7"/>
        </w:rPr>
        <w:t xml:space="preserve">空气改善政策驱动，我们测算在 </w:t>
      </w:r>
      <w:r>
        <w:t>50%~100%</w:t>
      </w:r>
      <w:r>
        <w:rPr>
          <w:rFonts w:ascii="Microsoft JhengHei" w:eastAsia="Microsoft JhengHei" w:hint="eastAsia"/>
        </w:rPr>
        <w:t>目标达成率下，</w:t>
      </w:r>
      <w:r>
        <w:t xml:space="preserve">2023-2025 </w:t>
      </w:r>
      <w:r>
        <w:rPr>
          <w:rFonts w:ascii="Microsoft JhengHei" w:eastAsia="Microsoft JhengHei" w:hint="eastAsia"/>
        </w:rPr>
        <w:t xml:space="preserve">年新能源装备销量复增  </w:t>
      </w:r>
      <w:r>
        <w:t>66%~130%</w:t>
      </w:r>
      <w:r>
        <w:rPr>
          <w:rFonts w:ascii="Microsoft JhengHei" w:eastAsia="Microsoft JhengHei" w:hint="eastAsia"/>
        </w:rPr>
        <w:t>。</w:t>
      </w:r>
      <w:r>
        <w:rPr>
          <w:rFonts w:ascii="宋体" w:eastAsia="宋体" w:hint="eastAsia"/>
          <w:b w:val="0"/>
          <w:spacing w:val="-3"/>
        </w:rPr>
        <w:t>假设条件及测算结果如下：</w:t>
      </w:r>
    </w:p>
    <w:p>
      <w:pPr>
        <w:pStyle w:val="ListParagraph"/>
        <w:numPr>
          <w:ilvl w:val="0"/>
          <w:numId w:val="2"/>
        </w:numPr>
        <w:tabs>
          <w:tab w:val="left" w:pos="3141"/>
        </w:tabs>
        <w:spacing w:before="148" w:after="0" w:line="240" w:lineRule="auto"/>
        <w:ind w:left="3140" w:right="0" w:hanging="316"/>
        <w:jc w:val="left"/>
        <w:rPr>
          <w:rFonts w:ascii="Times New Roman" w:eastAsia="Times New Roman"/>
          <w:sz w:val="21"/>
        </w:rPr>
      </w:pPr>
      <w:r>
        <w:rPr>
          <w:rFonts w:ascii="Microsoft JhengHei" w:eastAsia="Microsoft JhengHei" w:hint="eastAsia"/>
          <w:b/>
          <w:spacing w:val="-2"/>
          <w:sz w:val="21"/>
        </w:rPr>
        <w:t>环卫总销量：</w:t>
      </w:r>
      <w:r>
        <w:rPr>
          <w:spacing w:val="-19"/>
          <w:sz w:val="21"/>
        </w:rPr>
        <w:t xml:space="preserve">假设 </w:t>
      </w:r>
      <w:r>
        <w:rPr>
          <w:rFonts w:ascii="Times New Roman" w:eastAsia="Times New Roman"/>
          <w:sz w:val="21"/>
        </w:rPr>
        <w:t>2024-2025</w:t>
      </w:r>
      <w:r>
        <w:rPr>
          <w:rFonts w:ascii="Times New Roman" w:eastAsia="Times New Roman"/>
          <w:spacing w:val="1"/>
          <w:sz w:val="21"/>
        </w:rPr>
        <w:t xml:space="preserve"> </w:t>
      </w:r>
      <w:r>
        <w:rPr>
          <w:spacing w:val="-7"/>
          <w:sz w:val="21"/>
        </w:rPr>
        <w:t xml:space="preserve">年环卫装备总销量逐步回升，以各城市 </w:t>
      </w:r>
      <w:r>
        <w:rPr>
          <w:rFonts w:ascii="Times New Roman" w:eastAsia="Times New Roman"/>
          <w:sz w:val="21"/>
        </w:rPr>
        <w:t>2021-2023</w:t>
      </w:r>
    </w:p>
    <w:p>
      <w:pPr>
        <w:pStyle w:val="BodyText"/>
        <w:spacing w:before="58"/>
        <w:ind w:left="2400"/>
        <w:jc w:val="both"/>
        <w:rPr>
          <w:rFonts w:ascii="Times New Roman" w:eastAsia="Times New Roman"/>
        </w:rPr>
      </w:pPr>
      <w:r>
        <w:t xml:space="preserve">年三年均值作为 </w:t>
      </w:r>
      <w:r>
        <w:rPr>
          <w:rFonts w:ascii="Times New Roman" w:eastAsia="Times New Roman"/>
        </w:rPr>
        <w:t xml:space="preserve">2025 </w:t>
      </w:r>
      <w:r>
        <w:t xml:space="preserve">年销量预测值，则 </w:t>
      </w:r>
      <w:r>
        <w:rPr>
          <w:rFonts w:ascii="Times New Roman" w:eastAsia="Times New Roman"/>
        </w:rPr>
        <w:t xml:space="preserve">2025 </w:t>
      </w:r>
      <w:r>
        <w:t xml:space="preserve">年全国环卫车总销量 </w:t>
      </w:r>
      <w:r>
        <w:rPr>
          <w:rFonts w:ascii="Times New Roman" w:eastAsia="Times New Roman"/>
        </w:rPr>
        <w:t xml:space="preserve">8.67 </w:t>
      </w:r>
      <w:r>
        <w:t xml:space="preserve">万辆，低于 </w:t>
      </w:r>
      <w:r>
        <w:rPr>
          <w:rFonts w:ascii="Times New Roman" w:eastAsia="Times New Roman"/>
        </w:rPr>
        <w:t>2016-</w:t>
      </w:r>
    </w:p>
    <w:p>
      <w:pPr>
        <w:pStyle w:val="BodyText"/>
        <w:spacing w:before="105"/>
        <w:ind w:left="2400"/>
        <w:jc w:val="both"/>
      </w:pPr>
      <w:r>
        <w:rPr>
          <w:rFonts w:ascii="Times New Roman" w:eastAsia="Times New Roman"/>
        </w:rPr>
        <w:t xml:space="preserve">2023 </w:t>
      </w:r>
      <w:r>
        <w:t xml:space="preserve">年的年均销量 </w:t>
      </w:r>
      <w:r>
        <w:rPr>
          <w:rFonts w:ascii="Times New Roman" w:eastAsia="Times New Roman"/>
        </w:rPr>
        <w:t xml:space="preserve">9.16 </w:t>
      </w:r>
      <w:r>
        <w:t>万辆。</w:t>
      </w:r>
    </w:p>
    <w:p>
      <w:pPr>
        <w:pStyle w:val="ListParagraph"/>
        <w:numPr>
          <w:ilvl w:val="0"/>
          <w:numId w:val="2"/>
        </w:numPr>
        <w:tabs>
          <w:tab w:val="left" w:pos="3143"/>
        </w:tabs>
        <w:spacing w:before="172" w:after="0" w:line="374" w:lineRule="exact"/>
        <w:ind w:left="2400" w:right="559" w:firstLine="424"/>
        <w:jc w:val="both"/>
        <w:rPr>
          <w:rFonts w:ascii="Times New Roman" w:eastAsia="Times New Roman"/>
          <w:sz w:val="21"/>
        </w:rPr>
      </w:pPr>
      <w:r>
        <w:rPr>
          <w:rFonts w:ascii="Microsoft JhengHei" w:eastAsia="Microsoft JhengHei" w:hint="eastAsia"/>
          <w:b/>
          <w:spacing w:val="-2"/>
          <w:sz w:val="21"/>
        </w:rPr>
        <w:t>新能源渗透率：</w:t>
      </w:r>
      <w:r>
        <w:rPr>
          <w:spacing w:val="-3"/>
          <w:sz w:val="21"/>
        </w:rPr>
        <w:t>根据银保监会交强险数据，</w:t>
      </w:r>
      <w:r>
        <w:rPr>
          <w:rFonts w:ascii="Times New Roman" w:eastAsia="Times New Roman"/>
          <w:sz w:val="21"/>
        </w:rPr>
        <w:t>2021-2023</w:t>
      </w:r>
      <w:r>
        <w:rPr>
          <w:rFonts w:ascii="Times New Roman" w:eastAsia="Times New Roman"/>
          <w:spacing w:val="15"/>
          <w:sz w:val="21"/>
        </w:rPr>
        <w:t xml:space="preserve"> </w:t>
      </w:r>
      <w:r>
        <w:rPr>
          <w:spacing w:val="-3"/>
          <w:sz w:val="21"/>
        </w:rPr>
        <w:t>年试点城市</w:t>
      </w:r>
      <w:r>
        <w:rPr>
          <w:rFonts w:ascii="Times New Roman" w:eastAsia="Times New Roman"/>
          <w:sz w:val="21"/>
        </w:rPr>
        <w:t>&amp;</w:t>
      </w:r>
      <w:r>
        <w:rPr>
          <w:spacing w:val="-3"/>
          <w:sz w:val="21"/>
        </w:rPr>
        <w:t>空气改善重</w:t>
      </w:r>
      <w:r>
        <w:rPr>
          <w:spacing w:val="-2"/>
          <w:sz w:val="21"/>
        </w:rPr>
        <w:t xml:space="preserve">点区域环卫新能源渗透率分别为 </w:t>
      </w:r>
      <w:r>
        <w:rPr>
          <w:rFonts w:ascii="Times New Roman" w:eastAsia="Times New Roman"/>
          <w:sz w:val="21"/>
        </w:rPr>
        <w:t>6.7%</w:t>
      </w:r>
      <w:r>
        <w:rPr>
          <w:spacing w:val="-3"/>
          <w:sz w:val="21"/>
        </w:rPr>
        <w:t>、</w:t>
      </w:r>
      <w:r>
        <w:rPr>
          <w:rFonts w:ascii="Times New Roman" w:eastAsia="Times New Roman"/>
          <w:sz w:val="21"/>
        </w:rPr>
        <w:t>10.3%</w:t>
      </w:r>
      <w:r>
        <w:rPr>
          <w:sz w:val="21"/>
        </w:rPr>
        <w:t>、</w:t>
      </w:r>
      <w:r>
        <w:rPr>
          <w:rFonts w:ascii="Times New Roman" w:eastAsia="Times New Roman"/>
          <w:sz w:val="21"/>
        </w:rPr>
        <w:t>14.9%</w:t>
      </w:r>
      <w:r>
        <w:rPr>
          <w:spacing w:val="-3"/>
          <w:sz w:val="21"/>
        </w:rPr>
        <w:t>，其他城市环卫新能源渗透率分</w:t>
      </w:r>
      <w:r>
        <w:rPr>
          <w:spacing w:val="-18"/>
          <w:sz w:val="21"/>
        </w:rPr>
        <w:t xml:space="preserve">别为 </w:t>
      </w:r>
      <w:r>
        <w:rPr>
          <w:rFonts w:ascii="Times New Roman" w:eastAsia="Times New Roman"/>
          <w:sz w:val="21"/>
        </w:rPr>
        <w:t>1.5%</w:t>
      </w:r>
      <w:r>
        <w:rPr>
          <w:sz w:val="21"/>
        </w:rPr>
        <w:t>、</w:t>
      </w:r>
      <w:r>
        <w:rPr>
          <w:rFonts w:ascii="Times New Roman" w:eastAsia="Times New Roman"/>
          <w:sz w:val="21"/>
        </w:rPr>
        <w:t>2.1%</w:t>
      </w:r>
      <w:r>
        <w:rPr>
          <w:sz w:val="21"/>
        </w:rPr>
        <w:t>、</w:t>
      </w:r>
      <w:r>
        <w:rPr>
          <w:rFonts w:ascii="Times New Roman" w:eastAsia="Times New Roman"/>
          <w:sz w:val="21"/>
        </w:rPr>
        <w:t>2.9%</w:t>
      </w:r>
      <w:r>
        <w:rPr>
          <w:spacing w:val="-6"/>
          <w:sz w:val="21"/>
        </w:rPr>
        <w:t xml:space="preserve">。考虑各地环卫用车一般为综合采购，假设 </w:t>
      </w:r>
      <w:r>
        <w:rPr>
          <w:rFonts w:ascii="Times New Roman" w:eastAsia="Times New Roman"/>
          <w:sz w:val="21"/>
        </w:rPr>
        <w:t>2025</w:t>
      </w:r>
      <w:r>
        <w:rPr>
          <w:rFonts w:ascii="Times New Roman" w:eastAsia="Times New Roman"/>
          <w:spacing w:val="8"/>
          <w:sz w:val="21"/>
        </w:rPr>
        <w:t xml:space="preserve"> </w:t>
      </w:r>
      <w:r>
        <w:rPr>
          <w:spacing w:val="-2"/>
          <w:sz w:val="21"/>
        </w:rPr>
        <w:t>年试点城市</w:t>
      </w:r>
      <w:r>
        <w:rPr>
          <w:rFonts w:ascii="Times New Roman" w:eastAsia="Times New Roman"/>
          <w:sz w:val="21"/>
        </w:rPr>
        <w:t>&amp;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Heading3"/>
        <w:spacing w:before="0"/>
      </w:pPr>
      <w:r>
        <w:t>8 / 29</w:t>
      </w:r>
    </w:p>
    <w:p>
      <w:pPr>
        <w:spacing w:after="0"/>
        <w:sectPr>
          <w:headerReference w:type="default" r:id="rId71"/>
          <w:footerReference w:type="default" r:id="rId72"/>
          <w:type w:val="continuous"/>
          <w:pgSz w:w="11910" w:h="16840"/>
          <w:pgMar w:top="1340" w:right="280" w:bottom="500" w:left="720" w:header="708" w:footer="708"/>
          <w:pgNumType w:start="27"/>
          <w:cols w:space="708"/>
        </w:sectPr>
      </w:pPr>
    </w:p>
    <w:p>
      <w:pPr>
        <w:pStyle w:val="BodyText"/>
        <w:spacing w:before="118" w:line="333" w:lineRule="auto"/>
        <w:ind w:left="2400" w:right="565"/>
      </w:pPr>
      <w:r>
        <w:rPr>
          <w:spacing w:val="-5"/>
        </w:rPr>
        <w:t xml:space="preserve">空气改善重点区域新增环卫车新能源渗透率目标为 </w:t>
      </w:r>
      <w:r>
        <w:rPr>
          <w:rFonts w:ascii="Times New Roman" w:eastAsia="Times New Roman"/>
          <w:spacing w:val="-10"/>
        </w:rPr>
        <w:t>80%</w:t>
      </w:r>
      <w:r>
        <w:rPr>
          <w:spacing w:val="-11"/>
        </w:rPr>
        <w:t xml:space="preserve">，并设置 </w:t>
      </w:r>
      <w:r>
        <w:rPr>
          <w:rFonts w:ascii="Times New Roman" w:eastAsia="Times New Roman"/>
        </w:rPr>
        <w:t>50%</w:t>
      </w:r>
      <w:r>
        <w:rPr>
          <w:spacing w:val="-41"/>
        </w:rPr>
        <w:t>、</w:t>
      </w:r>
      <w:r>
        <w:rPr>
          <w:rFonts w:ascii="Times New Roman" w:eastAsia="Times New Roman"/>
        </w:rPr>
        <w:t>75%</w:t>
      </w:r>
      <w:r>
        <w:rPr>
          <w:spacing w:val="-41"/>
        </w:rPr>
        <w:t>、</w:t>
      </w:r>
      <w:r>
        <w:rPr>
          <w:rFonts w:ascii="Times New Roman" w:eastAsia="Times New Roman"/>
        </w:rPr>
        <w:t>100%</w:t>
      </w:r>
      <w:r>
        <w:rPr>
          <w:spacing w:val="-3"/>
        </w:rPr>
        <w:t>目标</w:t>
      </w:r>
      <w:r>
        <w:rPr>
          <w:spacing w:val="-5"/>
        </w:rPr>
        <w:t xml:space="preserve">达成率的情景，其他城市保守假设新能源渗透率维持 </w:t>
      </w:r>
      <w:r>
        <w:rPr>
          <w:rFonts w:ascii="Times New Roman" w:eastAsia="Times New Roman"/>
        </w:rPr>
        <w:t xml:space="preserve">2023 </w:t>
      </w:r>
      <w:r>
        <w:rPr>
          <w:spacing w:val="-3"/>
        </w:rPr>
        <w:t>年的水平。</w:t>
      </w:r>
    </w:p>
    <w:p>
      <w:pPr>
        <w:pStyle w:val="ListParagraph"/>
        <w:numPr>
          <w:ilvl w:val="0"/>
          <w:numId w:val="6"/>
        </w:numPr>
        <w:tabs>
          <w:tab w:val="left" w:pos="3143"/>
        </w:tabs>
        <w:spacing w:before="68" w:after="0" w:line="374" w:lineRule="exact"/>
        <w:ind w:left="2400" w:right="563" w:firstLine="424"/>
        <w:jc w:val="both"/>
        <w:rPr>
          <w:sz w:val="21"/>
        </w:rPr>
      </w:pPr>
      <w:r>
        <w:rPr>
          <w:rFonts w:ascii="Microsoft JhengHei" w:eastAsia="Microsoft JhengHei" w:hint="eastAsia"/>
          <w:b/>
          <w:spacing w:val="-5"/>
          <w:sz w:val="21"/>
        </w:rPr>
        <w:t>环卫新能源销量预测：</w:t>
      </w:r>
      <w:r>
        <w:rPr>
          <w:spacing w:val="-1"/>
          <w:sz w:val="21"/>
        </w:rPr>
        <w:t>试点城市</w:t>
      </w:r>
      <w:r>
        <w:rPr>
          <w:rFonts w:ascii="Times New Roman" w:eastAsia="Times New Roman"/>
          <w:sz w:val="21"/>
        </w:rPr>
        <w:t>&amp;</w:t>
      </w:r>
      <w:r>
        <w:rPr>
          <w:spacing w:val="-8"/>
          <w:sz w:val="21"/>
        </w:rPr>
        <w:t xml:space="preserve">空气改善重点区域在 </w:t>
      </w:r>
      <w:r>
        <w:rPr>
          <w:rFonts w:ascii="Times New Roman" w:eastAsia="Times New Roman"/>
          <w:sz w:val="21"/>
        </w:rPr>
        <w:t>50%/75%/100%</w:t>
      </w:r>
      <w:r>
        <w:rPr>
          <w:spacing w:val="-2"/>
          <w:sz w:val="21"/>
        </w:rPr>
        <w:t>目标达</w:t>
      </w:r>
      <w:r>
        <w:rPr>
          <w:spacing w:val="-8"/>
          <w:sz w:val="21"/>
        </w:rPr>
        <w:t xml:space="preserve">成率下，对应 </w:t>
      </w:r>
      <w:r>
        <w:rPr>
          <w:rFonts w:ascii="Times New Roman" w:eastAsia="Times New Roman"/>
          <w:sz w:val="21"/>
        </w:rPr>
        <w:t>2025</w:t>
      </w:r>
      <w:r>
        <w:rPr>
          <w:rFonts w:ascii="Times New Roman" w:eastAsia="Times New Roman"/>
          <w:spacing w:val="20"/>
          <w:sz w:val="21"/>
        </w:rPr>
        <w:t xml:space="preserve"> </w:t>
      </w:r>
      <w:r>
        <w:rPr>
          <w:spacing w:val="-6"/>
          <w:sz w:val="21"/>
        </w:rPr>
        <w:t xml:space="preserve">年全国环卫新能源销量分别为 </w:t>
      </w:r>
      <w:r>
        <w:rPr>
          <w:rFonts w:ascii="Times New Roman" w:eastAsia="Times New Roman"/>
          <w:sz w:val="21"/>
        </w:rPr>
        <w:t>1.71/2.51/3.30</w:t>
      </w:r>
      <w:r>
        <w:rPr>
          <w:rFonts w:ascii="Times New Roman" w:eastAsia="Times New Roman"/>
          <w:spacing w:val="20"/>
          <w:sz w:val="21"/>
        </w:rPr>
        <w:t xml:space="preserve"> </w:t>
      </w:r>
      <w:r>
        <w:rPr>
          <w:spacing w:val="-2"/>
          <w:sz w:val="21"/>
        </w:rPr>
        <w:t>万辆，</w:t>
      </w:r>
      <w:r>
        <w:rPr>
          <w:rFonts w:ascii="Times New Roman" w:eastAsia="Times New Roman"/>
          <w:sz w:val="21"/>
        </w:rPr>
        <w:t>2023-2025</w:t>
      </w:r>
      <w:r>
        <w:rPr>
          <w:rFonts w:ascii="Times New Roman" w:eastAsia="Times New Roman"/>
          <w:spacing w:val="21"/>
          <w:sz w:val="21"/>
        </w:rPr>
        <w:t xml:space="preserve"> </w:t>
      </w:r>
      <w:r>
        <w:rPr>
          <w:spacing w:val="-2"/>
          <w:sz w:val="21"/>
        </w:rPr>
        <w:t>年环</w:t>
      </w:r>
      <w:r>
        <w:rPr>
          <w:spacing w:val="-9"/>
          <w:sz w:val="21"/>
        </w:rPr>
        <w:t xml:space="preserve">卫新能源销量复增 </w:t>
      </w:r>
      <w:r>
        <w:rPr>
          <w:rFonts w:ascii="Times New Roman" w:eastAsia="Times New Roman"/>
          <w:sz w:val="21"/>
        </w:rPr>
        <w:t>66%/100%/130%</w:t>
      </w:r>
      <w:r>
        <w:rPr>
          <w:sz w:val="21"/>
        </w:rPr>
        <w:t>。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</w:pPr>
    </w:p>
    <w:p>
      <w:pPr>
        <w:spacing w:before="0" w:after="16"/>
        <w:ind w:left="132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表</w:t>
      </w:r>
      <w:r>
        <w:rPr>
          <w:rFonts w:ascii="Times New Roman" w:eastAsia="Times New Roman"/>
          <w:b/>
          <w:color w:val="17365D"/>
          <w:sz w:val="20"/>
        </w:rPr>
        <w:t>2</w:t>
      </w:r>
      <w:r>
        <w:rPr>
          <w:rFonts w:ascii="Microsoft JhengHei" w:eastAsia="Microsoft JhengHei" w:hint="eastAsia"/>
          <w:b/>
          <w:color w:val="17365D"/>
          <w:sz w:val="20"/>
        </w:rPr>
        <w:t>：</w:t>
      </w:r>
      <w:r>
        <w:rPr>
          <w:rFonts w:ascii="Times New Roman" w:eastAsia="Times New Roman"/>
          <w:b/>
          <w:color w:val="17365D"/>
          <w:sz w:val="20"/>
        </w:rPr>
        <w:t>2021-2023</w:t>
      </w:r>
      <w:r>
        <w:rPr>
          <w:rFonts w:ascii="Times New Roman" w:eastAsia="Times New Roman"/>
          <w:b/>
          <w:color w:val="17365D"/>
          <w:spacing w:val="5"/>
          <w:sz w:val="20"/>
        </w:rPr>
        <w:t xml:space="preserve"> </w:t>
      </w:r>
      <w:r>
        <w:rPr>
          <w:rFonts w:ascii="Microsoft JhengHei" w:eastAsia="Microsoft JhengHei" w:hint="eastAsia"/>
          <w:b/>
          <w:color w:val="17365D"/>
          <w:sz w:val="20"/>
        </w:rPr>
        <w:t>年试点</w:t>
      </w:r>
      <w:r>
        <w:rPr>
          <w:rFonts w:ascii="Times New Roman" w:eastAsia="Times New Roman"/>
          <w:b/>
          <w:color w:val="17365D"/>
          <w:spacing w:val="-3"/>
          <w:sz w:val="20"/>
        </w:rPr>
        <w:t>&amp;</w:t>
      </w:r>
      <w:r>
        <w:rPr>
          <w:rFonts w:ascii="Microsoft JhengHei" w:eastAsia="Microsoft JhengHei" w:hint="eastAsia"/>
          <w:b/>
          <w:color w:val="17365D"/>
          <w:sz w:val="20"/>
        </w:rPr>
        <w:t>空气改善重点区域销量情况</w:t>
      </w:r>
    </w:p>
    <w:tbl>
      <w:tblPr>
        <w:tblStyle w:val="TableNormal0"/>
        <w:tblW w:w="0" w:type="auto"/>
        <w:jc w:val="left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1"/>
        <w:gridCol w:w="2892"/>
        <w:gridCol w:w="2892"/>
        <w:gridCol w:w="2892"/>
      </w:tblGrid>
      <w:tr>
        <w:tblPrEx>
          <w:tblW w:w="0" w:type="auto"/>
          <w:jc w:val="left"/>
          <w:tblInd w:w="1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36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892" w:type="dxa"/>
            <w:shd w:val="clear" w:color="auto" w:fill="D9D9D9"/>
          </w:tcPr>
          <w:p>
            <w:pPr>
              <w:pStyle w:val="TableParagraph"/>
              <w:ind w:left="71" w:right="70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w w:val="95"/>
                <w:sz w:val="20"/>
              </w:rPr>
              <w:t>2021 年</w:t>
            </w:r>
          </w:p>
        </w:tc>
        <w:tc>
          <w:tcPr>
            <w:tcW w:w="2892" w:type="dxa"/>
            <w:shd w:val="clear" w:color="auto" w:fill="D9D9D9"/>
          </w:tcPr>
          <w:p>
            <w:pPr>
              <w:pStyle w:val="TableParagraph"/>
              <w:ind w:left="72" w:right="70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w w:val="95"/>
                <w:sz w:val="20"/>
              </w:rPr>
              <w:t>2022 年</w:t>
            </w:r>
          </w:p>
        </w:tc>
        <w:tc>
          <w:tcPr>
            <w:tcW w:w="2892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w w:val="95"/>
                <w:sz w:val="20"/>
              </w:rPr>
              <w:t>2023 年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36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115" w:line="240" w:lineRule="auto"/>
              <w:ind w:left="462" w:right="454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sz w:val="20"/>
              </w:rPr>
              <w:t>分类</w:t>
            </w:r>
          </w:p>
        </w:tc>
        <w:tc>
          <w:tcPr>
            <w:tcW w:w="2892" w:type="dxa"/>
            <w:shd w:val="clear" w:color="auto" w:fill="F1F1F1"/>
          </w:tcPr>
          <w:p>
            <w:pPr>
              <w:pStyle w:val="TableParagraph"/>
              <w:tabs>
                <w:tab w:val="left" w:pos="1139"/>
                <w:tab w:val="left" w:pos="2105"/>
              </w:tabs>
              <w:spacing w:line="146" w:lineRule="auto"/>
              <w:ind w:left="177"/>
              <w:jc w:val="left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position w:val="-15"/>
                <w:sz w:val="20"/>
              </w:rPr>
              <w:t>总销量</w:t>
              <w:tab/>
            </w:r>
            <w:r>
              <w:rPr>
                <w:rFonts w:ascii="Microsoft JhengHei UI" w:eastAsia="Microsoft JhengHei UI" w:hint="eastAsia"/>
                <w:b/>
                <w:sz w:val="20"/>
              </w:rPr>
              <w:t>新能源</w:t>
              <w:tab/>
            </w:r>
            <w:r>
              <w:rPr>
                <w:rFonts w:ascii="Microsoft JhengHei UI" w:eastAsia="Microsoft JhengHei UI" w:hint="eastAsia"/>
                <w:b/>
                <w:w w:val="95"/>
                <w:sz w:val="20"/>
              </w:rPr>
              <w:t>新能源</w:t>
            </w:r>
          </w:p>
          <w:p>
            <w:pPr>
              <w:pStyle w:val="TableParagraph"/>
              <w:tabs>
                <w:tab w:val="left" w:pos="2105"/>
              </w:tabs>
              <w:spacing w:line="231" w:lineRule="exact"/>
              <w:ind w:left="1238"/>
              <w:jc w:val="left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sz w:val="20"/>
              </w:rPr>
              <w:t>销量</w:t>
              <w:tab/>
            </w:r>
            <w:r>
              <w:rPr>
                <w:rFonts w:ascii="Microsoft JhengHei UI" w:eastAsia="Microsoft JhengHei UI" w:hint="eastAsia"/>
                <w:b/>
                <w:w w:val="95"/>
                <w:sz w:val="20"/>
              </w:rPr>
              <w:t>渗透率</w:t>
            </w:r>
          </w:p>
        </w:tc>
        <w:tc>
          <w:tcPr>
            <w:tcW w:w="2892" w:type="dxa"/>
            <w:shd w:val="clear" w:color="auto" w:fill="F1F1F1"/>
          </w:tcPr>
          <w:p>
            <w:pPr>
              <w:pStyle w:val="TableParagraph"/>
              <w:tabs>
                <w:tab w:val="left" w:pos="1140"/>
                <w:tab w:val="left" w:pos="2105"/>
              </w:tabs>
              <w:spacing w:line="146" w:lineRule="auto"/>
              <w:ind w:left="178"/>
              <w:jc w:val="left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position w:val="-15"/>
                <w:sz w:val="20"/>
              </w:rPr>
              <w:t>总销量</w:t>
              <w:tab/>
            </w:r>
            <w:r>
              <w:rPr>
                <w:rFonts w:ascii="Microsoft JhengHei UI" w:eastAsia="Microsoft JhengHei UI" w:hint="eastAsia"/>
                <w:b/>
                <w:sz w:val="20"/>
              </w:rPr>
              <w:t>新能源</w:t>
              <w:tab/>
            </w:r>
            <w:r>
              <w:rPr>
                <w:rFonts w:ascii="Microsoft JhengHei UI" w:eastAsia="Microsoft JhengHei UI" w:hint="eastAsia"/>
                <w:b/>
                <w:w w:val="95"/>
                <w:sz w:val="20"/>
              </w:rPr>
              <w:t>新能源</w:t>
            </w:r>
          </w:p>
          <w:p>
            <w:pPr>
              <w:pStyle w:val="TableParagraph"/>
              <w:tabs>
                <w:tab w:val="left" w:pos="2105"/>
              </w:tabs>
              <w:spacing w:line="231" w:lineRule="exact"/>
              <w:ind w:left="1239"/>
              <w:jc w:val="left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sz w:val="20"/>
              </w:rPr>
              <w:t>销量</w:t>
              <w:tab/>
            </w:r>
            <w:r>
              <w:rPr>
                <w:rFonts w:ascii="Microsoft JhengHei UI" w:eastAsia="Microsoft JhengHei UI" w:hint="eastAsia"/>
                <w:b/>
                <w:w w:val="95"/>
                <w:sz w:val="20"/>
              </w:rPr>
              <w:t>渗透率</w:t>
            </w:r>
          </w:p>
        </w:tc>
        <w:tc>
          <w:tcPr>
            <w:tcW w:w="289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tabs>
                <w:tab w:val="left" w:pos="1141"/>
                <w:tab w:val="left" w:pos="2106"/>
              </w:tabs>
              <w:spacing w:line="146" w:lineRule="auto"/>
              <w:ind w:left="178"/>
              <w:jc w:val="left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position w:val="-15"/>
                <w:sz w:val="20"/>
              </w:rPr>
              <w:t>总销量</w:t>
              <w:tab/>
            </w:r>
            <w:r>
              <w:rPr>
                <w:rFonts w:ascii="Microsoft JhengHei UI" w:eastAsia="Microsoft JhengHei UI" w:hint="eastAsia"/>
                <w:b/>
                <w:sz w:val="20"/>
              </w:rPr>
              <w:t>新能源</w:t>
              <w:tab/>
            </w:r>
            <w:r>
              <w:rPr>
                <w:rFonts w:ascii="Microsoft JhengHei UI" w:eastAsia="Microsoft JhengHei UI" w:hint="eastAsia"/>
                <w:b/>
                <w:w w:val="95"/>
                <w:sz w:val="20"/>
              </w:rPr>
              <w:t>新能源</w:t>
            </w:r>
          </w:p>
          <w:p>
            <w:pPr>
              <w:pStyle w:val="TableParagraph"/>
              <w:tabs>
                <w:tab w:val="left" w:pos="2106"/>
              </w:tabs>
              <w:spacing w:line="231" w:lineRule="exact"/>
              <w:ind w:left="1240"/>
              <w:jc w:val="left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sz w:val="20"/>
              </w:rPr>
              <w:t>销量</w:t>
              <w:tab/>
            </w:r>
            <w:r>
              <w:rPr>
                <w:rFonts w:ascii="Microsoft JhengHei UI" w:eastAsia="Microsoft JhengHei UI" w:hint="eastAsia"/>
                <w:b/>
                <w:w w:val="95"/>
                <w:sz w:val="20"/>
              </w:rPr>
              <w:t>渗透率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361" w:type="dxa"/>
            <w:tcBorders>
              <w:left w:val="nil"/>
            </w:tcBorders>
          </w:tcPr>
          <w:p>
            <w:pPr>
              <w:pStyle w:val="TableParagraph"/>
              <w:spacing w:line="228" w:lineRule="auto"/>
              <w:ind w:left="280" w:right="203" w:hanging="75"/>
              <w:jc w:val="left"/>
              <w:rPr>
                <w:sz w:val="20"/>
              </w:rPr>
            </w:pPr>
            <w:r>
              <w:rPr>
                <w:sz w:val="20"/>
              </w:rPr>
              <w:t>试点&amp;</w:t>
            </w:r>
            <w:r>
              <w:rPr>
                <w:spacing w:val="-8"/>
                <w:sz w:val="20"/>
              </w:rPr>
              <w:t>空气</w:t>
            </w:r>
            <w:r>
              <w:rPr>
                <w:sz w:val="20"/>
              </w:rPr>
              <w:t>区域合计</w:t>
            </w:r>
          </w:p>
          <w:p>
            <w:pPr>
              <w:pStyle w:val="TableParagraph"/>
              <w:ind w:left="280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>其他城市</w:t>
            </w:r>
          </w:p>
        </w:tc>
        <w:tc>
          <w:tcPr>
            <w:tcW w:w="2892" w:type="dxa"/>
          </w:tcPr>
          <w:p>
            <w:pPr>
              <w:pStyle w:val="TableParagraph"/>
              <w:tabs>
                <w:tab w:val="left" w:pos="1252"/>
                <w:tab w:val="left" w:pos="2196"/>
              </w:tabs>
              <w:spacing w:before="107" w:line="240" w:lineRule="auto"/>
              <w:ind w:left="242"/>
              <w:jc w:val="left"/>
              <w:rPr>
                <w:rFonts w:ascii="Microsoft JhengHei UI"/>
                <w:b/>
                <w:sz w:val="21"/>
              </w:rPr>
            </w:pPr>
            <w:r>
              <w:rPr>
                <w:sz w:val="20"/>
              </w:rPr>
              <w:t>47345</w:t>
              <w:tab/>
              <w:t>3151</w:t>
              <w:tab/>
            </w:r>
            <w:r>
              <w:rPr>
                <w:rFonts w:ascii="Microsoft JhengHei UI"/>
                <w:b/>
                <w:sz w:val="21"/>
              </w:rPr>
              <w:t>6.7%</w:t>
            </w:r>
          </w:p>
          <w:p>
            <w:pPr>
              <w:pStyle w:val="TableParagraph"/>
              <w:tabs>
                <w:tab w:val="left" w:pos="1298"/>
                <w:tab w:val="left" w:pos="2196"/>
              </w:tabs>
              <w:spacing w:before="126" w:line="309" w:lineRule="exact"/>
              <w:ind w:left="242"/>
              <w:jc w:val="left"/>
              <w:rPr>
                <w:sz w:val="21"/>
              </w:rPr>
            </w:pPr>
            <w:r>
              <w:rPr>
                <w:sz w:val="20"/>
              </w:rPr>
              <w:t>53769</w:t>
              <w:tab/>
              <w:t>814</w:t>
              <w:tab/>
            </w:r>
            <w:r>
              <w:rPr>
                <w:sz w:val="21"/>
              </w:rPr>
              <w:t>1.5%</w:t>
            </w:r>
          </w:p>
        </w:tc>
        <w:tc>
          <w:tcPr>
            <w:tcW w:w="2892" w:type="dxa"/>
          </w:tcPr>
          <w:p>
            <w:pPr>
              <w:pStyle w:val="TableParagraph"/>
              <w:tabs>
                <w:tab w:val="left" w:pos="1253"/>
                <w:tab w:val="left" w:pos="2146"/>
              </w:tabs>
              <w:spacing w:before="107" w:line="240" w:lineRule="auto"/>
              <w:ind w:left="242"/>
              <w:jc w:val="left"/>
              <w:rPr>
                <w:rFonts w:ascii="Microsoft JhengHei UI"/>
                <w:b/>
                <w:sz w:val="21"/>
              </w:rPr>
            </w:pPr>
            <w:r>
              <w:rPr>
                <w:sz w:val="20"/>
              </w:rPr>
              <w:t>38313</w:t>
              <w:tab/>
              <w:t>3959</w:t>
              <w:tab/>
            </w:r>
            <w:r>
              <w:rPr>
                <w:rFonts w:ascii="Microsoft JhengHei UI"/>
                <w:b/>
                <w:sz w:val="21"/>
              </w:rPr>
              <w:t>10.3%</w:t>
            </w:r>
          </w:p>
          <w:p>
            <w:pPr>
              <w:pStyle w:val="TableParagraph"/>
              <w:tabs>
                <w:tab w:val="left" w:pos="1299"/>
                <w:tab w:val="left" w:pos="2196"/>
              </w:tabs>
              <w:spacing w:before="126" w:line="309" w:lineRule="exact"/>
              <w:ind w:left="242"/>
              <w:jc w:val="left"/>
              <w:rPr>
                <w:sz w:val="21"/>
              </w:rPr>
            </w:pPr>
            <w:r>
              <w:rPr>
                <w:sz w:val="20"/>
              </w:rPr>
              <w:t>43638</w:t>
              <w:tab/>
              <w:t>908</w:t>
              <w:tab/>
            </w:r>
            <w:r>
              <w:rPr>
                <w:sz w:val="21"/>
              </w:rPr>
              <w:t>2.1%</w:t>
            </w:r>
          </w:p>
        </w:tc>
        <w:tc>
          <w:tcPr>
            <w:tcW w:w="2892" w:type="dxa"/>
            <w:tcBorders>
              <w:right w:val="nil"/>
            </w:tcBorders>
          </w:tcPr>
          <w:p>
            <w:pPr>
              <w:pStyle w:val="TableParagraph"/>
              <w:tabs>
                <w:tab w:val="left" w:pos="1254"/>
                <w:tab w:val="left" w:pos="2147"/>
              </w:tabs>
              <w:spacing w:before="107" w:line="240" w:lineRule="auto"/>
              <w:ind w:left="243"/>
              <w:jc w:val="left"/>
              <w:rPr>
                <w:rFonts w:ascii="Microsoft JhengHei UI"/>
                <w:b/>
                <w:sz w:val="21"/>
              </w:rPr>
            </w:pPr>
            <w:r>
              <w:rPr>
                <w:sz w:val="20"/>
              </w:rPr>
              <w:t>33387</w:t>
              <w:tab/>
              <w:t>4977</w:t>
              <w:tab/>
            </w:r>
            <w:r>
              <w:rPr>
                <w:rFonts w:ascii="Microsoft JhengHei UI"/>
                <w:b/>
                <w:sz w:val="21"/>
              </w:rPr>
              <w:t>14.9%</w:t>
            </w:r>
          </w:p>
          <w:p>
            <w:pPr>
              <w:pStyle w:val="TableParagraph"/>
              <w:tabs>
                <w:tab w:val="left" w:pos="1254"/>
                <w:tab w:val="left" w:pos="2197"/>
              </w:tabs>
              <w:spacing w:before="126" w:line="309" w:lineRule="exact"/>
              <w:ind w:left="243"/>
              <w:jc w:val="left"/>
              <w:rPr>
                <w:sz w:val="21"/>
              </w:rPr>
            </w:pPr>
            <w:r>
              <w:rPr>
                <w:sz w:val="20"/>
              </w:rPr>
              <w:t>43596</w:t>
              <w:tab/>
              <w:t>1271</w:t>
              <w:tab/>
            </w:r>
            <w:r>
              <w:rPr>
                <w:sz w:val="21"/>
              </w:rPr>
              <w:t>2.9%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136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94" w:lineRule="exact"/>
              <w:ind w:left="462" w:right="454"/>
              <w:rPr>
                <w:rFonts w:ascii="Microsoft JhengHei UI" w:eastAsia="Microsoft JhengHei UI" w:hint="eastAsia"/>
                <w:b/>
                <w:sz w:val="20"/>
              </w:rPr>
            </w:pPr>
            <w:r>
              <w:rPr>
                <w:rFonts w:ascii="Microsoft JhengHei UI" w:eastAsia="Microsoft JhengHei UI" w:hint="eastAsia"/>
                <w:b/>
                <w:sz w:val="20"/>
              </w:rPr>
              <w:t>合计</w:t>
            </w:r>
          </w:p>
        </w:tc>
        <w:tc>
          <w:tcPr>
            <w:tcW w:w="2892" w:type="dxa"/>
            <w:shd w:val="clear" w:color="auto" w:fill="F1F1F1"/>
          </w:tcPr>
          <w:p>
            <w:pPr>
              <w:pStyle w:val="TableParagraph"/>
              <w:tabs>
                <w:tab w:val="left" w:pos="1055"/>
                <w:tab w:val="left" w:pos="2002"/>
              </w:tabs>
              <w:spacing w:line="294" w:lineRule="exact"/>
              <w:ind w:right="70"/>
              <w:rPr>
                <w:rFonts w:ascii="Microsoft JhengHei UI"/>
                <w:b/>
                <w:sz w:val="21"/>
              </w:rPr>
            </w:pPr>
            <w:r>
              <w:rPr>
                <w:rFonts w:ascii="Microsoft JhengHei UI"/>
                <w:b/>
                <w:w w:val="90"/>
                <w:sz w:val="20"/>
              </w:rPr>
              <w:t>101114</w:t>
              <w:tab/>
              <w:t>3965</w:t>
              <w:tab/>
            </w:r>
            <w:r>
              <w:rPr>
                <w:rFonts w:ascii="Microsoft JhengHei UI"/>
                <w:b/>
                <w:w w:val="90"/>
                <w:sz w:val="21"/>
              </w:rPr>
              <w:t>3.9%</w:t>
            </w:r>
          </w:p>
        </w:tc>
        <w:tc>
          <w:tcPr>
            <w:tcW w:w="2892" w:type="dxa"/>
            <w:shd w:val="clear" w:color="auto" w:fill="F1F1F1"/>
          </w:tcPr>
          <w:p>
            <w:pPr>
              <w:pStyle w:val="TableParagraph"/>
              <w:tabs>
                <w:tab w:val="left" w:pos="1008"/>
                <w:tab w:val="left" w:pos="1953"/>
              </w:tabs>
              <w:spacing w:line="294" w:lineRule="exact"/>
              <w:ind w:right="21"/>
              <w:rPr>
                <w:rFonts w:ascii="Microsoft JhengHei UI"/>
                <w:b/>
                <w:sz w:val="21"/>
              </w:rPr>
            </w:pPr>
            <w:r>
              <w:rPr>
                <w:rFonts w:ascii="Microsoft JhengHei UI"/>
                <w:b/>
                <w:w w:val="90"/>
                <w:sz w:val="20"/>
              </w:rPr>
              <w:t>81951</w:t>
              <w:tab/>
              <w:t>4867</w:t>
              <w:tab/>
            </w:r>
            <w:r>
              <w:rPr>
                <w:rFonts w:ascii="Microsoft JhengHei UI"/>
                <w:b/>
                <w:w w:val="90"/>
                <w:sz w:val="21"/>
              </w:rPr>
              <w:t>5.9%</w:t>
            </w:r>
          </w:p>
        </w:tc>
        <w:tc>
          <w:tcPr>
            <w:tcW w:w="289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tabs>
                <w:tab w:val="left" w:pos="1008"/>
                <w:tab w:val="left" w:pos="1954"/>
              </w:tabs>
              <w:spacing w:line="294" w:lineRule="exact"/>
              <w:ind w:right="25"/>
              <w:rPr>
                <w:rFonts w:ascii="Microsoft JhengHei UI"/>
                <w:b/>
                <w:sz w:val="21"/>
              </w:rPr>
            </w:pPr>
            <w:r>
              <w:rPr>
                <w:rFonts w:ascii="Microsoft JhengHei UI"/>
                <w:b/>
                <w:w w:val="90"/>
                <w:sz w:val="20"/>
              </w:rPr>
              <w:t>76983</w:t>
              <w:tab/>
              <w:t>6248</w:t>
              <w:tab/>
            </w:r>
            <w:r>
              <w:rPr>
                <w:rFonts w:ascii="Microsoft JhengHei UI"/>
                <w:b/>
                <w:w w:val="90"/>
                <w:sz w:val="21"/>
              </w:rPr>
              <w:t>8.1%</w:t>
            </w:r>
          </w:p>
        </w:tc>
      </w:tr>
    </w:tbl>
    <w:p>
      <w:pPr>
        <w:pStyle w:val="BodyText"/>
        <w:spacing w:before="54"/>
        <w:ind w:left="132"/>
      </w:pPr>
      <w:r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73"/>
          <w:footerReference w:type="default" r:id="rId74"/>
          <w:pgSz w:w="11910" w:h="16840"/>
          <w:pgMar w:top="1340" w:right="280" w:bottom="500" w:left="720" w:header="708" w:footer="708"/>
          <w:pgNumType w:start="28"/>
          <w:cols w:space="708"/>
        </w:sectPr>
      </w:pPr>
    </w:p>
    <w:p>
      <w:pPr>
        <w:spacing w:before="11"/>
        <w:ind w:left="132" w:right="0" w:firstLine="0"/>
        <w:jc w:val="left"/>
        <w:rPr>
          <w:rFonts w:ascii="Microsoft JhengHei" w:eastAsia="Microsoft JhengHei" w:hint="eastAsia"/>
          <w:b/>
          <w:sz w:val="20"/>
        </w:rPr>
      </w:pPr>
      <w:r>
        <w:pict>
          <v:group id="_x0000_s1519" style="width:501.5pt;height:0.5pt;margin-top:19.73pt;margin-left:42.6pt;mso-position-horizontal-relative:page;position:absolute;z-index:251718656" coordorigin="852,395" coordsize="10030,10">
            <v:line id="_x0000_s1520" style="position:absolute" from="852,399" to="3262,399" stroked="t" strokecolor="black" strokeweight="0.48pt">
              <v:stroke dashstyle="solid"/>
            </v:line>
            <v:rect id="_x0000_s1521" style="width:10;height:10;left:3262;position:absolute;top:394" filled="t" fillcolor="black" stroked="f">
              <v:fill type="solid"/>
            </v:rect>
            <v:line id="_x0000_s1522" style="position:absolute" from="3272,399" to="4520,399" stroked="t" strokecolor="black" strokeweight="0.48pt">
              <v:stroke dashstyle="solid"/>
            </v:line>
            <v:rect id="_x0000_s1523" style="width:10;height:10;left:4520;position:absolute;top:394" filled="t" fillcolor="black" stroked="f">
              <v:fill type="solid"/>
            </v:rect>
            <v:line id="_x0000_s1524" style="position:absolute" from="4530,399" to="6642,399" stroked="t" strokecolor="black" strokeweight="0.48pt">
              <v:stroke dashstyle="solid"/>
            </v:line>
            <v:rect id="_x0000_s1525" style="width:10;height:10;left:6642;position:absolute;top:394" filled="t" fillcolor="black" stroked="f">
              <v:fill type="solid"/>
            </v:rect>
            <v:line id="_x0000_s1526" style="position:absolute" from="6652,399" to="8762,399" stroked="t" strokecolor="black" strokeweight="0.48pt">
              <v:stroke dashstyle="solid"/>
            </v:line>
            <v:rect id="_x0000_s1527" style="width:10;height:10;left:8762;position:absolute;top:394" filled="t" fillcolor="black" stroked="f">
              <v:fill type="solid"/>
            </v:rect>
            <v:line id="_x0000_s1528" style="position:absolute" from="8772,399" to="10881,399" stroked="t" strokecolor="black" strokeweight="0.48pt">
              <v:stroke dashstyle="solid"/>
            </v:line>
          </v:group>
        </w:pict>
      </w:r>
      <w:r>
        <w:rPr>
          <w:rFonts w:ascii="Microsoft JhengHei" w:eastAsia="Microsoft JhengHei" w:hint="eastAsia"/>
          <w:b/>
          <w:color w:val="17365D"/>
          <w:sz w:val="20"/>
        </w:rPr>
        <w:t>表</w:t>
      </w:r>
      <w:r>
        <w:rPr>
          <w:rFonts w:ascii="Times New Roman" w:eastAsia="Times New Roman"/>
          <w:b/>
          <w:color w:val="17365D"/>
          <w:sz w:val="20"/>
        </w:rPr>
        <w:t>3</w:t>
      </w:r>
      <w:r>
        <w:rPr>
          <w:rFonts w:ascii="Microsoft JhengHei" w:eastAsia="Microsoft JhengHei" w:hint="eastAsia"/>
          <w:b/>
          <w:color w:val="17365D"/>
          <w:sz w:val="20"/>
        </w:rPr>
        <w:t>：</w:t>
      </w:r>
      <w:r>
        <w:rPr>
          <w:rFonts w:ascii="Times New Roman" w:eastAsia="Times New Roman"/>
          <w:b/>
          <w:color w:val="17365D"/>
          <w:sz w:val="20"/>
        </w:rPr>
        <w:t xml:space="preserve">2025 </w:t>
      </w:r>
      <w:r>
        <w:rPr>
          <w:rFonts w:ascii="Microsoft JhengHei" w:eastAsia="Microsoft JhengHei" w:hint="eastAsia"/>
          <w:b/>
          <w:color w:val="17365D"/>
          <w:sz w:val="20"/>
        </w:rPr>
        <w:t>年新能源环卫装备销量预测</w:t>
      </w:r>
    </w:p>
    <w:p>
      <w:pPr>
        <w:pStyle w:val="Heading3"/>
        <w:spacing w:before="181" w:line="201" w:lineRule="auto"/>
        <w:ind w:left="2708" w:right="38" w:hanging="15"/>
        <w:rPr>
          <w:rFonts w:ascii="Microsoft JhengHei UI" w:eastAsia="Microsoft JhengHei UI" w:hint="eastAsia"/>
        </w:rPr>
      </w:pPr>
      <w:r>
        <w:pict>
          <v:group id="_x0000_s1529" style="width:318.05pt;height:0.5pt;margin-top:16.89pt;margin-left:226.01pt;mso-position-horizontal-relative:page;position:absolute;z-index:-251598848" coordorigin="4520,338" coordsize="6361,10">
            <v:line id="_x0000_s1530" style="position:absolute" from="4520,343" to="5581,343" stroked="t" strokecolor="black" strokeweight="0.48pt">
              <v:stroke dashstyle="solid"/>
            </v:line>
            <v:rect id="_x0000_s1531" style="width:10;height:10;left:5581;position:absolute;top:337" filled="t" fillcolor="black" stroked="f">
              <v:fill type="solid"/>
            </v:rect>
            <v:line id="_x0000_s1532" style="position:absolute" from="5591,343" to="6642,343" stroked="t" strokecolor="black" strokeweight="0.48pt">
              <v:stroke dashstyle="solid"/>
            </v:line>
            <v:rect id="_x0000_s1533" style="width:10;height:10;left:6642;position:absolute;top:337" filled="t" fillcolor="black" stroked="f">
              <v:fill type="solid"/>
            </v:rect>
            <v:line id="_x0000_s1534" style="position:absolute" from="6652,343" to="7701,343" stroked="t" strokecolor="black" strokeweight="0.48pt">
              <v:stroke dashstyle="solid"/>
            </v:line>
            <v:rect id="_x0000_s1535" style="width:10;height:10;left:7700;position:absolute;top:337" filled="t" fillcolor="black" stroked="f">
              <v:fill type="solid"/>
            </v:rect>
            <v:line id="_x0000_s1536" style="position:absolute" from="7710,343" to="8762,343" stroked="t" strokecolor="black" strokeweight="0.48pt">
              <v:stroke dashstyle="solid"/>
            </v:line>
            <v:rect id="_x0000_s1537" style="width:10;height:10;left:8762;position:absolute;top:337" filled="t" fillcolor="black" stroked="f">
              <v:fill type="solid"/>
            </v:rect>
            <v:line id="_x0000_s1538" style="position:absolute" from="8772,343" to="9823,343" stroked="t" strokecolor="black" strokeweight="0.48pt">
              <v:stroke dashstyle="solid"/>
            </v:line>
            <v:rect id="_x0000_s1539" style="width:10;height:10;left:9822;position:absolute;top:337" filled="t" fillcolor="black" stroked="f">
              <v:fill type="solid"/>
            </v:rect>
            <v:line id="_x0000_s1540" style="position:absolute" from="9832,343" to="10881,343" stroked="t" strokecolor="black" strokeweight="0.48pt">
              <v:stroke dashstyle="solid"/>
            </v:line>
          </v:group>
        </w:pict>
      </w:r>
      <w:r>
        <w:pict>
          <v:shape id="_x0000_s1541" type="#_x0000_t202" style="width:501.85pt;height:94.8pt;margin-top:33.48pt;margin-left:42.24pt;mso-position-horizontal-relative:page;position:absolute;z-index:25171968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90"/>
                    <w:gridCol w:w="1146"/>
                    <w:gridCol w:w="1060"/>
                    <w:gridCol w:w="1060"/>
                    <w:gridCol w:w="1061"/>
                    <w:gridCol w:w="1060"/>
                    <w:gridCol w:w="106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2"/>
                      <w:jc w:val="left"/>
                    </w:trPr>
                    <w:tc>
                      <w:tcPr>
                        <w:tcW w:w="359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146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82" w:lineRule="exact"/>
                          <w:ind w:left="280" w:right="195"/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  <w:t>量预测</w:t>
                        </w:r>
                      </w:p>
                    </w:tc>
                    <w:tc>
                      <w:tcPr>
                        <w:tcW w:w="106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82" w:lineRule="exact"/>
                          <w:ind w:left="194" w:right="193"/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  <w:t>渗透率</w:t>
                        </w:r>
                      </w:p>
                    </w:tc>
                    <w:tc>
                      <w:tcPr>
                        <w:tcW w:w="106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82" w:lineRule="exact"/>
                          <w:ind w:left="193" w:right="194"/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  <w:t>量预测</w:t>
                        </w:r>
                      </w:p>
                    </w:tc>
                    <w:tc>
                      <w:tcPr>
                        <w:tcW w:w="1061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82" w:lineRule="exact"/>
                          <w:ind w:left="195" w:right="195"/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  <w:t>渗透率</w:t>
                        </w:r>
                      </w:p>
                    </w:tc>
                    <w:tc>
                      <w:tcPr>
                        <w:tcW w:w="106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82" w:lineRule="exact"/>
                          <w:ind w:left="194" w:right="193"/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  <w:t>量预测</w:t>
                        </w:r>
                      </w:p>
                    </w:tc>
                    <w:tc>
                      <w:tcPr>
                        <w:tcW w:w="1060" w:type="dxa"/>
                        <w:tcBorders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82" w:lineRule="exact"/>
                          <w:ind w:left="193" w:right="194"/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  <w:t>渗透率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7"/>
                      <w:jc w:val="left"/>
                    </w:trPr>
                    <w:tc>
                      <w:tcPr>
                        <w:tcW w:w="359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right" w:pos="2995"/>
                          </w:tabs>
                          <w:spacing w:line="220" w:lineRule="auto"/>
                          <w:ind w:right="2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试点</w:t>
                        </w:r>
                        <w:r>
                          <w:rPr>
                            <w:spacing w:val="-3"/>
                            <w:sz w:val="21"/>
                          </w:rPr>
                          <w:t>城</w:t>
                        </w:r>
                        <w:r>
                          <w:rPr>
                            <w:sz w:val="21"/>
                          </w:rPr>
                          <w:t>市</w:t>
                        </w:r>
                        <w:r>
                          <w:rPr>
                            <w:spacing w:val="-3"/>
                            <w:sz w:val="21"/>
                          </w:rPr>
                          <w:t>&amp;</w:t>
                        </w:r>
                        <w:r>
                          <w:rPr>
                            <w:sz w:val="21"/>
                          </w:rPr>
                          <w:t>空</w:t>
                        </w:r>
                        <w:r>
                          <w:rPr>
                            <w:spacing w:val="-3"/>
                            <w:sz w:val="21"/>
                          </w:rPr>
                          <w:t>气</w:t>
                        </w:r>
                        <w:r>
                          <w:rPr>
                            <w:sz w:val="21"/>
                          </w:rPr>
                          <w:t>改善</w:t>
                          <w:tab/>
                        </w:r>
                        <w:r>
                          <w:rPr>
                            <w:position w:val="-15"/>
                            <w:sz w:val="21"/>
                          </w:rPr>
                          <w:t>39682</w:t>
                        </w:r>
                      </w:p>
                    </w:tc>
                    <w:tc>
                      <w:tcPr>
                        <w:tcW w:w="1146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39" w:line="240" w:lineRule="auto"/>
                          <w:ind w:left="278" w:right="19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15873</w:t>
                        </w:r>
                      </w:p>
                    </w:tc>
                    <w:tc>
                      <w:tcPr>
                        <w:tcW w:w="106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7" w:line="240" w:lineRule="auto"/>
                          <w:ind w:left="194" w:right="193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color w:val="C00000"/>
                            <w:w w:val="95"/>
                            <w:sz w:val="21"/>
                          </w:rPr>
                          <w:t>40%</w:t>
                        </w:r>
                      </w:p>
                    </w:tc>
                    <w:tc>
                      <w:tcPr>
                        <w:tcW w:w="106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39" w:line="240" w:lineRule="auto"/>
                          <w:ind w:left="193" w:right="19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23809</w:t>
                        </w:r>
                      </w:p>
                    </w:tc>
                    <w:tc>
                      <w:tcPr>
                        <w:tcW w:w="1061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7" w:line="240" w:lineRule="auto"/>
                          <w:ind w:left="195" w:right="195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color w:val="C00000"/>
                            <w:w w:val="95"/>
                            <w:sz w:val="21"/>
                          </w:rPr>
                          <w:t>60%</w:t>
                        </w:r>
                      </w:p>
                    </w:tc>
                    <w:tc>
                      <w:tcPr>
                        <w:tcW w:w="106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39" w:line="240" w:lineRule="auto"/>
                          <w:ind w:left="193" w:right="19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31745</w:t>
                        </w:r>
                      </w:p>
                    </w:tc>
                    <w:tc>
                      <w:tcPr>
                        <w:tcW w:w="1060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before="107" w:line="240" w:lineRule="auto"/>
                          <w:ind w:left="193" w:right="194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color w:val="C00000"/>
                            <w:w w:val="95"/>
                            <w:sz w:val="21"/>
                          </w:rPr>
                          <w:t>80%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8"/>
                      <w:jc w:val="left"/>
                    </w:trPr>
                    <w:tc>
                      <w:tcPr>
                        <w:tcW w:w="3590" w:type="dxa"/>
                      </w:tcPr>
                      <w:p>
                        <w:pPr>
                          <w:pStyle w:val="TableParagraph"/>
                          <w:tabs>
                            <w:tab w:val="right" w:pos="2498"/>
                          </w:tabs>
                          <w:spacing w:before="69" w:line="309" w:lineRule="exact"/>
                          <w:ind w:right="2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其他</w:t>
                        </w:r>
                        <w:r>
                          <w:rPr>
                            <w:spacing w:val="-3"/>
                            <w:sz w:val="21"/>
                          </w:rPr>
                          <w:t>城</w:t>
                        </w:r>
                        <w:r>
                          <w:rPr>
                            <w:sz w:val="21"/>
                          </w:rPr>
                          <w:t>市</w:t>
                          <w:tab/>
                          <w:t>47001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before="69" w:line="309" w:lineRule="exact"/>
                          <w:ind w:left="280" w:right="19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1271</w:t>
                        </w:r>
                      </w:p>
                    </w:tc>
                    <w:tc>
                      <w:tcPr>
                        <w:tcW w:w="1060" w:type="dxa"/>
                      </w:tcPr>
                      <w:p>
                        <w:pPr>
                          <w:pStyle w:val="TableParagraph"/>
                          <w:spacing w:before="69" w:line="309" w:lineRule="exact"/>
                          <w:ind w:left="194" w:right="19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3%</w:t>
                        </w:r>
                      </w:p>
                    </w:tc>
                    <w:tc>
                      <w:tcPr>
                        <w:tcW w:w="1060" w:type="dxa"/>
                      </w:tcPr>
                      <w:p>
                        <w:pPr>
                          <w:pStyle w:val="TableParagraph"/>
                          <w:spacing w:before="69" w:line="309" w:lineRule="exact"/>
                          <w:ind w:left="193" w:right="19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1271</w:t>
                        </w:r>
                      </w:p>
                    </w:tc>
                    <w:tc>
                      <w:tcPr>
                        <w:tcW w:w="1061" w:type="dxa"/>
                      </w:tcPr>
                      <w:p>
                        <w:pPr>
                          <w:pStyle w:val="TableParagraph"/>
                          <w:spacing w:before="69" w:line="309" w:lineRule="exact"/>
                          <w:ind w:left="195" w:right="19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3%</w:t>
                        </w:r>
                      </w:p>
                    </w:tc>
                    <w:tc>
                      <w:tcPr>
                        <w:tcW w:w="1060" w:type="dxa"/>
                      </w:tcPr>
                      <w:p>
                        <w:pPr>
                          <w:pStyle w:val="TableParagraph"/>
                          <w:spacing w:before="69" w:line="309" w:lineRule="exact"/>
                          <w:ind w:left="194" w:right="19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1271</w:t>
                        </w:r>
                      </w:p>
                    </w:tc>
                    <w:tc>
                      <w:tcPr>
                        <w:tcW w:w="1060" w:type="dxa"/>
                      </w:tcPr>
                      <w:p>
                        <w:pPr>
                          <w:pStyle w:val="TableParagraph"/>
                          <w:spacing w:before="69" w:line="309" w:lineRule="exact"/>
                          <w:ind w:left="192" w:right="19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590" w:type="dxa"/>
                        <w:tcBorders>
                          <w:bottom w:val="single" w:sz="4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tabs>
                            <w:tab w:val="right" w:pos="2289"/>
                          </w:tabs>
                          <w:ind w:right="29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rFonts w:ascii="Microsoft JhengHei UI" w:eastAsia="Microsoft JhengHei UI" w:hint="eastAsia"/>
                            <w:b/>
                            <w:sz w:val="21"/>
                          </w:rPr>
                          <w:t>合计</w:t>
                          <w:tab/>
                        </w:r>
                        <w:r>
                          <w:rPr>
                            <w:sz w:val="21"/>
                          </w:rPr>
                          <w:t>86683</w:t>
                        </w:r>
                      </w:p>
                    </w:tc>
                    <w:tc>
                      <w:tcPr>
                        <w:tcW w:w="1146" w:type="dxa"/>
                        <w:tcBorders>
                          <w:bottom w:val="single" w:sz="4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80" w:right="194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w w:val="90"/>
                            <w:sz w:val="21"/>
                          </w:rPr>
                          <w:t>17144</w:t>
                        </w:r>
                      </w:p>
                    </w:tc>
                    <w:tc>
                      <w:tcPr>
                        <w:tcW w:w="1060" w:type="dxa"/>
                        <w:tcBorders>
                          <w:bottom w:val="single" w:sz="4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94" w:right="193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w w:val="95"/>
                            <w:sz w:val="21"/>
                          </w:rPr>
                          <w:t>20%</w:t>
                        </w:r>
                      </w:p>
                    </w:tc>
                    <w:tc>
                      <w:tcPr>
                        <w:tcW w:w="1060" w:type="dxa"/>
                        <w:tcBorders>
                          <w:bottom w:val="single" w:sz="4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94" w:right="194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w w:val="90"/>
                            <w:sz w:val="21"/>
                          </w:rPr>
                          <w:t>25080</w:t>
                        </w:r>
                      </w:p>
                    </w:tc>
                    <w:tc>
                      <w:tcPr>
                        <w:tcW w:w="1061" w:type="dxa"/>
                        <w:tcBorders>
                          <w:bottom w:val="single" w:sz="4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95" w:right="195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w w:val="95"/>
                            <w:sz w:val="21"/>
                          </w:rPr>
                          <w:t>29%</w:t>
                        </w:r>
                      </w:p>
                    </w:tc>
                    <w:tc>
                      <w:tcPr>
                        <w:tcW w:w="1060" w:type="dxa"/>
                        <w:tcBorders>
                          <w:bottom w:val="single" w:sz="4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94" w:right="193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w w:val="90"/>
                            <w:sz w:val="21"/>
                          </w:rPr>
                          <w:t>33016</w:t>
                        </w:r>
                      </w:p>
                    </w:tc>
                    <w:tc>
                      <w:tcPr>
                        <w:tcW w:w="1060" w:type="dxa"/>
                        <w:tcBorders>
                          <w:bottom w:val="single" w:sz="4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93" w:right="194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w w:val="95"/>
                            <w:sz w:val="21"/>
                          </w:rPr>
                          <w:t>43%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590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2909"/>
                          </w:tabs>
                          <w:ind w:left="2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2023-2025 年</w:t>
                        </w:r>
                        <w:r>
                          <w:rPr>
                            <w:spacing w:val="-3"/>
                            <w:sz w:val="21"/>
                          </w:rPr>
                          <w:t>销</w:t>
                        </w:r>
                        <w:r>
                          <w:rPr>
                            <w:sz w:val="21"/>
                          </w:rPr>
                          <w:t>量</w:t>
                        </w:r>
                        <w:r>
                          <w:rPr>
                            <w:spacing w:val="-3"/>
                            <w:sz w:val="21"/>
                          </w:rPr>
                          <w:t>复</w:t>
                        </w:r>
                        <w:r>
                          <w:rPr>
                            <w:sz w:val="21"/>
                          </w:rPr>
                          <w:t>增</w:t>
                          <w:tab/>
                          <w:t>6%</w:t>
                        </w:r>
                      </w:p>
                    </w:tc>
                    <w:tc>
                      <w:tcPr>
                        <w:tcW w:w="1146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280" w:right="195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w w:val="95"/>
                            <w:sz w:val="21"/>
                          </w:rPr>
                          <w:t>66%</w:t>
                        </w:r>
                      </w:p>
                    </w:tc>
                    <w:tc>
                      <w:tcPr>
                        <w:tcW w:w="1060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1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/</w:t>
                        </w:r>
                      </w:p>
                    </w:tc>
                    <w:tc>
                      <w:tcPr>
                        <w:tcW w:w="1060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193" w:right="194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w w:val="95"/>
                            <w:sz w:val="21"/>
                          </w:rPr>
                          <w:t>100%</w:t>
                        </w:r>
                      </w:p>
                    </w:tc>
                    <w:tc>
                      <w:tcPr>
                        <w:tcW w:w="1061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/</w:t>
                        </w:r>
                      </w:p>
                    </w:tc>
                    <w:tc>
                      <w:tcPr>
                        <w:tcW w:w="1060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left="194" w:right="194"/>
                          <w:rPr>
                            <w:rFonts w:ascii="Microsoft JhengHei U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 UI"/>
                            <w:b/>
                            <w:w w:val="95"/>
                            <w:sz w:val="21"/>
                          </w:rPr>
                          <w:t>130%</w:t>
                        </w:r>
                      </w:p>
                    </w:tc>
                    <w:tc>
                      <w:tcPr>
                        <w:tcW w:w="1060" w:type="dxa"/>
                        <w:tcBorders>
                          <w:top w:val="single" w:sz="4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ind w:right="1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/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JhengHei UI" w:eastAsia="Microsoft JhengHei UI" w:hint="eastAsia"/>
          <w:w w:val="90"/>
        </w:rPr>
        <w:t>2025 年总</w:t>
      </w:r>
      <w:r>
        <w:rPr>
          <w:rFonts w:ascii="Microsoft JhengHei UI" w:eastAsia="Microsoft JhengHei UI" w:hint="eastAsia"/>
        </w:rPr>
        <w:t>销量预测</w:t>
      </w:r>
    </w:p>
    <w:p>
      <w:pPr>
        <w:pStyle w:val="BodyText"/>
        <w:spacing w:before="2"/>
        <w:rPr>
          <w:rFonts w:ascii="Microsoft JhengHei UI"/>
          <w:b/>
          <w:sz w:val="22"/>
        </w:rPr>
      </w:pPr>
      <w:r>
        <w:br w:type="column"/>
      </w:r>
    </w:p>
    <w:p>
      <w:pPr>
        <w:tabs>
          <w:tab w:val="left" w:pos="1295"/>
          <w:tab w:val="left" w:pos="2251"/>
          <w:tab w:val="left" w:pos="2489"/>
          <w:tab w:val="left" w:pos="3415"/>
          <w:tab w:val="left" w:pos="4373"/>
          <w:tab w:val="left" w:pos="4563"/>
          <w:tab w:val="left" w:pos="5535"/>
        </w:tabs>
        <w:spacing w:before="0" w:line="206" w:lineRule="auto"/>
        <w:ind w:left="131" w:right="956" w:firstLine="237"/>
        <w:jc w:val="left"/>
        <w:rPr>
          <w:rFonts w:ascii="Microsoft JhengHei UI" w:eastAsia="Microsoft JhengHei UI" w:hint="eastAsia"/>
          <w:b/>
          <w:sz w:val="21"/>
        </w:rPr>
      </w:pPr>
      <w:r>
        <w:rPr>
          <w:rFonts w:ascii="Microsoft JhengHei UI" w:eastAsia="Microsoft JhengHei UI" w:hint="eastAsia"/>
          <w:b/>
          <w:color w:val="C00000"/>
          <w:sz w:val="21"/>
        </w:rPr>
        <w:t>50%目标达</w:t>
      </w:r>
      <w:r>
        <w:rPr>
          <w:rFonts w:ascii="Microsoft JhengHei UI" w:eastAsia="Microsoft JhengHei UI" w:hint="eastAsia"/>
          <w:b/>
          <w:color w:val="C00000"/>
          <w:spacing w:val="-3"/>
          <w:sz w:val="21"/>
        </w:rPr>
        <w:t>成</w:t>
      </w:r>
      <w:r>
        <w:rPr>
          <w:rFonts w:ascii="Microsoft JhengHei UI" w:eastAsia="Microsoft JhengHei UI" w:hint="eastAsia"/>
          <w:b/>
          <w:color w:val="C00000"/>
          <w:sz w:val="21"/>
        </w:rPr>
        <w:t>率</w:t>
        <w:tab/>
        <w:tab/>
        <w:t>75%目标达</w:t>
      </w:r>
      <w:r>
        <w:rPr>
          <w:rFonts w:ascii="Microsoft JhengHei UI" w:eastAsia="Microsoft JhengHei UI" w:hint="eastAsia"/>
          <w:b/>
          <w:color w:val="C00000"/>
          <w:spacing w:val="-3"/>
          <w:sz w:val="21"/>
        </w:rPr>
        <w:t>成</w:t>
      </w:r>
      <w:r>
        <w:rPr>
          <w:rFonts w:ascii="Microsoft JhengHei UI" w:eastAsia="Microsoft JhengHei UI" w:hint="eastAsia"/>
          <w:b/>
          <w:color w:val="C00000"/>
          <w:sz w:val="21"/>
        </w:rPr>
        <w:t>率</w:t>
        <w:tab/>
        <w:tab/>
      </w:r>
      <w:r>
        <w:rPr>
          <w:rFonts w:ascii="Microsoft JhengHei UI" w:eastAsia="Microsoft JhengHei UI" w:hint="eastAsia"/>
          <w:b/>
          <w:color w:val="C00000"/>
          <w:w w:val="95"/>
          <w:sz w:val="21"/>
        </w:rPr>
        <w:t>100%目标达</w:t>
      </w:r>
      <w:r>
        <w:rPr>
          <w:rFonts w:ascii="Microsoft JhengHei UI" w:eastAsia="Microsoft JhengHei UI" w:hint="eastAsia"/>
          <w:b/>
          <w:color w:val="C00000"/>
          <w:spacing w:val="-3"/>
          <w:w w:val="95"/>
          <w:sz w:val="21"/>
        </w:rPr>
        <w:t>成</w:t>
      </w:r>
      <w:r>
        <w:rPr>
          <w:rFonts w:ascii="Microsoft JhengHei UI" w:eastAsia="Microsoft JhengHei UI" w:hint="eastAsia"/>
          <w:b/>
          <w:color w:val="C00000"/>
          <w:w w:val="95"/>
          <w:sz w:val="21"/>
        </w:rPr>
        <w:t>率</w:t>
      </w:r>
      <w:r>
        <w:rPr>
          <w:rFonts w:ascii="Microsoft JhengHei UI" w:eastAsia="Microsoft JhengHei UI" w:hint="eastAsia"/>
          <w:b/>
          <w:sz w:val="21"/>
        </w:rPr>
        <w:t>新能</w:t>
      </w:r>
      <w:r>
        <w:rPr>
          <w:rFonts w:ascii="Microsoft JhengHei UI" w:eastAsia="Microsoft JhengHei UI" w:hint="eastAsia"/>
          <w:b/>
          <w:spacing w:val="-3"/>
          <w:sz w:val="21"/>
        </w:rPr>
        <w:t>源</w:t>
      </w:r>
      <w:r>
        <w:rPr>
          <w:rFonts w:ascii="Microsoft JhengHei UI" w:eastAsia="Microsoft JhengHei UI" w:hint="eastAsia"/>
          <w:b/>
          <w:sz w:val="21"/>
        </w:rPr>
        <w:t>销</w:t>
        <w:tab/>
        <w:t>新能源</w:t>
        <w:tab/>
        <w:t>新能</w:t>
      </w:r>
      <w:r>
        <w:rPr>
          <w:rFonts w:ascii="Microsoft JhengHei UI" w:eastAsia="Microsoft JhengHei UI" w:hint="eastAsia"/>
          <w:b/>
          <w:spacing w:val="-3"/>
          <w:sz w:val="21"/>
        </w:rPr>
        <w:t>源</w:t>
      </w:r>
      <w:r>
        <w:rPr>
          <w:rFonts w:ascii="Microsoft JhengHei UI" w:eastAsia="Microsoft JhengHei UI" w:hint="eastAsia"/>
          <w:b/>
          <w:sz w:val="21"/>
        </w:rPr>
        <w:t>销</w:t>
        <w:tab/>
        <w:t>新能源</w:t>
        <w:tab/>
        <w:t>新能</w:t>
      </w:r>
      <w:r>
        <w:rPr>
          <w:rFonts w:ascii="Microsoft JhengHei UI" w:eastAsia="Microsoft JhengHei UI" w:hint="eastAsia"/>
          <w:b/>
          <w:spacing w:val="-3"/>
          <w:sz w:val="21"/>
        </w:rPr>
        <w:t>源</w:t>
      </w:r>
      <w:r>
        <w:rPr>
          <w:rFonts w:ascii="Microsoft JhengHei UI" w:eastAsia="Microsoft JhengHei UI" w:hint="eastAsia"/>
          <w:b/>
          <w:sz w:val="21"/>
        </w:rPr>
        <w:t>销</w:t>
        <w:tab/>
        <w:t>新能</w:t>
      </w:r>
      <w:r>
        <w:rPr>
          <w:rFonts w:ascii="Microsoft JhengHei UI" w:eastAsia="Microsoft JhengHei UI" w:hint="eastAsia"/>
          <w:b/>
          <w:spacing w:val="-17"/>
          <w:sz w:val="21"/>
        </w:rPr>
        <w:t>源</w:t>
      </w:r>
    </w:p>
    <w:p>
      <w:pPr>
        <w:spacing w:after="0" w:line="206" w:lineRule="auto"/>
        <w:jc w:val="left"/>
        <w:rPr>
          <w:rFonts w:ascii="Microsoft JhengHei UI" w:eastAsia="Microsoft JhengHei UI" w:hint="eastAsia"/>
          <w:sz w:val="21"/>
        </w:rPr>
        <w:sectPr>
          <w:headerReference w:type="default" r:id="rId75"/>
          <w:footerReference w:type="default" r:id="rId76"/>
          <w:type w:val="continuous"/>
          <w:pgSz w:w="11910" w:h="16840"/>
          <w:pgMar w:top="1340" w:right="280" w:bottom="500" w:left="720" w:header="708" w:footer="708"/>
          <w:pgNumType w:start="29"/>
          <w:cols w:num="2" w:space="708" w:equalWidth="0">
            <w:col w:w="3646" w:space="132"/>
            <w:col w:w="7132" w:space="0"/>
          </w:cols>
        </w:sectPr>
      </w:pPr>
    </w:p>
    <w:p>
      <w:pPr>
        <w:pStyle w:val="BodyText"/>
        <w:spacing w:before="3"/>
        <w:rPr>
          <w:rFonts w:ascii="Microsoft JhengHei UI"/>
          <w:b/>
          <w:sz w:val="22"/>
        </w:rPr>
      </w:pPr>
      <w:r>
        <w:pict>
          <v:group id="_x0000_s1542" style="width:595.35pt;height:41.2pt;margin-top:800.29pt;margin-left:0;mso-position-horizontal-relative:page;mso-position-vertical-relative:page;position:absolute;z-index:251720704" coordorigin="0,16006" coordsize="11907,824">
            <v:rect id="_x0000_s1543" style="width:11907;height:473;position:absolute;top:16356" filled="t" fillcolor="#17365d" stroked="f">
              <v:fill type="solid"/>
            </v:rect>
            <v:rect id="_x0000_s1544" style="width:4080;height:437;left:7;position:absolute;top:16082" filled="t" fillcolor="#d7d7d7" stroked="f">
              <v:fill type="solid"/>
            </v:rect>
            <v:shape id="_x0000_s1545" type="#_x0000_t202" style="width:1707;height:240;left:9218;position:absolute;top:1600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17365D"/>
                        <w:sz w:val="24"/>
                      </w:rPr>
                      <w:t>东吴证券研究所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74"/>
        <w:ind w:left="706"/>
        <w:rPr>
          <w:rFonts w:ascii="华文仿宋" w:eastAsia="华文仿宋" w:hint="eastAsia"/>
        </w:rPr>
      </w:pPr>
      <w:r>
        <w:rPr>
          <w:rFonts w:ascii="华文仿宋" w:eastAsia="华文仿宋" w:hint="eastAsia"/>
        </w:rPr>
        <w:t>重点区域合计</w:t>
      </w:r>
    </w:p>
    <w:p>
      <w:pPr>
        <w:pStyle w:val="BodyText"/>
        <w:rPr>
          <w:rFonts w:ascii="华文仿宋"/>
          <w:sz w:val="26"/>
        </w:rPr>
      </w:pPr>
    </w:p>
    <w:p>
      <w:pPr>
        <w:pStyle w:val="BodyText"/>
        <w:spacing w:before="9"/>
        <w:rPr>
          <w:rFonts w:ascii="华文仿宋"/>
          <w:sz w:val="34"/>
        </w:rPr>
      </w:pPr>
    </w:p>
    <w:p>
      <w:pPr>
        <w:pStyle w:val="BodyText"/>
        <w:ind w:left="132"/>
      </w:pPr>
      <w:r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Heading1"/>
        <w:numPr>
          <w:ilvl w:val="0"/>
          <w:numId w:val="3"/>
        </w:numPr>
        <w:tabs>
          <w:tab w:val="left" w:pos="2719"/>
          <w:tab w:val="left" w:pos="2720"/>
        </w:tabs>
        <w:spacing w:before="0" w:after="0" w:line="240" w:lineRule="auto"/>
        <w:ind w:left="2719" w:right="0" w:hanging="428"/>
        <w:jc w:val="left"/>
      </w:pPr>
      <w:bookmarkStart w:id="1" w:name="_TOC_250005"/>
      <w:r>
        <w:rPr>
          <w:color w:val="17365D"/>
        </w:rPr>
        <w:t>新能源集中度下滑，盈峰</w:t>
      </w:r>
      <w:r>
        <w:rPr>
          <w:rFonts w:ascii="Times New Roman" w:eastAsia="Times New Roman"/>
          <w:color w:val="17365D"/>
          <w:spacing w:val="-4"/>
        </w:rPr>
        <w:t>&amp;</w:t>
      </w:r>
      <w:bookmarkEnd w:id="1"/>
      <w:r>
        <w:rPr>
          <w:color w:val="17365D"/>
        </w:rPr>
        <w:t>宇通市占率领先</w:t>
      </w:r>
    </w:p>
    <w:p>
      <w:pPr>
        <w:spacing w:before="210"/>
        <w:ind w:left="2825" w:right="0" w:firstLine="0"/>
        <w:jc w:val="left"/>
        <w:rPr>
          <w:sz w:val="21"/>
        </w:rPr>
      </w:pPr>
      <w:r>
        <w:rPr>
          <w:rFonts w:ascii="Times New Roman" w:eastAsia="Times New Roman"/>
          <w:b/>
          <w:sz w:val="21"/>
        </w:rPr>
        <w:t xml:space="preserve">2023M1-12 </w:t>
      </w:r>
      <w:r>
        <w:rPr>
          <w:rFonts w:ascii="Microsoft JhengHei" w:eastAsia="Microsoft JhengHei" w:hint="eastAsia"/>
          <w:b/>
          <w:sz w:val="21"/>
        </w:rPr>
        <w:t>环卫新能源集中度同比下滑。</w:t>
      </w:r>
      <w:r>
        <w:rPr>
          <w:rFonts w:ascii="Times New Roman" w:eastAsia="Times New Roman"/>
          <w:sz w:val="21"/>
        </w:rPr>
        <w:t>2023M1-12</w:t>
      </w:r>
      <w:r>
        <w:rPr>
          <w:sz w:val="21"/>
        </w:rPr>
        <w:t xml:space="preserve">，环卫车 </w:t>
      </w:r>
      <w:r>
        <w:rPr>
          <w:rFonts w:ascii="Times New Roman" w:eastAsia="Times New Roman"/>
          <w:sz w:val="21"/>
        </w:rPr>
        <w:t xml:space="preserve">CR3/CR6 </w:t>
      </w:r>
      <w:r>
        <w:rPr>
          <w:sz w:val="21"/>
        </w:rPr>
        <w:t>分别为</w:t>
      </w:r>
    </w:p>
    <w:p>
      <w:pPr>
        <w:pStyle w:val="BodyText"/>
        <w:spacing w:before="58" w:line="333" w:lineRule="auto"/>
        <w:ind w:left="2400" w:right="509"/>
      </w:pPr>
      <w:r>
        <w:rPr>
          <w:rFonts w:ascii="Times New Roman" w:eastAsia="Times New Roman"/>
        </w:rPr>
        <w:t>36.21%/47.57%</w:t>
      </w:r>
      <w:r>
        <w:t>，同比变动</w:t>
      </w:r>
      <w:r>
        <w:rPr>
          <w:rFonts w:ascii="Times New Roman" w:eastAsia="Times New Roman"/>
        </w:rPr>
        <w:t>-2.64pct/-2.47pct</w:t>
      </w:r>
      <w:r>
        <w:t xml:space="preserve">。新能源 </w:t>
      </w:r>
      <w:r>
        <w:rPr>
          <w:rFonts w:ascii="Times New Roman" w:eastAsia="Times New Roman"/>
        </w:rPr>
        <w:t xml:space="preserve">CR3/CR6 </w:t>
      </w:r>
      <w:r>
        <w:t xml:space="preserve">分别为 </w:t>
      </w:r>
      <w:r>
        <w:rPr>
          <w:rFonts w:ascii="Times New Roman" w:eastAsia="Times New Roman"/>
        </w:rPr>
        <w:t>60.76%/72.49%</w:t>
      </w:r>
      <w:r>
        <w:t>， 同比变动</w:t>
      </w:r>
      <w:r>
        <w:rPr>
          <w:rFonts w:ascii="Times New Roman" w:eastAsia="Times New Roman"/>
        </w:rPr>
        <w:t>-4.46pct/-4.79pct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Heading3"/>
        <w:spacing w:before="93"/>
      </w:pPr>
      <w:r>
        <w:t>9 / 29</w:t>
      </w:r>
    </w:p>
    <w:p>
      <w:pPr>
        <w:spacing w:after="0"/>
        <w:sectPr>
          <w:headerReference w:type="default" r:id="rId77"/>
          <w:footerReference w:type="default" r:id="rId78"/>
          <w:type w:val="continuous"/>
          <w:pgSz w:w="11910" w:h="16840"/>
          <w:pgMar w:top="1340" w:right="280" w:bottom="500" w:left="720" w:header="708" w:footer="708"/>
          <w:pgNumType w:start="30"/>
          <w:cols w:space="708"/>
        </w:sectPr>
      </w:pPr>
    </w:p>
    <w:p>
      <w:pPr>
        <w:tabs>
          <w:tab w:val="left" w:pos="5602"/>
        </w:tabs>
        <w:spacing w:before="55" w:after="15"/>
        <w:ind w:left="381" w:right="0" w:firstLine="0"/>
        <w:jc w:val="left"/>
        <w:rPr>
          <w:rFonts w:ascii="Times New Roman" w:eastAsia="Times New Roman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9</w:t>
      </w:r>
      <w:r>
        <w:rPr>
          <w:rFonts w:ascii="Microsoft JhengHei" w:eastAsia="Microsoft JhengHei" w:hint="eastAsia"/>
          <w:b/>
          <w:color w:val="17365D"/>
          <w:sz w:val="20"/>
        </w:rPr>
        <w:t>：环卫车与新能源环卫车销量</w:t>
      </w:r>
      <w:r>
        <w:rPr>
          <w:rFonts w:ascii="Microsoft JhengHei" w:eastAsia="Microsoft JhengHei" w:hint="eastAsia"/>
          <w:b/>
          <w:color w:val="17365D"/>
          <w:spacing w:val="7"/>
          <w:sz w:val="20"/>
        </w:rPr>
        <w:t xml:space="preserve"> </w:t>
      </w:r>
      <w:r>
        <w:rPr>
          <w:rFonts w:ascii="Times New Roman" w:eastAsia="Times New Roman"/>
          <w:b/>
          <w:color w:val="17365D"/>
          <w:sz w:val="20"/>
        </w:rPr>
        <w:t>CR3</w:t>
        <w:tab/>
      </w: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10</w:t>
      </w:r>
      <w:r>
        <w:rPr>
          <w:rFonts w:ascii="Microsoft JhengHei" w:eastAsia="Microsoft JhengHei" w:hint="eastAsia"/>
          <w:b/>
          <w:color w:val="17365D"/>
          <w:sz w:val="20"/>
        </w:rPr>
        <w:t>：环卫车与新能源环卫车销量</w:t>
      </w:r>
      <w:r>
        <w:rPr>
          <w:rFonts w:ascii="Microsoft JhengHei" w:eastAsia="Microsoft JhengHei" w:hint="eastAsia"/>
          <w:b/>
          <w:color w:val="17365D"/>
          <w:spacing w:val="7"/>
          <w:sz w:val="20"/>
        </w:rPr>
        <w:t xml:space="preserve"> </w:t>
      </w:r>
      <w:r>
        <w:rPr>
          <w:rFonts w:ascii="Times New Roman" w:eastAsia="Times New Roman"/>
          <w:b/>
          <w:color w:val="17365D"/>
          <w:sz w:val="20"/>
        </w:rPr>
        <w:t>CR6</w:t>
      </w:r>
    </w:p>
    <w:p>
      <w:pPr>
        <w:tabs>
          <w:tab w:val="left" w:pos="5343"/>
        </w:tabs>
        <w:spacing w:line="20" w:lineRule="exact"/>
        <w:ind w:left="122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546" style="width:249.05pt;height:1pt;mso-position-horizontal-relative:char;mso-position-vertical-relative:line" coordorigin="0,0" coordsize="4981,20">
            <v:line id="_x0000_s1547" style="position:absolute" from="0,10" to="4981,10" stroked="t" strokecolor="black" strokeweight="0.96pt">
              <v:stroke dashstyle="solid"/>
            </v:line>
            <w10:wrap type="none"/>
          </v:group>
        </w:pict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id="_x0000_i1548" style="width:249.45pt;height:1pt;mso-position-horizontal-relative:char;mso-position-vertical-relative:line" coordorigin="0,0" coordsize="4989,20">
            <v:line id="_x0000_s1549" style="position:absolute" from="0,10" to="4988,10" stroked="t" strokecolor="black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rFonts w:ascii="Times New Roman"/>
          <w:b/>
        </w:rPr>
      </w:pPr>
    </w:p>
    <w:p>
      <w:pPr>
        <w:spacing w:after="0"/>
        <w:rPr>
          <w:rFonts w:ascii="Times New Roman"/>
        </w:rPr>
        <w:sectPr>
          <w:headerReference w:type="default" r:id="rId79"/>
          <w:footerReference w:type="default" r:id="rId80"/>
          <w:pgSz w:w="11910" w:h="16840"/>
          <w:pgMar w:top="1340" w:right="280" w:bottom="500" w:left="720" w:header="708" w:footer="708"/>
          <w:pgNumType w:start="31"/>
          <w:cols w:space="708"/>
        </w:sectPr>
      </w:pPr>
    </w:p>
    <w:p>
      <w:pPr>
        <w:spacing w:before="102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80%</w: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spacing w:before="0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70%</w: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spacing w:before="0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60%</w: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spacing w:before="0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50%</w:t>
      </w:r>
    </w:p>
    <w:p>
      <w:pPr>
        <w:pStyle w:val="BodyText"/>
        <w:spacing w:before="7"/>
        <w:rPr>
          <w:rFonts w:ascii="Times New Roman"/>
          <w:sz w:val="12"/>
        </w:rPr>
      </w:pPr>
    </w:p>
    <w:p>
      <w:pPr>
        <w:spacing w:before="0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40%</w: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spacing w:before="0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30%</w: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spacing w:before="0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20%</w: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spacing w:before="0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10%</w: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spacing w:before="0"/>
        <w:ind w:left="0" w:right="1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0%</w:t>
      </w:r>
    </w:p>
    <w:p>
      <w:pPr>
        <w:pStyle w:val="BodyText"/>
        <w:spacing w:before="8" w:after="1"/>
        <w:rPr>
          <w:rFonts w:ascii="Times New Roman"/>
          <w:sz w:val="13"/>
        </w:rPr>
      </w:pPr>
      <w:r>
        <w:br w:type="column"/>
      </w:r>
    </w:p>
    <w:p>
      <w:pPr>
        <w:pStyle w:val="BodyText"/>
        <w:ind w:left="13" w:right="-173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550" style="width:213.65pt;height:104.15pt;mso-position-horizontal-relative:char;mso-position-vertical-relative:line" coordorigin="0,0" coordsize="4273,2083">
            <v:line id="_x0000_s1551" style="position:absolute" from="221,1091" to="221,2077" stroked="t" strokecolor="#d7d7d7" strokeweight="5.97pt">
              <v:stroke dashstyle="solid"/>
            </v:line>
            <v:line id="_x0000_s1552" style="position:absolute" from="372,563" to="372,2077" stroked="t" strokecolor="#375f91" strokeweight="5.97pt">
              <v:stroke dashstyle="solid"/>
            </v:line>
            <v:line id="_x0000_s1553" style="position:absolute" from="751,1040" to="751,2077" stroked="t" strokecolor="#d7d7d7" strokeweight="5.97pt">
              <v:stroke dashstyle="solid"/>
            </v:line>
            <v:line id="_x0000_s1554" style="position:absolute" from="902,129" to="902,2077" stroked="t" strokecolor="#375f91" strokeweight="5.89pt">
              <v:stroke dashstyle="solid"/>
            </v:line>
            <v:line id="_x0000_s1555" style="position:absolute" from="1282,1013" to="1282,2077" stroked="t" strokecolor="#d7d7d7" strokeweight="5.97pt">
              <v:stroke dashstyle="solid"/>
            </v:line>
            <v:line id="_x0000_s1556" style="position:absolute" from="1432,174" to="1432,2077" stroked="t" strokecolor="#375f91" strokeweight="5.89pt">
              <v:stroke dashstyle="solid"/>
            </v:line>
            <v:line id="_x0000_s1557" style="position:absolute" from="1811,991" to="1811,2077" stroked="t" strokecolor="#d7d7d7" strokeweight="5.89pt">
              <v:stroke dashstyle="solid"/>
            </v:line>
            <v:line id="_x0000_s1558" style="position:absolute" from="1963,336" to="1963,2077" stroked="t" strokecolor="#375f91" strokeweight="5.89pt">
              <v:stroke dashstyle="solid"/>
            </v:line>
            <v:line id="_x0000_s1559" style="position:absolute" from="2342,999" to="2342,2077" stroked="t" strokecolor="#d7d7d7" strokeweight="5.89pt">
              <v:stroke dashstyle="solid"/>
            </v:line>
            <v:line id="_x0000_s1560" style="position:absolute" from="2492,671" to="2492,2077" stroked="t" strokecolor="#375f91" strokeweight="5.97pt">
              <v:stroke dashstyle="solid"/>
            </v:line>
            <v:line id="_x0000_s1561" style="position:absolute" from="2871,1004" to="2871,2077" stroked="t" strokecolor="#d7d7d7" strokeweight="5.97pt">
              <v:stroke dashstyle="solid"/>
            </v:line>
            <v:line id="_x0000_s1562" style="position:absolute" from="3023,669" to="3023,2077" stroked="t" strokecolor="#375f91" strokeweight="5.97pt">
              <v:stroke dashstyle="solid"/>
            </v:line>
            <v:line id="_x0000_s1563" style="position:absolute" from="3402,1071" to="3402,2077" stroked="t" strokecolor="#d7d7d7" strokeweight="5.97pt">
              <v:stroke dashstyle="solid"/>
            </v:line>
            <v:line id="_x0000_s1564" style="position:absolute" from="3553,389" to="3553,2077" stroked="t" strokecolor="#375f91" strokeweight="5.97pt">
              <v:stroke dashstyle="solid"/>
            </v:line>
            <v:line id="_x0000_s1565" style="position:absolute" from="3932,1139" to="3932,2077" stroked="t" strokecolor="#d7d7d7" strokeweight="5.97pt">
              <v:stroke dashstyle="solid"/>
            </v:line>
            <v:line id="_x0000_s1566" style="position:absolute" from="4084,504" to="4084,2077" stroked="t" strokecolor="#375f91" strokeweight="5.97pt">
              <v:stroke dashstyle="solid"/>
            </v:line>
            <v:line id="_x0000_s1567" style="position:absolute" from="30,2077" to="30,5" stroked="t" strokecolor="#aeabab" strokeweight="0.5pt">
              <v:stroke dashstyle="solid"/>
            </v:line>
            <v:line id="_x0000_s1568" style="position:absolute" from="0,2077" to="30,2077" stroked="t" strokecolor="#aeabab" strokeweight="0.5pt">
              <v:stroke dashstyle="solid"/>
            </v:line>
            <v:line id="_x0000_s1569" style="position:absolute" from="0,1818" to="30,1818" stroked="t" strokecolor="#aeabab" strokeweight="0.5pt">
              <v:stroke dashstyle="solid"/>
            </v:line>
            <v:line id="_x0000_s1570" style="position:absolute" from="0,1560" to="30,1560" stroked="t" strokecolor="#aeabab" strokeweight="0.5pt">
              <v:stroke dashstyle="solid"/>
            </v:line>
            <v:line id="_x0000_s1571" style="position:absolute" from="0,1300" to="30,1300" stroked="t" strokecolor="#aeabab" strokeweight="0.5pt">
              <v:stroke dashstyle="solid"/>
            </v:line>
            <v:line id="_x0000_s1572" style="position:absolute" from="0,1042" to="30,1042" stroked="t" strokecolor="#aeabab" strokeweight="0.5pt">
              <v:stroke dashstyle="solid"/>
            </v:line>
            <v:line id="_x0000_s1573" style="position:absolute" from="0,782" to="30,782" stroked="t" strokecolor="#aeabab" strokeweight="0.5pt">
              <v:stroke dashstyle="solid"/>
            </v:line>
            <v:line id="_x0000_s1574" style="position:absolute" from="0,523" to="30,523" stroked="t" strokecolor="#aeabab" strokeweight="0.5pt">
              <v:stroke dashstyle="solid"/>
            </v:line>
            <v:line id="_x0000_s1575" style="position:absolute" from="0,265" to="30,265" stroked="t" strokecolor="#aeabab" strokeweight="0.5pt">
              <v:stroke dashstyle="solid"/>
            </v:line>
            <v:line id="_x0000_s1576" style="position:absolute" from="0,5" to="30,5" stroked="t" strokecolor="#aeabab" strokeweight="0.5pt">
              <v:stroke dashstyle="solid"/>
            </v:line>
            <v:line id="_x0000_s1577" style="position:absolute" from="30,2077" to="4272,2077" stroked="t" strokecolor="#d9d9d9" strokeweight="0.5pt">
              <v:stroke dashstyle="solid"/>
            </v:line>
            <w10:wrap type="none"/>
          </v:group>
        </w:pict>
      </w:r>
    </w:p>
    <w:p>
      <w:pPr>
        <w:tabs>
          <w:tab w:val="left" w:pos="698"/>
          <w:tab w:val="left" w:pos="1229"/>
          <w:tab w:val="left" w:pos="1759"/>
          <w:tab w:val="left" w:pos="2289"/>
          <w:tab w:val="left" w:pos="2820"/>
          <w:tab w:val="left" w:pos="3350"/>
          <w:tab w:val="left" w:pos="3880"/>
        </w:tabs>
        <w:spacing w:before="0"/>
        <w:ind w:left="168" w:right="0" w:firstLine="0"/>
        <w:jc w:val="center"/>
        <w:rPr>
          <w:rFonts w:ascii="Times New Roman"/>
          <w:sz w:val="10"/>
        </w:rPr>
      </w:pPr>
      <w:r>
        <w:rPr>
          <w:rFonts w:ascii="Times New Roman"/>
          <w:color w:val="585858"/>
          <w:w w:val="105"/>
          <w:sz w:val="10"/>
        </w:rPr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  <w:t>2023</w:t>
      </w:r>
    </w:p>
    <w:p>
      <w:pPr>
        <w:pStyle w:val="BodyText"/>
        <w:spacing w:before="11"/>
        <w:rPr>
          <w:rFonts w:ascii="Times New Roman"/>
          <w:sz w:val="9"/>
        </w:rPr>
      </w:pPr>
    </w:p>
    <w:p>
      <w:pPr>
        <w:tabs>
          <w:tab w:val="left" w:pos="713"/>
        </w:tabs>
        <w:spacing w:before="0"/>
        <w:ind w:left="85" w:right="0" w:firstLine="0"/>
        <w:jc w:val="center"/>
        <w:rPr>
          <w:sz w:val="13"/>
        </w:rPr>
      </w:pPr>
      <w:r>
        <w:pict>
          <v:rect id="_x0000_s1578" style="width:3.27pt;height:3.35pt;margin-top:2.59pt;margin-left:130.33pt;mso-position-horizontal-relative:page;position:absolute;z-index:251723776" filled="t" fillcolor="#d7d7d7" stroked="f">
            <v:fill type="solid"/>
          </v:rect>
        </w:pict>
      </w:r>
      <w:r>
        <w:pict>
          <v:rect id="_x0000_s1579" style="width:3.27pt;height:3.35pt;margin-top:2.59pt;margin-left:161.72pt;mso-position-horizontal-relative:page;position:absolute;z-index:-251594752" filled="t" fillcolor="#375f91" stroked="f">
            <v:fill type="solid"/>
          </v:rect>
        </w:pict>
      </w:r>
      <w:r>
        <w:rPr>
          <w:color w:val="585858"/>
          <w:sz w:val="13"/>
        </w:rPr>
        <w:t>环卫车</w:t>
        <w:tab/>
        <w:t>新能源环卫车</w:t>
      </w:r>
    </w:p>
    <w:p>
      <w:pPr>
        <w:spacing w:before="103"/>
        <w:ind w:left="0" w:right="0" w:firstLine="0"/>
        <w:jc w:val="right"/>
        <w:rPr>
          <w:rFonts w:ascii="Times New Roman"/>
          <w:sz w:val="10"/>
        </w:rPr>
      </w:pPr>
      <w:r>
        <w:br w:type="column"/>
      </w:r>
      <w:r>
        <w:rPr>
          <w:rFonts w:ascii="Times New Roman"/>
          <w:color w:val="585858"/>
          <w:spacing w:val="-1"/>
          <w:w w:val="105"/>
          <w:sz w:val="10"/>
        </w:rPr>
        <w:t>100%</w:t>
      </w:r>
    </w:p>
    <w:p>
      <w:pPr>
        <w:spacing w:before="91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90%</w:t>
      </w:r>
    </w:p>
    <w:p>
      <w:pPr>
        <w:spacing w:before="92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80%</w:t>
      </w:r>
    </w:p>
    <w:p>
      <w:pPr>
        <w:spacing w:before="91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70%</w:t>
      </w:r>
    </w:p>
    <w:p>
      <w:pPr>
        <w:spacing w:before="92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60%</w:t>
      </w:r>
    </w:p>
    <w:p>
      <w:pPr>
        <w:spacing w:before="91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50%</w:t>
      </w:r>
    </w:p>
    <w:p>
      <w:pPr>
        <w:spacing w:before="92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40%</w:t>
      </w:r>
    </w:p>
    <w:p>
      <w:pPr>
        <w:spacing w:before="91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30%</w:t>
      </w:r>
    </w:p>
    <w:p>
      <w:pPr>
        <w:spacing w:before="92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20%</w:t>
      </w:r>
    </w:p>
    <w:p>
      <w:pPr>
        <w:spacing w:before="91"/>
        <w:ind w:left="0" w:right="0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1"/>
          <w:w w:val="105"/>
          <w:sz w:val="10"/>
        </w:rPr>
        <w:t>10%</w:t>
      </w:r>
    </w:p>
    <w:p>
      <w:pPr>
        <w:spacing w:before="92"/>
        <w:ind w:left="0" w:right="1" w:firstLine="0"/>
        <w:jc w:val="right"/>
        <w:rPr>
          <w:rFonts w:ascii="Times New Roman"/>
          <w:sz w:val="10"/>
        </w:rPr>
      </w:pPr>
      <w:r>
        <w:rPr>
          <w:rFonts w:ascii="Times New Roman"/>
          <w:color w:val="585858"/>
          <w:spacing w:val="-2"/>
          <w:w w:val="105"/>
          <w:sz w:val="10"/>
        </w:rPr>
        <w:t>0%</w:t>
      </w:r>
    </w:p>
    <w:p>
      <w:pPr>
        <w:pStyle w:val="BodyText"/>
        <w:spacing w:before="5" w:after="39"/>
        <w:rPr>
          <w:rFonts w:ascii="Times New Roman"/>
          <w:sz w:val="10"/>
        </w:rPr>
      </w:pPr>
      <w:r>
        <w:br w:type="column"/>
      </w:r>
    </w:p>
    <w:p>
      <w:pPr>
        <w:pStyle w:val="BodyText"/>
        <w:ind w:left="12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580" style="width:211.3pt;height:103.7pt;mso-position-horizontal-relative:char;mso-position-vertical-relative:line" coordorigin="0,0" coordsize="4226,2074">
            <v:line id="_x0000_s1581" style="position:absolute" from="219,1064" to="219,2069" stroked="t" strokecolor="#d7d7d7" strokeweight="5.87pt">
              <v:stroke dashstyle="solid"/>
            </v:line>
            <v:line id="_x0000_s1582" style="position:absolute" from="368,473" to="368,2069" stroked="t" strokecolor="#375f91" strokeweight="5.87pt">
              <v:stroke dashstyle="solid"/>
            </v:line>
            <v:line id="_x0000_s1583" style="position:absolute" from="743,1011" to="743,2069" stroked="t" strokecolor="#d7d7d7" strokeweight="5.87pt">
              <v:stroke dashstyle="solid"/>
            </v:line>
            <v:line id="_x0000_s1584" style="position:absolute" from="892,259" to="892,2069" stroked="t" strokecolor="#375f91" strokeweight="5.87pt">
              <v:stroke dashstyle="solid"/>
            </v:line>
            <v:line id="_x0000_s1585" style="position:absolute" from="1268,1004" to="1268,2069" stroked="t" strokecolor="#d7d7d7" strokeweight="5.87pt">
              <v:stroke dashstyle="solid"/>
            </v:line>
            <v:line id="_x0000_s1586" style="position:absolute" from="1417,326" to="1417,2069" stroked="t" strokecolor="#375f91" strokeweight="5.87pt">
              <v:stroke dashstyle="solid"/>
            </v:line>
            <v:line id="_x0000_s1587" style="position:absolute" from="1792,999" to="1792,2069" stroked="t" strokecolor="#d7d7d7" strokeweight="5.87pt">
              <v:stroke dashstyle="solid"/>
            </v:line>
            <v:line id="_x0000_s1588" style="position:absolute" from="1941,291" to="1941,2069" stroked="t" strokecolor="#375f91" strokeweight="5.87pt">
              <v:stroke dashstyle="solid"/>
            </v:line>
            <v:line id="_x0000_s1589" style="position:absolute" from="2316,1026" to="2316,2069" stroked="t" strokecolor="#d7d7d7" strokeweight="5.95pt">
              <v:stroke dashstyle="solid"/>
            </v:line>
            <v:line id="_x0000_s1590" style="position:absolute" from="2466,607" to="2466,2069" stroked="t" strokecolor="#375f91" strokeweight="5.87pt">
              <v:stroke dashstyle="solid"/>
            </v:line>
            <v:line id="_x0000_s1591" style="position:absolute" from="2841,1027" to="2841,2069" stroked="t" strokecolor="#d7d7d7" strokeweight="5.87pt">
              <v:stroke dashstyle="solid"/>
            </v:line>
            <v:line id="_x0000_s1592" style="position:absolute" from="2990,627" to="2990,2069" stroked="t" strokecolor="#375f91" strokeweight="5.87pt">
              <v:stroke dashstyle="solid"/>
            </v:line>
            <v:line id="_x0000_s1593" style="position:absolute" from="3364,1037" to="3364,2069" stroked="t" strokecolor="#d7d7d7" strokeweight="5.87pt">
              <v:stroke dashstyle="solid"/>
            </v:line>
            <v:line id="_x0000_s1594" style="position:absolute" from="3513,473" to="3513,2069" stroked="t" strokecolor="#375f91" strokeweight="5.87pt">
              <v:stroke dashstyle="solid"/>
            </v:line>
            <v:line id="_x0000_s1595" style="position:absolute" from="3889,1088" to="3889,2069" stroked="t" strokecolor="#d7d7d7" strokeweight="5.87pt">
              <v:stroke dashstyle="solid"/>
            </v:line>
            <v:line id="_x0000_s1596" style="position:absolute" from="4039,573" to="4039,2069" stroked="t" strokecolor="#375f91" strokeweight="5.87pt">
              <v:stroke dashstyle="solid"/>
            </v:line>
            <v:line id="_x0000_s1597" style="position:absolute" from="32,2069" to="32,5" stroked="t" strokecolor="#aeabab" strokeweight="0.5pt">
              <v:stroke dashstyle="solid"/>
            </v:line>
            <v:line id="_x0000_s1598" style="position:absolute" from="0,2069" to="32,2069" stroked="t" strokecolor="#aeabab" strokeweight="0.5pt">
              <v:stroke dashstyle="solid"/>
            </v:line>
            <v:line id="_x0000_s1599" style="position:absolute" from="0,1862" to="32,1862" stroked="t" strokecolor="#aeabab" strokeweight="0.5pt">
              <v:stroke dashstyle="solid"/>
            </v:line>
            <v:line id="_x0000_s1600" style="position:absolute" from="0,1656" to="32,1656" stroked="t" strokecolor="#aeabab" strokeweight="0.5pt">
              <v:stroke dashstyle="solid"/>
            </v:line>
            <v:line id="_x0000_s1601" style="position:absolute" from="0,1450" to="32,1450" stroked="t" strokecolor="#aeabab" strokeweight="0.5pt">
              <v:stroke dashstyle="solid"/>
            </v:line>
            <v:line id="_x0000_s1602" style="position:absolute" from="0,1243" to="32,1243" stroked="t" strokecolor="#aeabab" strokeweight="0.5pt">
              <v:stroke dashstyle="solid"/>
            </v:line>
            <v:line id="_x0000_s1603" style="position:absolute" from="0,1037" to="32,1037" stroked="t" strokecolor="#aeabab" strokeweight="0.5pt">
              <v:stroke dashstyle="solid"/>
            </v:line>
            <v:line id="_x0000_s1604" style="position:absolute" from="0,830" to="32,830" stroked="t" strokecolor="#aeabab" strokeweight="0.5pt">
              <v:stroke dashstyle="solid"/>
            </v:line>
            <v:line id="_x0000_s1605" style="position:absolute" from="0,624" to="32,624" stroked="t" strokecolor="#aeabab" strokeweight="0.5pt">
              <v:stroke dashstyle="solid"/>
            </v:line>
            <v:line id="_x0000_s1606" style="position:absolute" from="0,418" to="32,418" stroked="t" strokecolor="#aeabab" strokeweight="0.5pt">
              <v:stroke dashstyle="solid"/>
            </v:line>
            <v:line id="_x0000_s1607" style="position:absolute" from="0,211" to="32,211" stroked="t" strokecolor="#aeabab" strokeweight="0.5pt">
              <v:stroke dashstyle="solid"/>
            </v:line>
            <v:line id="_x0000_s1608" style="position:absolute" from="0,5" to="32,5" stroked="t" strokecolor="#aeabab" strokeweight="0.5pt">
              <v:stroke dashstyle="solid"/>
            </v:line>
            <v:line id="_x0000_s1609" style="position:absolute" from="32,2069" to="4226,2069" stroked="t" strokecolor="#d9d9d9" strokeweight="0.5pt">
              <v:stroke dashstyle="solid"/>
            </v:line>
            <w10:wrap type="none"/>
          </v:group>
        </w:pict>
      </w:r>
    </w:p>
    <w:p>
      <w:pPr>
        <w:tabs>
          <w:tab w:val="left" w:pos="729"/>
          <w:tab w:val="left" w:pos="1254"/>
          <w:tab w:val="left" w:pos="1778"/>
          <w:tab w:val="left" w:pos="2302"/>
          <w:tab w:val="left" w:pos="2827"/>
          <w:tab w:val="left" w:pos="3351"/>
          <w:tab w:val="left" w:pos="3876"/>
        </w:tabs>
        <w:spacing w:before="0"/>
        <w:ind w:left="205" w:right="0" w:firstLine="0"/>
        <w:jc w:val="left"/>
        <w:rPr>
          <w:rFonts w:ascii="Times New Roman"/>
          <w:sz w:val="10"/>
        </w:rPr>
      </w:pPr>
      <w:r>
        <w:rPr>
          <w:rFonts w:ascii="Times New Roman"/>
          <w:color w:val="585858"/>
          <w:w w:val="105"/>
          <w:sz w:val="10"/>
        </w:rPr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  <w:t>2023</w:t>
      </w:r>
    </w:p>
    <w:p>
      <w:pPr>
        <w:pStyle w:val="BodyText"/>
        <w:spacing w:before="10"/>
        <w:rPr>
          <w:rFonts w:ascii="Times New Roman"/>
          <w:sz w:val="9"/>
        </w:rPr>
      </w:pPr>
    </w:p>
    <w:p>
      <w:pPr>
        <w:tabs>
          <w:tab w:val="left" w:pos="1994"/>
        </w:tabs>
        <w:spacing w:before="0"/>
        <w:ind w:left="1369" w:right="0" w:firstLine="0"/>
        <w:jc w:val="left"/>
        <w:rPr>
          <w:sz w:val="13"/>
        </w:rPr>
      </w:pPr>
      <w:r>
        <w:pict>
          <v:rect id="_x0000_s1610" style="width:3.33pt;height:3.25pt;margin-top:2.64pt;margin-left:391.5pt;mso-position-horizontal-relative:page;position:absolute;z-index:251724800" filled="t" fillcolor="#d7d7d7" stroked="f">
            <v:fill type="solid"/>
          </v:rect>
        </w:pict>
      </w:r>
      <w:r>
        <w:pict>
          <v:rect id="_x0000_s1611" style="width:3.33pt;height:3.25pt;margin-top:2.64pt;margin-left:422.76pt;mso-position-horizontal-relative:page;position:absolute;z-index:-251593728" filled="t" fillcolor="#375f91" stroked="f">
            <v:fill type="solid"/>
          </v:rect>
        </w:pict>
      </w:r>
      <w:r>
        <w:rPr>
          <w:color w:val="585858"/>
          <w:sz w:val="13"/>
        </w:rPr>
        <w:t>环卫车</w:t>
        <w:tab/>
        <w:t>新能源环卫车</w:t>
      </w:r>
    </w:p>
    <w:p>
      <w:pPr>
        <w:spacing w:after="0"/>
        <w:jc w:val="left"/>
        <w:rPr>
          <w:sz w:val="13"/>
        </w:rPr>
        <w:sectPr>
          <w:headerReference w:type="default" r:id="rId81"/>
          <w:footerReference w:type="default" r:id="rId82"/>
          <w:type w:val="continuous"/>
          <w:pgSz w:w="11910" w:h="16840"/>
          <w:pgMar w:top="1340" w:right="280" w:bottom="500" w:left="720" w:header="708" w:footer="708"/>
          <w:pgNumType w:start="32"/>
          <w:cols w:num="4" w:space="708" w:equalWidth="0">
            <w:col w:w="524" w:space="39"/>
            <w:col w:w="4174" w:space="483"/>
            <w:col w:w="576" w:space="39"/>
            <w:col w:w="5075" w:space="0"/>
          </w:cols>
        </w:sectPr>
      </w:pPr>
    </w:p>
    <w:p>
      <w:pPr>
        <w:pStyle w:val="BodyText"/>
        <w:spacing w:before="7"/>
        <w:rPr>
          <w:sz w:val="29"/>
        </w:rPr>
      </w:pPr>
    </w:p>
    <w:p>
      <w:pPr>
        <w:tabs>
          <w:tab w:val="left" w:pos="5343"/>
        </w:tabs>
        <w:spacing w:line="20" w:lineRule="exact"/>
        <w:ind w:left="122" w:right="0" w:firstLine="0"/>
        <w:rPr>
          <w:sz w:val="2"/>
        </w:rPr>
      </w:pPr>
      <w:r>
        <w:rPr>
          <w:sz w:val="2"/>
        </w:rPr>
        <w:pict>
          <v:group id="_x0000_i1612" style="width:249.05pt;height:1pt;mso-position-horizontal-relative:char;mso-position-vertical-relative:line" coordorigin="0,0" coordsize="4981,20">
            <v:line id="_x0000_s1613" style="position:absolute" from="0,10" to="4981,10" stroked="t" strokecolor="black" strokeweight="0.96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614" style="width:249.45pt;height:1pt;mso-position-horizontal-relative:char;mso-position-vertical-relative:line" coordorigin="0,0" coordsize="4989,20">
            <v:line id="_x0000_s1615" style="position:absolute" from="0,10" to="4988,10" stroked="t" strokecolor="black" strokeweight="0.96pt">
              <v:stroke dashstyle="solid"/>
            </v:line>
            <w10:wrap type="none"/>
          </v:group>
        </w:pict>
      </w:r>
    </w:p>
    <w:p>
      <w:pPr>
        <w:tabs>
          <w:tab w:val="left" w:pos="5460"/>
        </w:tabs>
        <w:spacing w:before="40"/>
        <w:ind w:left="240" w:right="0" w:firstLine="0"/>
        <w:jc w:val="left"/>
        <w:rPr>
          <w:sz w:val="20"/>
        </w:rPr>
      </w:pPr>
      <w:r>
        <w:t xml:space="preserve">数据来源：银保监会交强险数据， </w:t>
        <w:tab/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72"/>
        <w:ind w:left="2825"/>
      </w:pPr>
      <w:r>
        <w:t>分析行业头部上市公司：</w:t>
      </w:r>
    </w:p>
    <w:p>
      <w:pPr>
        <w:pStyle w:val="BodyText"/>
        <w:spacing w:before="172" w:line="374" w:lineRule="exact"/>
        <w:ind w:left="2400" w:right="752" w:firstLine="424"/>
        <w:jc w:val="both"/>
      </w:pPr>
      <w:r>
        <w:rPr>
          <w:rFonts w:ascii="Microsoft JhengHei" w:eastAsia="Microsoft JhengHei" w:hint="eastAsia"/>
          <w:b/>
          <w:spacing w:val="-2"/>
        </w:rPr>
        <w:t xml:space="preserve">盈峰环境：环卫车总销量同减 </w:t>
      </w:r>
      <w:r>
        <w:rPr>
          <w:rFonts w:ascii="Times New Roman" w:eastAsia="Times New Roman"/>
          <w:b/>
        </w:rPr>
        <w:t>10.75%</w:t>
      </w:r>
      <w:r>
        <w:rPr>
          <w:rFonts w:ascii="Microsoft JhengHei" w:eastAsia="Microsoft JhengHei" w:hint="eastAsia"/>
          <w:b/>
        </w:rPr>
        <w:t xml:space="preserve">，新能源销量同增 </w:t>
      </w:r>
      <w:r>
        <w:rPr>
          <w:rFonts w:ascii="Times New Roman" w:eastAsia="Times New Roman"/>
          <w:b/>
        </w:rPr>
        <w:t>39.93%</w:t>
      </w:r>
      <w:r>
        <w:rPr>
          <w:rFonts w:ascii="Microsoft JhengHei" w:eastAsia="Microsoft JhengHei" w:hint="eastAsia"/>
          <w:b/>
        </w:rPr>
        <w:t>。</w:t>
      </w:r>
      <w:r>
        <w:rPr>
          <w:rFonts w:ascii="Times New Roman" w:eastAsia="Times New Roman"/>
        </w:rPr>
        <w:t>2023M1-12</w:t>
      </w:r>
      <w:r>
        <w:t xml:space="preserve">， </w:t>
      </w:r>
      <w:r>
        <w:rPr>
          <w:spacing w:val="-8"/>
        </w:rPr>
        <w:t xml:space="preserve">盈峰环境环卫车销售 </w:t>
      </w:r>
      <w:r>
        <w:rPr>
          <w:rFonts w:ascii="Times New Roman" w:eastAsia="Times New Roman"/>
        </w:rPr>
        <w:t xml:space="preserve">12183 </w:t>
      </w:r>
      <w:r>
        <w:rPr>
          <w:spacing w:val="-3"/>
        </w:rPr>
        <w:t>辆，同比变动</w:t>
      </w:r>
      <w:r>
        <w:rPr>
          <w:rFonts w:ascii="Times New Roman" w:eastAsia="Times New Roman"/>
        </w:rPr>
        <w:t>-10.75%</w:t>
      </w:r>
      <w:r>
        <w:rPr>
          <w:spacing w:val="-7"/>
        </w:rPr>
        <w:t xml:space="preserve">，其中新能源环卫车销售 </w:t>
      </w:r>
      <w:r>
        <w:rPr>
          <w:rFonts w:ascii="Times New Roman" w:eastAsia="Times New Roman"/>
        </w:rPr>
        <w:t xml:space="preserve">1994 </w:t>
      </w:r>
      <w:r>
        <w:rPr>
          <w:spacing w:val="-3"/>
        </w:rPr>
        <w:t xml:space="preserve">辆， </w:t>
      </w:r>
      <w:r>
        <w:rPr>
          <w:spacing w:val="-1"/>
        </w:rPr>
        <w:t>同比变动</w:t>
      </w:r>
      <w:r>
        <w:rPr>
          <w:rFonts w:ascii="Times New Roman" w:eastAsia="Times New Roman"/>
        </w:rPr>
        <w:t>+39.93%</w:t>
      </w:r>
      <w:r>
        <w:rPr>
          <w:spacing w:val="-3"/>
        </w:rPr>
        <w:t>。</w:t>
      </w:r>
      <w:r>
        <w:rPr>
          <w:rFonts w:ascii="Times New Roman" w:eastAsia="Times New Roman"/>
        </w:rPr>
        <w:t xml:space="preserve">2023M12 </w:t>
      </w:r>
      <w:r>
        <w:rPr>
          <w:spacing w:val="-9"/>
        </w:rPr>
        <w:t xml:space="preserve">单月环卫车销量 </w:t>
      </w:r>
      <w:r>
        <w:rPr>
          <w:rFonts w:ascii="Times New Roman" w:eastAsia="Times New Roman"/>
          <w:spacing w:val="-3"/>
        </w:rPr>
        <w:t xml:space="preserve">1125 </w:t>
      </w:r>
      <w:r>
        <w:rPr>
          <w:spacing w:val="-2"/>
        </w:rPr>
        <w:t>辆，同比变动</w:t>
      </w:r>
      <w:r>
        <w:rPr>
          <w:rFonts w:ascii="Times New Roman" w:eastAsia="Times New Roman"/>
        </w:rPr>
        <w:t>+5.04%</w:t>
      </w:r>
      <w:r>
        <w:rPr>
          <w:spacing w:val="-2"/>
        </w:rPr>
        <w:t>，环比变动</w:t>
      </w:r>
      <w:r>
        <w:rPr>
          <w:rFonts w:ascii="Times New Roman" w:eastAsia="Times New Roman"/>
        </w:rPr>
        <w:t>- 11.97%</w:t>
      </w:r>
      <w:r>
        <w:rPr>
          <w:spacing w:val="-8"/>
        </w:rPr>
        <w:t xml:space="preserve">，其中新能源环卫车销量 </w:t>
      </w:r>
      <w:r>
        <w:rPr>
          <w:rFonts w:ascii="Times New Roman" w:eastAsia="Times New Roman"/>
        </w:rPr>
        <w:t xml:space="preserve">187 </w:t>
      </w:r>
      <w:r>
        <w:rPr>
          <w:spacing w:val="-3"/>
        </w:rPr>
        <w:t>辆，同比变动</w:t>
      </w:r>
      <w:r>
        <w:rPr>
          <w:rFonts w:ascii="Times New Roman" w:eastAsia="Times New Roman"/>
        </w:rPr>
        <w:t>+41.67%</w:t>
      </w:r>
      <w:r>
        <w:rPr>
          <w:spacing w:val="-3"/>
        </w:rPr>
        <w:t>，环比变动</w:t>
      </w:r>
      <w:r>
        <w:rPr>
          <w:rFonts w:ascii="Times New Roman" w:eastAsia="Times New Roman"/>
        </w:rPr>
        <w:t>-24.60%</w:t>
      </w:r>
      <w:r>
        <w:t>。</w:t>
      </w:r>
    </w:p>
    <w:p>
      <w:pPr>
        <w:pStyle w:val="BodyText"/>
        <w:spacing w:before="5"/>
        <w:rPr>
          <w:sz w:val="31"/>
        </w:rPr>
      </w:pPr>
    </w:p>
    <w:p>
      <w:pPr>
        <w:tabs>
          <w:tab w:val="left" w:pos="5602"/>
        </w:tabs>
        <w:spacing w:before="0" w:after="16"/>
        <w:ind w:left="381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11</w:t>
      </w:r>
      <w:r>
        <w:rPr>
          <w:rFonts w:ascii="Microsoft JhengHei" w:eastAsia="Microsoft JhengHei" w:hint="eastAsia"/>
          <w:b/>
          <w:color w:val="17365D"/>
          <w:sz w:val="20"/>
        </w:rPr>
        <w:t>：盈峰环境环卫车销量与增速（单位：辆）</w:t>
        <w:tab/>
        <w:t>图</w:t>
      </w:r>
      <w:r>
        <w:rPr>
          <w:rFonts w:ascii="Times New Roman" w:eastAsia="Times New Roman"/>
          <w:b/>
          <w:color w:val="17365D"/>
          <w:sz w:val="20"/>
        </w:rPr>
        <w:t>12</w:t>
      </w:r>
      <w:r>
        <w:rPr>
          <w:rFonts w:ascii="Microsoft JhengHei" w:eastAsia="Microsoft JhengHei" w:hint="eastAsia"/>
          <w:b/>
          <w:color w:val="17365D"/>
          <w:sz w:val="20"/>
        </w:rPr>
        <w:t>：盈峰环境新能源环卫车销量与增</w:t>
      </w:r>
      <w:r>
        <w:rPr>
          <w:rFonts w:ascii="Microsoft JhengHei" w:eastAsia="Microsoft JhengHei" w:hint="eastAsia"/>
          <w:b/>
          <w:color w:val="17365D"/>
          <w:spacing w:val="-44"/>
          <w:sz w:val="20"/>
        </w:rPr>
        <w:t>速</w:t>
      </w:r>
      <w:r>
        <w:rPr>
          <w:rFonts w:ascii="Microsoft JhengHei" w:eastAsia="Microsoft JhengHei" w:hint="eastAsia"/>
          <w:b/>
          <w:color w:val="17365D"/>
          <w:sz w:val="20"/>
        </w:rPr>
        <w:t>（单位</w:t>
      </w:r>
      <w:r>
        <w:rPr>
          <w:rFonts w:ascii="Microsoft JhengHei" w:eastAsia="Microsoft JhengHei" w:hint="eastAsia"/>
          <w:b/>
          <w:color w:val="17365D"/>
          <w:spacing w:val="-44"/>
          <w:sz w:val="20"/>
        </w:rPr>
        <w:t>：</w:t>
      </w:r>
      <w:r>
        <w:rPr>
          <w:rFonts w:ascii="Microsoft JhengHei" w:eastAsia="Microsoft JhengHei" w:hint="eastAsia"/>
          <w:b/>
          <w:color w:val="17365D"/>
          <w:sz w:val="20"/>
        </w:rPr>
        <w:t>辆）</w:t>
      </w:r>
    </w:p>
    <w:p>
      <w:pPr>
        <w:tabs>
          <w:tab w:val="left" w:pos="5343"/>
        </w:tabs>
        <w:spacing w:line="20" w:lineRule="exact"/>
        <w:ind w:left="122" w:right="0" w:firstLine="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616" style="width:249.3pt;height:1pt;mso-position-horizontal-relative:char;mso-position-vertical-relative:line" coordorigin="0,0" coordsize="4986,20">
            <v:line id="_x0000_s1617" style="position:absolute" from="0,10" to="4986,10" stroked="t" strokecolor="black" strokeweight="0.96pt">
              <v:stroke dashstyle="solid"/>
            </v:line>
            <w10:wrap type="none"/>
          </v:group>
        </w:pict>
      </w:r>
      <w:r>
        <w:rPr>
          <w:rFonts w:ascii="Microsoft JhengHei"/>
          <w:sz w:val="2"/>
        </w:rPr>
        <w:tab/>
      </w:r>
      <w:r>
        <w:rPr>
          <w:rFonts w:ascii="Microsoft JhengHei"/>
          <w:sz w:val="2"/>
        </w:rPr>
        <w:pict>
          <v:group id="_x0000_i1618" style="width:249.45pt;height:1pt;mso-position-horizontal-relative:char;mso-position-vertical-relative:line" coordorigin="0,0" coordsize="4989,20">
            <v:line id="_x0000_s1619" style="position:absolute" from="0,10" to="4988,10" stroked="t" strokecolor="black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8"/>
        <w:rPr>
          <w:rFonts w:ascii="Microsoft JhengHei"/>
          <w:b/>
          <w:sz w:val="16"/>
        </w:rPr>
      </w:pPr>
    </w:p>
    <w:p>
      <w:pPr>
        <w:spacing w:after="0"/>
        <w:rPr>
          <w:rFonts w:ascii="Microsoft JhengHei"/>
          <w:sz w:val="16"/>
        </w:rPr>
        <w:sectPr>
          <w:headerReference w:type="default" r:id="rId83"/>
          <w:footerReference w:type="default" r:id="rId84"/>
          <w:type w:val="continuous"/>
          <w:pgSz w:w="11910" w:h="16840"/>
          <w:pgMar w:top="1340" w:right="280" w:bottom="500" w:left="720" w:header="708" w:footer="708"/>
          <w:pgNumType w:start="33"/>
          <w:cols w:space="708"/>
        </w:sectPr>
      </w:pPr>
    </w:p>
    <w:p>
      <w:pPr>
        <w:spacing w:before="97"/>
        <w:ind w:left="0" w:right="0" w:firstLine="0"/>
        <w:jc w:val="right"/>
        <w:rPr>
          <w:rFonts w:ascii="Times New Roman"/>
          <w:sz w:val="17"/>
        </w:rPr>
      </w:pPr>
      <w:r>
        <w:rPr>
          <w:rFonts w:ascii="Times New Roman"/>
          <w:color w:val="585858"/>
          <w:spacing w:val="-1"/>
          <w:sz w:val="17"/>
        </w:rPr>
        <w:t>20,000</w:t>
      </w:r>
    </w:p>
    <w:p>
      <w:pPr>
        <w:pStyle w:val="BodyText"/>
        <w:spacing w:before="6"/>
        <w:rPr>
          <w:rFonts w:ascii="Times New Roman"/>
          <w:sz w:val="19"/>
        </w:rPr>
      </w:pPr>
    </w:p>
    <w:p>
      <w:pPr>
        <w:spacing w:before="0"/>
        <w:ind w:left="0" w:right="0" w:firstLine="0"/>
        <w:jc w:val="right"/>
        <w:rPr>
          <w:rFonts w:ascii="Times New Roman"/>
          <w:sz w:val="17"/>
        </w:rPr>
      </w:pPr>
      <w:r>
        <w:rPr>
          <w:rFonts w:ascii="Times New Roman"/>
          <w:color w:val="585858"/>
          <w:spacing w:val="-1"/>
          <w:sz w:val="17"/>
        </w:rPr>
        <w:t>15,000</w:t>
      </w:r>
    </w:p>
    <w:p>
      <w:pPr>
        <w:pStyle w:val="BodyText"/>
        <w:spacing w:before="5"/>
        <w:rPr>
          <w:rFonts w:ascii="Times New Roman"/>
          <w:sz w:val="19"/>
        </w:rPr>
      </w:pPr>
    </w:p>
    <w:p>
      <w:pPr>
        <w:spacing w:before="1"/>
        <w:ind w:left="0" w:right="0" w:firstLine="0"/>
        <w:jc w:val="right"/>
        <w:rPr>
          <w:rFonts w:ascii="Times New Roman"/>
          <w:sz w:val="17"/>
        </w:rPr>
      </w:pPr>
      <w:r>
        <w:rPr>
          <w:rFonts w:ascii="Times New Roman"/>
          <w:color w:val="585858"/>
          <w:spacing w:val="-1"/>
          <w:sz w:val="17"/>
        </w:rPr>
        <w:t>10,000</w:t>
      </w:r>
    </w:p>
    <w:p>
      <w:pPr>
        <w:pStyle w:val="BodyText"/>
        <w:spacing w:before="5"/>
        <w:rPr>
          <w:rFonts w:ascii="Times New Roman"/>
          <w:sz w:val="19"/>
        </w:rPr>
      </w:pPr>
    </w:p>
    <w:p>
      <w:pPr>
        <w:spacing w:before="0"/>
        <w:ind w:left="0" w:right="1" w:firstLine="0"/>
        <w:jc w:val="right"/>
        <w:rPr>
          <w:rFonts w:ascii="Times New Roman"/>
          <w:sz w:val="17"/>
        </w:rPr>
      </w:pPr>
      <w:r>
        <w:rPr>
          <w:rFonts w:ascii="Times New Roman"/>
          <w:color w:val="585858"/>
          <w:spacing w:val="-1"/>
          <w:sz w:val="17"/>
        </w:rPr>
        <w:t>5,000</w:t>
      </w:r>
    </w:p>
    <w:p>
      <w:pPr>
        <w:pStyle w:val="BodyText"/>
        <w:spacing w:before="6"/>
        <w:rPr>
          <w:rFonts w:ascii="Times New Roman"/>
          <w:sz w:val="19"/>
        </w:rPr>
      </w:pPr>
    </w:p>
    <w:p>
      <w:pPr>
        <w:spacing w:before="0"/>
        <w:ind w:left="0" w:right="0" w:firstLine="0"/>
        <w:jc w:val="right"/>
        <w:rPr>
          <w:rFonts w:ascii="Times New Roman"/>
          <w:sz w:val="17"/>
        </w:rPr>
      </w:pPr>
      <w:r>
        <w:rPr>
          <w:rFonts w:ascii="Times New Roman"/>
          <w:color w:val="585858"/>
          <w:w w:val="102"/>
          <w:sz w:val="17"/>
        </w:rPr>
        <w:t>0</w:t>
      </w:r>
    </w:p>
    <w:p>
      <w:pPr>
        <w:pStyle w:val="BodyText"/>
        <w:rPr>
          <w:rFonts w:ascii="Times New Roman"/>
          <w:sz w:val="18"/>
        </w:rPr>
      </w:pPr>
      <w:r>
        <w:br w:type="column"/>
      </w: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17"/>
        <w:ind w:left="191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2016 2017 2018 2019 2020 2021 2022 2023</w:t>
      </w:r>
    </w:p>
    <w:p>
      <w:pPr>
        <w:pStyle w:val="BodyText"/>
        <w:spacing w:before="7"/>
        <w:rPr>
          <w:rFonts w:ascii="Times New Roman"/>
          <w:sz w:val="14"/>
        </w:rPr>
      </w:pPr>
    </w:p>
    <w:p>
      <w:pPr>
        <w:tabs>
          <w:tab w:val="left" w:pos="2433"/>
        </w:tabs>
        <w:spacing w:before="0"/>
        <w:ind w:left="740" w:right="0" w:firstLine="0"/>
        <w:jc w:val="left"/>
        <w:rPr>
          <w:rFonts w:ascii="Times New Roman" w:eastAsia="Times New Roman"/>
          <w:sz w:val="17"/>
        </w:rPr>
      </w:pPr>
      <w:r>
        <w:pict>
          <v:line id="_x0000_s1620" style="mso-position-horizontal-relative:page;position:absolute;z-index:251727872" from="96.85pt,5.5pt" to="115.3pt,5.5pt" stroked="t" strokecolor="#2f5380" strokeweight="4.29pt">
            <v:stroke dashstyle="solid"/>
          </v:line>
        </w:pict>
      </w:r>
      <w:r>
        <w:pict>
          <v:line id="_x0000_s1621" style="mso-position-horizontal-relative:page;position:absolute;z-index:-251590656" from="181.45pt,5.5pt" to="199.9pt,5.5pt" stroked="t" strokecolor="#8a99b3" strokeweight="2.17pt">
            <v:stroke dashstyle="solid"/>
          </v:line>
        </w:pict>
      </w:r>
      <w:r>
        <w:rPr>
          <w:color w:val="585858"/>
          <w:sz w:val="17"/>
        </w:rPr>
        <w:t>环卫车（辆）</w:t>
        <w:tab/>
        <w:t>环卫车</w:t>
      </w:r>
      <w:r>
        <w:rPr>
          <w:rFonts w:ascii="Times New Roman" w:eastAsia="Times New Roman"/>
          <w:color w:val="585858"/>
          <w:sz w:val="17"/>
        </w:rPr>
        <w:t>YOY</w:t>
      </w:r>
    </w:p>
    <w:p>
      <w:pPr>
        <w:spacing w:before="97"/>
        <w:ind w:left="148" w:right="0" w:firstLine="0"/>
        <w:jc w:val="left"/>
        <w:rPr>
          <w:rFonts w:ascii="Times New Roman"/>
          <w:sz w:val="17"/>
        </w:rPr>
      </w:pPr>
      <w:r>
        <w:br w:type="column"/>
      </w:r>
      <w:r>
        <w:rPr>
          <w:rFonts w:ascii="Times New Roman"/>
          <w:color w:val="585858"/>
          <w:sz w:val="17"/>
        </w:rPr>
        <w:t>50%</w:t>
      </w:r>
    </w:p>
    <w:p>
      <w:pPr>
        <w:spacing w:before="14"/>
        <w:ind w:left="148" w:right="0" w:firstLine="0"/>
        <w:jc w:val="left"/>
        <w:rPr>
          <w:rFonts w:ascii="Times New Roman"/>
          <w:sz w:val="17"/>
        </w:rPr>
      </w:pPr>
      <w:r>
        <w:pict>
          <v:group id="_x0000_s1622" style="width:176.85pt;height:86.9pt;margin-top:-4.94pt;margin-left:85.16pt;mso-position-horizontal-relative:page;position:absolute;z-index:251726848" coordorigin="1703,-99" coordsize="3537,1738">
            <v:line id="_x0000_s1623" style="position:absolute" from="1969,599" to="1969,1588" stroked="t" strokecolor="#2f5380" strokeweight="6.7pt">
              <v:stroke dashstyle="solid"/>
            </v:line>
            <v:line id="_x0000_s1624" style="position:absolute" from="2399,154" to="2399,1588" stroked="t" strokecolor="#2f5380" strokeweight="6.7pt">
              <v:stroke dashstyle="solid"/>
            </v:line>
            <v:line id="_x0000_s1625" style="position:absolute" from="2828,126" to="2828,1588" stroked="t" strokecolor="#2f5380" strokeweight="6.7pt">
              <v:stroke dashstyle="solid"/>
            </v:line>
            <v:line id="_x0000_s1626" style="position:absolute" from="3258,142" to="3258,1588" stroked="t" strokecolor="#2f5380" strokeweight="6.7pt">
              <v:stroke dashstyle="solid"/>
            </v:line>
            <v:shape id="_x0000_s1627" style="width:996;height:1596;left:3618;position:absolute;top:-9" coordorigin="3618,-8" coordsize="996,1596" path="m3755,-8l3618,-8,3618,1588,3755,1588,3755,-8m4184,210l4048,210,4048,1588,4184,1588,4184,210m4614,441l4478,441,4478,1588,4614,1588,4614,441e" filled="t" fillcolor="#2f5380" stroked="f">
              <v:fill type="solid"/>
              <v:path arrowok="t"/>
            </v:shape>
            <v:line id="_x0000_s1628" style="position:absolute" from="4975,564" to="4975,1588" stroked="t" strokecolor="#2f5380" strokeweight="6.7pt">
              <v:stroke dashstyle="solid"/>
            </v:line>
            <v:shape id="_x0000_s1629" style="width:3675;height:1741;left:772;position:absolute;top:4648" coordorigin="772,4648" coordsize="3675,1741" path="m5189,1588l5189,-92m5189,1588l5240,1588m5189,1377l5240,1377m5189,1169l5240,1169m5189,958l5240,958m5189,747l5240,747m5189,539l5240,539m5189,328l5240,328m5189,119l5240,119m5189,-92l5240,-92m1754,1588l1754,-92m1703,1588l1754,1588m1703,1169l1754,1169m1703,747l1754,747m1703,328l1754,328m1703,-92l1754,-92e" filled="f" stroked="t" strokecolor="#bebebe" strokeweight="0.72pt">
              <v:stroke dashstyle="solid"/>
              <v:path arrowok="t"/>
            </v:shape>
            <v:shape id="_x0000_s1630" style="width:3569;height:53;left:824;position:absolute;top:6388" coordorigin="825,6388" coordsize="3569,53" path="m1754,1588l5189,1588m1754,1588l1754,1639m2184,1588l2184,1639m2613,1588l2613,1639m3043,1588l3043,1639m3473,1588l3473,1639m3903,1588l3903,1639m4330,1588l4330,1639m4760,1588l4760,1639m5189,1588l5189,1639e" filled="f" stroked="t" strokecolor="#d9d9d9" strokeweight="0.72pt">
              <v:stroke dashstyle="solid"/>
              <v:path arrowok="t"/>
            </v:shape>
            <v:shape id="_x0000_s1631" style="width:2579;height:1307;left:2397;position:absolute;top:11" coordorigin="2397,12" coordsize="2579,1307" path="m2397,12l2416,54,2440,110,2467,176,2498,251,2531,333,2567,418,2604,505,2642,590,2681,672,2719,749,2757,817,2793,874,2888,974,2950,1007,3011,1020,3073,1019,3134,1009,3196,994,3257,980,3318,955,3380,911,3441,859,3502,806,3564,763,3625,738,3687,740,3734,766,3782,811,3830,869,3878,937,3925,1009,3973,1081,4021,1147,4069,1203,4116,1244,4188,1282,4260,1305,4331,1316,4403,1318,4474,1315,4546,1310,4618,1300,4689,1282,4761,1258,4832,1232,4904,1206,4976,1183e" filled="f" stroked="t" strokecolor="#8a99b3" strokeweight="2.17pt">
              <v:stroke dashstyle="solid"/>
              <v:path arrowok="t"/>
            </v:shape>
          </v:group>
        </w:pict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4009644</wp:posOffset>
            </wp:positionH>
            <wp:positionV relativeFrom="paragraph">
              <wp:posOffset>-110701</wp:posOffset>
            </wp:positionV>
            <wp:extent cx="2944368" cy="1566671"/>
            <wp:effectExtent l="0" t="0" r="0" b="0"/>
            <wp:wrapNone/>
            <wp:docPr id="1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6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368" cy="1566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585858"/>
          <w:sz w:val="17"/>
        </w:rPr>
        <w:t>40%</w:t>
      </w:r>
    </w:p>
    <w:p>
      <w:pPr>
        <w:spacing w:before="15"/>
        <w:ind w:left="148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30%</w:t>
      </w:r>
    </w:p>
    <w:p>
      <w:pPr>
        <w:spacing w:before="14"/>
        <w:ind w:left="148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20%</w:t>
      </w:r>
    </w:p>
    <w:p>
      <w:pPr>
        <w:spacing w:before="15"/>
        <w:ind w:left="148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10%</w:t>
      </w:r>
    </w:p>
    <w:p>
      <w:pPr>
        <w:spacing w:before="14"/>
        <w:ind w:left="148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0%</w:t>
      </w:r>
    </w:p>
    <w:p>
      <w:pPr>
        <w:spacing w:before="14"/>
        <w:ind w:left="148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-10%</w:t>
      </w:r>
    </w:p>
    <w:p>
      <w:pPr>
        <w:spacing w:before="15"/>
        <w:ind w:left="148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-20%</w:t>
      </w:r>
    </w:p>
    <w:p>
      <w:pPr>
        <w:spacing w:before="14"/>
        <w:ind w:left="148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585858"/>
          <w:sz w:val="17"/>
        </w:rPr>
        <w:t>-30%</w:t>
      </w:r>
    </w:p>
    <w:p>
      <w:pPr>
        <w:spacing w:after="0"/>
        <w:jc w:val="left"/>
        <w:rPr>
          <w:rFonts w:ascii="Times New Roman"/>
          <w:sz w:val="17"/>
        </w:rPr>
        <w:sectPr>
          <w:headerReference w:type="default" r:id="rId86"/>
          <w:footerReference w:type="default" r:id="rId87"/>
          <w:type w:val="continuous"/>
          <w:pgSz w:w="11910" w:h="16840"/>
          <w:pgMar w:top="1340" w:right="280" w:bottom="500" w:left="720" w:header="708" w:footer="708"/>
          <w:pgNumType w:start="34"/>
          <w:cols w:num="3" w:space="708" w:equalWidth="0">
            <w:col w:w="844" w:space="40"/>
            <w:col w:w="3547" w:space="39"/>
            <w:col w:w="6440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632" style="width:595.35pt;height:41.2pt;margin-top:800.29pt;margin-left:0;mso-position-horizontal-relative:page;mso-position-vertical-relative:page;position:absolute;z-index:251729920" coordorigin="0,16006" coordsize="11907,824">
            <v:rect id="_x0000_s1633" style="width:11907;height:473;position:absolute;top:16356" filled="t" fillcolor="#17365d" stroked="f">
              <v:fill type="solid"/>
            </v:rect>
            <v:rect id="_x0000_s1634" style="width:4080;height:437;left:7;position:absolute;top:16082" filled="t" fillcolor="#d7d7d7" stroked="f">
              <v:fill type="solid"/>
            </v:rect>
            <v:shape id="_x0000_s1635" type="#_x0000_t202" style="width:1707;height:240;left:9218;position:absolute;top:1600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17365D"/>
                        <w:sz w:val="24"/>
                      </w:rPr>
                      <w:t>东吴证券研究所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11"/>
        <w:rPr>
          <w:rFonts w:ascii="Times New Roman"/>
          <w:sz w:val="19"/>
        </w:rPr>
      </w:pPr>
    </w:p>
    <w:p>
      <w:pPr>
        <w:tabs>
          <w:tab w:val="left" w:pos="5343"/>
        </w:tabs>
        <w:spacing w:line="20" w:lineRule="exact"/>
        <w:ind w:left="122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636" style="width:249.3pt;height:1pt;mso-position-horizontal-relative:char;mso-position-vertical-relative:line" coordorigin="0,0" coordsize="4986,20">
            <v:line id="_x0000_s1637" style="position:absolute" from="0,10" to="4986,10" stroked="t" strokecolor="black" strokeweight="0.96pt">
              <v:stroke dashstyle="solid"/>
            </v:line>
            <w10:wrap type="none"/>
          </v:group>
        </w:pict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id="_x0000_i1638" style="width:249.45pt;height:1pt;mso-position-horizontal-relative:char;mso-position-vertical-relative:line" coordorigin="0,0" coordsize="4989,20">
            <v:line id="_x0000_s1639" style="position:absolute" from="0,10" to="4988,10" stroked="t" strokecolor="black" strokeweight="0.96pt">
              <v:stroke dashstyle="solid"/>
            </v:line>
            <w10:wrap type="none"/>
          </v:group>
        </w:pict>
      </w:r>
    </w:p>
    <w:p>
      <w:pPr>
        <w:tabs>
          <w:tab w:val="left" w:pos="5460"/>
        </w:tabs>
        <w:spacing w:before="40"/>
        <w:ind w:left="240" w:right="0" w:firstLine="0"/>
        <w:jc w:val="left"/>
        <w:rPr>
          <w:sz w:val="20"/>
        </w:rPr>
      </w:pPr>
      <w:r>
        <w:t xml:space="preserve">数据来源：银保监会交强险数据， </w:t>
        <w:tab/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  <w:sectPr>
          <w:headerReference w:type="default" r:id="rId88"/>
          <w:footerReference w:type="default" r:id="rId89"/>
          <w:type w:val="continuous"/>
          <w:pgSz w:w="11910" w:h="16840"/>
          <w:pgMar w:top="1340" w:right="280" w:bottom="500" w:left="720" w:header="708" w:footer="708"/>
          <w:pgNumType w:start="35"/>
          <w:cols w:space="708"/>
        </w:sectPr>
      </w:pPr>
    </w:p>
    <w:p>
      <w:pPr>
        <w:pStyle w:val="Heading3"/>
      </w:pPr>
      <w:r>
        <w:t>10 / 29</w:t>
      </w:r>
    </w:p>
    <w:p>
      <w:pPr>
        <w:spacing w:after="0"/>
        <w:sectPr>
          <w:headerReference w:type="default" r:id="rId90"/>
          <w:footerReference w:type="default" r:id="rId91"/>
          <w:type w:val="nextPage"/>
          <w:pgSz w:w="11910" w:h="16840"/>
          <w:pgMar w:top="1340" w:right="280" w:bottom="500" w:left="720" w:header="708" w:footer="708"/>
          <w:pgNumType w:start="36"/>
          <w:cols w:space="708"/>
          <w:titlePg w:val="0"/>
        </w:sectPr>
      </w:pPr>
    </w:p>
    <w:p>
      <w:pPr>
        <w:spacing w:before="55" w:after="15"/>
        <w:ind w:left="381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13</w:t>
      </w:r>
      <w:r>
        <w:rPr>
          <w:rFonts w:ascii="Microsoft JhengHei" w:eastAsia="Microsoft JhengHei" w:hint="eastAsia"/>
          <w:b/>
          <w:color w:val="17365D"/>
          <w:sz w:val="20"/>
        </w:rPr>
        <w:t xml:space="preserve">：盈峰环境环卫车单月销量与 </w:t>
      </w:r>
      <w:r>
        <w:rPr>
          <w:rFonts w:ascii="Times New Roman" w:eastAsia="Times New Roman"/>
          <w:b/>
          <w:color w:val="17365D"/>
          <w:sz w:val="20"/>
        </w:rPr>
        <w:t xml:space="preserve">2023 </w:t>
      </w:r>
      <w:r>
        <w:rPr>
          <w:rFonts w:ascii="Microsoft JhengHei" w:eastAsia="Microsoft JhengHei" w:hint="eastAsia"/>
          <w:b/>
          <w:color w:val="17365D"/>
          <w:sz w:val="20"/>
        </w:rPr>
        <w:t>年单月销量同环比数据（单位：辆）</w:t>
      </w:r>
    </w:p>
    <w:p>
      <w:pPr>
        <w:pStyle w:val="BodyText"/>
        <w:spacing w:line="20" w:lineRule="exact"/>
        <w:ind w:left="122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640" style="width:510.5pt;height:1pt;mso-position-horizontal-relative:char;mso-position-vertical-relative:line" coordorigin="0,0" coordsize="10210,20">
            <v:line id="_x0000_s1641" style="position:absolute" from="0,10" to="10209,10" stroked="t" strokecolor="black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15"/>
        <w:rPr>
          <w:rFonts w:ascii="Microsoft JhengHei"/>
          <w:b/>
          <w:sz w:val="4"/>
        </w:rPr>
      </w:pPr>
    </w:p>
    <w:p>
      <w:pPr>
        <w:spacing w:after="0"/>
        <w:rPr>
          <w:rFonts w:ascii="Microsoft JhengHei"/>
          <w:sz w:val="4"/>
        </w:rPr>
        <w:sectPr>
          <w:headerReference w:type="default" r:id="rId92"/>
          <w:footerReference w:type="default" r:id="rId93"/>
          <w:pgSz w:w="11910" w:h="16840"/>
          <w:pgMar w:top="1340" w:right="280" w:bottom="500" w:left="720" w:header="708" w:footer="708"/>
          <w:pgNumType w:start="37"/>
          <w:cols w:space="708"/>
        </w:sectPr>
      </w:pPr>
    </w:p>
    <w:p>
      <w:pPr>
        <w:spacing w:before="100"/>
        <w:ind w:left="319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3000</w:t>
      </w:r>
    </w:p>
    <w:p>
      <w:pPr>
        <w:pStyle w:val="BodyText"/>
        <w:spacing w:before="7"/>
        <w:rPr>
          <w:rFonts w:ascii="Times New Roman"/>
          <w:sz w:val="9"/>
        </w:rPr>
      </w:pPr>
      <w:r>
        <w:br w:type="column"/>
      </w:r>
    </w:p>
    <w:p>
      <w:pPr>
        <w:spacing w:before="0"/>
        <w:ind w:left="319" w:right="0" w:firstLine="0"/>
        <w:jc w:val="left"/>
        <w:rPr>
          <w:rFonts w:ascii="Times New Roman"/>
          <w:sz w:val="11"/>
        </w:rPr>
      </w:pPr>
      <w:r>
        <w:pict>
          <v:group id="_x0000_s1642" style="width:457.05pt;height:139.05pt;margin-top:3.17pt;margin-left:70.92pt;mso-position-horizontal-relative:page;position:absolute;z-index:251730944" coordorigin="1418,63" coordsize="9141,2781">
            <v:line id="_x0000_s1643" style="position:absolute" from="1569,1728" to="1569,2803" stroked="t" strokecolor="#c7cdd7" strokeweight="4.49pt">
              <v:stroke dashstyle="solid"/>
            </v:line>
            <v:line id="_x0000_s1644" style="position:absolute" from="1658,1424" to="1658,2803" stroked="t" strokecolor="#b0b8c8" strokeweight="4.41pt">
              <v:stroke dashstyle="solid"/>
            </v:line>
            <v:line id="_x0000_s1645" style="position:absolute" from="1747,1255" to="1747,2803" stroked="t" strokecolor="#96a2b8" strokeweight="4.49pt">
              <v:stroke dashstyle="solid"/>
            </v:line>
            <v:line id="_x0000_s1646" style="position:absolute" from="1836,1363" to="1836,2803" stroked="t" strokecolor="#7386a6" strokeweight="4.41pt">
              <v:stroke dashstyle="solid"/>
            </v:line>
            <v:line id="_x0000_s1647" style="position:absolute" from="1925,1262" to="1925,2803" stroked="t" strokecolor="#375f91" strokeweight="4.49pt">
              <v:stroke dashstyle="solid"/>
            </v:line>
            <v:line id="_x0000_s1648" style="position:absolute" from="2014,1451" to="2014,2803" stroked="t" strokecolor="#224062" strokeweight="4.41pt">
              <v:stroke dashstyle="solid"/>
            </v:line>
            <v:rect id="_x0000_s1649" style="width:90;height:863;left:2057;position:absolute;top:1941" filled="f" stroked="t" strokecolor="#c00000" strokeweight="0.92pt">
              <v:stroke dashstyle="solid"/>
            </v:rect>
            <v:shape id="_x0000_s1650" style="width:65;height:4469;left:748;position:absolute;top:9381" coordorigin="748,9382" coordsize="65,4469" path="m1458,2803l1458,68m1418,2803l1458,2803m1418,2347l1458,2347m1418,1892l1458,1892m1418,1435l1458,1435m1418,980l1458,980m1418,525l1458,525m1418,68l1458,68e" filled="f" stroked="t" strokecolor="#bebebe" strokeweight="0.46pt">
              <v:stroke dashstyle="solid"/>
              <v:path arrowok="t"/>
            </v:shape>
            <v:line id="_x0000_s1651" style="position:absolute" from="2325,2233" to="2325,2803" stroked="t" strokecolor="#c7cdd7" strokeweight="4.49pt">
              <v:stroke dashstyle="solid"/>
            </v:line>
            <v:line id="_x0000_s1652" style="position:absolute" from="2414,2002" to="2414,2803" stroked="t" strokecolor="#b0b8c8" strokeweight="4.41pt">
              <v:stroke dashstyle="solid"/>
            </v:line>
            <v:line id="_x0000_s1653" style="position:absolute" from="2502,2220" to="2502,2803" stroked="t" strokecolor="#96a2b8" strokeweight="4.41pt">
              <v:stroke dashstyle="solid"/>
            </v:line>
            <v:line id="_x0000_s1654" style="position:absolute" from="2591,2396" to="2591,2803" stroked="t" strokecolor="#7386a6" strokeweight="4.49pt">
              <v:stroke dashstyle="solid"/>
            </v:line>
            <v:line id="_x0000_s1655" style="position:absolute" from="2680,2005" to="2680,2803" stroked="t" strokecolor="#375f91" strokeweight="4.41pt">
              <v:stroke dashstyle="solid"/>
            </v:line>
            <v:line id="_x0000_s1656" style="position:absolute" from="2769,2152" to="2769,2803" stroked="t" strokecolor="#224062" strokeweight="4.49pt">
              <v:stroke dashstyle="solid"/>
            </v:line>
            <v:rect id="_x0000_s1657" style="width:90;height:617;left:2813;position:absolute;top:2186" filled="f" stroked="t" strokecolor="#c00000" strokeweight="0.92pt">
              <v:stroke dashstyle="solid"/>
            </v:rect>
            <v:line id="_x0000_s1658" style="position:absolute" from="3080,1462" to="3080,2803" stroked="t" strokecolor="#c7cdd7" strokeweight="4.41pt">
              <v:stroke dashstyle="solid"/>
            </v:line>
            <v:line id="_x0000_s1659" style="position:absolute" from="3169,1616" to="3169,2803" stroked="t" strokecolor="#b0b8c8" strokeweight="4.49pt">
              <v:stroke dashstyle="solid"/>
            </v:line>
            <v:line id="_x0000_s1660" style="position:absolute" from="3258,1543" to="3258,2803" stroked="t" strokecolor="#96a2b8" strokeweight="4.41pt">
              <v:stroke dashstyle="solid"/>
            </v:line>
            <v:line id="_x0000_s1661" style="position:absolute" from="3347,2051" to="3347,2803" stroked="t" strokecolor="#7386a6" strokeweight="4.49pt">
              <v:stroke dashstyle="solid"/>
            </v:line>
            <v:line id="_x0000_s1662" style="position:absolute" from="3436,1617" to="3436,2803" stroked="t" strokecolor="#375f91" strokeweight="4.41pt">
              <v:stroke dashstyle="solid"/>
            </v:line>
            <v:line id="_x0000_s1663" style="position:absolute" from="3525,1666" to="3525,2803" stroked="t" strokecolor="#224062" strokeweight="4.49pt">
              <v:stroke dashstyle="solid"/>
            </v:line>
            <v:rect id="_x0000_s1664" style="width:90;height:1021;left:3569;position:absolute;top:1782" filled="f" stroked="t" strokecolor="#c00000" strokeweight="0.92pt">
              <v:stroke dashstyle="solid"/>
            </v:rect>
            <v:line id="_x0000_s1665" style="position:absolute" from="3836,1631" to="3836,2803" stroked="t" strokecolor="#c7cdd7" strokeweight="4.41pt">
              <v:stroke dashstyle="solid"/>
            </v:line>
            <v:line id="_x0000_s1666" style="position:absolute" from="3925,1330" to="3925,2803" stroked="t" strokecolor="#b0b8c8" strokeweight="4.49pt">
              <v:stroke dashstyle="solid"/>
            </v:line>
            <v:line id="_x0000_s1667" style="position:absolute" from="4014,1484" to="4014,2803" stroked="t" strokecolor="#96a2b8" strokeweight="4.41pt">
              <v:stroke dashstyle="solid"/>
            </v:line>
            <v:line id="_x0000_s1668" style="position:absolute" from="4103,1521" to="4103,2803" stroked="t" strokecolor="#7386a6" strokeweight="4.41pt">
              <v:stroke dashstyle="solid"/>
            </v:line>
            <v:line id="_x0000_s1669" style="position:absolute" from="4192,1496" to="4192,2803" stroked="t" strokecolor="#375f91" strokeweight="4.49pt">
              <v:stroke dashstyle="solid"/>
            </v:line>
            <v:line id="_x0000_s1670" style="position:absolute" from="4281,1816" to="4281,2803" stroked="t" strokecolor="#224062" strokeweight="4.41pt">
              <v:stroke dashstyle="solid"/>
            </v:line>
            <v:rect id="_x0000_s1671" style="width:89;height:1043;left:4325;position:absolute;top:1760" filled="f" stroked="t" strokecolor="#c00000" strokeweight="0.92pt">
              <v:stroke dashstyle="solid"/>
            </v:rect>
            <v:line id="_x0000_s1672" style="position:absolute" from="4592,1585" to="4592,2803" stroked="t" strokecolor="#c7cdd7" strokeweight="4.49pt">
              <v:stroke dashstyle="solid"/>
            </v:line>
            <v:line id="_x0000_s1673" style="position:absolute" from="4681,1100" to="4681,2803" stroked="t" strokecolor="#b0b8c8" strokeweight="4.41pt">
              <v:stroke dashstyle="solid"/>
            </v:line>
            <v:line id="_x0000_s1674" style="position:absolute" from="4770,1587" to="4770,2803" stroked="t" strokecolor="#96a2b8" strokeweight="4.49pt">
              <v:stroke dashstyle="solid"/>
            </v:line>
            <v:rect id="_x0000_s1675" style="width:89;height:1328;left:4814;position:absolute;top:1474" filled="t" fillcolor="#7386a6" stroked="f">
              <v:fill type="solid"/>
            </v:rect>
            <v:rect id="_x0000_s1676" style="width:90;height:1341;left:4902;position:absolute;top:1461" filled="t" fillcolor="#375f91" stroked="f">
              <v:fill type="solid"/>
            </v:rect>
            <v:line id="_x0000_s1677" style="position:absolute" from="5037,1663" to="5037,2803" stroked="t" strokecolor="#224062" strokeweight="4.41pt">
              <v:stroke dashstyle="solid"/>
            </v:line>
            <v:rect id="_x0000_s1678" style="width:89;height:888;left:5081;position:absolute;top:1916" filled="f" stroked="t" strokecolor="#c00000" strokeweight="0.92pt">
              <v:stroke dashstyle="solid"/>
            </v:rect>
            <v:line id="_x0000_s1679" style="position:absolute" from="5348,1413" to="5348,2803" stroked="t" strokecolor="#c7cdd7" strokeweight="4.49pt">
              <v:stroke dashstyle="solid"/>
            </v:line>
            <v:line id="_x0000_s1680" style="position:absolute" from="5437,1756" to="5437,2803" stroked="t" strokecolor="#b0b8c8" strokeweight="4.41pt">
              <v:stroke dashstyle="solid"/>
            </v:line>
            <v:line id="_x0000_s1681" style="position:absolute" from="5526,1083" to="5526,2803" stroked="t" strokecolor="#96a2b8" strokeweight="4.49pt">
              <v:stroke dashstyle="solid"/>
            </v:line>
            <v:line id="_x0000_s1682" style="position:absolute" from="5615,635" to="5615,2803" stroked="t" strokecolor="#7386a6" strokeweight="4.41pt">
              <v:stroke dashstyle="solid"/>
            </v:line>
            <v:line id="_x0000_s1683" style="position:absolute" from="5704,1634" to="5704,2803" stroked="t" strokecolor="#375f91" strokeweight="4.49pt">
              <v:stroke dashstyle="solid"/>
            </v:line>
            <v:line id="_x0000_s1684" style="position:absolute" from="5793,1662" to="5793,2803" stroked="t" strokecolor="#224062" strokeweight="4.41pt">
              <v:stroke dashstyle="solid"/>
            </v:line>
            <v:rect id="_x0000_s1685" style="width:90;height:1034;left:5835;position:absolute;top:1769" filled="f" stroked="t" strokecolor="#c00000" strokeweight="0.92pt">
              <v:stroke dashstyle="solid"/>
            </v:rect>
            <v:rect id="_x0000_s1686" style="width:90;height:1368;left:6058;position:absolute;top:1435" filled="t" fillcolor="#c7cdd7" stroked="f">
              <v:fill type="solid"/>
            </v:rect>
            <v:rect id="_x0000_s1687" style="width:89;height:1383;left:6148;position:absolute;top:1420" filled="t" fillcolor="#b0b8c8" stroked="f">
              <v:fill type="solid"/>
            </v:rect>
            <v:line id="_x0000_s1688" style="position:absolute" from="6281,1253" to="6281,2803" stroked="t" strokecolor="#96a2b8" strokeweight="4.41pt">
              <v:stroke dashstyle="solid"/>
            </v:line>
            <v:line id="_x0000_s1689" style="position:absolute" from="6370,1056" to="6370,2803" stroked="t" strokecolor="#7386a6" strokeweight="4.49pt">
              <v:stroke dashstyle="solid"/>
            </v:line>
            <v:line id="_x0000_s1690" style="position:absolute" from="6459,1501" to="6459,2803" stroked="t" strokecolor="#375f91" strokeweight="4.41pt">
              <v:stroke dashstyle="solid"/>
            </v:line>
            <v:line id="_x0000_s1691" style="position:absolute" from="6548,1644" to="6548,2803" stroked="t" strokecolor="#224062" strokeweight="4.49pt">
              <v:stroke dashstyle="solid"/>
            </v:line>
            <v:rect id="_x0000_s1692" style="width:90;height:967;left:6591;position:absolute;top:1837" filled="f" stroked="t" strokecolor="#c00000" strokeweight="0.92pt">
              <v:stroke dashstyle="solid"/>
            </v:rect>
            <v:line id="_x0000_s1693" style="position:absolute" from="6859,1378" to="6859,2803" stroked="t" strokecolor="#c7cdd7" strokeweight="4.41pt">
              <v:stroke dashstyle="solid"/>
            </v:line>
            <v:line id="_x0000_s1694" style="position:absolute" from="6948,1328" to="6948,2803" stroked="t" strokecolor="#b0b8c8" strokeweight="4.49pt">
              <v:stroke dashstyle="solid"/>
            </v:line>
            <v:line id="_x0000_s1695" style="position:absolute" from="7037,1980" to="7037,2803" stroked="t" strokecolor="#96a2b8" strokeweight="4.41pt">
              <v:stroke dashstyle="solid"/>
            </v:line>
            <v:line id="_x0000_s1696" style="position:absolute" from="7126,1356" to="7126,2803" stroked="t" strokecolor="#7386a6" strokeweight="4.49pt">
              <v:stroke dashstyle="solid"/>
            </v:line>
            <v:line id="_x0000_s1697" style="position:absolute" from="7215,1688" to="7215,2803" stroked="t" strokecolor="#375f91" strokeweight="4.41pt">
              <v:stroke dashstyle="solid"/>
            </v:line>
            <v:line id="_x0000_s1698" style="position:absolute" from="7304,1609" to="7304,2803" stroked="t" strokecolor="#224062" strokeweight="4.49pt">
              <v:stroke dashstyle="solid"/>
            </v:line>
            <v:rect id="_x0000_s1699" style="width:90;height:864;left:7347;position:absolute;top:1939" filled="f" stroked="t" strokecolor="#c00000" strokeweight="0.92pt">
              <v:stroke dashstyle="solid"/>
            </v:rect>
            <v:line id="_x0000_s1700" style="position:absolute" from="7615,1437" to="7615,2803" stroked="t" strokecolor="#c7cdd7" strokeweight="4.42pt">
              <v:stroke dashstyle="solid"/>
            </v:line>
            <v:line id="_x0000_s1701" style="position:absolute" from="7704,1515" to="7704,2803" stroked="t" strokecolor="#b0b8c8" strokeweight="4.49pt">
              <v:stroke dashstyle="solid"/>
            </v:line>
            <v:line id="_x0000_s1702" style="position:absolute" from="7793,1644" to="7793,2803" stroked="t" strokecolor="#96a2b8" strokeweight="4.41pt">
              <v:stroke dashstyle="solid"/>
            </v:line>
            <v:line id="_x0000_s1703" style="position:absolute" from="7881,1212" to="7881,2803" stroked="t" strokecolor="#7386a6" strokeweight="4.41pt">
              <v:stroke dashstyle="solid"/>
            </v:line>
            <v:line id="_x0000_s1704" style="position:absolute" from="7970,1459" to="7970,2803" stroked="t" strokecolor="#375f91" strokeweight="4.49pt">
              <v:stroke dashstyle="solid"/>
            </v:line>
            <v:line id="_x0000_s1705" style="position:absolute" from="8059,1678" to="8059,2803" stroked="t" strokecolor="#224062" strokeweight="4.41pt">
              <v:stroke dashstyle="solid"/>
            </v:line>
            <v:rect id="_x0000_s1706" style="width:89;height:893;left:8103;position:absolute;top:1910" filled="f" stroked="t" strokecolor="#c00000" strokeweight="0.92pt">
              <v:stroke dashstyle="solid"/>
            </v:rect>
            <v:line id="_x0000_s1707" style="position:absolute" from="8370,1657" to="8370,2803" stroked="t" strokecolor="#c7cdd7" strokeweight="4.49pt">
              <v:stroke dashstyle="solid"/>
            </v:line>
            <v:line id="_x0000_s1708" style="position:absolute" from="8459,1585" to="8459,2803" stroked="t" strokecolor="#b0b8c8" strokeweight="4.41pt">
              <v:stroke dashstyle="solid"/>
            </v:line>
            <v:line id="_x0000_s1709" style="position:absolute" from="8548,1534" to="8548,2803" stroked="t" strokecolor="#96a2b8" strokeweight="4.49pt">
              <v:stroke dashstyle="solid"/>
            </v:line>
            <v:line id="_x0000_s1710" style="position:absolute" from="8637,1416" to="8637,2803" stroked="t" strokecolor="#7386a6" strokeweight="4.41pt">
              <v:stroke dashstyle="solid"/>
            </v:line>
            <v:line id="_x0000_s1711" style="position:absolute" from="8726,1751" to="8726,2803" stroked="t" strokecolor="#375f91" strokeweight="4.49pt">
              <v:stroke dashstyle="solid"/>
            </v:line>
            <v:line id="_x0000_s1712" style="position:absolute" from="8815,2165" to="8815,2803" stroked="t" strokecolor="#224062" strokeweight="4.41pt">
              <v:stroke dashstyle="solid"/>
            </v:line>
            <v:rect id="_x0000_s1713" style="width:89;height:730;left:8859;position:absolute;top:2073" filled="f" stroked="t" strokecolor="#c00000" strokeweight="0.92pt">
              <v:stroke dashstyle="solid"/>
            </v:rect>
            <v:line id="_x0000_s1714" style="position:absolute" from="9126,1491" to="9126,2803" stroked="t" strokecolor="#c7cdd7" strokeweight="4.49pt">
              <v:stroke dashstyle="solid"/>
            </v:line>
            <v:line id="_x0000_s1715" style="position:absolute" from="9215,1372" to="9215,2803" stroked="t" strokecolor="#b0b8c8" strokeweight="4.42pt">
              <v:stroke dashstyle="solid"/>
            </v:line>
            <v:line id="_x0000_s1716" style="position:absolute" from="9304,1269" to="9304,2803" stroked="t" strokecolor="#96a2b8" strokeweight="4.48pt">
              <v:stroke dashstyle="solid"/>
            </v:line>
            <v:line id="_x0000_s1717" style="position:absolute" from="9393,1485" to="9393,2803" stroked="t" strokecolor="#7386a6" strokeweight="4.41pt">
              <v:stroke dashstyle="solid"/>
            </v:line>
            <v:line id="_x0000_s1718" style="position:absolute" from="9481,1443" to="9481,2803" stroked="t" strokecolor="#375f91" strokeweight="4.41pt">
              <v:stroke dashstyle="solid"/>
            </v:line>
            <v:line id="_x0000_s1719" style="position:absolute" from="9570,1861" to="9570,2803" stroked="t" strokecolor="#224062" strokeweight="4.49pt">
              <v:stroke dashstyle="solid"/>
            </v:line>
            <v:rect id="_x0000_s1720" style="width:90;height:1165;left:9614;position:absolute;top:1638" filled="f" stroked="t" strokecolor="#c00000" strokeweight="0.92pt">
              <v:stroke dashstyle="solid"/>
            </v:rect>
            <v:line id="_x0000_s1721" style="position:absolute" from="9882,608" to="9882,2803" stroked="t" strokecolor="#c7cdd7" strokeweight="4.49pt">
              <v:stroke dashstyle="solid"/>
            </v:line>
            <v:line id="_x0000_s1722" style="position:absolute" from="9971,1322" to="9971,2803" stroked="t" strokecolor="#b0b8c8" strokeweight="4.41pt">
              <v:stroke dashstyle="solid"/>
            </v:line>
            <v:line id="_x0000_s1723" style="position:absolute" from="10059,1090" to="10059,2803" stroked="t" strokecolor="#96a2b8" strokeweight="4.41pt">
              <v:stroke dashstyle="solid"/>
            </v:line>
            <v:line id="_x0000_s1724" style="position:absolute" from="10148,347" to="10148,2803" stroked="t" strokecolor="#7386a6" strokeweight="4.49pt">
              <v:stroke dashstyle="solid"/>
            </v:line>
            <v:line id="_x0000_s1725" style="position:absolute" from="10237,1362" to="10237,2803" stroked="t" strokecolor="#375f91" strokeweight="4.41pt">
              <v:stroke dashstyle="solid"/>
            </v:line>
            <v:line id="_x0000_s1726" style="position:absolute" from="10326,1827" to="10326,2803" stroked="t" strokecolor="#224062" strokeweight="4.49pt">
              <v:stroke dashstyle="solid"/>
            </v:line>
            <v:rect id="_x0000_s1727" style="width:90;height:1026;left:10370;position:absolute;top:1778" filled="f" stroked="t" strokecolor="#c00000" strokeweight="0.92pt">
              <v:stroke dashstyle="solid"/>
            </v:rect>
            <v:shape id="_x0000_s1728" style="width:14852;height:4536;left:812;position:absolute;top:9381" coordorigin="813,9382" coordsize="14852,4536" path="m10527,2803l10527,68m10527,2803l10559,2803m10527,2412l10559,2412m10527,2021l10559,2021m10527,1631l10559,1631m10527,1240l10559,1240m10527,849l10559,849m10527,459l10559,459m10527,68l10559,68m1458,2803l10527,2803m1458,2803l1458,2844m2214,2803l2214,2844m2970,2803l2970,2844m3725,2803l3725,2844m4481,2803l4481,2844m5237,2803l5237,2844m5993,2803l5993,2844m6749,2803l6749,2844m7503,2803l7503,2844m8259,2803l8259,2844m9015,2803l9015,2844m9771,2803l9771,2844m10527,2803l10527,2844e" filled="f" stroked="t" strokecolor="#d9d9d9" strokeweight="0.46pt">
              <v:stroke dashstyle="solid"/>
              <v:path arrowok="t"/>
            </v:shape>
            <v:shape id="_x0000_s1729" type="#_x0000_t75" style="width:157;height:157;left:1757;position:absolute;top:2260" stroked="f">
              <v:imagedata r:id="rId94" o:title=""/>
            </v:shape>
            <v:shape id="_x0000_s1730" type="#_x0000_t75" style="width:157;height:157;left:2513;position:absolute;top:1656" stroked="f">
              <v:imagedata r:id="rId95" o:title=""/>
            </v:shape>
            <v:shape id="_x0000_s1731" type="#_x0000_t75" style="width:157;height:157;left:3267;position:absolute;top:1752" stroked="f">
              <v:imagedata r:id="rId95" o:title=""/>
            </v:shape>
            <v:shape id="_x0000_s1732" style="width:148;height:147;left:4028;position:absolute;top:1449" coordorigin="4028,1450" coordsize="148,147" path="m4102,1450l4028,1523,4102,1597,4175,1523,4102,1450xe" filled="t" fillcolor="#ffc000" stroked="f">
              <v:fill type="solid"/>
              <v:path arrowok="t"/>
            </v:shape>
            <v:shape id="_x0000_s1733" style="width:148;height:147;left:4028;position:absolute;top:1449" coordorigin="4028,1450" coordsize="148,147" path="m4102,1450l4175,1523,4102,1597,4028,1523,4102,1450xe" filled="f" stroked="t" strokecolor="#2a4b73" strokeweight="0.46pt">
              <v:stroke dashstyle="solid"/>
              <v:path arrowok="t"/>
            </v:shape>
            <v:shape id="_x0000_s1734" style="width:148;height:147;left:4784;position:absolute;top:1991" coordorigin="4784,1992" coordsize="148,147" path="m4858,1992l4784,2065,4858,2139,4931,2065,4858,1992xe" filled="t" fillcolor="#ffc000" stroked="f">
              <v:fill type="solid"/>
              <v:path arrowok="t"/>
            </v:shape>
            <v:shape id="_x0000_s1735" style="width:148;height:147;left:4784;position:absolute;top:1991" coordorigin="4784,1992" coordsize="148,147" path="m4858,1992l4931,2065,4858,2139,4784,2065,4858,1992xe" filled="f" stroked="t" strokecolor="#2a4b73" strokeweight="0.46pt">
              <v:stroke dashstyle="solid"/>
              <v:path arrowok="t"/>
            </v:shape>
            <v:shape id="_x0000_s1736" type="#_x0000_t75" style="width:157;height:157;left:5535;position:absolute;top:1737" stroked="f">
              <v:imagedata r:id="rId95" o:title=""/>
            </v:shape>
            <v:shape id="_x0000_s1737" type="#_x0000_t75" style="width:157;height:157;left:6291;position:absolute;top:1877" stroked="f">
              <v:imagedata r:id="rId95" o:title=""/>
            </v:shape>
            <v:shape id="_x0000_s1738" type="#_x0000_t75" style="width:157;height:157;left:7046;position:absolute;top:2095" stroked="f">
              <v:imagedata r:id="rId96" o:title=""/>
            </v:shape>
            <v:shape id="_x0000_s1739" type="#_x0000_t75" style="width:157;height:157;left:7802;position:absolute;top:1956" stroked="f">
              <v:imagedata r:id="rId95" o:title=""/>
            </v:shape>
            <v:shape id="_x0000_s1740" type="#_x0000_t75" style="width:157;height:157;left:8558;position:absolute;top:1267" stroked="f">
              <v:imagedata r:id="rId95" o:title=""/>
            </v:shape>
            <v:shape id="_x0000_s1741" type="#_x0000_t75" style="width:157;height:157;left:9314;position:absolute;top:1089" stroked="f">
              <v:imagedata r:id="rId94" o:title=""/>
            </v:shape>
            <v:shape id="_x0000_s1742" type="#_x0000_t75" style="width:157;height:157;left:10070;position:absolute;top:1454" stroked="f">
              <v:imagedata r:id="rId95" o:title=""/>
            </v:shape>
            <v:shape id="_x0000_s1743" type="#_x0000_t75" style="width:157;height:157;left:1757;position:absolute;top:1781" stroked="f">
              <v:imagedata r:id="rId97" o:title=""/>
            </v:shape>
            <v:shape id="_x0000_s1744" type="#_x0000_t75" style="width:157;height:157;left:2513;position:absolute;top:2110" stroked="f">
              <v:imagedata r:id="rId98" o:title=""/>
            </v:shape>
            <v:shape id="_x0000_s1745" type="#_x0000_t75" style="width:157;height:157;left:3267;position:absolute;top:270" stroked="f">
              <v:imagedata r:id="rId97" o:title=""/>
            </v:shape>
            <v:shape id="_x0000_s1746" style="width:148;height:147;left:4028;position:absolute;top:1515" coordorigin="4028,1516" coordsize="148,147" path="m4102,1516l4028,1663,4175,1663,4102,1516xe" filled="t" fillcolor="#ffc000" stroked="f">
              <v:fill type="solid"/>
              <v:path arrowok="t"/>
            </v:shape>
            <v:shape id="_x0000_s1747" style="width:148;height:147;left:4028;position:absolute;top:1515" coordorigin="4028,1516" coordsize="148,147" path="m4102,1516l4175,1663,4028,1663,4102,1516xe" filled="f" stroked="t" strokecolor="#224163" strokeweight="0.46pt">
              <v:stroke dashstyle="solid"/>
              <v:path arrowok="t"/>
            </v:shape>
            <v:shape id="_x0000_s1748" style="width:148;height:147;left:4784;position:absolute;top:1849" coordorigin="4784,1849" coordsize="148,147" path="m4858,1849l4784,1996,4931,1996,4858,1849xe" filled="t" fillcolor="#ffc000" stroked="f">
              <v:fill type="solid"/>
              <v:path arrowok="t"/>
            </v:shape>
            <v:shape id="_x0000_s1749" style="width:148;height:147;left:4784;position:absolute;top:1849" coordorigin="4784,1849" coordsize="148,147" path="m4858,1849l4931,1996,4784,1996,4858,1849xe" filled="f" stroked="t" strokecolor="#224163" strokeweight="0.46pt">
              <v:stroke dashstyle="solid"/>
              <v:path arrowok="t"/>
            </v:shape>
            <v:shape id="_x0000_s1750" type="#_x0000_t75" style="width:157;height:157;left:5535;position:absolute;top:1229" stroked="f">
              <v:imagedata r:id="rId97" o:title=""/>
            </v:shape>
            <v:shape id="_x0000_s1751" type="#_x0000_t75" style="width:157;height:157;left:6291;position:absolute;top:1680" stroked="f">
              <v:imagedata r:id="rId97" o:title=""/>
            </v:shape>
            <v:shape id="_x0000_s1752" type="#_x0000_t75" style="width:157;height:157;left:7046;position:absolute;top:1761" stroked="f">
              <v:imagedata r:id="rId97" o:title=""/>
            </v:shape>
            <v:shape id="_x0000_s1753" type="#_x0000_t75" style="width:157;height:157;left:7802;position:absolute;top:1486" stroked="f">
              <v:imagedata r:id="rId97" o:title=""/>
            </v:shape>
            <v:shape id="_x0000_s1754" type="#_x0000_t75" style="width:157;height:157;left:8558;position:absolute;top:1907" stroked="f">
              <v:imagedata r:id="rId98" o:title=""/>
            </v:shape>
            <v:shape id="_x0000_s1755" type="#_x0000_t75" style="width:157;height:157;left:9314;position:absolute;top:389" stroked="f">
              <v:imagedata r:id="rId97" o:title=""/>
            </v:shape>
            <v:shape id="_x0000_s1756" type="#_x0000_t75" style="width:157;height:157;left:10070;position:absolute;top:1787" stroked="f">
              <v:imagedata r:id="rId98" o:title=""/>
            </v:shape>
          </v:group>
        </w:pict>
      </w:r>
      <w:r>
        <w:rPr>
          <w:rFonts w:ascii="Times New Roman"/>
          <w:color w:val="585858"/>
          <w:sz w:val="11"/>
        </w:rPr>
        <w:t>80%</w:t>
      </w:r>
    </w:p>
    <w:p>
      <w:pPr>
        <w:spacing w:after="0"/>
        <w:jc w:val="left"/>
        <w:rPr>
          <w:rFonts w:ascii="Times New Roman"/>
          <w:sz w:val="11"/>
        </w:rPr>
        <w:sectPr>
          <w:headerReference w:type="default" r:id="rId99"/>
          <w:footerReference w:type="default" r:id="rId100"/>
          <w:type w:val="continuous"/>
          <w:pgSz w:w="11910" w:h="16840"/>
          <w:pgMar w:top="1340" w:right="280" w:bottom="500" w:left="720" w:header="708" w:footer="708"/>
          <w:pgNumType w:start="38"/>
          <w:cols w:num="2" w:space="708" w:equalWidth="0">
            <w:col w:w="631" w:space="8951"/>
            <w:col w:w="1328" w:space="0"/>
          </w:cols>
        </w:sectPr>
      </w:pPr>
    </w:p>
    <w:p>
      <w:pPr>
        <w:pStyle w:val="BodyText"/>
        <w:spacing w:before="7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headerReference w:type="default" r:id="rId101"/>
          <w:footerReference w:type="default" r:id="rId102"/>
          <w:type w:val="continuous"/>
          <w:pgSz w:w="11910" w:h="16840"/>
          <w:pgMar w:top="1340" w:right="280" w:bottom="500" w:left="720" w:header="708" w:footer="708"/>
          <w:pgNumType w:start="39"/>
          <w:cols w:space="708"/>
        </w:sectPr>
      </w:pPr>
    </w:p>
    <w:p>
      <w:pPr>
        <w:pStyle w:val="BodyText"/>
        <w:rPr>
          <w:rFonts w:ascii="Times New Roman"/>
          <w:sz w:val="13"/>
        </w:rPr>
      </w:pPr>
    </w:p>
    <w:p>
      <w:pPr>
        <w:spacing w:before="0"/>
        <w:ind w:left="319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2500</w:t>
      </w:r>
    </w:p>
    <w:p>
      <w:pPr>
        <w:spacing w:before="95"/>
        <w:ind w:left="319" w:right="0" w:firstLine="0"/>
        <w:jc w:val="left"/>
        <w:rPr>
          <w:rFonts w:ascii="Times New Roman"/>
          <w:sz w:val="11"/>
        </w:rPr>
      </w:pPr>
      <w:r>
        <w:br w:type="column"/>
      </w:r>
      <w:r>
        <w:rPr>
          <w:rFonts w:ascii="Times New Roman"/>
          <w:color w:val="585858"/>
          <w:sz w:val="11"/>
        </w:rPr>
        <w:t>60%</w:t>
      </w:r>
    </w:p>
    <w:p>
      <w:pPr>
        <w:spacing w:after="0"/>
        <w:jc w:val="left"/>
        <w:rPr>
          <w:rFonts w:ascii="Times New Roman"/>
          <w:sz w:val="11"/>
        </w:rPr>
        <w:sectPr>
          <w:headerReference w:type="default" r:id="rId103"/>
          <w:footerReference w:type="default" r:id="rId104"/>
          <w:type w:val="continuous"/>
          <w:pgSz w:w="11910" w:h="16840"/>
          <w:pgMar w:top="1340" w:right="280" w:bottom="500" w:left="720" w:header="708" w:footer="708"/>
          <w:pgNumType w:start="40"/>
          <w:cols w:num="2" w:space="708" w:equalWidth="0">
            <w:col w:w="631" w:space="8951"/>
            <w:col w:w="1328" w:space="0"/>
          </w:cols>
        </w:sect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8"/>
        <w:rPr>
          <w:rFonts w:ascii="Times New Roman"/>
          <w:sz w:val="12"/>
        </w:rPr>
      </w:pPr>
    </w:p>
    <w:p>
      <w:pPr>
        <w:spacing w:before="0"/>
        <w:ind w:left="319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2000</w:t>
      </w:r>
    </w:p>
    <w:p>
      <w:pPr>
        <w:pStyle w:val="BodyText"/>
        <w:spacing w:before="3"/>
        <w:rPr>
          <w:rFonts w:ascii="Times New Roman"/>
          <w:sz w:val="16"/>
        </w:rPr>
      </w:pPr>
      <w:r>
        <w:br w:type="column"/>
      </w:r>
    </w:p>
    <w:p>
      <w:pPr>
        <w:spacing w:before="0"/>
        <w:ind w:left="319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40%</w:t>
      </w:r>
    </w:p>
    <w:p>
      <w:pPr>
        <w:spacing w:after="0"/>
        <w:jc w:val="left"/>
        <w:rPr>
          <w:rFonts w:ascii="Times New Roman"/>
          <w:sz w:val="11"/>
        </w:rPr>
        <w:sectPr>
          <w:headerReference w:type="default" r:id="rId105"/>
          <w:footerReference w:type="default" r:id="rId106"/>
          <w:type w:val="continuous"/>
          <w:pgSz w:w="11910" w:h="16840"/>
          <w:pgMar w:top="1340" w:right="280" w:bottom="500" w:left="720" w:header="708" w:footer="708"/>
          <w:pgNumType w:start="41"/>
          <w:cols w:num="2" w:space="708" w:equalWidth="0">
            <w:col w:w="631" w:space="8951"/>
            <w:col w:w="1328" w:space="0"/>
          </w:cols>
        </w:sect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7"/>
        <w:rPr>
          <w:rFonts w:ascii="Times New Roman"/>
          <w:sz w:val="12"/>
        </w:rPr>
      </w:pPr>
    </w:p>
    <w:p>
      <w:pPr>
        <w:spacing w:before="0"/>
        <w:ind w:left="319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1500</w:t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8"/>
        <w:rPr>
          <w:rFonts w:ascii="Times New Roman"/>
          <w:sz w:val="12"/>
        </w:rPr>
      </w:pPr>
    </w:p>
    <w:p>
      <w:pPr>
        <w:spacing w:before="0"/>
        <w:ind w:left="319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1000</w:t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7"/>
        <w:rPr>
          <w:rFonts w:ascii="Times New Roman"/>
          <w:sz w:val="12"/>
        </w:rPr>
      </w:pPr>
    </w:p>
    <w:p>
      <w:pPr>
        <w:spacing w:before="0"/>
        <w:ind w:left="387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500</w:t>
      </w:r>
    </w:p>
    <w:p>
      <w:pPr>
        <w:pStyle w:val="BodyText"/>
        <w:spacing w:before="6"/>
        <w:rPr>
          <w:rFonts w:ascii="Times New Roman"/>
          <w:sz w:val="10"/>
        </w:rPr>
      </w:pPr>
      <w:r>
        <w:br w:type="column"/>
      </w:r>
    </w:p>
    <w:p>
      <w:pPr>
        <w:spacing w:before="1"/>
        <w:ind w:left="319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20%</w:t>
      </w: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spacing w:before="11"/>
        <w:rPr>
          <w:rFonts w:ascii="Times New Roman"/>
          <w:sz w:val="10"/>
        </w:rPr>
      </w:pPr>
    </w:p>
    <w:p>
      <w:pPr>
        <w:spacing w:before="0"/>
        <w:ind w:left="319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0%</w:t>
      </w: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1"/>
        </w:rPr>
      </w:pPr>
    </w:p>
    <w:p>
      <w:pPr>
        <w:spacing w:before="0"/>
        <w:ind w:left="319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-20%</w:t>
      </w: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rPr>
          <w:rFonts w:ascii="Times New Roman"/>
          <w:sz w:val="11"/>
        </w:rPr>
      </w:pPr>
    </w:p>
    <w:p>
      <w:pPr>
        <w:spacing w:before="0"/>
        <w:ind w:left="319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-40%</w:t>
      </w:r>
    </w:p>
    <w:p>
      <w:pPr>
        <w:spacing w:after="0"/>
        <w:jc w:val="left"/>
        <w:rPr>
          <w:rFonts w:ascii="Times New Roman"/>
          <w:sz w:val="11"/>
        </w:rPr>
        <w:sectPr>
          <w:headerReference w:type="default" r:id="rId107"/>
          <w:footerReference w:type="default" r:id="rId108"/>
          <w:type w:val="continuous"/>
          <w:pgSz w:w="11910" w:h="16840"/>
          <w:pgMar w:top="1340" w:right="280" w:bottom="500" w:left="720" w:header="708" w:footer="708"/>
          <w:pgNumType w:start="42"/>
          <w:cols w:num="2" w:space="708" w:equalWidth="0">
            <w:col w:w="631" w:space="8951"/>
            <w:col w:w="1328" w:space="0"/>
          </w:cols>
        </w:sectPr>
      </w:pPr>
    </w:p>
    <w:p>
      <w:pPr>
        <w:pStyle w:val="BodyText"/>
        <w:spacing w:before="5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headerReference w:type="default" r:id="rId109"/>
          <w:footerReference w:type="default" r:id="rId110"/>
          <w:type w:val="continuous"/>
          <w:pgSz w:w="11910" w:h="16840"/>
          <w:pgMar w:top="1340" w:right="280" w:bottom="500" w:left="720" w:header="708" w:footer="708"/>
          <w:pgNumType w:start="43"/>
          <w:cols w:space="708"/>
        </w:sectPr>
      </w:pPr>
    </w:p>
    <w:p>
      <w:pPr>
        <w:spacing w:before="99"/>
        <w:ind w:left="0" w:right="91" w:firstLine="0"/>
        <w:jc w:val="center"/>
        <w:rPr>
          <w:rFonts w:ascii="Times New Roman"/>
          <w:sz w:val="13"/>
        </w:rPr>
      </w:pPr>
      <w:r>
        <w:rPr>
          <w:rFonts w:ascii="Times New Roman"/>
          <w:color w:val="585858"/>
          <w:w w:val="104"/>
          <w:sz w:val="13"/>
        </w:rPr>
        <w:t>0</w:t>
      </w:r>
    </w:p>
    <w:p>
      <w:pPr>
        <w:spacing w:before="8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Jan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6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Feb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6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Mar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6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Apr</w:t>
      </w:r>
    </w:p>
    <w:p>
      <w:pPr>
        <w:spacing w:before="106"/>
        <w:ind w:left="271" w:right="0" w:firstLine="0"/>
        <w:jc w:val="left"/>
        <w:rPr>
          <w:rFonts w:ascii="Times New Roman"/>
          <w:sz w:val="13"/>
        </w:rPr>
      </w:pPr>
      <w:r>
        <w:pict>
          <v:rect id="_x0000_s1757" style="width:3.24pt;height:3.16pt;margin-top:7.76pt;margin-left:183.95pt;mso-position-horizontal-relative:page;position:absolute;z-index:251731968" filled="t" fillcolor="#c7cdd7" stroked="f">
            <v:fill type="solid"/>
          </v:rect>
        </w:pict>
      </w:r>
      <w:r>
        <w:pict>
          <v:rect id="_x0000_s1758" style="width:3.16pt;height:3.16pt;margin-top:7.76pt;margin-left:207.27pt;mso-position-horizontal-relative:page;position:absolute;z-index:251732992" filled="t" fillcolor="#b0b8c8" stroked="f">
            <v:fill type="solid"/>
          </v:rect>
        </w:pict>
      </w:r>
      <w:r>
        <w:rPr>
          <w:rFonts w:ascii="Times New Roman"/>
          <w:color w:val="585858"/>
          <w:sz w:val="13"/>
        </w:rPr>
        <w:t>2017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spacing w:before="0"/>
        <w:ind w:left="-12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-1"/>
          <w:sz w:val="13"/>
        </w:rPr>
        <w:t>2018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6"/>
        <w:ind w:left="201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-1"/>
          <w:w w:val="105"/>
          <w:sz w:val="13"/>
        </w:rPr>
        <w:t>May</w:t>
      </w:r>
    </w:p>
    <w:p>
      <w:pPr>
        <w:spacing w:before="106"/>
        <w:ind w:left="167" w:right="0" w:firstLine="0"/>
        <w:jc w:val="left"/>
        <w:rPr>
          <w:rFonts w:ascii="Times New Roman"/>
          <w:sz w:val="13"/>
        </w:rPr>
      </w:pPr>
      <w:r>
        <w:pict>
          <v:rect id="_x0000_s1759" style="width:3.24pt;height:3.16pt;margin-top:7.76pt;margin-left:230.5pt;mso-position-horizontal-relative:page;position:absolute;z-index:251734016" filled="t" fillcolor="#96a2b8" stroked="f">
            <v:fill type="solid"/>
          </v:rect>
        </w:pict>
      </w:r>
      <w:r>
        <w:rPr>
          <w:rFonts w:ascii="Times New Roman"/>
          <w:color w:val="585858"/>
          <w:sz w:val="13"/>
        </w:rPr>
        <w:t>2019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spacing w:before="0"/>
        <w:ind w:left="144" w:right="0" w:firstLine="0"/>
        <w:jc w:val="left"/>
        <w:rPr>
          <w:rFonts w:ascii="Times New Roman"/>
          <w:sz w:val="13"/>
        </w:rPr>
      </w:pPr>
      <w:r>
        <w:pict>
          <v:rect id="_x0000_s1760" style="width:3.24pt;height:3.16pt;margin-top:2.46pt;margin-left:253.74pt;mso-position-horizontal-relative:page;position:absolute;z-index:251735040" filled="t" fillcolor="#7386a6" stroked="f">
            <v:fill type="solid"/>
          </v:rect>
        </w:pict>
      </w:r>
      <w:r>
        <w:rPr>
          <w:rFonts w:ascii="Times New Roman"/>
          <w:color w:val="585858"/>
          <w:spacing w:val="-1"/>
          <w:sz w:val="13"/>
        </w:rPr>
        <w:t>2020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6"/>
        <w:ind w:left="56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Jun</w:t>
      </w:r>
    </w:p>
    <w:p>
      <w:pPr>
        <w:spacing w:before="106"/>
        <w:ind w:left="168" w:right="0" w:firstLine="0"/>
        <w:jc w:val="left"/>
        <w:rPr>
          <w:rFonts w:ascii="Times New Roman"/>
          <w:sz w:val="13"/>
        </w:rPr>
      </w:pPr>
      <w:r>
        <w:pict>
          <v:rect id="_x0000_s1761" style="width:3.16pt;height:3.16pt;margin-top:7.76pt;margin-left:277.05pt;mso-position-horizontal-relative:page;position:absolute;z-index:251736064" filled="t" fillcolor="#375f91" stroked="f">
            <v:fill type="solid"/>
          </v:rect>
        </w:pict>
      </w:r>
      <w:r>
        <w:rPr>
          <w:rFonts w:ascii="Times New Roman"/>
          <w:color w:val="585858"/>
          <w:spacing w:val="-1"/>
          <w:sz w:val="13"/>
        </w:rPr>
        <w:t>2021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6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Jul</w:t>
      </w:r>
    </w:p>
    <w:p>
      <w:pPr>
        <w:spacing w:before="106"/>
        <w:ind w:left="167" w:right="0" w:firstLine="0"/>
        <w:jc w:val="left"/>
        <w:rPr>
          <w:rFonts w:ascii="Times New Roman"/>
          <w:sz w:val="13"/>
        </w:rPr>
      </w:pPr>
      <w:r>
        <w:pict>
          <v:rect id="_x0000_s1762" style="width:3.24pt;height:3.16pt;margin-top:7.76pt;margin-left:300.29pt;mso-position-horizontal-relative:page;position:absolute;z-index:251737088" filled="t" fillcolor="#224062" stroked="f">
            <v:fill type="solid"/>
          </v:rect>
        </w:pict>
      </w:r>
      <w:r>
        <w:rPr>
          <w:rFonts w:ascii="Times New Roman"/>
          <w:color w:val="585858"/>
          <w:sz w:val="13"/>
        </w:rPr>
        <w:t>2022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spacing w:before="0"/>
        <w:ind w:left="73" w:right="0" w:firstLine="0"/>
        <w:jc w:val="left"/>
        <w:rPr>
          <w:rFonts w:ascii="Times New Roman"/>
          <w:sz w:val="13"/>
        </w:rPr>
      </w:pPr>
      <w:r>
        <w:pict>
          <v:rect id="_x0000_s1763" style="width:3.24pt;height:3.23pt;margin-top:2.43pt;margin-left:323.57pt;mso-position-horizontal-relative:page;position:absolute;z-index:251738112" filled="f" stroked="t" strokecolor="#c00000" strokeweight="0.92pt">
            <v:stroke dashstyle="solid"/>
          </v:rect>
        </w:pict>
      </w:r>
      <w:r>
        <w:rPr>
          <w:rFonts w:ascii="Times New Roman"/>
          <w:color w:val="585858"/>
          <w:spacing w:val="-1"/>
          <w:sz w:val="13"/>
        </w:rPr>
        <w:t>2023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6"/>
        <w:ind w:left="149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Aug</w:t>
      </w:r>
    </w:p>
    <w:p>
      <w:pPr>
        <w:spacing w:before="99"/>
        <w:ind w:left="167" w:right="0" w:firstLine="0"/>
        <w:jc w:val="left"/>
        <w:rPr>
          <w:sz w:val="13"/>
        </w:rPr>
      </w:pPr>
      <w:r>
        <w:pict>
          <v:group id="_x0000_s1764" style="width:4.15pt;height:4.15pt;margin-top:7.2pt;margin-left:346.32pt;mso-position-horizontal-relative:page;position:absolute;z-index:251739136" coordorigin="6926,144" coordsize="83,83">
            <v:shape id="_x0000_s1765" style="width:74;height:74;left:6930;position:absolute;top:148" coordorigin="6931,149" coordsize="74,74" path="m6968,149l6931,185,6968,222,7004,185,6968,149xe" filled="t" fillcolor="#ffc000" stroked="f">
              <v:fill type="solid"/>
              <v:path arrowok="t"/>
            </v:shape>
            <v:shape id="_x0000_s1766" style="width:74;height:74;left:6930;position:absolute;top:148" coordorigin="6931,149" coordsize="74,74" path="m6968,149l7004,185,6968,222,6931,185,6968,149xe" filled="f" stroked="t" strokecolor="#2a4b73" strokeweight="0.46pt">
              <v:stroke dashstyle="solid"/>
              <v:path arrowok="t"/>
            </v:shape>
          </v:group>
        </w:pict>
      </w:r>
      <w:r>
        <w:rPr>
          <w:color w:val="585858"/>
          <w:spacing w:val="-5"/>
          <w:sz w:val="13"/>
        </w:rPr>
        <w:t>单月同比</w:t>
      </w:r>
    </w:p>
    <w:p>
      <w:pPr>
        <w:pStyle w:val="BodyText"/>
        <w:rPr>
          <w:sz w:val="20"/>
        </w:rPr>
      </w:pPr>
      <w:r>
        <w:br w:type="column"/>
      </w:r>
    </w:p>
    <w:p>
      <w:pPr>
        <w:spacing w:before="1"/>
        <w:ind w:left="195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Sep</w:t>
      </w:r>
    </w:p>
    <w:p>
      <w:pPr>
        <w:spacing w:before="99"/>
        <w:ind w:left="166" w:right="0" w:firstLine="0"/>
        <w:jc w:val="left"/>
        <w:rPr>
          <w:sz w:val="13"/>
        </w:rPr>
      </w:pPr>
      <w:r>
        <w:pict>
          <v:group id="_x0000_s1767" style="width:4.15pt;height:4.15pt;margin-top:7.2pt;margin-left:382.49pt;mso-position-horizontal-relative:page;position:absolute;z-index:251740160" coordorigin="7650,144" coordsize="83,83">
            <v:shape id="_x0000_s1768" style="width:74;height:74;left:7654;position:absolute;top:148" coordorigin="7654,149" coordsize="74,74" path="m7691,149l7654,222,7728,222,7691,149xe" filled="t" fillcolor="#ffc000" stroked="f">
              <v:fill type="solid"/>
              <v:path arrowok="t"/>
            </v:shape>
            <v:shape id="_x0000_s1769" style="width:74;height:74;left:7654;position:absolute;top:148" coordorigin="7654,149" coordsize="74,74" path="m7691,149l7728,222,7654,222,7691,149xe" filled="f" stroked="t" strokecolor="#224163" strokeweight="0.46pt">
              <v:stroke dashstyle="solid"/>
              <v:path arrowok="t"/>
            </v:shape>
          </v:group>
        </w:pict>
      </w:r>
      <w:r>
        <w:rPr>
          <w:color w:val="585858"/>
          <w:spacing w:val="-5"/>
          <w:sz w:val="13"/>
        </w:rPr>
        <w:t>单月环比</w:t>
      </w:r>
    </w:p>
    <w:p>
      <w:pPr>
        <w:pStyle w:val="BodyText"/>
        <w:rPr>
          <w:sz w:val="20"/>
        </w:rPr>
      </w:pPr>
      <w:r>
        <w:br w:type="column"/>
      </w:r>
    </w:p>
    <w:p>
      <w:pPr>
        <w:spacing w:before="1"/>
        <w:ind w:left="232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Oct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6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Nov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spacing w:before="96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Dec</w:t>
      </w:r>
    </w:p>
    <w:p>
      <w:pPr>
        <w:pStyle w:val="BodyText"/>
        <w:spacing w:before="6"/>
        <w:rPr>
          <w:rFonts w:ascii="Times New Roman"/>
          <w:sz w:val="9"/>
        </w:rPr>
      </w:pPr>
      <w:r>
        <w:br w:type="column"/>
      </w:r>
    </w:p>
    <w:p>
      <w:pPr>
        <w:spacing w:before="0"/>
        <w:ind w:left="323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-60%</w:t>
      </w:r>
    </w:p>
    <w:p>
      <w:pPr>
        <w:spacing w:after="0"/>
        <w:jc w:val="left"/>
        <w:rPr>
          <w:rFonts w:ascii="Times New Roman"/>
          <w:sz w:val="11"/>
        </w:rPr>
        <w:sectPr>
          <w:headerReference w:type="default" r:id="rId111"/>
          <w:footerReference w:type="default" r:id="rId112"/>
          <w:type w:val="continuous"/>
          <w:pgSz w:w="11910" w:h="16840"/>
          <w:pgMar w:top="1340" w:right="280" w:bottom="500" w:left="720" w:header="708" w:footer="708"/>
          <w:pgNumType w:start="44"/>
          <w:cols w:num="16" w:space="708" w:equalWidth="0">
            <w:col w:w="1206" w:space="42"/>
            <w:col w:w="726" w:space="40"/>
            <w:col w:w="727" w:space="39"/>
            <w:col w:w="709" w:space="39"/>
            <w:col w:w="246" w:space="40"/>
            <w:col w:w="449" w:space="39"/>
            <w:col w:w="402" w:space="40"/>
            <w:col w:w="426" w:space="40"/>
            <w:col w:w="520" w:space="40"/>
            <w:col w:w="332" w:space="39"/>
            <w:col w:w="685" w:space="39"/>
            <w:col w:w="683" w:space="39"/>
            <w:col w:w="428" w:space="40"/>
            <w:col w:w="735" w:space="40"/>
            <w:col w:w="709" w:space="39"/>
            <w:col w:w="1332" w:space="0"/>
          </w:cols>
        </w:sectPr>
      </w:pPr>
    </w:p>
    <w:p>
      <w:pPr>
        <w:pStyle w:val="BodyText"/>
        <w:spacing w:before="4"/>
        <w:rPr>
          <w:rFonts w:ascii="Times New Roman"/>
        </w:rPr>
      </w:pPr>
    </w:p>
    <w:p>
      <w:pPr>
        <w:pStyle w:val="BodyText"/>
        <w:spacing w:line="20" w:lineRule="exact"/>
        <w:ind w:left="122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770" style="width:510.5pt;height:1pt;mso-position-horizontal-relative:char;mso-position-vertical-relative:line" coordorigin="0,0" coordsize="10210,20">
            <v:line id="_x0000_s1771" style="position:absolute" from="0,10" to="10209,10" stroked="t" strokecolor="black" strokeweight="0.96pt">
              <v:stroke dashstyle="solid"/>
            </v:line>
            <w10:wrap type="none"/>
          </v:group>
        </w:pict>
      </w:r>
    </w:p>
    <w:p>
      <w:pPr>
        <w:spacing w:before="25"/>
        <w:ind w:left="240" w:right="0" w:firstLine="0"/>
        <w:jc w:val="left"/>
        <w:rPr>
          <w:sz w:val="20"/>
        </w:rPr>
      </w:pPr>
      <w:r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before="11" w:after="16"/>
        <w:ind w:left="381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color w:val="17365D"/>
          <w:sz w:val="20"/>
        </w:rPr>
        <w:t>图</w:t>
      </w:r>
      <w:r>
        <w:rPr>
          <w:rFonts w:ascii="Times New Roman" w:eastAsia="Times New Roman"/>
          <w:b/>
          <w:color w:val="17365D"/>
          <w:sz w:val="20"/>
        </w:rPr>
        <w:t>14</w:t>
      </w:r>
      <w:r>
        <w:rPr>
          <w:rFonts w:ascii="Microsoft JhengHei" w:eastAsia="Microsoft JhengHei" w:hint="eastAsia"/>
          <w:b/>
          <w:color w:val="17365D"/>
          <w:sz w:val="20"/>
        </w:rPr>
        <w:t xml:space="preserve">：盈峰环境新能源环卫车单月销量与 </w:t>
      </w:r>
      <w:r>
        <w:rPr>
          <w:rFonts w:ascii="Times New Roman" w:eastAsia="Times New Roman"/>
          <w:b/>
          <w:color w:val="17365D"/>
          <w:sz w:val="20"/>
        </w:rPr>
        <w:t xml:space="preserve">2023 </w:t>
      </w:r>
      <w:r>
        <w:rPr>
          <w:rFonts w:ascii="Microsoft JhengHei" w:eastAsia="Microsoft JhengHei" w:hint="eastAsia"/>
          <w:b/>
          <w:color w:val="17365D"/>
          <w:sz w:val="20"/>
        </w:rPr>
        <w:t>年单月销量同环比数据（单位：辆）</w:t>
      </w:r>
    </w:p>
    <w:p>
      <w:pPr>
        <w:pStyle w:val="BodyText"/>
        <w:spacing w:line="20" w:lineRule="exact"/>
        <w:ind w:left="122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772" style="width:510.5pt;height:1pt;mso-position-horizontal-relative:char;mso-position-vertical-relative:line" coordorigin="0,0" coordsize="10210,20">
            <v:line id="_x0000_s1773" style="position:absolute" from="0,10" to="10209,10" stroked="t" strokecolor="black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2"/>
        <w:rPr>
          <w:rFonts w:ascii="Microsoft JhengHei"/>
          <w:b/>
          <w:sz w:val="6"/>
        </w:rPr>
      </w:pPr>
    </w:p>
    <w:p>
      <w:pPr>
        <w:tabs>
          <w:tab w:val="left" w:pos="9846"/>
        </w:tabs>
        <w:spacing w:before="99"/>
        <w:ind w:left="320" w:right="0" w:firstLine="0"/>
        <w:jc w:val="left"/>
        <w:rPr>
          <w:rFonts w:ascii="Times New Roman"/>
          <w:sz w:val="11"/>
        </w:rPr>
      </w:pPr>
      <w:r>
        <w:pict>
          <v:group id="_x0000_s1774" style="width:457.65pt;height:116.25pt;margin-top:8.68pt;margin-left:67.57pt;mso-position-horizontal-relative:page;position:absolute;z-index:-251575296" coordorigin="1351,174" coordsize="9153,2325">
            <v:rect id="_x0000_s1775" style="width:90;height:31;left:1457;position:absolute;top:2428" filled="t" fillcolor="#ddd" stroked="f">
              <v:fill type="solid"/>
            </v:rect>
            <v:shape id="_x0000_s1776" style="width:65;height:3735;left:640;position:absolute;top:5175" coordorigin="640,5175" coordsize="65,3735" path="m1391,2459l1391,178m1351,2459l1391,2459m1351,2078l1391,2078m1351,1698l1391,1698m1351,1319l1391,1319m1351,939l1391,939m1351,558l1391,558m1351,178l1391,178e" filled="f" stroked="t" strokecolor="#bebebe" strokeweight="0.46pt">
              <v:stroke dashstyle="solid"/>
              <v:path arrowok="t"/>
            </v:shape>
            <v:rect id="_x0000_s1777" style="width:90;height:39;left:2214;position:absolute;top:2420" filled="t" fillcolor="#ddd" stroked="f">
              <v:fill type="solid"/>
            </v:rect>
            <v:line id="_x0000_s1778" style="position:absolute" from="3016,2261" to="3016,2459" stroked="t" strokecolor="#ddd" strokeweight="4.4pt">
              <v:stroke dashstyle="solid"/>
            </v:line>
            <v:rect id="_x0000_s1779" style="width:90;height:31;left:9782;position:absolute;top:2428" filled="t" fillcolor="#ddd" stroked="f">
              <v:fill type="solid"/>
            </v:rect>
            <v:line id="_x0000_s1780" style="position:absolute" from="9916,2314" to="9916,2459" stroked="t" strokecolor="#d1d1d1" strokeweight="4.4pt">
              <v:stroke dashstyle="solid"/>
            </v:line>
            <v:line id="_x0000_s1781" style="position:absolute" from="10005,1820" to="10005,2459" stroked="t" strokecolor="#c4c4c4" strokeweight="4.48pt">
              <v:stroke dashstyle="solid"/>
            </v:line>
            <v:line id="_x0000_s1782" style="position:absolute" from="10094,1865" to="10094,2459" stroked="t" strokecolor="#b5b5b5" strokeweight="4.48pt">
              <v:stroke dashstyle="solid"/>
            </v:line>
            <v:line id="_x0000_s1783" style="position:absolute" from="10183,1319" to="10183,2459" stroked="t" strokecolor="#a4a4a4" strokeweight="4.4pt">
              <v:stroke dashstyle="solid"/>
            </v:line>
            <v:line id="_x0000_s1784" style="position:absolute" from="10272,1456" to="10272,2458" stroked="t" strokecolor="#7b7b7b" strokeweight="4.4pt">
              <v:stroke dashstyle="solid"/>
            </v:line>
            <v:rect id="_x0000_s1785" style="width:89;height:1003;left:10227;position:absolute;top:1455" filled="f" stroked="t" strokecolor="#7b7b7b" strokeweight="0.92pt">
              <v:stroke dashstyle="solid"/>
            </v:rect>
            <v:line id="_x0000_s1786" style="position:absolute" from="10360,1036" to="10360,2458" stroked="t" strokecolor="white" strokeweight="4.47pt">
              <v:stroke dashstyle="solid"/>
            </v:line>
            <v:rect id="_x0000_s1787" style="width:90;height:1422;left:10315;position:absolute;top:1036" filled="f" stroked="t" strokecolor="#c00000" strokeweight="1.22pt">
              <v:stroke dashstyle="solid"/>
            </v:rect>
            <v:shape id="_x0000_s1788" style="width:53;height:3735;left:15553;position:absolute;top:5175" coordorigin="15554,5175" coordsize="53,3735" path="m10472,2459l10472,178m10472,2459l10504,2459m10472,2173l10504,2173m10472,1889l10504,1889m10472,1603l10504,1603m10472,1319l10504,1319m10472,1033l10504,1033m10472,748l10504,748m10472,464l10504,464m10472,178l10504,178e" filled="f" stroked="t" strokecolor="#d9d9d9" strokeweight="0.46pt">
              <v:stroke dashstyle="solid"/>
              <v:path arrowok="t"/>
            </v:shape>
            <v:rect id="_x0000_s1789" style="width:89;height:84;left:6087;position:absolute;top:2375" filled="t" fillcolor="#d1d1d1" stroked="f">
              <v:fill type="solid"/>
            </v:rect>
            <v:line id="_x0000_s1790" style="position:absolute" from="6221,1653" to="6221,2459" stroked="t" strokecolor="#c4c4c4" strokeweight="4.48pt">
              <v:stroke dashstyle="solid"/>
            </v:line>
            <v:line id="_x0000_s1791" style="position:absolute" from="6310,1569" to="6310,2459" stroked="t" strokecolor="#b5b5b5" strokeweight="4.48pt">
              <v:stroke dashstyle="solid"/>
            </v:line>
            <v:line id="_x0000_s1792" style="position:absolute" from="6399,1949" to="6399,2459" stroked="t" strokecolor="#a4a4a4" strokeweight="4.4pt">
              <v:stroke dashstyle="solid"/>
            </v:line>
            <v:line id="_x0000_s1793" style="position:absolute" from="6488,1158" to="6488,2458" stroked="t" strokecolor="#7b7b7b" strokeweight="4.4pt">
              <v:stroke dashstyle="solid"/>
            </v:line>
            <v:rect id="_x0000_s1794" style="width:88;height:1301;left:6443;position:absolute;top:1158" filled="f" stroked="t" strokecolor="#7b7b7b" strokeweight="0.92pt">
              <v:stroke dashstyle="solid"/>
            </v:rect>
            <v:line id="_x0000_s1795" style="position:absolute" from="6577,1363" to="6577,2458" stroked="t" strokecolor="white" strokeweight="4.48pt">
              <v:stroke dashstyle="solid"/>
            </v:line>
            <v:rect id="_x0000_s1796" style="width:90;height:1095;left:6531;position:absolute;top:1363" filled="f" stroked="t" strokecolor="#c00000" strokeweight="1.22pt">
              <v:stroke dashstyle="solid"/>
            </v:rect>
            <v:rect id="_x0000_s1797" style="width:90;height:100;left:6843;position:absolute;top:2359" filled="t" fillcolor="#d1d1d1" stroked="f">
              <v:fill type="solid"/>
            </v:rect>
            <v:line id="_x0000_s1798" style="position:absolute" from="6978,2283" to="6978,2459" stroked="t" strokecolor="#c4c4c4" strokeweight="4.48pt">
              <v:stroke dashstyle="solid"/>
            </v:line>
            <v:rect id="_x0000_s1799" style="width:89;height:396;left:7022;position:absolute;top:2063" filled="t" fillcolor="#b5b5b5" stroked="f">
              <v:fill type="solid"/>
            </v:rect>
            <v:rect id="_x0000_s1800" style="width:90;height:396;left:7110;position:absolute;top:2063" filled="t" fillcolor="#a4a4a4" stroked="f">
              <v:fill type="solid"/>
            </v:rect>
            <v:line id="_x0000_s1801" style="position:absolute" from="7244,1000" to="7244,2458" stroked="t" strokecolor="#7b7b7b" strokeweight="4.48pt">
              <v:stroke dashstyle="solid"/>
            </v:line>
            <v:rect id="_x0000_s1802" style="width:90;height:1459;left:7199;position:absolute;top:999" filled="f" stroked="t" strokecolor="#7b7b7b" strokeweight="0.92pt">
              <v:stroke dashstyle="solid"/>
            </v:rect>
            <v:line id="_x0000_s1803" style="position:absolute" from="7334,1289" to="7334,2458" stroked="t" strokecolor="white" strokeweight="4.48pt">
              <v:stroke dashstyle="solid"/>
            </v:line>
            <v:rect id="_x0000_s1804" style="width:90;height:1170;left:7289;position:absolute;top:1288" filled="f" stroked="t" strokecolor="#c00000" strokeweight="1.22pt">
              <v:stroke dashstyle="solid"/>
            </v:rect>
            <v:rect id="_x0000_s1805" style="width:89;height:55;left:7601;position:absolute;top:2404" filled="t" fillcolor="#d1d1d1" stroked="f">
              <v:fill type="solid"/>
            </v:rect>
            <v:rect id="_x0000_s1806" style="width:90;height:107;left:7689;position:absolute;top:2351" filled="t" fillcolor="#c4c4c4" stroked="f">
              <v:fill type="solid"/>
            </v:rect>
            <v:line id="_x0000_s1807" style="position:absolute" from="7823,2025" to="7823,2459" stroked="t" strokecolor="#b5b5b5" strokeweight="4.48pt">
              <v:stroke dashstyle="solid"/>
            </v:line>
            <v:line id="_x0000_s1808" style="position:absolute" from="7912,1865" to="7912,2459" stroked="t" strokecolor="#a4a4a4" strokeweight="4.41pt">
              <v:stroke dashstyle="solid"/>
            </v:line>
            <v:line id="_x0000_s1809" style="position:absolute" from="8002,1478" to="8002,2458" stroked="t" strokecolor="#7b7b7b" strokeweight="4.48pt">
              <v:stroke dashstyle="solid"/>
            </v:line>
            <v:rect id="_x0000_s1810" style="width:90;height:981;left:7957;position:absolute;top:1477" filled="f" stroked="t" strokecolor="#7b7b7b" strokeweight="0.92pt">
              <v:stroke dashstyle="solid"/>
            </v:rect>
            <v:line id="_x0000_s1811" style="position:absolute" from="8091,1014" to="8091,2458" stroked="t" strokecolor="white" strokeweight="4.4pt">
              <v:stroke dashstyle="solid"/>
            </v:line>
            <v:rect id="_x0000_s1812" style="width:89;height:1444;left:8046;position:absolute;top:1014" filled="f" stroked="t" strokecolor="#c00000" strokeweight="1.22pt">
              <v:stroke dashstyle="solid"/>
            </v:rect>
            <v:line id="_x0000_s1813" style="position:absolute" from="8402,2283" to="8402,2459" stroked="t" strokecolor="#d1d1d1" strokeweight="4.48pt">
              <v:stroke dashstyle="solid"/>
            </v:line>
            <v:line id="_x0000_s1814" style="position:absolute" from="8491,1751" to="8491,2459" stroked="t" strokecolor="#c4c4c4" strokeweight="4.48pt">
              <v:stroke dashstyle="solid"/>
            </v:line>
            <v:line id="_x0000_s1815" style="position:absolute" from="8580,1949" to="8580,2459" stroked="t" strokecolor="#b5b5b5" strokeweight="4.4pt">
              <v:stroke dashstyle="solid"/>
            </v:line>
            <v:line id="_x0000_s1816" style="position:absolute" from="8669,1706" to="8669,2459" stroked="t" strokecolor="#a4a4a4" strokeweight="4.48pt">
              <v:stroke dashstyle="solid"/>
            </v:line>
            <v:line id="_x0000_s1817" style="position:absolute" from="8758,1766" to="8758,2458" stroked="t" strokecolor="#7b7b7b" strokeweight="4.41pt">
              <v:stroke dashstyle="solid"/>
            </v:line>
            <v:rect id="_x0000_s1818" style="width:89;height:692;left:8714;position:absolute;top:1766" filled="f" stroked="t" strokecolor="#7b7b7b" strokeweight="0.92pt">
              <v:stroke dashstyle="solid"/>
            </v:rect>
            <v:line id="_x0000_s1819" style="position:absolute" from="8847,1280" to="8847,2458" stroked="t" strokecolor="white" strokeweight="4.48pt">
              <v:stroke dashstyle="solid"/>
            </v:line>
            <v:rect id="_x0000_s1820" style="width:90;height:1179;left:8802;position:absolute;top:1279" filled="f" stroked="t" strokecolor="#c00000" strokeweight="1.22pt">
              <v:stroke dashstyle="solid"/>
            </v:rect>
            <v:line id="_x0000_s1821" style="position:absolute" from="9159,2283" to="9159,2459" stroked="t" strokecolor="#d1d1d1" strokeweight="4.48pt">
              <v:stroke dashstyle="solid"/>
            </v:line>
            <v:line id="_x0000_s1822" style="position:absolute" from="9248,1577" to="9248,2459" stroked="t" strokecolor="#c4c4c4" strokeweight="4.4pt">
              <v:stroke dashstyle="solid"/>
            </v:line>
            <v:line id="_x0000_s1823" style="position:absolute" from="9337,1965" to="9337,2459" stroked="t" strokecolor="#b5b5b5" strokeweight="4.48pt">
              <v:stroke dashstyle="solid"/>
            </v:line>
            <v:line id="_x0000_s1824" style="position:absolute" from="9426,1789" to="9426,2459" stroked="t" strokecolor="#a4a4a4" strokeweight="4.48pt">
              <v:stroke dashstyle="solid"/>
            </v:line>
            <v:line id="_x0000_s1825" style="position:absolute" from="9515,1766" to="9515,2458" stroked="t" strokecolor="#7b7b7b" strokeweight="4.47pt">
              <v:stroke dashstyle="solid"/>
            </v:line>
            <v:rect id="_x0000_s1826" style="width:90;height:692;left:9470;position:absolute;top:1766" filled="f" stroked="t" strokecolor="#7b7b7b" strokeweight="0.92pt">
              <v:stroke dashstyle="solid"/>
            </v:rect>
            <v:line id="_x0000_s1827" style="position:absolute" from="9604,573" to="9604,2458" stroked="t" strokecolor="white" strokeweight="4.4pt">
              <v:stroke dashstyle="solid"/>
            </v:line>
            <v:rect id="_x0000_s1828" style="width:89;height:1885;left:9559;position:absolute;top:573" filled="f" stroked="t" strokecolor="#c00000" strokeweight="1.22pt">
              <v:stroke dashstyle="solid"/>
            </v:rect>
            <v:rect id="_x0000_s1829" style="width:89;height:129;left:1636;position:absolute;top:2329" filled="t" fillcolor="#c4c4c4" stroked="f">
              <v:fill type="solid"/>
            </v:rect>
            <v:line id="_x0000_s1830" style="position:absolute" from="1769,2056" to="1769,2459" stroked="t" strokecolor="#b5b5b5" strokeweight="4.48pt">
              <v:stroke dashstyle="solid"/>
            </v:line>
            <v:line id="_x0000_s1831" style="position:absolute" from="1859,2087" to="1859,2459" stroked="t" strokecolor="#a4a4a4" strokeweight="4.48pt">
              <v:stroke dashstyle="solid"/>
            </v:line>
            <v:line id="_x0000_s1832" style="position:absolute" from="1947,1714" to="1947,2458" stroked="t" strokecolor="#7b7b7b" strokeweight="4.48pt">
              <v:stroke dashstyle="solid"/>
            </v:line>
            <v:rect id="_x0000_s1833" style="width:90;height:745;left:1902;position:absolute;top:1713" filled="f" stroked="t" strokecolor="#7b7b7b" strokeweight="0.92pt">
              <v:stroke dashstyle="solid"/>
            </v:rect>
            <v:line id="_x0000_s1834" style="position:absolute" from="2036,733" to="2036,2458" stroked="t" strokecolor="white" strokeweight="4.4pt">
              <v:stroke dashstyle="solid"/>
            </v:line>
            <v:rect id="_x0000_s1835" style="width:89;height:1726;left:1992;position:absolute;top:733" filled="f" stroked="t" strokecolor="#c00000" strokeweight="1.22pt">
              <v:stroke dashstyle="solid"/>
            </v:rect>
            <v:rect id="_x0000_s1836" style="width:90;height:24;left:2392;position:absolute;top:2435" filled="t" fillcolor="#c4c4c4" stroked="f">
              <v:fill type="solid"/>
            </v:rect>
            <v:rect id="_x0000_s1837" style="width:90;height:55;left:2481;position:absolute;top:2404" filled="t" fillcolor="#b5b5b5" stroked="f">
              <v:fill type="solid"/>
            </v:rect>
            <v:line id="_x0000_s1838" style="position:absolute" from="2615,2170" to="2615,2459" stroked="t" strokecolor="#a4a4a4" strokeweight="4.4pt">
              <v:stroke dashstyle="solid"/>
            </v:line>
            <v:line id="_x0000_s1839" style="position:absolute" from="2704,1904" to="2704,2458" stroked="t" strokecolor="#7b7b7b" strokeweight="4.4pt">
              <v:stroke dashstyle="solid"/>
            </v:line>
            <v:rect id="_x0000_s1840" style="width:89;height:555;left:2660;position:absolute;top:1904" filled="f" stroked="t" strokecolor="#7b7b7b" strokeweight="0.92pt">
              <v:stroke dashstyle="solid"/>
            </v:rect>
            <v:line id="_x0000_s1841" style="position:absolute" from="2793,1661" to="2793,2458" stroked="t" strokecolor="white" strokeweight="4.48pt">
              <v:stroke dashstyle="solid"/>
            </v:line>
            <v:rect id="_x0000_s1842" style="width:90;height:798;left:2748;position:absolute;top:1660" filled="f" stroked="t" strokecolor="#c00000" strokeweight="1.22pt">
              <v:stroke dashstyle="solid"/>
            </v:rect>
            <v:line id="_x0000_s1843" style="position:absolute" from="3194,2071" to="3194,2459" stroked="t" strokecolor="#c4c4c4" strokeweight="4.48pt">
              <v:stroke dashstyle="solid"/>
            </v:line>
            <v:line id="_x0000_s1844" style="position:absolute" from="3283,1798" to="3283,2459" stroked="t" strokecolor="#b5b5b5" strokeweight="4.4pt">
              <v:stroke dashstyle="solid"/>
            </v:line>
            <v:line id="_x0000_s1845" style="position:absolute" from="3372,2139" to="3372,2459" stroked="t" strokecolor="#a4a4a4" strokeweight="4.48pt">
              <v:stroke dashstyle="solid"/>
            </v:line>
            <v:line id="_x0000_s1846" style="position:absolute" from="3461,1699" to="3461,2458" stroked="t" strokecolor="#7b7b7b" strokeweight="4.48pt">
              <v:stroke dashstyle="solid"/>
            </v:line>
            <v:rect id="_x0000_s1847" style="width:90;height:760;left:3415;position:absolute;top:1698" filled="f" stroked="t" strokecolor="#7b7b7b" strokeweight="0.92pt">
              <v:stroke dashstyle="solid"/>
            </v:rect>
            <v:line id="_x0000_s1848" style="position:absolute" from="3550,1356" to="3550,2458" stroked="t" strokecolor="white" strokeweight="4.48pt">
              <v:stroke dashstyle="solid"/>
            </v:line>
            <v:rect id="_x0000_s1849" style="width:90;height:1103;left:3505;position:absolute;top:1355" filled="f" stroked="t" strokecolor="#c00000" strokeweight="1.22pt">
              <v:stroke dashstyle="solid"/>
            </v:rect>
            <v:rect id="_x0000_s1850" style="width:90;height:129;left:3905;position:absolute;top:2329" filled="t" fillcolor="#c4c4c4" stroked="f">
              <v:fill type="solid"/>
            </v:rect>
            <v:line id="_x0000_s1851" style="position:absolute" from="4040,2040" to="4040,2459" stroked="t" strokecolor="#b5b5b5" strokeweight="4.48pt">
              <v:stroke dashstyle="solid"/>
            </v:line>
            <v:line id="_x0000_s1852" style="position:absolute" from="4128,2292" to="4128,2459" stroked="t" strokecolor="#a4a4a4" strokeweight="4.4pt">
              <v:stroke dashstyle="solid"/>
            </v:line>
            <v:line id="_x0000_s1853" style="position:absolute" from="4218,2017" to="4218,2458" stroked="t" strokecolor="#7b7b7b" strokeweight="4.48pt">
              <v:stroke dashstyle="solid"/>
            </v:line>
            <v:rect id="_x0000_s1854" style="width:90;height:442;left:4173;position:absolute;top:2017" filled="f" stroked="t" strokecolor="#7b7b7b" strokeweight="0.92pt">
              <v:stroke dashstyle="solid"/>
            </v:rect>
            <v:line id="_x0000_s1855" style="position:absolute" from="4307,840" to="4307,2458" stroked="t" strokecolor="white" strokeweight="4.4pt">
              <v:stroke dashstyle="solid"/>
            </v:line>
            <v:rect id="_x0000_s1856" style="width:89;height:1619;left:4262;position:absolute;top:840" filled="f" stroked="t" strokecolor="#c00000" strokeweight="1.22pt">
              <v:stroke dashstyle="solid"/>
            </v:rect>
            <v:line id="_x0000_s1857" style="position:absolute" from="4708,2276" to="4708,2459" stroked="t" strokecolor="#c4c4c4" strokeweight="4.48pt">
              <v:stroke dashstyle="solid"/>
            </v:line>
            <v:line id="_x0000_s1858" style="position:absolute" from="4796,2010" to="4796,2459" stroked="t" strokecolor="#b5b5b5" strokeweight="4.4pt">
              <v:stroke dashstyle="solid"/>
            </v:line>
            <v:line id="_x0000_s1859" style="position:absolute" from="4885,2170" to="4885,2459" stroked="t" strokecolor="#a4a4a4" strokeweight="4.48pt">
              <v:stroke dashstyle="solid"/>
            </v:line>
            <v:line id="_x0000_s1860" style="position:absolute" from="4975,976" to="4975,2458" stroked="t" strokecolor="#7b7b7b" strokeweight="4.4pt">
              <v:stroke dashstyle="solid"/>
            </v:line>
            <v:rect id="_x0000_s1861" style="width:89;height:1482;left:4930;position:absolute;top:976" filled="f" stroked="t" strokecolor="#7b7b7b" strokeweight="0.92pt">
              <v:stroke dashstyle="solid"/>
            </v:rect>
            <v:line id="_x0000_s1862" style="position:absolute" from="5063,1957" to="5063,2458" stroked="t" strokecolor="white" strokeweight="4.48pt">
              <v:stroke dashstyle="solid"/>
            </v:line>
            <v:rect id="_x0000_s1863" style="width:90;height:502;left:5018;position:absolute;top:1956" filled="f" stroked="t" strokecolor="#c00000" strokeweight="1.22pt">
              <v:stroke dashstyle="solid"/>
            </v:rect>
            <v:line id="_x0000_s1864" style="position:absolute" from="5464,1676" to="5464,2459" stroked="t" strokecolor="#c4c4c4" strokeweight="4.4pt">
              <v:stroke dashstyle="solid"/>
            </v:line>
            <v:line id="_x0000_s1865" style="position:absolute" from="5553,1257" to="5553,2459" stroked="t" strokecolor="#b5b5b5" strokeweight="4.48pt">
              <v:stroke dashstyle="solid"/>
            </v:line>
            <v:line id="_x0000_s1866" style="position:absolute" from="5642,2299" to="5642,2459" stroked="t" strokecolor="#a4a4a4" strokeweight="4.47pt">
              <v:stroke dashstyle="solid"/>
            </v:line>
            <v:line id="_x0000_s1867" style="position:absolute" from="5731,1737" to="5731,2458" stroked="t" strokecolor="#7b7b7b" strokeweight="4.48pt">
              <v:stroke dashstyle="solid"/>
            </v:line>
            <v:rect id="_x0000_s1868" style="width:90;height:722;left:5686;position:absolute;top:1737" filled="f" stroked="t" strokecolor="#7b7b7b" strokeweight="0.92pt">
              <v:stroke dashstyle="solid"/>
            </v:rect>
            <v:line id="_x0000_s1869" style="position:absolute" from="5820,1243" to="5820,2458" stroked="t" strokecolor="white" strokeweight="4.4pt">
              <v:stroke dashstyle="solid"/>
            </v:line>
            <v:rect id="_x0000_s1870" style="width:89;height:1216;left:5776;position:absolute;top:1243" filled="f" stroked="t" strokecolor="#c00000" strokeweight="1.22pt">
              <v:stroke dashstyle="solid"/>
            </v:rect>
            <v:shape id="_x0000_s1871" style="width:14849;height:65;left:704;position:absolute;top:8909" coordorigin="705,8910" coordsize="14849,65" path="m1391,2459l10472,2459m1391,2459l1391,2499m10472,2459l10472,2499e" filled="f" stroked="t" strokecolor="#d9d9d9" strokeweight="0.46pt">
              <v:stroke dashstyle="solid"/>
              <v:path arrowok="t"/>
            </v:shape>
            <v:shape id="_x0000_s1872" type="#_x0000_t75" style="width:156;height:156;left:1692;position:absolute;top:1059" stroked="f">
              <v:imagedata r:id="rId113" o:title=""/>
            </v:shape>
            <v:shape id="_x0000_s1873" type="#_x0000_t75" style="width:156;height:156;left:2448;position:absolute;top:1559" stroked="f">
              <v:imagedata r:id="rId114" o:title=""/>
            </v:shape>
            <v:shape id="_x0000_s1874" style="width:147;height:147;left:3210;position:absolute;top:1558" coordorigin="3210,1558" coordsize="147,147" path="m3283,1558l3210,1632,3283,1705,3357,1632,3283,1558xe" filled="t" fillcolor="#ffc000" stroked="f">
              <v:fill type="solid"/>
              <v:path arrowok="t"/>
            </v:shape>
            <v:shape id="_x0000_s1875" style="width:147;height:147;left:3210;position:absolute;top:1558" coordorigin="3210,1558" coordsize="147,147" path="m3283,1558l3357,1632,3283,1705,3210,1632,3283,1558xe" filled="f" stroked="t" strokecolor="#006fc0" strokeweight="0.46pt">
              <v:stroke dashstyle="solid"/>
              <v:path arrowok="t"/>
            </v:shape>
            <v:shape id="_x0000_s1876" type="#_x0000_t75" style="width:156;height:156;left:3961;position:absolute;top:286" stroked="f">
              <v:imagedata r:id="rId114" o:title=""/>
            </v:shape>
            <v:shape id="_x0000_s1877" style="width:147;height:147;left:4723;position:absolute;top:2191" coordorigin="4723,2192" coordsize="147,147" path="m4797,2192l4723,2265,4797,2338,4870,2265,4797,2192xe" filled="t" fillcolor="#ffc000" stroked="f">
              <v:fill type="solid"/>
              <v:path arrowok="t"/>
            </v:shape>
            <v:shape id="_x0000_s1878" style="width:147;height:147;left:4723;position:absolute;top:2191" coordorigin="4723,2192" coordsize="147,147" path="m4797,2192l4870,2265,4797,2338,4723,2265,4797,2192xe" filled="f" stroked="t" strokecolor="#006fc0" strokeweight="0.46pt">
              <v:stroke dashstyle="solid"/>
              <v:path arrowok="t"/>
            </v:shape>
            <v:shape id="_x0000_s1879" type="#_x0000_t75" style="width:156;height:156;left:5476;position:absolute;top:1420" stroked="f">
              <v:imagedata r:id="rId114" o:title=""/>
            </v:shape>
            <v:shape id="_x0000_s1880" style="width:147;height:147;left:6236;position:absolute;top:1904" coordorigin="6237,1904" coordsize="147,147" path="m6310,1904l6237,1978,6310,2051,6383,1978,6310,1904xe" filled="t" fillcolor="#ffc000" stroked="f">
              <v:fill type="solid"/>
              <v:path arrowok="t"/>
            </v:shape>
            <v:shape id="_x0000_s1881" style="width:147;height:147;left:6236;position:absolute;top:1904" coordorigin="6237,1904" coordsize="147,147" path="m6310,1904l6383,1978,6310,2051,6237,1978,6310,1904xe" filled="f" stroked="t" strokecolor="#006fc0" strokeweight="0.46pt">
              <v:stroke dashstyle="solid"/>
              <v:path arrowok="t"/>
            </v:shape>
            <v:shape id="_x0000_s1882" style="width:147;height:147;left:6993;position:absolute;top:1927" coordorigin="6994,1928" coordsize="147,147" path="m7067,1928l6994,2001,7067,2074,7141,2001,7067,1928xe" filled="t" fillcolor="#ffc000" stroked="f">
              <v:fill type="solid"/>
              <v:path arrowok="t"/>
            </v:shape>
            <v:shape id="_x0000_s1883" style="width:147;height:147;left:6993;position:absolute;top:1927" coordorigin="6994,1928" coordsize="147,147" path="m7067,1928l7141,2001,7067,2074,6994,2001,7067,1928xe" filled="f" stroked="t" strokecolor="#006fc0" strokeweight="0.46pt">
              <v:stroke dashstyle="solid"/>
              <v:path arrowok="t"/>
            </v:shape>
            <v:shape id="_x0000_s1884" style="width:147;height:147;left:7749;position:absolute;top:1545" coordorigin="7750,1545" coordsize="147,147" path="m7823,1545l7750,1619,7823,1692,7897,1619,7823,1545xe" filled="t" fillcolor="#ffc000" stroked="f">
              <v:fill type="solid"/>
              <v:path arrowok="t"/>
            </v:shape>
            <v:shape id="_x0000_s1885" style="width:147;height:147;left:7749;position:absolute;top:1545" coordorigin="7750,1545" coordsize="147,147" path="m7823,1545l7897,1619,7823,1692,7750,1619,7823,1545xe" filled="f" stroked="t" strokecolor="#006fc0" strokeweight="0.46pt">
              <v:stroke dashstyle="solid"/>
              <v:path arrowok="t"/>
            </v:shape>
            <v:shape id="_x0000_s1886" type="#_x0000_t75" style="width:156;height:156;left:8502;position:absolute;top:1408" stroked="f">
              <v:imagedata r:id="rId113" o:title=""/>
            </v:shape>
            <v:shape id="_x0000_s1887" type="#_x0000_t75" style="width:156;height:156;left:9259;position:absolute;top:826" stroked="f">
              <v:imagedata r:id="rId113" o:title=""/>
            </v:shape>
            <v:shape id="_x0000_s1888" type="#_x0000_t75" style="width:156;height:156;left:10015;position:absolute;top:1572" stroked="f">
              <v:imagedata r:id="rId114" o:title=""/>
            </v:shape>
            <v:shape id="_x0000_s1889" type="#_x0000_t75" style="width:156;height:156;left:1692;position:absolute;top:1399" stroked="f">
              <v:imagedata r:id="rId115" o:title=""/>
            </v:shape>
            <v:shape id="_x0000_s1890" type="#_x0000_t75" style="width:156;height:156;left:2448;position:absolute;top:2116" stroked="f">
              <v:imagedata r:id="rId116" o:title=""/>
            </v:shape>
            <v:shape id="_x0000_s1891" style="width:147;height:147;left:3210;position:absolute;top:1598" coordorigin="3210,1598" coordsize="147,147" path="m3283,1598l3210,1745,3357,1745,3283,1598xe" filled="t" fillcolor="#ffc000" stroked="f">
              <v:fill type="solid"/>
              <v:path arrowok="t"/>
            </v:shape>
            <v:shape id="_x0000_s1892" style="width:147;height:147;left:3210;position:absolute;top:1598" coordorigin="3210,1598" coordsize="147,147" path="m3283,1598l3357,1745,3210,1745,3283,1598xe" filled="f" stroked="t" strokecolor="#006fc0" strokeweight="0.46pt">
              <v:stroke dashstyle="solid"/>
              <v:path arrowok="t"/>
            </v:shape>
            <v:shape id="_x0000_s1893" type="#_x0000_t75" style="width:156;height:156;left:3961;position:absolute;top:1542" stroked="f">
              <v:imagedata r:id="rId117" o:title=""/>
            </v:shape>
            <v:shape id="_x0000_s1894" style="width:147;height:147;left:4723;position:absolute;top:2207" coordorigin="4723,2208" coordsize="147,147" path="m4797,2208l4723,2354,4870,2354,4797,2208xe" filled="t" fillcolor="#ffc000" stroked="f">
              <v:fill type="solid"/>
              <v:path arrowok="t"/>
            </v:shape>
            <v:shape id="_x0000_s1895" style="width:147;height:147;left:4723;position:absolute;top:2207" coordorigin="4723,2208" coordsize="147,147" path="m4797,2208l4870,2354,4723,2354,4797,2208xe" filled="f" stroked="t" strokecolor="#006fc0" strokeweight="0.46pt">
              <v:stroke dashstyle="solid"/>
              <v:path arrowok="t"/>
            </v:shape>
            <v:shape id="_x0000_s1896" type="#_x0000_t75" style="width:156;height:156;left:5476;position:absolute;top:998" stroked="f">
              <v:imagedata r:id="rId116" o:title=""/>
            </v:shape>
            <v:shape id="_x0000_s1897" style="width:147;height:147;left:6236;position:absolute;top:1872" coordorigin="6237,1872" coordsize="147,147" path="m6310,1872l6237,2019,6383,2019,6310,1872xe" filled="t" fillcolor="#ffc000" stroked="f">
              <v:fill type="solid"/>
              <v:path arrowok="t"/>
            </v:shape>
            <v:shape id="_x0000_s1898" style="width:147;height:147;left:6236;position:absolute;top:1872" coordorigin="6237,1872" coordsize="147,147" path="m6310,1872l6383,2019,6237,2019,6310,1872xe" filled="f" stroked="t" strokecolor="#006fc0" strokeweight="0.46pt">
              <v:stroke dashstyle="solid"/>
              <v:path arrowok="t"/>
            </v:shape>
            <v:shape id="_x0000_s1899" style="width:147;height:147;left:6993;position:absolute;top:1775" coordorigin="6994,1775" coordsize="147,147" path="m7067,1775l6994,1922,7141,1922,7067,1775xe" filled="t" fillcolor="#ffc000" stroked="f">
              <v:fill type="solid"/>
              <v:path arrowok="t"/>
            </v:shape>
            <v:shape id="_x0000_s1900" style="width:147;height:147;left:6993;position:absolute;top:1775" coordorigin="6994,1775" coordsize="147,147" path="m7067,1775l7141,1922,6994,1922,7067,1775xe" filled="f" stroked="t" strokecolor="#006fc0" strokeweight="0.46pt">
              <v:stroke dashstyle="solid"/>
              <v:path arrowok="t"/>
            </v:shape>
            <v:shape id="_x0000_s1901" style="width:147;height:147;left:7749;position:absolute;top:1681" coordorigin="7750,1682" coordsize="147,147" path="m7823,1682l7750,1828,7897,1828,7823,1682xe" filled="t" fillcolor="#ffc000" stroked="f">
              <v:fill type="solid"/>
              <v:path arrowok="t"/>
            </v:shape>
            <v:shape id="_x0000_s1902" style="width:147;height:147;left:7749;position:absolute;top:1681" coordorigin="7750,1682" coordsize="147,147" path="m7823,1682l7897,1828,7750,1828,7823,1682xe" filled="f" stroked="t" strokecolor="#006fc0" strokeweight="0.46pt">
              <v:stroke dashstyle="solid"/>
              <v:path arrowok="t"/>
            </v:shape>
            <v:shape id="_x0000_s1903" type="#_x0000_t75" style="width:156;height:156;left:8502;position:absolute;top:1914" stroked="f">
              <v:imagedata r:id="rId118" o:title=""/>
            </v:shape>
            <v:shape id="_x0000_s1904" type="#_x0000_t75" style="width:156;height:156;left:9259;position:absolute;top:1467" stroked="f">
              <v:imagedata r:id="rId115" o:title=""/>
            </v:shape>
            <v:shape id="_x0000_s1905" type="#_x0000_t75" style="width:156;height:156;left:10015;position:absolute;top:1949" stroked="f">
              <v:imagedata r:id="rId116" o:title=""/>
            </v:shape>
          </v:group>
        </w:pict>
      </w:r>
      <w:r>
        <w:rPr>
          <w:rFonts w:ascii="Times New Roman"/>
          <w:color w:val="585858"/>
          <w:sz w:val="13"/>
        </w:rPr>
        <w:t>300</w:t>
        <w:tab/>
      </w:r>
      <w:r>
        <w:rPr>
          <w:rFonts w:ascii="Times New Roman"/>
          <w:color w:val="585858"/>
          <w:position w:val="1"/>
          <w:sz w:val="11"/>
        </w:rPr>
        <w:t>300%</w:t>
      </w:r>
    </w:p>
    <w:p>
      <w:pPr>
        <w:spacing w:after="0"/>
        <w:jc w:val="left"/>
        <w:rPr>
          <w:rFonts w:ascii="Times New Roman"/>
          <w:sz w:val="11"/>
        </w:rPr>
        <w:sectPr>
          <w:headerReference w:type="default" r:id="rId119"/>
          <w:footerReference w:type="default" r:id="rId120"/>
          <w:type w:val="continuous"/>
          <w:pgSz w:w="11910" w:h="16840"/>
          <w:pgMar w:top="1340" w:right="280" w:bottom="500" w:left="720" w:header="708" w:footer="708"/>
          <w:pgNumType w:start="45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0"/>
        <w:ind w:left="320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250</w:t>
      </w: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spacing w:before="0"/>
        <w:ind w:left="320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200</w:t>
      </w:r>
    </w:p>
    <w:p>
      <w:pPr>
        <w:pStyle w:val="BodyText"/>
        <w:rPr>
          <w:rFonts w:ascii="Times New Roman"/>
          <w:sz w:val="20"/>
        </w:rPr>
      </w:pPr>
    </w:p>
    <w:p>
      <w:pPr>
        <w:spacing w:before="1"/>
        <w:ind w:left="320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150</w:t>
      </w:r>
    </w:p>
    <w:p>
      <w:pPr>
        <w:pStyle w:val="BodyText"/>
        <w:spacing w:before="8"/>
        <w:rPr>
          <w:rFonts w:ascii="Times New Roman"/>
          <w:sz w:val="12"/>
        </w:rPr>
      </w:pPr>
      <w:r>
        <w:br w:type="column"/>
      </w:r>
    </w:p>
    <w:p>
      <w:pPr>
        <w:spacing w:before="0"/>
        <w:ind w:left="320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250%</w:t>
      </w:r>
    </w:p>
    <w:p>
      <w:pPr>
        <w:pStyle w:val="BodyText"/>
        <w:spacing w:before="9"/>
        <w:rPr>
          <w:rFonts w:ascii="Times New Roman"/>
          <w:sz w:val="13"/>
        </w:rPr>
      </w:pPr>
    </w:p>
    <w:p>
      <w:pPr>
        <w:spacing w:before="0"/>
        <w:ind w:left="320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200%</w:t>
      </w:r>
    </w:p>
    <w:p>
      <w:pPr>
        <w:pStyle w:val="BodyText"/>
        <w:spacing w:before="9"/>
        <w:rPr>
          <w:rFonts w:ascii="Times New Roman"/>
          <w:sz w:val="13"/>
        </w:rPr>
      </w:pPr>
    </w:p>
    <w:p>
      <w:pPr>
        <w:spacing w:before="0"/>
        <w:ind w:left="320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150%</w:t>
      </w:r>
    </w:p>
    <w:p>
      <w:pPr>
        <w:pStyle w:val="BodyText"/>
        <w:spacing w:before="9"/>
        <w:rPr>
          <w:rFonts w:ascii="Times New Roman"/>
          <w:sz w:val="13"/>
        </w:rPr>
      </w:pPr>
    </w:p>
    <w:p>
      <w:pPr>
        <w:spacing w:before="0"/>
        <w:ind w:left="320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100%</w:t>
      </w:r>
    </w:p>
    <w:p>
      <w:pPr>
        <w:spacing w:after="0"/>
        <w:jc w:val="left"/>
        <w:rPr>
          <w:rFonts w:ascii="Times New Roman"/>
          <w:sz w:val="11"/>
        </w:rPr>
        <w:sectPr>
          <w:headerReference w:type="default" r:id="rId121"/>
          <w:footerReference w:type="default" r:id="rId122"/>
          <w:type w:val="continuous"/>
          <w:pgSz w:w="11910" w:h="16840"/>
          <w:pgMar w:top="1340" w:right="280" w:bottom="500" w:left="720" w:header="708" w:footer="708"/>
          <w:pgNumType w:start="46"/>
          <w:cols w:num="2" w:space="708" w:equalWidth="0">
            <w:col w:w="564" w:space="8962"/>
            <w:col w:w="1384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0"/>
        <w:ind w:left="0" w:right="38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100</w:t>
      </w: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spacing w:before="0"/>
        <w:ind w:left="0" w:right="38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pacing w:val="-1"/>
          <w:w w:val="105"/>
          <w:sz w:val="13"/>
        </w:rPr>
        <w:t>50</w:t>
      </w: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spacing w:before="0"/>
        <w:ind w:left="0" w:right="38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w w:val="103"/>
          <w:sz w:val="13"/>
        </w:rPr>
        <w:t>0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10"/>
        <w:rPr>
          <w:rFonts w:ascii="Times New Roman"/>
          <w:sz w:val="15"/>
        </w:rPr>
      </w:pPr>
    </w:p>
    <w:p>
      <w:pPr>
        <w:spacing w:before="0"/>
        <w:ind w:left="320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-1"/>
          <w:w w:val="105"/>
          <w:sz w:val="13"/>
        </w:rPr>
        <w:t>Jan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tabs>
          <w:tab w:val="left" w:pos="1001"/>
        </w:tabs>
        <w:spacing w:before="0"/>
        <w:ind w:left="243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3"/>
          <w:sz w:val="13"/>
          <w:u w:val="thick" w:color="D9D9D9"/>
        </w:rPr>
        <w:t xml:space="preserve"> </w:t>
      </w:r>
      <w:r>
        <w:rPr>
          <w:rFonts w:ascii="Times New Roman"/>
          <w:color w:val="585858"/>
          <w:sz w:val="13"/>
        </w:rPr>
        <w:tab/>
      </w: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tabs>
          <w:tab w:val="left" w:pos="1271"/>
        </w:tabs>
        <w:spacing w:before="8"/>
        <w:ind w:left="526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Feb</w:t>
        <w:tab/>
      </w:r>
      <w:r>
        <w:rPr>
          <w:rFonts w:ascii="Times New Roman"/>
          <w:color w:val="585858"/>
          <w:spacing w:val="-8"/>
          <w:w w:val="105"/>
          <w:sz w:val="13"/>
        </w:rPr>
        <w:t>Mar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before="0"/>
        <w:ind w:left="222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spacing w:before="8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Apr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before="0"/>
        <w:ind w:left="228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spacing w:before="8"/>
        <w:ind w:left="488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-1"/>
          <w:w w:val="105"/>
          <w:sz w:val="13"/>
        </w:rPr>
        <w:t>May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before="0"/>
        <w:ind w:left="210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spacing w:before="8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Jun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before="0"/>
        <w:ind w:left="0" w:right="183" w:firstLine="0"/>
        <w:jc w:val="center"/>
        <w:rPr>
          <w:rFonts w:ascii="Times New Roman"/>
          <w:sz w:val="13"/>
        </w:rPr>
      </w:pP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spacing w:before="8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Jul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before="0"/>
        <w:ind w:left="0" w:right="204" w:firstLine="0"/>
        <w:jc w:val="center"/>
        <w:rPr>
          <w:rFonts w:ascii="Times New Roman"/>
          <w:sz w:val="13"/>
        </w:rPr>
      </w:pP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spacing w:before="8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Aug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before="0"/>
        <w:ind w:left="217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spacing w:before="8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Sep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before="0"/>
        <w:ind w:left="230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spacing w:before="8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Oct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before="0"/>
        <w:ind w:left="235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spacing w:before="8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sz w:val="13"/>
        </w:rPr>
        <w:t>Nov</w:t>
      </w:r>
    </w:p>
    <w:p>
      <w:pPr>
        <w:pStyle w:val="BodyText"/>
        <w:rPr>
          <w:rFonts w:ascii="Times New Roman"/>
          <w:sz w:val="14"/>
        </w:rPr>
      </w:pPr>
      <w:r>
        <w:br w:type="column"/>
      </w: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rPr>
          <w:rFonts w:ascii="Times New Roman"/>
          <w:sz w:val="14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spacing w:before="0"/>
        <w:ind w:left="215" w:right="0" w:firstLine="0"/>
        <w:jc w:val="left"/>
        <w:rPr>
          <w:rFonts w:ascii="Times New Roman"/>
          <w:sz w:val="13"/>
        </w:rPr>
      </w:pPr>
      <w:r>
        <w:rPr>
          <w:rFonts w:ascii="Times New Roman"/>
          <w:color w:val="585858"/>
          <w:spacing w:val="6"/>
          <w:w w:val="103"/>
          <w:sz w:val="13"/>
          <w:u w:val="thick" w:color="D9D9D9"/>
        </w:rPr>
        <w:t xml:space="preserve"> </w:t>
      </w:r>
    </w:p>
    <w:p>
      <w:pPr>
        <w:spacing w:before="8"/>
        <w:ind w:left="0" w:right="0" w:firstLine="0"/>
        <w:jc w:val="right"/>
        <w:rPr>
          <w:rFonts w:ascii="Times New Roman"/>
          <w:sz w:val="13"/>
        </w:rPr>
      </w:pPr>
      <w:r>
        <w:rPr>
          <w:rFonts w:ascii="Times New Roman"/>
          <w:color w:val="585858"/>
          <w:w w:val="105"/>
          <w:sz w:val="13"/>
        </w:rPr>
        <w:t>Dec</w:t>
      </w:r>
    </w:p>
    <w:p>
      <w:pPr>
        <w:pStyle w:val="BodyText"/>
        <w:spacing w:before="8"/>
        <w:rPr>
          <w:rFonts w:ascii="Times New Roman"/>
          <w:sz w:val="12"/>
        </w:rPr>
      </w:pPr>
      <w:r>
        <w:br w:type="column"/>
      </w:r>
    </w:p>
    <w:p>
      <w:pPr>
        <w:spacing w:before="0"/>
        <w:ind w:left="320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50%</w:t>
      </w:r>
    </w:p>
    <w:p>
      <w:pPr>
        <w:pStyle w:val="BodyText"/>
        <w:spacing w:before="9"/>
        <w:rPr>
          <w:rFonts w:ascii="Times New Roman"/>
          <w:sz w:val="13"/>
        </w:rPr>
      </w:pPr>
    </w:p>
    <w:p>
      <w:pPr>
        <w:spacing w:before="0"/>
        <w:ind w:left="320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0%</w:t>
      </w:r>
    </w:p>
    <w:p>
      <w:pPr>
        <w:pStyle w:val="BodyText"/>
        <w:spacing w:before="9"/>
        <w:rPr>
          <w:rFonts w:ascii="Times New Roman"/>
          <w:sz w:val="13"/>
        </w:rPr>
      </w:pPr>
    </w:p>
    <w:p>
      <w:pPr>
        <w:spacing w:before="0"/>
        <w:ind w:left="320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-50%</w:t>
      </w:r>
    </w:p>
    <w:p>
      <w:pPr>
        <w:pStyle w:val="BodyText"/>
        <w:spacing w:before="9"/>
        <w:rPr>
          <w:rFonts w:ascii="Times New Roman"/>
          <w:sz w:val="13"/>
        </w:rPr>
      </w:pPr>
    </w:p>
    <w:p>
      <w:pPr>
        <w:spacing w:before="1"/>
        <w:ind w:left="320" w:right="0" w:firstLine="0"/>
        <w:jc w:val="left"/>
        <w:rPr>
          <w:rFonts w:ascii="Times New Roman"/>
          <w:sz w:val="11"/>
        </w:rPr>
      </w:pPr>
      <w:r>
        <w:rPr>
          <w:rFonts w:ascii="Times New Roman"/>
          <w:color w:val="585858"/>
          <w:sz w:val="11"/>
        </w:rPr>
        <w:t>-100%</w:t>
      </w:r>
    </w:p>
    <w:p>
      <w:pPr>
        <w:spacing w:after="0"/>
        <w:jc w:val="left"/>
        <w:rPr>
          <w:rFonts w:ascii="Times New Roman"/>
          <w:sz w:val="11"/>
        </w:rPr>
        <w:sectPr>
          <w:headerReference w:type="default" r:id="rId123"/>
          <w:footerReference w:type="default" r:id="rId124"/>
          <w:type w:val="continuous"/>
          <w:pgSz w:w="11910" w:h="16840"/>
          <w:pgMar w:top="1340" w:right="280" w:bottom="500" w:left="720" w:header="708" w:footer="708"/>
          <w:pgNumType w:start="47"/>
          <w:cols w:num="13" w:space="708" w:equalWidth="0">
            <w:col w:w="564" w:space="75"/>
            <w:col w:w="500" w:space="39"/>
            <w:col w:w="1497" w:space="40"/>
            <w:col w:w="710" w:space="39"/>
            <w:col w:w="736" w:space="40"/>
            <w:col w:w="688" w:space="40"/>
            <w:col w:w="702" w:space="40"/>
            <w:col w:w="754" w:space="39"/>
            <w:col w:w="703" w:space="40"/>
            <w:col w:w="713" w:space="40"/>
            <w:col w:w="736" w:space="39"/>
            <w:col w:w="710" w:space="42"/>
            <w:col w:w="1384" w:space="0"/>
          </w:cols>
        </w:sectPr>
      </w:pPr>
    </w:p>
    <w:p>
      <w:pPr>
        <w:tabs>
          <w:tab w:val="left" w:pos="3520"/>
          <w:tab w:val="left" w:pos="3984"/>
          <w:tab w:val="left" w:pos="4449"/>
          <w:tab w:val="left" w:pos="4913"/>
          <w:tab w:val="left" w:pos="5378"/>
          <w:tab w:val="left" w:pos="5842"/>
          <w:tab w:val="left" w:pos="6306"/>
          <w:tab w:val="left" w:pos="7028"/>
        </w:tabs>
        <w:spacing w:before="99"/>
        <w:ind w:left="3055" w:right="0" w:firstLine="0"/>
        <w:jc w:val="left"/>
        <w:rPr>
          <w:sz w:val="13"/>
        </w:rPr>
      </w:pPr>
      <w:r>
        <w:pict>
          <v:group id="_x0000_s1906" style="width:595.35pt;height:41.2pt;margin-top:800.29pt;margin-left:0;mso-position-horizontal-relative:page;mso-position-vertical-relative:page;position:absolute;z-index:251751424" coordorigin="0,16006" coordsize="11907,824">
            <v:rect id="_x0000_s1907" style="width:11907;height:473;position:absolute;top:16356" filled="t" fillcolor="#17365d" stroked="f">
              <v:fill type="solid"/>
            </v:rect>
            <v:rect id="_x0000_s1908" style="width:4080;height:437;left:7;position:absolute;top:16082" filled="t" fillcolor="#d7d7d7" stroked="f">
              <v:fill type="solid"/>
            </v:rect>
            <v:shape id="_x0000_s1909" type="#_x0000_t202" style="width:1707;height:240;left:9218;position:absolute;top:1600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color w:val="17365D"/>
                        <w:sz w:val="24"/>
                      </w:rPr>
                      <w:t>东吴证券研究所</w:t>
                    </w:r>
                  </w:p>
                </w:txbxContent>
              </v:textbox>
            </v:shape>
          </v:group>
        </w:pict>
      </w:r>
      <w:r>
        <w:pict>
          <v:rect id="_x0000_s1910" style="width:3.16pt;height:3.22pt;margin-top:7.69pt;margin-left:184.26pt;mso-position-horizontal-relative:page;position:absolute;z-index:251752448" filled="t" fillcolor="#ddd" stroked="f">
            <v:fill type="solid"/>
          </v:rect>
        </w:pict>
      </w:r>
      <w:r>
        <w:pict>
          <v:rect id="_x0000_s1911" style="width:3.23pt;height:3.22pt;margin-top:7.69pt;margin-left:207.45pt;mso-position-horizontal-relative:page;position:absolute;z-index:-251574272" filled="t" fillcolor="#d1d1d1" stroked="f">
            <v:fill type="solid"/>
          </v:rect>
        </w:pict>
      </w:r>
      <w:r>
        <w:pict>
          <v:rect id="_x0000_s1912" style="width:3.23pt;height:3.22pt;margin-top:7.69pt;margin-left:230.64pt;mso-position-horizontal-relative:page;position:absolute;z-index:-251573248" filled="t" fillcolor="#c4c4c4" stroked="f">
            <v:fill type="solid"/>
          </v:rect>
        </w:pict>
      </w:r>
      <w:r>
        <w:pict>
          <v:rect id="_x0000_s1913" style="width:3.16pt;height:3.22pt;margin-top:7.69pt;margin-left:253.91pt;mso-position-horizontal-relative:page;position:absolute;z-index:-251572224" filled="t" fillcolor="#b5b5b5" stroked="f">
            <v:fill type="solid"/>
          </v:rect>
        </w:pict>
      </w:r>
      <w:r>
        <w:pict>
          <v:rect id="_x0000_s1914" style="width:3.23pt;height:3.22pt;margin-top:7.69pt;margin-left:277.1pt;mso-position-horizontal-relative:page;position:absolute;z-index:-251571200" filled="t" fillcolor="#a4a4a4" stroked="f">
            <v:fill type="solid"/>
          </v:rect>
        </w:pict>
      </w:r>
      <w:r>
        <w:pict>
          <v:group id="_x0000_s1915" style="width:4.15pt;height:4.15pt;margin-top:7.2pt;margin-left:299.86pt;mso-position-horizontal-relative:page;position:absolute;z-index:-251570176" coordorigin="5997,144" coordsize="83,83">
            <v:rect id="_x0000_s1916" style="width:65;height:65;left:6006;position:absolute;top:153" filled="t" fillcolor="#7b7b7b" stroked="f">
              <v:fill type="solid"/>
            </v:rect>
            <v:rect id="_x0000_s1917" style="width:65;height:65;left:6006;position:absolute;top:153" filled="f" stroked="t" strokecolor="#7b7b7b" strokeweight="0.92pt">
              <v:stroke dashstyle="solid"/>
            </v:rect>
          </v:group>
        </w:pict>
      </w:r>
      <w:r>
        <w:pict>
          <v:rect id="_x0000_s1918" style="width:3.23pt;height:3.22pt;margin-top:7.65pt;margin-left:323.51pt;mso-position-horizontal-relative:page;position:absolute;z-index:-251569152" filled="f" stroked="t" strokecolor="#c00000" strokeweight="1.22pt">
            <v:stroke dashstyle="solid"/>
          </v:rect>
        </w:pict>
      </w:r>
      <w:r>
        <w:pict>
          <v:group id="_x0000_s1919" style="width:4.15pt;height:4.15pt;margin-top:7.17pt;margin-left:346.22pt;mso-position-horizontal-relative:page;position:absolute;z-index:-251568128" coordorigin="6924,143" coordsize="83,83">
            <v:shape id="_x0000_s1920" style="width:74;height:74;left:6928;position:absolute;top:147" coordorigin="6929,148" coordsize="74,74" path="m6966,148l6929,185,6966,221,7002,185,6966,148xe" filled="t" fillcolor="#ffc000" stroked="f">
              <v:fill type="solid"/>
              <v:path arrowok="t"/>
            </v:shape>
            <v:shape id="_x0000_s1921" style="width:74;height:74;left:6928;position:absolute;top:147" coordorigin="6929,148" coordsize="74,74" path="m6966,148l7002,185,6966,221,6929,185,6966,148xe" filled="f" stroked="t" strokecolor="#006fc0" strokeweight="0.46pt">
              <v:stroke dashstyle="solid"/>
              <v:path arrowok="t"/>
            </v:shape>
          </v:group>
        </w:pict>
      </w:r>
      <w:r>
        <w:pict>
          <v:group id="_x0000_s1922" style="width:4.15pt;height:4.15pt;margin-top:7.17pt;margin-left:382.32pt;mso-position-horizontal-relative:page;position:absolute;z-index:-251567104" coordorigin="7646,143" coordsize="83,83">
            <v:shape id="_x0000_s1923" style="width:74;height:74;left:7650;position:absolute;top:147" coordorigin="7651,148" coordsize="74,74" path="m7688,148l7651,221,7724,221,7688,148xe" filled="t" fillcolor="#ffc000" stroked="f">
              <v:fill type="solid"/>
              <v:path arrowok="t"/>
            </v:shape>
            <v:shape id="_x0000_s1924" style="width:74;height:74;left:7650;position:absolute;top:147" coordorigin="7651,148" coordsize="74,74" path="m7688,148l7724,221,7651,221,7688,148xe" filled="f" stroked="t" strokecolor="#006fc0" strokeweight="0.46pt">
              <v:stroke dashstyle="solid"/>
              <v:path arrowok="t"/>
            </v:shape>
          </v:group>
        </w:pict>
      </w:r>
      <w:r>
        <w:rPr>
          <w:rFonts w:ascii="Times New Roman" w:eastAsia="Times New Roman"/>
          <w:color w:val="585858"/>
          <w:sz w:val="13"/>
        </w:rPr>
        <w:t>2017</w:t>
        <w:tab/>
        <w:t>2018</w:t>
        <w:tab/>
        <w:t>2019</w:t>
        <w:tab/>
        <w:t>2020</w:t>
        <w:tab/>
        <w:t>2021</w:t>
        <w:tab/>
        <w:t>2022</w:t>
        <w:tab/>
        <w:t>2023</w:t>
        <w:tab/>
      </w:r>
      <w:r>
        <w:rPr>
          <w:color w:val="585858"/>
          <w:sz w:val="13"/>
        </w:rPr>
        <w:t>单月同比</w:t>
        <w:tab/>
        <w:t>单月环比</w:t>
      </w:r>
    </w:p>
    <w:p>
      <w:pPr>
        <w:pStyle w:val="BodyText"/>
        <w:spacing w:before="2"/>
        <w:rPr>
          <w:sz w:val="17"/>
        </w:rPr>
      </w:pPr>
      <w:r>
        <w:pict>
          <v:shape id="_x0000_s1925" style="width:510.5pt;height:0.1pt;margin-top:13.45pt;margin-left:42.6pt;mso-position-horizontal-relative:page;mso-wrap-distance-left:0;mso-wrap-distance-right:0;position:absolute;z-index:-251566080" coordorigin="852,269" coordsize="10210,0" path="m852,269l11061,269e" filled="f" stroked="t" strokecolor="black" strokeweight="0.96pt">
            <v:stroke dashstyle="solid"/>
            <v:path arrowok="t"/>
            <w10:wrap type="topAndBottom"/>
          </v:shape>
        </w:pict>
      </w:r>
    </w:p>
    <w:p>
      <w:pPr>
        <w:spacing w:before="0" w:line="252" w:lineRule="exact"/>
        <w:ind w:left="240" w:right="0" w:firstLine="0"/>
        <w:jc w:val="left"/>
        <w:rPr>
          <w:sz w:val="20"/>
        </w:rPr>
      </w:pPr>
      <w:r>
        <w:t xml:space="preserve">数据来源：银保监会交强险数据，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spacing w:before="9" w:line="276" w:lineRule="auto"/>
        <w:ind w:left="2400" w:right="515" w:firstLine="424"/>
        <w:jc w:val="left"/>
        <w:rPr>
          <w:sz w:val="21"/>
        </w:rPr>
      </w:pPr>
      <w:r>
        <w:rPr>
          <w:rFonts w:ascii="Microsoft JhengHei" w:eastAsia="Microsoft JhengHei" w:hint="eastAsia"/>
          <w:b/>
          <w:sz w:val="21"/>
        </w:rPr>
        <w:t xml:space="preserve">宇通重工：环卫车总销量同减 </w:t>
      </w:r>
      <w:r>
        <w:rPr>
          <w:rFonts w:ascii="Times New Roman" w:eastAsia="Times New Roman"/>
          <w:b/>
          <w:sz w:val="21"/>
        </w:rPr>
        <w:t>34.13%</w:t>
      </w:r>
      <w:r>
        <w:rPr>
          <w:rFonts w:ascii="Microsoft JhengHei" w:eastAsia="Microsoft JhengHei" w:hint="eastAsia"/>
          <w:b/>
          <w:sz w:val="21"/>
        </w:rPr>
        <w:t xml:space="preserve">，新能源销量同减 </w:t>
      </w:r>
      <w:r>
        <w:rPr>
          <w:rFonts w:ascii="Times New Roman" w:eastAsia="Times New Roman"/>
          <w:b/>
          <w:sz w:val="21"/>
        </w:rPr>
        <w:t>18.43%</w:t>
      </w:r>
      <w:r>
        <w:rPr>
          <w:rFonts w:ascii="Microsoft JhengHei" w:eastAsia="Microsoft JhengHei" w:hint="eastAsia"/>
          <w:b/>
          <w:sz w:val="21"/>
        </w:rPr>
        <w:t>。</w:t>
      </w:r>
      <w:r>
        <w:rPr>
          <w:rFonts w:ascii="Times New Roman" w:eastAsia="Times New Roman"/>
          <w:sz w:val="21"/>
        </w:rPr>
        <w:t>2023M1-12</w:t>
      </w:r>
      <w:r>
        <w:rPr>
          <w:sz w:val="21"/>
        </w:rPr>
        <w:t xml:space="preserve">，宇通重工环卫车销售 </w:t>
      </w:r>
      <w:r>
        <w:rPr>
          <w:rFonts w:ascii="Times New Roman" w:eastAsia="Times New Roman"/>
          <w:sz w:val="21"/>
        </w:rPr>
        <w:t xml:space="preserve">2551 </w:t>
      </w:r>
      <w:r>
        <w:rPr>
          <w:sz w:val="21"/>
        </w:rPr>
        <w:t>辆，同比变动</w:t>
      </w:r>
      <w:r>
        <w:rPr>
          <w:rFonts w:ascii="Times New Roman" w:eastAsia="Times New Roman"/>
          <w:sz w:val="21"/>
        </w:rPr>
        <w:t>-34.13%</w:t>
      </w:r>
      <w:r>
        <w:rPr>
          <w:sz w:val="21"/>
        </w:rPr>
        <w:t xml:space="preserve">，其中新能源环卫车销售 </w:t>
      </w:r>
      <w:r>
        <w:rPr>
          <w:rFonts w:ascii="Times New Roman" w:eastAsia="Times New Roman"/>
          <w:sz w:val="21"/>
        </w:rPr>
        <w:t xml:space="preserve">1142 </w:t>
      </w:r>
      <w:r>
        <w:rPr>
          <w:sz w:val="21"/>
        </w:rPr>
        <w:t>辆，同比</w:t>
      </w:r>
    </w:p>
    <w:p>
      <w:pPr>
        <w:pStyle w:val="BodyText"/>
        <w:spacing w:before="65" w:line="333" w:lineRule="auto"/>
        <w:ind w:left="2400" w:right="521"/>
      </w:pPr>
      <w:r>
        <w:rPr>
          <w:w w:val="100"/>
        </w:rPr>
        <w:t>变动</w:t>
      </w:r>
      <w:r>
        <w:rPr>
          <w:rFonts w:ascii="Times New Roman" w:eastAsia="Times New Roman"/>
          <w:spacing w:val="-4"/>
          <w:w w:val="100"/>
        </w:rPr>
        <w:t>-</w:t>
      </w:r>
      <w:r>
        <w:rPr>
          <w:rFonts w:ascii="Times New Roman" w:eastAsia="Times New Roman"/>
          <w:w w:val="100"/>
        </w:rPr>
        <w:t>18.43</w:t>
      </w:r>
      <w:r>
        <w:rPr>
          <w:rFonts w:ascii="Times New Roman" w:eastAsia="Times New Roman"/>
          <w:spacing w:val="-1"/>
          <w:w w:val="100"/>
        </w:rPr>
        <w:t>%</w:t>
      </w:r>
      <w:r>
        <w:rPr>
          <w:spacing w:val="-96"/>
          <w:w w:val="100"/>
        </w:rPr>
        <w:t>。</w:t>
      </w:r>
      <w:r>
        <w:rPr>
          <w:rFonts w:ascii="Times New Roman" w:eastAsia="Times New Roman"/>
          <w:w w:val="100"/>
        </w:rPr>
        <w:t>2023</w:t>
      </w:r>
      <w:r>
        <w:rPr>
          <w:rFonts w:ascii="Times New Roman" w:eastAsia="Times New Roman"/>
          <w:spacing w:val="-3"/>
          <w:w w:val="100"/>
        </w:rPr>
        <w:t>M</w:t>
      </w:r>
      <w:r>
        <w:rPr>
          <w:rFonts w:ascii="Times New Roman" w:eastAsia="Times New Roman"/>
          <w:w w:val="100"/>
        </w:rPr>
        <w:t>12</w:t>
      </w:r>
      <w:r>
        <w:rPr>
          <w:rFonts w:ascii="Times New Roman" w:eastAsia="Times New Roman"/>
        </w:rPr>
        <w:t xml:space="preserve"> </w:t>
      </w:r>
      <w:r>
        <w:rPr>
          <w:spacing w:val="-3"/>
          <w:w w:val="100"/>
        </w:rPr>
        <w:t>单月环卫车销量</w:t>
      </w:r>
      <w:r>
        <w:rPr>
          <w:spacing w:val="-3"/>
        </w:rPr>
        <w:t xml:space="preserve"> </w:t>
      </w:r>
      <w:r>
        <w:rPr>
          <w:rFonts w:ascii="Times New Roman" w:eastAsia="Times New Roman"/>
          <w:spacing w:val="-3"/>
          <w:w w:val="100"/>
        </w:rPr>
        <w:t>2</w:t>
      </w:r>
      <w:r>
        <w:rPr>
          <w:rFonts w:ascii="Times New Roman" w:eastAsia="Times New Roman"/>
          <w:w w:val="100"/>
        </w:rPr>
        <w:t>18</w:t>
      </w:r>
      <w:r>
        <w:rPr>
          <w:rFonts w:ascii="Times New Roman" w:eastAsia="Times New Roman"/>
        </w:rPr>
        <w:t xml:space="preserve"> </w:t>
      </w:r>
      <w:r>
        <w:rPr>
          <w:spacing w:val="-19"/>
          <w:w w:val="100"/>
        </w:rPr>
        <w:t>辆，同比变动</w:t>
      </w:r>
      <w:r>
        <w:rPr>
          <w:rFonts w:ascii="Times New Roman" w:eastAsia="Times New Roman"/>
          <w:spacing w:val="-4"/>
          <w:w w:val="100"/>
        </w:rPr>
        <w:t>-</w:t>
      </w:r>
      <w:r>
        <w:rPr>
          <w:rFonts w:ascii="Times New Roman" w:eastAsia="Times New Roman"/>
          <w:w w:val="100"/>
        </w:rPr>
        <w:t>60.79</w:t>
      </w:r>
      <w:r>
        <w:rPr>
          <w:rFonts w:ascii="Times New Roman" w:eastAsia="Times New Roman"/>
          <w:spacing w:val="-1"/>
          <w:w w:val="100"/>
        </w:rPr>
        <w:t>%</w:t>
      </w:r>
      <w:r>
        <w:rPr>
          <w:spacing w:val="-22"/>
          <w:w w:val="100"/>
        </w:rPr>
        <w:t>，环比变动</w:t>
      </w:r>
      <w:r>
        <w:rPr>
          <w:rFonts w:ascii="Times New Roman" w:eastAsia="Times New Roman"/>
          <w:w w:val="100"/>
        </w:rPr>
        <w:t>+1</w:t>
      </w:r>
      <w:r>
        <w:rPr>
          <w:rFonts w:ascii="Times New Roman" w:eastAsia="Times New Roman"/>
          <w:spacing w:val="-3"/>
          <w:w w:val="100"/>
        </w:rPr>
        <w:t>0</w:t>
      </w:r>
      <w:r>
        <w:rPr>
          <w:rFonts w:ascii="Times New Roman" w:eastAsia="Times New Roman"/>
          <w:w w:val="100"/>
        </w:rPr>
        <w:t>5.66</w:t>
      </w:r>
      <w:r>
        <w:rPr>
          <w:rFonts w:ascii="Times New Roman" w:eastAsia="Times New Roman"/>
          <w:spacing w:val="-1"/>
          <w:w w:val="100"/>
        </w:rPr>
        <w:t>%</w:t>
      </w:r>
      <w:r>
        <w:rPr>
          <w:w w:val="100"/>
        </w:rPr>
        <w:t>，</w:t>
      </w:r>
      <w:r>
        <w:rPr>
          <w:spacing w:val="-8"/>
        </w:rPr>
        <w:t xml:space="preserve">其中新能源环卫车销量 </w:t>
      </w:r>
      <w:r>
        <w:rPr>
          <w:rFonts w:ascii="Times New Roman" w:eastAsia="Times New Roman"/>
        </w:rPr>
        <w:t xml:space="preserve">125 </w:t>
      </w:r>
      <w:r>
        <w:rPr>
          <w:spacing w:val="-3"/>
        </w:rPr>
        <w:t>辆，同比变动</w:t>
      </w:r>
      <w:r>
        <w:rPr>
          <w:rFonts w:ascii="Times New Roman" w:eastAsia="Times New Roman"/>
        </w:rPr>
        <w:t>-57.34%</w:t>
      </w:r>
      <w:r>
        <w:rPr>
          <w:spacing w:val="-2"/>
        </w:rPr>
        <w:t>，环比变动</w:t>
      </w:r>
      <w:r>
        <w:rPr>
          <w:rFonts w:ascii="Times New Roman" w:eastAsia="Times New Roman"/>
        </w:rPr>
        <w:t>+89.39%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4"/>
        </w:rPr>
      </w:pPr>
    </w:p>
    <w:p>
      <w:pPr>
        <w:pStyle w:val="Heading3"/>
      </w:pPr>
      <w:r>
        <w:t>11 / 29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https://d.book118.com/536033103221010044</w:t>
        </w:r>
      </w:hyperlink>
    </w:p>
    <w:p>
      <w:pPr>
        <w:spacing w:after="0"/>
      </w:pPr>
    </w:p>
    <w:sectPr>
      <w:headerReference w:type="default" r:id="rId126"/>
      <w:footerReference w:type="default" r:id="rId127"/>
      <w:type w:val="continuous"/>
      <w:pgSz w:w="11910" w:h="16840"/>
      <w:pgMar w:top="1340" w:right="280" w:bottom="500" w:left="720" w:header="708" w:footer="708"/>
      <w:pgNumType w:start="4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Microsoft JhengHei UI">
    <w:altName w:val="Microsoft JhengHei UI"/>
    <w:charset w:val="00"/>
    <w:family w:val="swiss"/>
    <w:pitch w:val="variable"/>
    <w:sig w:usb0="00000000" w:usb1="00000000" w:usb2="00000000" w:usb3="00000000" w:csb0="00000001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7F0D7"/>
    <w:multiLevelType w:val="hybridMultilevel"/>
    <w:tmpl w:val="00000000"/>
    <w:lvl w:ilvl="0">
      <w:start w:val="1"/>
      <w:numFmt w:val="decimal"/>
      <w:lvlText w:val="%1）"/>
      <w:lvlJc w:val="left"/>
      <w:pPr>
        <w:ind w:left="3140" w:hanging="316"/>
        <w:jc w:val="left"/>
      </w:pPr>
      <w:rPr>
        <w:rFonts w:ascii="Times New Roman" w:eastAsia="Times New Roman" w:hAnsi="Times New Roman" w:cs="Times New Roman" w:hint="default"/>
        <w:b/>
        <w:bCs/>
        <w:spacing w:val="-13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916" w:hanging="31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693" w:hanging="31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469" w:hanging="31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246" w:hanging="31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023" w:hanging="31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9" w:hanging="31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76" w:hanging="31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53" w:hanging="316"/>
      </w:pPr>
      <w:rPr>
        <w:rFonts w:hint="default"/>
        <w:lang w:val="zh-CN" w:eastAsia="zh-CN" w:bidi="zh-CN"/>
      </w:rPr>
    </w:lvl>
  </w:abstractNum>
  <w:abstractNum w:abstractNumId="1">
    <w:nsid w:val="201E377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30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zh-CN" w:eastAsia="zh-CN" w:bidi="zh-CN"/>
      </w:rPr>
    </w:lvl>
    <w:lvl w:ilvl="1">
      <w:start w:val="1"/>
      <w:numFmt w:val="decimal"/>
      <w:lvlText w:val="%1.%2."/>
      <w:lvlJc w:val="left"/>
      <w:pPr>
        <w:ind w:left="1140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225" w:hanging="48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10" w:hanging="48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95" w:hanging="48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480" w:hanging="48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65" w:hanging="48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650" w:hanging="48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736" w:hanging="480"/>
      </w:pPr>
      <w:rPr>
        <w:rFonts w:hint="default"/>
        <w:lang w:val="zh-CN" w:eastAsia="zh-CN" w:bidi="zh-CN"/>
      </w:rPr>
    </w:lvl>
  </w:abstractNum>
  <w:abstractNum w:abstractNumId="2">
    <w:nsid w:val="3DCEE5DF"/>
    <w:multiLevelType w:val="hybridMultilevel"/>
    <w:tmpl w:val="00000000"/>
    <w:lvl w:ilvl="0">
      <w:start w:val="1"/>
      <w:numFmt w:val="decimal"/>
      <w:lvlText w:val="%1）"/>
      <w:lvlJc w:val="left"/>
      <w:pPr>
        <w:ind w:left="3185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952" w:hanging="36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725" w:hanging="36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497" w:hanging="36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270" w:hanging="36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043" w:hanging="36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15" w:hanging="36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88" w:hanging="36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61" w:hanging="361"/>
      </w:pPr>
      <w:rPr>
        <w:rFonts w:hint="default"/>
        <w:lang w:val="zh-CN" w:eastAsia="zh-CN" w:bidi="zh-CN"/>
      </w:rPr>
    </w:lvl>
  </w:abstractNum>
  <w:abstractNum w:abstractNumId="3">
    <w:nsid w:val="4FF2BFE9"/>
    <w:multiLevelType w:val="hybridMultilevel"/>
    <w:tmpl w:val="00000000"/>
    <w:lvl w:ilvl="0">
      <w:start w:val="1"/>
      <w:numFmt w:val="decimal"/>
      <w:lvlText w:val="%1."/>
      <w:lvlJc w:val="left"/>
      <w:pPr>
        <w:ind w:left="2719" w:hanging="428"/>
        <w:jc w:val="left"/>
      </w:pPr>
      <w:rPr>
        <w:rFonts w:ascii="Times New Roman" w:eastAsia="Times New Roman" w:hAnsi="Times New Roman" w:cs="Times New Roman" w:hint="default"/>
        <w:b/>
        <w:bCs/>
        <w:color w:val="17365D"/>
        <w:w w:val="100"/>
        <w:sz w:val="28"/>
        <w:szCs w:val="28"/>
        <w:lang w:val="zh-CN" w:eastAsia="zh-CN" w:bidi="zh-CN"/>
      </w:rPr>
    </w:lvl>
    <w:lvl w:ilvl="1">
      <w:start w:val="0"/>
      <w:numFmt w:val="bullet"/>
      <w:lvlText w:val=""/>
      <w:lvlJc w:val="left"/>
      <w:pPr>
        <w:ind w:left="3245" w:hanging="421"/>
      </w:pPr>
      <w:rPr>
        <w:rFonts w:ascii="Wingdings" w:eastAsia="Wingdings" w:hAnsi="Wingdings" w:cs="Wingdings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40" w:hanging="42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40" w:hanging="42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35" w:hanging="42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430" w:hanging="42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25" w:hanging="42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620" w:hanging="42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716" w:hanging="421"/>
      </w:pPr>
      <w:rPr>
        <w:rFonts w:hint="default"/>
        <w:lang w:val="zh-CN" w:eastAsia="zh-CN" w:bidi="zh-CN"/>
      </w:rPr>
    </w:lvl>
  </w:abstractNum>
  <w:abstractNum w:abstractNumId="4">
    <w:nsid w:val="5EA367DE"/>
    <w:multiLevelType w:val="hybridMultilevel"/>
    <w:tmpl w:val="00000000"/>
    <w:lvl w:ilvl="0">
      <w:start w:val="1"/>
      <w:numFmt w:val="decimal"/>
      <w:lvlText w:val="%1）"/>
      <w:lvlJc w:val="left"/>
      <w:pPr>
        <w:ind w:left="3140" w:hanging="316"/>
        <w:jc w:val="left"/>
      </w:pPr>
      <w:rPr>
        <w:rFonts w:ascii="Times New Roman" w:eastAsia="Times New Roman" w:hAnsi="Times New Roman" w:cs="Times New Roman" w:hint="default"/>
        <w:b/>
        <w:bCs/>
        <w:spacing w:val="-13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916" w:hanging="31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693" w:hanging="31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469" w:hanging="31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246" w:hanging="31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023" w:hanging="31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99" w:hanging="31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76" w:hanging="31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53" w:hanging="316"/>
      </w:pPr>
      <w:rPr>
        <w:rFonts w:hint="default"/>
        <w:lang w:val="zh-CN" w:eastAsia="zh-CN" w:bidi="zh-CN"/>
      </w:rPr>
    </w:lvl>
  </w:abstractNum>
  <w:abstractNum w:abstractNumId="5">
    <w:nsid w:val="67F8682E"/>
    <w:multiLevelType w:val="hybridMultilevel"/>
    <w:tmpl w:val="00000000"/>
    <w:lvl w:ilvl="0">
      <w:start w:val="1"/>
      <w:numFmt w:val="decimal"/>
      <w:lvlText w:val="%1."/>
      <w:lvlJc w:val="left"/>
      <w:pPr>
        <w:ind w:left="2719" w:hanging="428"/>
        <w:jc w:val="left"/>
      </w:pPr>
      <w:rPr>
        <w:rFonts w:ascii="Times New Roman" w:eastAsia="Times New Roman" w:hAnsi="Times New Roman" w:cs="Times New Roman" w:hint="default"/>
        <w:b/>
        <w:bCs/>
        <w:color w:val="17365D"/>
        <w:w w:val="100"/>
        <w:sz w:val="28"/>
        <w:szCs w:val="28"/>
        <w:lang w:val="zh-CN" w:eastAsia="zh-CN" w:bidi="zh-CN"/>
      </w:rPr>
    </w:lvl>
    <w:lvl w:ilvl="1">
      <w:start w:val="0"/>
      <w:numFmt w:val="bullet"/>
      <w:lvlText w:val=""/>
      <w:lvlJc w:val="left"/>
      <w:pPr>
        <w:ind w:left="3245" w:hanging="421"/>
      </w:pPr>
      <w:rPr>
        <w:rFonts w:ascii="Wingdings" w:eastAsia="Wingdings" w:hAnsi="Wingdings" w:cs="Wingdings" w:hint="default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40" w:hanging="42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40" w:hanging="42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335" w:hanging="42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430" w:hanging="42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25" w:hanging="42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620" w:hanging="42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716" w:hanging="421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line="493" w:lineRule="exact"/>
      <w:ind w:left="2719" w:hanging="428"/>
      <w:outlineLvl w:val="0"/>
    </w:pPr>
    <w:rPr>
      <w:rFonts w:ascii="Microsoft JhengHei" w:eastAsia="Microsoft JhengHei" w:hAnsi="Microsoft JhengHei" w:cs="Microsoft JhengHei"/>
      <w:b/>
      <w:bCs/>
      <w:sz w:val="28"/>
      <w:szCs w:val="28"/>
      <w:lang w:val="zh-CN" w:eastAsia="zh-CN" w:bidi="zh-CN"/>
    </w:rPr>
  </w:style>
  <w:style w:type="paragraph" w:styleId="Heading2">
    <w:name w:val="heading 2"/>
    <w:basedOn w:val="Normal"/>
    <w:uiPriority w:val="1"/>
    <w:qFormat/>
    <w:pPr>
      <w:spacing w:line="436" w:lineRule="exact"/>
      <w:ind w:left="2839" w:hanging="548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zh-CN" w:eastAsia="zh-CN" w:bidi="zh-CN"/>
    </w:rPr>
  </w:style>
  <w:style w:type="paragraph" w:styleId="Heading3">
    <w:name w:val="heading 3"/>
    <w:basedOn w:val="Normal"/>
    <w:uiPriority w:val="1"/>
    <w:qFormat/>
    <w:pPr>
      <w:spacing w:before="92"/>
      <w:ind w:right="563"/>
      <w:jc w:val="right"/>
      <w:outlineLvl w:val="2"/>
    </w:pPr>
    <w:rPr>
      <w:rFonts w:ascii="Times New Roman" w:eastAsia="Times New Roman" w:hAnsi="Times New Roman" w:cs="Times New Roman"/>
      <w:b/>
      <w:bCs/>
      <w:sz w:val="21"/>
      <w:szCs w:val="21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line="312" w:lineRule="exact"/>
      <w:ind w:left="540" w:hanging="301"/>
    </w:pPr>
    <w:rPr>
      <w:rFonts w:ascii="Microsoft JhengHei" w:eastAsia="Microsoft JhengHei" w:hAnsi="Microsoft JhengHei" w:cs="Microsoft JhengHei"/>
      <w:b/>
      <w:bCs/>
      <w:sz w:val="24"/>
      <w:szCs w:val="24"/>
      <w:lang w:val="zh-CN" w:eastAsia="zh-CN" w:bidi="zh-CN"/>
    </w:rPr>
  </w:style>
  <w:style w:type="paragraph" w:styleId="TOC2">
    <w:name w:val="toc 2"/>
    <w:basedOn w:val="Normal"/>
    <w:uiPriority w:val="1"/>
    <w:qFormat/>
    <w:pPr>
      <w:ind w:left="1140" w:hanging="481"/>
    </w:pPr>
    <w:rPr>
      <w:rFonts w:ascii="宋体" w:eastAsia="宋体" w:hAnsi="宋体" w:cs="宋体"/>
      <w:sz w:val="24"/>
      <w:szCs w:val="24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ind w:left="540" w:hanging="428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jc w:val="center"/>
    </w:pPr>
    <w:rPr>
      <w:rFonts w:ascii="华文仿宋" w:eastAsia="华文仿宋" w:hAnsi="华文仿宋" w:cs="华文仿宋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38.xml" /><Relationship Id="rId101" Type="http://schemas.openxmlformats.org/officeDocument/2006/relationships/header" Target="header39.xml" /><Relationship Id="rId102" Type="http://schemas.openxmlformats.org/officeDocument/2006/relationships/footer" Target="footer39.xml" /><Relationship Id="rId103" Type="http://schemas.openxmlformats.org/officeDocument/2006/relationships/header" Target="header40.xml" /><Relationship Id="rId104" Type="http://schemas.openxmlformats.org/officeDocument/2006/relationships/footer" Target="footer40.xml" /><Relationship Id="rId105" Type="http://schemas.openxmlformats.org/officeDocument/2006/relationships/header" Target="header41.xml" /><Relationship Id="rId106" Type="http://schemas.openxmlformats.org/officeDocument/2006/relationships/footer" Target="footer41.xml" /><Relationship Id="rId107" Type="http://schemas.openxmlformats.org/officeDocument/2006/relationships/header" Target="header42.xml" /><Relationship Id="rId108" Type="http://schemas.openxmlformats.org/officeDocument/2006/relationships/footer" Target="footer42.xml" /><Relationship Id="rId109" Type="http://schemas.openxmlformats.org/officeDocument/2006/relationships/header" Target="header43.xml" /><Relationship Id="rId11" Type="http://schemas.openxmlformats.org/officeDocument/2006/relationships/footer" Target="footer4.xml" /><Relationship Id="rId110" Type="http://schemas.openxmlformats.org/officeDocument/2006/relationships/footer" Target="footer43.xml" /><Relationship Id="rId111" Type="http://schemas.openxmlformats.org/officeDocument/2006/relationships/header" Target="header44.xml" /><Relationship Id="rId112" Type="http://schemas.openxmlformats.org/officeDocument/2006/relationships/footer" Target="footer44.xml" /><Relationship Id="rId113" Type="http://schemas.openxmlformats.org/officeDocument/2006/relationships/image" Target="media/image22.png" /><Relationship Id="rId114" Type="http://schemas.openxmlformats.org/officeDocument/2006/relationships/image" Target="media/image23.png" /><Relationship Id="rId115" Type="http://schemas.openxmlformats.org/officeDocument/2006/relationships/image" Target="media/image24.png" /><Relationship Id="rId116" Type="http://schemas.openxmlformats.org/officeDocument/2006/relationships/image" Target="media/image25.png" /><Relationship Id="rId117" Type="http://schemas.openxmlformats.org/officeDocument/2006/relationships/image" Target="media/image26.png" /><Relationship Id="rId118" Type="http://schemas.openxmlformats.org/officeDocument/2006/relationships/image" Target="media/image27.png" /><Relationship Id="rId119" Type="http://schemas.openxmlformats.org/officeDocument/2006/relationships/header" Target="header45.xml" /><Relationship Id="rId12" Type="http://schemas.openxmlformats.org/officeDocument/2006/relationships/header" Target="header5.xml" /><Relationship Id="rId120" Type="http://schemas.openxmlformats.org/officeDocument/2006/relationships/footer" Target="footer45.xml" /><Relationship Id="rId121" Type="http://schemas.openxmlformats.org/officeDocument/2006/relationships/header" Target="header46.xml" /><Relationship Id="rId122" Type="http://schemas.openxmlformats.org/officeDocument/2006/relationships/footer" Target="footer46.xml" /><Relationship Id="rId123" Type="http://schemas.openxmlformats.org/officeDocument/2006/relationships/header" Target="header47.xml" /><Relationship Id="rId124" Type="http://schemas.openxmlformats.org/officeDocument/2006/relationships/footer" Target="footer47.xml" /><Relationship Id="rId125" Type="http://schemas.openxmlformats.org/officeDocument/2006/relationships/hyperlink" Target="https://d.book118.com/536033103221010044" TargetMode="External" /><Relationship Id="rId126" Type="http://schemas.openxmlformats.org/officeDocument/2006/relationships/header" Target="header48.xml" /><Relationship Id="rId127" Type="http://schemas.openxmlformats.org/officeDocument/2006/relationships/footer" Target="footer48.xml" /><Relationship Id="rId128" Type="http://schemas.openxmlformats.org/officeDocument/2006/relationships/theme" Target="theme/theme1.xml" /><Relationship Id="rId129" Type="http://schemas.openxmlformats.org/officeDocument/2006/relationships/numbering" Target="numbering.xml" /><Relationship Id="rId13" Type="http://schemas.openxmlformats.org/officeDocument/2006/relationships/footer" Target="footer5.xml" /><Relationship Id="rId130" Type="http://schemas.openxmlformats.org/officeDocument/2006/relationships/styles" Target="styles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1.png" /><Relationship Id="rId21" Type="http://schemas.openxmlformats.org/officeDocument/2006/relationships/image" Target="media/image2.png" /><Relationship Id="rId22" Type="http://schemas.openxmlformats.org/officeDocument/2006/relationships/image" Target="media/image3.png" /><Relationship Id="rId23" Type="http://schemas.openxmlformats.org/officeDocument/2006/relationships/image" Target="media/image4.png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image" Target="media/image5.png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6.png" /><Relationship Id="rId32" Type="http://schemas.openxmlformats.org/officeDocument/2006/relationships/image" Target="media/image7.png" /><Relationship Id="rId33" Type="http://schemas.openxmlformats.org/officeDocument/2006/relationships/image" Target="media/image8.png" /><Relationship Id="rId34" Type="http://schemas.openxmlformats.org/officeDocument/2006/relationships/image" Target="media/image9.png" /><Relationship Id="rId35" Type="http://schemas.openxmlformats.org/officeDocument/2006/relationships/header" Target="header12.xml" /><Relationship Id="rId36" Type="http://schemas.openxmlformats.org/officeDocument/2006/relationships/footer" Target="footer12.xml" /><Relationship Id="rId37" Type="http://schemas.openxmlformats.org/officeDocument/2006/relationships/header" Target="header13.xml" /><Relationship Id="rId38" Type="http://schemas.openxmlformats.org/officeDocument/2006/relationships/footer" Target="footer13.xml" /><Relationship Id="rId39" Type="http://schemas.openxmlformats.org/officeDocument/2006/relationships/image" Target="media/image10.png" /><Relationship Id="rId4" Type="http://schemas.openxmlformats.org/officeDocument/2006/relationships/header" Target="header1.xml" /><Relationship Id="rId40" Type="http://schemas.openxmlformats.org/officeDocument/2006/relationships/image" Target="media/image11.png" /><Relationship Id="rId41" Type="http://schemas.openxmlformats.org/officeDocument/2006/relationships/image" Target="media/image12.png" /><Relationship Id="rId42" Type="http://schemas.openxmlformats.org/officeDocument/2006/relationships/image" Target="media/image13.png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image" Target="media/image14.jpeg" /><Relationship Id="rId48" Type="http://schemas.openxmlformats.org/officeDocument/2006/relationships/image" Target="media/image15.jpeg" /><Relationship Id="rId49" Type="http://schemas.openxmlformats.org/officeDocument/2006/relationships/header" Target="header16.xml" /><Relationship Id="rId5" Type="http://schemas.openxmlformats.org/officeDocument/2006/relationships/footer" Target="footer1.xml" /><Relationship Id="rId50" Type="http://schemas.openxmlformats.org/officeDocument/2006/relationships/footer" Target="footer16.xml" /><Relationship Id="rId51" Type="http://schemas.openxmlformats.org/officeDocument/2006/relationships/header" Target="header17.xml" /><Relationship Id="rId52" Type="http://schemas.openxmlformats.org/officeDocument/2006/relationships/footer" Target="footer17.xml" /><Relationship Id="rId53" Type="http://schemas.openxmlformats.org/officeDocument/2006/relationships/header" Target="header18.xml" /><Relationship Id="rId54" Type="http://schemas.openxmlformats.org/officeDocument/2006/relationships/footer" Target="footer18.xml" /><Relationship Id="rId55" Type="http://schemas.openxmlformats.org/officeDocument/2006/relationships/header" Target="header19.xml" /><Relationship Id="rId56" Type="http://schemas.openxmlformats.org/officeDocument/2006/relationships/footer" Target="footer19.xml" /><Relationship Id="rId57" Type="http://schemas.openxmlformats.org/officeDocument/2006/relationships/header" Target="header20.xml" /><Relationship Id="rId58" Type="http://schemas.openxmlformats.org/officeDocument/2006/relationships/footer" Target="footer20.xml" /><Relationship Id="rId59" Type="http://schemas.openxmlformats.org/officeDocument/2006/relationships/header" Target="header21.xml" /><Relationship Id="rId6" Type="http://schemas.openxmlformats.org/officeDocument/2006/relationships/header" Target="header2.xml" /><Relationship Id="rId60" Type="http://schemas.openxmlformats.org/officeDocument/2006/relationships/footer" Target="footer21.xml" /><Relationship Id="rId61" Type="http://schemas.openxmlformats.org/officeDocument/2006/relationships/header" Target="header22.xml" /><Relationship Id="rId62" Type="http://schemas.openxmlformats.org/officeDocument/2006/relationships/footer" Target="footer22.xml" /><Relationship Id="rId63" Type="http://schemas.openxmlformats.org/officeDocument/2006/relationships/header" Target="header23.xml" /><Relationship Id="rId64" Type="http://schemas.openxmlformats.org/officeDocument/2006/relationships/footer" Target="footer23.xml" /><Relationship Id="rId65" Type="http://schemas.openxmlformats.org/officeDocument/2006/relationships/header" Target="header24.xml" /><Relationship Id="rId66" Type="http://schemas.openxmlformats.org/officeDocument/2006/relationships/footer" Target="footer24.xml" /><Relationship Id="rId67" Type="http://schemas.openxmlformats.org/officeDocument/2006/relationships/header" Target="header25.xml" /><Relationship Id="rId68" Type="http://schemas.openxmlformats.org/officeDocument/2006/relationships/footer" Target="footer25.xml" /><Relationship Id="rId69" Type="http://schemas.openxmlformats.org/officeDocument/2006/relationships/header" Target="header26.xml" /><Relationship Id="rId7" Type="http://schemas.openxmlformats.org/officeDocument/2006/relationships/footer" Target="footer2.xml" /><Relationship Id="rId70" Type="http://schemas.openxmlformats.org/officeDocument/2006/relationships/footer" Target="footer26.xml" /><Relationship Id="rId71" Type="http://schemas.openxmlformats.org/officeDocument/2006/relationships/header" Target="header27.xml" /><Relationship Id="rId72" Type="http://schemas.openxmlformats.org/officeDocument/2006/relationships/footer" Target="footer27.xml" /><Relationship Id="rId73" Type="http://schemas.openxmlformats.org/officeDocument/2006/relationships/header" Target="header28.xml" /><Relationship Id="rId74" Type="http://schemas.openxmlformats.org/officeDocument/2006/relationships/footer" Target="footer28.xml" /><Relationship Id="rId75" Type="http://schemas.openxmlformats.org/officeDocument/2006/relationships/header" Target="header29.xml" /><Relationship Id="rId76" Type="http://schemas.openxmlformats.org/officeDocument/2006/relationships/footer" Target="footer29.xml" /><Relationship Id="rId77" Type="http://schemas.openxmlformats.org/officeDocument/2006/relationships/header" Target="header30.xml" /><Relationship Id="rId78" Type="http://schemas.openxmlformats.org/officeDocument/2006/relationships/footer" Target="footer30.xml" /><Relationship Id="rId79" Type="http://schemas.openxmlformats.org/officeDocument/2006/relationships/header" Target="header31.xml" /><Relationship Id="rId8" Type="http://schemas.openxmlformats.org/officeDocument/2006/relationships/header" Target="header3.xml" /><Relationship Id="rId80" Type="http://schemas.openxmlformats.org/officeDocument/2006/relationships/footer" Target="footer31.xml" /><Relationship Id="rId81" Type="http://schemas.openxmlformats.org/officeDocument/2006/relationships/header" Target="header32.xml" /><Relationship Id="rId82" Type="http://schemas.openxmlformats.org/officeDocument/2006/relationships/footer" Target="footer32.xml" /><Relationship Id="rId83" Type="http://schemas.openxmlformats.org/officeDocument/2006/relationships/header" Target="header33.xml" /><Relationship Id="rId84" Type="http://schemas.openxmlformats.org/officeDocument/2006/relationships/footer" Target="footer33.xml" /><Relationship Id="rId85" Type="http://schemas.openxmlformats.org/officeDocument/2006/relationships/image" Target="media/image16.png" /><Relationship Id="rId86" Type="http://schemas.openxmlformats.org/officeDocument/2006/relationships/header" Target="header34.xml" /><Relationship Id="rId87" Type="http://schemas.openxmlformats.org/officeDocument/2006/relationships/footer" Target="footer34.xml" /><Relationship Id="rId88" Type="http://schemas.openxmlformats.org/officeDocument/2006/relationships/header" Target="header35.xml" /><Relationship Id="rId89" Type="http://schemas.openxmlformats.org/officeDocument/2006/relationships/footer" Target="footer35.xml" /><Relationship Id="rId9" Type="http://schemas.openxmlformats.org/officeDocument/2006/relationships/footer" Target="footer3.xml" /><Relationship Id="rId90" Type="http://schemas.openxmlformats.org/officeDocument/2006/relationships/header" Target="header36.xml" /><Relationship Id="rId91" Type="http://schemas.openxmlformats.org/officeDocument/2006/relationships/footer" Target="footer36.xml" /><Relationship Id="rId92" Type="http://schemas.openxmlformats.org/officeDocument/2006/relationships/header" Target="header37.xml" /><Relationship Id="rId93" Type="http://schemas.openxmlformats.org/officeDocument/2006/relationships/footer" Target="footer37.xml" /><Relationship Id="rId94" Type="http://schemas.openxmlformats.org/officeDocument/2006/relationships/image" Target="media/image17.png" /><Relationship Id="rId95" Type="http://schemas.openxmlformats.org/officeDocument/2006/relationships/image" Target="media/image18.png" /><Relationship Id="rId96" Type="http://schemas.openxmlformats.org/officeDocument/2006/relationships/image" Target="media/image19.png" /><Relationship Id="rId97" Type="http://schemas.openxmlformats.org/officeDocument/2006/relationships/image" Target="media/image20.png" /><Relationship Id="rId98" Type="http://schemas.openxmlformats.org/officeDocument/2006/relationships/image" Target="media/image21.png" /><Relationship Id="rId99" Type="http://schemas.openxmlformats.org/officeDocument/2006/relationships/header" Target="header38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2024-01-30T03:52:00Z</dcterms:created>
  <dcterms:modified xsi:type="dcterms:W3CDTF">2024-01-30T03:52:00Z</dcterms:modified>
</cp:coreProperties>
</file>