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5CBF" w14:paraId="29796A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5CBF" w14:paraId="372C07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5CBF" w14:paraId="04F10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5CBF" w:rsidRPr="006A5CBF" w14:paraId="586D5616" w14:textId="572F2A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5CBF">
        <w:rPr>
          <w:rFonts w:ascii="宋体" w:eastAsia="宋体" w:hAnsi="宋体"/>
          <w:b/>
          <w:sz w:val="60"/>
        </w:rPr>
        <w:t>PA9T项目效益评估报告</w:t>
      </w:r>
    </w:p>
    <w:p w:rsidR="006A5CBF" w:rsidP="006A5CBF" w14:paraId="6C4C28FE" w14:textId="396AFC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5CBF">
        <w:rPr>
          <w:rFonts w:ascii="仿宋" w:eastAsia="仿宋" w:hAnsi="仿宋" w:hint="eastAsia"/>
          <w:b/>
          <w:sz w:val="40"/>
        </w:rPr>
        <w:t>目录</w:t>
      </w:r>
    </w:p>
    <w:p w:rsidR="006A5CBF" w14:paraId="3C3DCEF6" w14:textId="3C63EB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5CBF" w14:paraId="2A397ADA" w14:textId="3DB4D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5CBF" w14:paraId="7A2ABB9B" w14:textId="6F6F4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5CBF" w14:paraId="546C3546" w14:textId="55581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5CBF" w14:paraId="5644A3F5" w14:textId="64532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5CBF" w14:paraId="2252CC91" w14:textId="04E4F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二、PA9T项目规划进度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5CBF" w14:paraId="5D7E92FE" w14:textId="269E5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(一)、PA9T项目进度安排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5CBF" w14:paraId="5BD9FC94" w14:textId="699CF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(二)、PA9T项目实施保障措施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5CBF" w14:paraId="54BB9F98" w14:textId="6EE26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5CBF" w14:paraId="3CE65E4A" w14:textId="38A10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(四)、PA9T项目进度监控与调整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5CBF" w14:paraId="6CBC0F14" w14:textId="64808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5CBF" w14:paraId="059B5613" w14:textId="4FFE9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5CBF" w14:paraId="3341C848" w14:textId="332B8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(一)、PA9T项目选址原则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5CBF" w14:paraId="7DAD4087" w14:textId="2C4B6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5CBF" w14:paraId="7A917B18" w14:textId="7B3F7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5CBF" w14:paraId="3A2C31E5" w14:textId="47E61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5CBF" w14:paraId="4C82E081" w14:textId="6C304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(五)、PA9T项目选址综合评价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5CBF" w14:paraId="53EB852F" w14:textId="17E28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5CBF" w14:paraId="0D61517E" w14:textId="6D0A5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(一)、PA9T项目工程设计总体要求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5CBF" w14:paraId="697FF416" w14:textId="78A60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5CBF" w14:paraId="6CC3DB5D" w14:textId="430CDBF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5CBF" w14:paraId="30C363CA" w14:textId="79203E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5CBF" w14:paraId="52D81087" w14:textId="72B04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5CBF" w14:paraId="45FEE435" w14:textId="01191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(二)、PA9T项目技术工艺简要分析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5CBF" w14:paraId="5E85A4F0" w14:textId="4649B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5CBF" w14:paraId="4815634E" w14:textId="51BEC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(四)、PA9T项目技术流程简述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5CBF" w14:paraId="778F7230" w14:textId="0020E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5CBF" w14:paraId="551C86E2" w14:textId="05071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5CBF" w14:paraId="426F7839" w14:textId="48681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5CBF" w14:paraId="496400AB" w14:textId="4A60B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5CBF" w14:paraId="1C7A716C" w14:textId="4AE6D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5CBF" w14:paraId="205DF2C9" w14:textId="64510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5CBF" w14:paraId="4F37C57C" w14:textId="13F58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5CBF" w14:paraId="29A0164B" w14:textId="5A639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5CBF" w14:paraId="7D83F277" w14:textId="57754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5CBF" w14:paraId="49F9BA6A" w14:textId="59981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5CBF" w14:paraId="0C713FAA" w14:textId="7A2EF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5CBF" w14:paraId="6FA41759" w14:textId="197AA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5CBF" w14:paraId="0520B330" w14:textId="49FC3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5CBF" w14:paraId="5286E3AC" w14:textId="63634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5CBF" w14:paraId="1BD90FE8" w14:textId="456F1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5CBF" w14:paraId="714409A0" w14:textId="5B155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5CBF" w14:paraId="5A3230DD" w14:textId="77CB93F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5CBF" w14:paraId="5289844C" w14:textId="52F550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5CBF" w14:paraId="00A534AD" w14:textId="21129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5CBF" w14:paraId="5CE274E3" w14:textId="0D960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5CBF" w14:paraId="76AB1077" w14:textId="74229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5CBF" w14:paraId="1BA38F08" w14:textId="1525E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5CBF" w14:paraId="6CB2EBA9" w14:textId="51A5F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5CBF" w14:paraId="2707B6B8" w14:textId="471FF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5CBF" w14:paraId="6DF9824A" w14:textId="490B0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5CBF" w14:paraId="18083BBC" w14:textId="729B3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5CBF" w14:paraId="0EE84FAD" w14:textId="3276F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5CBF" w14:paraId="0145520E" w14:textId="3E5ED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5CBF" w14:paraId="5B698B05" w14:textId="01F6C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5CBF" w14:paraId="7B0737E6" w14:textId="6EC44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5CBF" w14:paraId="5EF86C3D" w14:textId="7E57D1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5CBF" w14:paraId="7B5D3965" w14:textId="2D3A2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5CBF" w14:paraId="426FE4B5" w14:textId="71106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A5CBF" w14:paraId="59A5C7E6" w14:textId="19CB0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5CBF" w14:paraId="47F29BB8" w14:textId="6865B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_Toc153730599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5CBF" w14:paraId="414CC187" w14:textId="6D785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5CBF" w14:paraId="38A93029" w14:textId="6F662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5CBF" w14:paraId="4DA95FBF" w14:textId="6CDC6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5CBF" w14:paraId="75CB0DD5" w14:textId="61B36E5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5CBF" w14:paraId="09DE905B" w14:textId="0B358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5CBF" w14:paraId="3A549CCB" w14:textId="4CD9A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5CBF" w14:paraId="5B0FF841" w14:textId="1AC3C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5CBF" w14:paraId="0EB3ADA8" w14:textId="21D9F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5CBF" w14:paraId="1E19C9EB" w14:textId="08F7D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5CBF" w14:paraId="5E640593" w14:textId="18849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5CBF" w14:paraId="3E36C400" w14:textId="690ED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5CBF" w14:paraId="560A078B" w14:textId="4D34E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A5CBF" w14:paraId="59D04DA4" w14:textId="762C4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A5CBF" w14:paraId="273F66DE" w14:textId="39088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A5CBF" w14:paraId="465A27C4" w14:textId="564BE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_Toc153730614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A5CBF" w:rsidP="006A5CBF" w14:paraId="4C434DDC" w14:textId="0BB4713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A5CBF" w:rsidP="006A5CBF" w14:paraId="47E2E862" w14:textId="2889DF2B">
      <w:pPr>
        <w:pStyle w:val="Heading1"/>
        <w:jc w:val="center"/>
        <w:rPr>
          <w:rFonts w:hint="eastAsia"/>
        </w:rPr>
      </w:pPr>
      <w:bookmarkStart w:id="0" w:name="_Toc153730539"/>
      <w:r w:rsidRPr="006A5CBF">
        <w:rPr>
          <w:rFonts w:hint="eastAsia"/>
        </w:rPr>
        <w:t>前言</w:t>
      </w:r>
      <w:bookmarkEnd w:id="0"/>
    </w:p>
    <w:p w:rsidR="006A5CBF" w:rsidP="006A5CBF" w14:paraId="23EE5584" w14:textId="095374B6">
      <w:pPr>
        <w:ind w:firstLine="560" w:firstLineChars="200"/>
        <w:rPr>
          <w:rFonts w:ascii="仿宋" w:eastAsia="仿宋" w:hint="eastAsia"/>
          <w:sz w:val="28"/>
        </w:rPr>
      </w:pPr>
      <w:r w:rsidRPr="006A5CB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A5CBF" w:rsidP="006A5CBF" w14:paraId="60B559D0" w14:textId="28437B72">
      <w:pPr>
        <w:pStyle w:val="Heading1"/>
        <w:rPr>
          <w:rFonts w:hint="eastAsia"/>
        </w:rPr>
      </w:pPr>
      <w:bookmarkStart w:id="1" w:name="_Toc153730540"/>
      <w:r w:rsidRPr="006A5CBF">
        <w:rPr>
          <w:rFonts w:hint="eastAsia"/>
        </w:rPr>
        <w:t>一、社交媒体与在线营销</w:t>
      </w:r>
      <w:bookmarkEnd w:id="1"/>
    </w:p>
    <w:p w:rsidR="006A5CBF" w:rsidP="006A5CBF" w14:paraId="1999FC88" w14:textId="4379A108">
      <w:pPr>
        <w:pStyle w:val="Heading2"/>
      </w:pPr>
      <w:bookmarkStart w:id="2" w:name="_Toc153730541"/>
      <w:r w:rsidRPr="006A5CBF">
        <w:t>(一)、社交媒体策略</w:t>
      </w:r>
      <w:bookmarkEnd w:id="2"/>
    </w:p>
    <w:p w:rsidR="006A5CBF" w:rsidRPr="006A5CBF" w:rsidP="006A5CBF" w14:paraId="738A23C8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6A5CBF">
        <w:rPr>
          <w:rFonts w:ascii="仿宋" w:eastAsia="仿宋" w:hAnsi="仿宋"/>
          <w:sz w:val="28"/>
        </w:rPr>
        <w:t>XXXX等。</w:t>
      </w:r>
    </w:p>
    <w:p w:rsidR="006A5CBF" w:rsidRPr="006A5CBF" w:rsidP="006A5CBF" w14:paraId="6464D08A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6A5CBF" w:rsidRPr="006A5CBF" w:rsidP="006A5CBF" w14:paraId="7D5D93AD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6A5CBF" w:rsidP="006A5CBF" w14:paraId="6B458C19" w14:textId="09F73D33">
      <w:pPr>
        <w:ind w:firstLine="560" w:firstLineChars="200"/>
        <w:rPr>
          <w:rFonts w:ascii="仿宋" w:eastAsia="仿宋" w:hAnsi="仿宋" w:hint="eastAsia"/>
          <w:sz w:val="28"/>
        </w:rPr>
      </w:pPr>
      <w:r w:rsidRPr="006A5CB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6A5CBF" w:rsidP="006A5CBF" w14:paraId="56E7BB2B" w14:textId="13044DF2">
      <w:pPr>
        <w:pStyle w:val="Heading2"/>
      </w:pPr>
      <w:bookmarkStart w:id="3" w:name="_Toc153730542"/>
      <w:r w:rsidRPr="006A5CBF">
        <w:t>(二)、在线广告与内容营销</w:t>
      </w:r>
      <w:bookmarkEnd w:id="3"/>
    </w:p>
    <w:p w:rsidR="006A5CBF" w:rsidRPr="006A5CBF" w:rsidP="006A5CBF" w14:paraId="4D44AFEC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选择合适的在线广告渠道，如</w:t>
      </w:r>
      <w:r w:rsidRPr="006A5CBF">
        <w:rPr>
          <w:rFonts w:ascii="仿宋" w:eastAsia="仿宋" w:hAnsi="仿宋"/>
          <w:sz w:val="28"/>
        </w:rPr>
        <w:t>xxx、社交媒体广告等。</w:t>
      </w:r>
    </w:p>
    <w:p w:rsidR="006A5CBF" w:rsidRPr="006A5CBF" w:rsidP="006A5CBF" w14:paraId="50667C12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6A5CBF" w:rsidRPr="006A5CBF" w:rsidP="006A5CBF" w14:paraId="46DA3EE5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制定广告预算并管理广告开支。</w:t>
      </w:r>
    </w:p>
    <w:p w:rsidR="006A5CBF" w:rsidRPr="006A5CBF" w:rsidP="006A5CBF" w14:paraId="364E8B6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A5CB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6A5CBF" w:rsidP="006A5CBF" w14:paraId="4EDD1D18" w14:textId="7E47010D">
      <w:pPr>
        <w:ind w:firstLine="560" w:firstLineChars="200"/>
        <w:rPr>
          <w:rFonts w:ascii="仿宋" w:eastAsia="仿宋" w:hAnsi="仿宋" w:hint="eastAsia"/>
          <w:sz w:val="28"/>
        </w:rPr>
      </w:pPr>
      <w:r w:rsidRPr="006A5CBF">
        <w:rPr>
          <w:rFonts w:ascii="仿宋" w:eastAsia="仿宋" w:hAnsi="仿宋" w:hint="eastAsia"/>
          <w:sz w:val="28"/>
        </w:rPr>
        <w:t>优化网站以提高在搜索引擎上的可见性。</w:t>
      </w:r>
    </w:p>
    <w:p w:rsidR="006A5CBF" w:rsidP="006A5CBF" w14:paraId="74FC0BD0" w14:textId="045E2E97">
      <w:pPr>
        <w:pStyle w:val="Heading2"/>
      </w:pPr>
      <w:bookmarkStart w:id="4" w:name="_Toc153730543"/>
      <w:r w:rsidRPr="006A5CBF">
        <w:t>(三)、社交媒体分析与ROI</w:t>
      </w:r>
      <w:bookmarkEnd w:id="4"/>
    </w:p>
    <w:p w:rsidR="006A5CBF" w:rsidRPr="006A5CBF" w:rsidP="006A5CBF" w14:paraId="5ECD5F5E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6A5CBF" w:rsidRPr="006A5CBF" w:rsidP="006A5CBF" w14:paraId="360B52CC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使用分析工具如</w:t>
      </w:r>
      <w:r w:rsidRPr="006A5CBF">
        <w:rPr>
          <w:rFonts w:ascii="仿宋" w:eastAsia="仿宋" w:hAnsi="仿宋"/>
          <w:sz w:val="28"/>
        </w:rPr>
        <w:t>XXX、社交媒体分析工具来监测表现。</w:t>
      </w:r>
    </w:p>
    <w:p w:rsidR="006A5CBF" w:rsidP="006A5CBF" w14:paraId="7D9FACED" w14:textId="6B74387E">
      <w:pPr>
        <w:ind w:firstLine="560" w:firstLineChars="200"/>
        <w:rPr>
          <w:rFonts w:ascii="仿宋" w:eastAsia="仿宋" w:hAnsi="仿宋" w:hint="eastAsia"/>
          <w:sz w:val="28"/>
        </w:rPr>
      </w:pPr>
      <w:r w:rsidRPr="006A5CBF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6A5CBF" w:rsidP="006A5CBF" w14:paraId="248E5FF4" w14:textId="7D25B9A1">
      <w:pPr>
        <w:pStyle w:val="Heading1"/>
      </w:pPr>
      <w:bookmarkStart w:id="5" w:name="_Toc153730544"/>
      <w:r w:rsidRPr="006A5CBF">
        <w:rPr>
          <w:rFonts w:hint="eastAsia"/>
        </w:rPr>
        <w:t>二、</w:t>
      </w:r>
      <w:r w:rsidRPr="006A5CBF">
        <w:t>PA9T项目规划进度</w:t>
      </w:r>
      <w:bookmarkEnd w:id="5"/>
    </w:p>
    <w:p w:rsidR="006A5CBF" w:rsidP="006A5CBF" w14:paraId="1A02423B" w14:textId="63B38EB9">
      <w:pPr>
        <w:pStyle w:val="Heading2"/>
      </w:pPr>
      <w:bookmarkStart w:id="6" w:name="_Toc153730545"/>
      <w:r w:rsidRPr="006A5CBF">
        <w:t>(一)、PA9T项目进度安排</w:t>
      </w:r>
      <w:bookmarkEnd w:id="6"/>
    </w:p>
    <w:p w:rsidR="006A5CBF" w:rsidRPr="006A5CBF" w:rsidP="006A5CBF" w14:paraId="0BDB5975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为确保</w:t>
      </w:r>
      <w:r w:rsidRPr="006A5CBF">
        <w:rPr>
          <w:rFonts w:ascii="仿宋" w:eastAsia="仿宋" w:hAnsi="仿宋"/>
          <w:sz w:val="28"/>
        </w:rPr>
        <w:t>PA9T项目按计划有序推进，xxx（集团）有限公司精心设计了详细的PA9T项目实施计划，分为多个关键阶段：</w:t>
      </w:r>
    </w:p>
    <w:p w:rsidR="006A5CBF" w:rsidRPr="006A5CBF" w:rsidP="006A5CBF" w14:paraId="1C337873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/>
          <w:sz w:val="28"/>
        </w:rPr>
        <w:t xml:space="preserve"> 阶段一：前期准备</w:t>
      </w:r>
    </w:p>
    <w:p w:rsidR="006A5CBF" w:rsidRPr="006A5CBF" w:rsidP="006A5CBF" w14:paraId="1F52EF40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在</w:t>
      </w:r>
      <w:r w:rsidRPr="006A5CBF">
        <w:rPr>
          <w:rFonts w:ascii="仿宋" w:eastAsia="仿宋" w:hAnsi="仿宋"/>
          <w:sz w:val="28"/>
        </w:rPr>
        <w:t>PA9T项目启动初期，我们将进行综合的前期准备工作，包括PA9T项目可行性研究、土地评估和法规遵循。这一阶段的成功将为PA9T项目的后续进展奠定坚实基础。</w:t>
      </w:r>
    </w:p>
    <w:p w:rsidR="006A5CBF" w:rsidRPr="006A5CBF" w:rsidP="006A5CBF" w14:paraId="679FB9C7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/>
          <w:sz w:val="28"/>
        </w:rPr>
        <w:t xml:space="preserve"> 阶段二：工程勘察与设计</w:t>
      </w:r>
    </w:p>
    <w:p w:rsidR="006A5CBF" w:rsidRPr="006A5CBF" w:rsidP="006A5CBF" w14:paraId="32D6933E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 w:hint="eastAsia"/>
          <w:sz w:val="28"/>
        </w:rPr>
        <w:t>深入的工程勘察和科学的设计是</w:t>
      </w:r>
      <w:r w:rsidRPr="006A5CBF">
        <w:rPr>
          <w:rFonts w:ascii="仿宋" w:eastAsia="仿宋" w:hAnsi="仿宋"/>
          <w:sz w:val="28"/>
        </w:rPr>
        <w:t>PA9T项目成功的关键。我们将确保PA9T项目方案的合理性，为后续的施工提供准确的指导。</w:t>
      </w:r>
    </w:p>
    <w:p w:rsidR="006A5CBF" w:rsidRPr="006A5CBF" w:rsidP="006A5CBF" w14:paraId="3D86E012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/>
          <w:sz w:val="28"/>
        </w:rPr>
        <w:t xml:space="preserve"> 阶段三：土建工程施工</w:t>
      </w:r>
    </w:p>
    <w:p w:rsidR="006A5CBF" w:rsidRPr="006A5CBF" w:rsidP="006A5CBF" w14:paraId="11A95F07" w14:textId="77777777">
      <w:pPr>
        <w:ind w:firstLine="560" w:firstLineChars="200"/>
        <w:rPr>
          <w:rFonts w:ascii="仿宋" w:eastAsia="仿宋" w:hAnsi="仿宋"/>
          <w:sz w:val="28"/>
        </w:rPr>
      </w:pPr>
      <w:r w:rsidRPr="006A5CBF">
        <w:rPr>
          <w:rFonts w:ascii="仿宋" w:eastAsia="仿宋" w:hAnsi="仿宋"/>
          <w:sz w:val="28"/>
        </w:rPr>
        <w:br/>
      </w:r>
      <w:r w:rsidRPr="006A5CB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https://d.book118.com/536102015240010033</w:t>
        </w:r>
      </w:hyperlink>
    </w:p>
    <w:p w:rsidR="006A5CBF" w:rsidRPr="006A5CBF" w:rsidP="006A5CB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paraId="4AD49F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paraId="551560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paraId="59F97109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5CBF" w14:paraId="4D29D8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paraId="615810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P="00A12D0C" w14:textId="276B5F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A5CB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paraId="6A8D8F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paraId="55F3C7CB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paraId="0AFC20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:rsidRPr="006A5CBF" w:rsidP="006A5CBF" w14:textId="0A6B54D4">
    <w:pPr>
      <w:pStyle w:val="Header"/>
      <w:rPr>
        <w:rFonts w:ascii="仿宋" w:eastAsia="仿宋" w:hAnsi="仿宋"/>
      </w:rPr>
    </w:pPr>
    <w:r w:rsidRPr="006A5CBF">
      <w:rPr>
        <w:rFonts w:ascii="仿宋" w:eastAsia="仿宋" w:hAnsi="仿宋"/>
      </w:rPr>
      <w:t>PA9T项目效益评估报告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5C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CBF"/>
    <w:rsid w:val="006A5CBF"/>
    <w:rsid w:val="00715AB6"/>
    <w:rsid w:val="00A12D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1793CB"/>
  <w15:chartTrackingRefBased/>
  <w15:docId w15:val="{CC6090AC-F8DD-478D-A6B8-E12072C48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5C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5C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5C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5C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5C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5C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5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5C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5CBF"/>
  </w:style>
  <w:style w:type="paragraph" w:styleId="TOC1">
    <w:name w:val="toc 1"/>
    <w:basedOn w:val="Normal"/>
    <w:next w:val="Normal"/>
    <w:autoRedefine/>
    <w:uiPriority w:val="39"/>
    <w:unhideWhenUsed/>
    <w:rsid w:val="006A5CBF"/>
  </w:style>
  <w:style w:type="paragraph" w:styleId="TOC2">
    <w:name w:val="toc 2"/>
    <w:basedOn w:val="Normal"/>
    <w:next w:val="Normal"/>
    <w:autoRedefine/>
    <w:uiPriority w:val="39"/>
    <w:unhideWhenUsed/>
    <w:rsid w:val="006A5C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36102015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3346</Words>
  <Characters>19078</Characters>
  <Application>Microsoft Office Word</Application>
  <DocSecurity>0</DocSecurity>
  <Lines>158</Lines>
  <Paragraphs>44</Paragraphs>
  <ScaleCrop>false</ScaleCrop>
  <Company/>
  <LinksUpToDate>false</LinksUpToDate>
  <CharactersWithSpaces>22380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2023-12-17T10:35:00Z</dcterms:created>
  <dcterms:modified xsi:type="dcterms:W3CDTF">2023-12-17T10:35:00Z</dcterms:modified>
</cp:coreProperties>
</file>