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6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12928602</wp:posOffset>
            </wp:positionH>
            <wp:positionV relativeFrom="page">
              <wp:posOffset>7823207</wp:posOffset>
            </wp:positionV>
            <wp:extent cx="1316990" cy="15234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52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sdt>
      <w:sdtPr>
        <w:rPr>
          <w:rFonts w:ascii="Arial" w:eastAsia="Arial" w:hAnsi="Arial" w:cs="Arial"/>
          <w:sz w:val="21"/>
          <w:szCs w:val="21"/>
        </w:rPr>
        <w:id w:val="551267443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36"/>
          <w:szCs w:val="36"/>
        </w:rPr>
      </w:sdtEndPr>
      <w:sdtContent>
        <w:p>
          <w:pPr>
            <w:spacing w:before="429" w:line="176" w:lineRule="auto"/>
            <w:ind w:left="1157"/>
            <w:rPr>
              <w:rFonts w:ascii="Microsoft YaHei" w:eastAsia="Microsoft YaHei" w:hAnsi="Microsoft YaHei" w:cs="Microsoft YaHei"/>
              <w:sz w:val="100"/>
              <w:szCs w:val="100"/>
            </w:rPr>
          </w:pPr>
          <w:r>
            <w:rPr>
              <w:rFonts w:ascii="Microsoft YaHei" w:eastAsia="Microsoft YaHei" w:hAnsi="Microsoft YaHei" w:cs="Microsoft YaHei"/>
              <w:b/>
              <w:bCs/>
              <w:color w:val="AE3794"/>
              <w:spacing w:val="-32"/>
              <w:sz w:val="100"/>
              <w:szCs w:val="100"/>
            </w:rPr>
            <w:t>目录</w:t>
          </w:r>
        </w:p>
        <w:p>
          <w:pPr>
            <w:pStyle w:val="BodyText"/>
            <w:spacing w:line="284" w:lineRule="auto"/>
          </w:pPr>
        </w:p>
        <w:p>
          <w:pPr>
            <w:pStyle w:val="BodyText"/>
            <w:spacing w:line="284" w:lineRule="auto"/>
          </w:pPr>
        </w:p>
        <w:p>
          <w:pPr>
            <w:pStyle w:val="BodyText"/>
            <w:spacing w:line="285" w:lineRule="auto"/>
          </w:pPr>
        </w:p>
        <w:p>
          <w:pPr>
            <w:pStyle w:val="BodyText"/>
            <w:spacing w:line="285" w:lineRule="auto"/>
          </w:pPr>
        </w:p>
        <w:p>
          <w:pPr>
            <w:pStyle w:val="BodyText"/>
            <w:spacing w:line="285" w:lineRule="auto"/>
          </w:pPr>
        </w:p>
        <w:p>
          <w:pPr>
            <w:spacing w:before="184" w:line="214" w:lineRule="auto"/>
            <w:ind w:left="1251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8"/>
              <w:position w:val="-3"/>
              <w:sz w:val="43"/>
              <w:szCs w:val="43"/>
            </w:rPr>
            <w:t xml:space="preserve">04     </w:t>
          </w:r>
          <w:r>
            <w:rPr>
              <w:rFonts w:ascii="Microsoft YaHei" w:eastAsia="Microsoft YaHei" w:hAnsi="Microsoft YaHei" w:cs="Microsoft YaHei"/>
              <w:spacing w:val="-8"/>
              <w:sz w:val="36"/>
              <w:szCs w:val="36"/>
            </w:rPr>
            <w:t>基于价值的营销</w:t>
          </w:r>
        </w:p>
        <w:p>
          <w:pPr>
            <w:spacing w:before="202" w:line="217" w:lineRule="auto"/>
            <w:ind w:left="126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9"/>
              <w:position w:val="-4"/>
              <w:sz w:val="43"/>
              <w:szCs w:val="43"/>
            </w:rPr>
            <w:t xml:space="preserve">07     </w:t>
          </w:r>
          <w:r>
            <w:rPr>
              <w:rFonts w:ascii="Microsoft YaHei" w:eastAsia="Microsoft YaHei" w:hAnsi="Microsoft YaHei" w:cs="Microsoft YaHei"/>
              <w:spacing w:val="-9"/>
              <w:sz w:val="36"/>
              <w:szCs w:val="36"/>
            </w:rPr>
            <w:t>社交媒体客户服务</w:t>
          </w:r>
        </w:p>
        <w:p>
          <w:pPr>
            <w:spacing w:before="194" w:line="218" w:lineRule="auto"/>
            <w:ind w:left="1261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16"/>
              <w:position w:val="-3"/>
              <w:sz w:val="43"/>
              <w:szCs w:val="43"/>
            </w:rPr>
            <w:t>09</w:t>
          </w:r>
          <w:r>
            <w:rPr>
              <w:rFonts w:ascii="Microsoft YaHei" w:eastAsia="Microsoft YaHei" w:hAnsi="Microsoft YaHei" w:cs="Microsoft YaHei"/>
              <w:color w:val="AE3794"/>
              <w:spacing w:val="1"/>
              <w:position w:val="-3"/>
              <w:sz w:val="43"/>
              <w:szCs w:val="43"/>
            </w:rPr>
            <w:t xml:space="preserve">     </w:t>
          </w:r>
          <w:r>
            <w:rPr>
              <w:rFonts w:ascii="Microsoft YaHei" w:eastAsia="Microsoft YaHei" w:hAnsi="Microsoft YaHei" w:cs="Microsoft YaHei"/>
              <w:spacing w:val="-16"/>
              <w:position w:val="1"/>
              <w:sz w:val="36"/>
              <w:szCs w:val="36"/>
            </w:rPr>
            <w:t>内部沟通</w:t>
          </w:r>
        </w:p>
        <w:p>
          <w:pPr>
            <w:spacing w:before="188" w:line="218" w:lineRule="auto"/>
            <w:ind w:left="1376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36"/>
              <w:w w:val="95"/>
              <w:position w:val="-3"/>
              <w:sz w:val="43"/>
              <w:szCs w:val="43"/>
            </w:rPr>
            <w:t>11</w:t>
          </w:r>
          <w:r>
            <w:rPr>
              <w:rFonts w:ascii="Microsoft YaHei" w:eastAsia="Microsoft YaHei" w:hAnsi="Microsoft YaHei" w:cs="Microsoft YaHei"/>
              <w:color w:val="AE3794"/>
              <w:spacing w:val="21"/>
              <w:position w:val="-3"/>
              <w:sz w:val="43"/>
              <w:szCs w:val="43"/>
            </w:rPr>
            <w:t xml:space="preserve">     </w:t>
          </w:r>
          <w:r>
            <w:rPr>
              <w:rFonts w:ascii="Microsoft YaHei" w:eastAsia="Microsoft YaHei" w:hAnsi="Microsoft YaHei" w:cs="Microsoft YaHei"/>
              <w:spacing w:val="-36"/>
              <w:w w:val="95"/>
              <w:position w:val="1"/>
              <w:sz w:val="36"/>
              <w:szCs w:val="36"/>
            </w:rPr>
            <w:t>社交电商</w:t>
          </w:r>
        </w:p>
        <w:p>
          <w:pPr>
            <w:spacing w:before="189" w:line="218" w:lineRule="auto"/>
            <w:ind w:left="1316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25"/>
              <w:w w:val="97"/>
              <w:position w:val="-3"/>
              <w:sz w:val="43"/>
              <w:szCs w:val="43"/>
            </w:rPr>
            <w:t>14</w:t>
          </w:r>
          <w:r>
            <w:rPr>
              <w:rFonts w:ascii="Microsoft YaHei" w:eastAsia="Microsoft YaHei" w:hAnsi="Microsoft YaHei" w:cs="Microsoft YaHei"/>
              <w:color w:val="AE3794"/>
              <w:spacing w:val="12"/>
              <w:position w:val="-3"/>
              <w:sz w:val="43"/>
              <w:szCs w:val="43"/>
            </w:rPr>
            <w:t xml:space="preserve">     </w:t>
          </w:r>
          <w:r>
            <w:rPr>
              <w:rFonts w:ascii="Microsoft YaHei" w:eastAsia="Microsoft YaHei" w:hAnsi="Microsoft YaHei" w:cs="Microsoft YaHei"/>
              <w:spacing w:val="-25"/>
              <w:w w:val="97"/>
              <w:position w:val="1"/>
              <w:sz w:val="36"/>
              <w:szCs w:val="36"/>
            </w:rPr>
            <w:t>品牌播客</w:t>
          </w:r>
        </w:p>
        <w:p>
          <w:pPr>
            <w:spacing w:before="190" w:line="218" w:lineRule="auto"/>
            <w:ind w:left="132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24"/>
              <w:position w:val="-3"/>
              <w:sz w:val="43"/>
              <w:szCs w:val="43"/>
            </w:rPr>
            <w:t xml:space="preserve">16      </w:t>
          </w:r>
          <w:r>
            <w:rPr>
              <w:rFonts w:ascii="Microsoft YaHei" w:eastAsia="Microsoft YaHei" w:hAnsi="Microsoft YaHei" w:cs="Microsoft YaHei"/>
              <w:spacing w:val="-24"/>
              <w:position w:val="1"/>
              <w:sz w:val="36"/>
              <w:szCs w:val="36"/>
            </w:rPr>
            <w:t>网红营销</w:t>
          </w:r>
        </w:p>
        <w:p>
          <w:pPr>
            <w:spacing w:before="189" w:line="218" w:lineRule="auto"/>
            <w:ind w:left="1326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24"/>
              <w:position w:val="-3"/>
              <w:sz w:val="43"/>
              <w:szCs w:val="43"/>
            </w:rPr>
            <w:t xml:space="preserve">19      </w:t>
          </w:r>
          <w:r>
            <w:rPr>
              <w:rFonts w:ascii="Microsoft YaHei" w:eastAsia="Microsoft YaHei" w:hAnsi="Microsoft YaHei" w:cs="Microsoft YaHei"/>
              <w:spacing w:val="-24"/>
              <w:position w:val="1"/>
              <w:sz w:val="36"/>
              <w:szCs w:val="36"/>
            </w:rPr>
            <w:t>品牌社区</w:t>
          </w:r>
        </w:p>
        <w:p>
          <w:pPr>
            <w:spacing w:before="191" w:line="480" w:lineRule="exact"/>
            <w:ind w:left="1324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25"/>
              <w:position w:val="-2"/>
              <w:sz w:val="43"/>
              <w:szCs w:val="43"/>
            </w:rPr>
            <w:t xml:space="preserve">21      </w:t>
          </w:r>
          <w:r>
            <w:rPr>
              <w:rFonts w:ascii="Microsoft YaHei" w:eastAsia="Microsoft YaHei" w:hAnsi="Microsoft YaHei" w:cs="Microsoft YaHei"/>
              <w:spacing w:val="-25"/>
              <w:position w:val="2"/>
              <w:sz w:val="36"/>
              <w:szCs w:val="36"/>
            </w:rPr>
            <w:t>微博客</w:t>
          </w:r>
        </w:p>
      </w:sdtContent>
    </w:sdt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sdt>
      <w:sdtPr>
        <w:rPr>
          <w:rFonts w:ascii="Microsoft YaHei" w:eastAsia="Microsoft YaHei" w:hAnsi="Microsoft YaHei" w:cs="Microsoft YaHei"/>
          <w:sz w:val="43"/>
          <w:szCs w:val="43"/>
        </w:rPr>
        <w:id w:val="214056344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43"/>
          <w:szCs w:val="43"/>
        </w:rPr>
      </w:sdtEndPr>
      <w:sdtContent>
        <w:p>
          <w:pPr>
            <w:spacing w:before="185" w:line="164" w:lineRule="auto"/>
            <w:ind w:left="4"/>
            <w:rPr>
              <w:rFonts w:ascii="Microsoft YaHei" w:eastAsia="Microsoft YaHei" w:hAnsi="Microsoft YaHei" w:cs="Microsoft YaHei"/>
              <w:sz w:val="43"/>
              <w:szCs w:val="43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17"/>
              <w:sz w:val="43"/>
              <w:szCs w:val="43"/>
            </w:rPr>
            <w:t>22</w:t>
          </w:r>
        </w:p>
        <w:p>
          <w:pPr>
            <w:spacing w:before="354" w:line="164" w:lineRule="auto"/>
            <w:ind w:left="3"/>
            <w:rPr>
              <w:rFonts w:ascii="Microsoft YaHei" w:eastAsia="Microsoft YaHei" w:hAnsi="Microsoft YaHei" w:cs="Microsoft YaHei"/>
              <w:sz w:val="43"/>
              <w:szCs w:val="43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17"/>
              <w:sz w:val="43"/>
              <w:szCs w:val="43"/>
            </w:rPr>
            <w:t>25</w:t>
          </w:r>
        </w:p>
        <w:p>
          <w:pPr>
            <w:spacing w:before="357" w:line="165" w:lineRule="auto"/>
            <w:ind w:left="10"/>
            <w:rPr>
              <w:rFonts w:ascii="Microsoft YaHei" w:eastAsia="Microsoft YaHei" w:hAnsi="Microsoft YaHei" w:cs="Microsoft YaHei"/>
              <w:sz w:val="43"/>
              <w:szCs w:val="43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20"/>
              <w:sz w:val="43"/>
              <w:szCs w:val="43"/>
            </w:rPr>
            <w:t>27</w:t>
          </w:r>
        </w:p>
        <w:p>
          <w:pPr>
            <w:spacing w:before="351" w:line="164" w:lineRule="auto"/>
            <w:ind w:left="6"/>
            <w:rPr>
              <w:rFonts w:ascii="Microsoft YaHei" w:eastAsia="Microsoft YaHei" w:hAnsi="Microsoft YaHei" w:cs="Microsoft YaHei"/>
              <w:sz w:val="43"/>
              <w:szCs w:val="43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18"/>
              <w:sz w:val="43"/>
              <w:szCs w:val="43"/>
            </w:rPr>
            <w:t>29</w:t>
          </w:r>
        </w:p>
        <w:p>
          <w:pPr>
            <w:spacing w:before="334" w:line="164" w:lineRule="auto"/>
            <w:ind w:left="54"/>
            <w:rPr>
              <w:rFonts w:ascii="Microsoft YaHei" w:eastAsia="Microsoft YaHei" w:hAnsi="Microsoft YaHei" w:cs="Microsoft YaHei"/>
              <w:sz w:val="43"/>
              <w:szCs w:val="43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42"/>
              <w:sz w:val="43"/>
              <w:szCs w:val="43"/>
            </w:rPr>
            <w:t>31</w:t>
          </w:r>
        </w:p>
        <w:p>
          <w:pPr>
            <w:spacing w:before="356" w:line="164" w:lineRule="auto"/>
            <w:rPr>
              <w:rFonts w:ascii="Microsoft YaHei" w:eastAsia="Microsoft YaHei" w:hAnsi="Microsoft YaHei" w:cs="Microsoft YaHei"/>
              <w:sz w:val="43"/>
              <w:szCs w:val="43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15"/>
              <w:sz w:val="43"/>
              <w:szCs w:val="43"/>
            </w:rPr>
            <w:t>33</w:t>
          </w:r>
        </w:p>
        <w:p>
          <w:pPr>
            <w:spacing w:before="355" w:line="164" w:lineRule="auto"/>
            <w:ind w:left="1"/>
            <w:rPr>
              <w:rFonts w:ascii="Microsoft YaHei" w:eastAsia="Microsoft YaHei" w:hAnsi="Microsoft YaHei" w:cs="Microsoft YaHei"/>
              <w:sz w:val="43"/>
              <w:szCs w:val="43"/>
            </w:rPr>
          </w:pPr>
          <w:r>
            <w:rPr>
              <w:rFonts w:ascii="Microsoft YaHei" w:eastAsia="Microsoft YaHei" w:hAnsi="Microsoft YaHei" w:cs="Microsoft YaHei"/>
              <w:color w:val="AE3794"/>
              <w:spacing w:val="-16"/>
              <w:sz w:val="43"/>
              <w:szCs w:val="43"/>
            </w:rPr>
            <w:t>35</w:t>
          </w:r>
        </w:p>
      </w:sdtContent>
    </w:sdt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54" w:line="199" w:lineRule="auto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人工智能在营销中的应用</w:t>
      </w:r>
    </w:p>
    <w:p>
      <w:pPr>
        <w:spacing w:before="347" w:line="860" w:lineRule="exact"/>
        <w:ind w:left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position w:val="36"/>
          <w:sz w:val="36"/>
          <w:szCs w:val="36"/>
        </w:rPr>
        <w:t>社交平台订阅</w:t>
      </w:r>
    </w:p>
    <w:p>
      <w:pPr>
        <w:spacing w:line="200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创造者经济</w:t>
      </w:r>
    </w:p>
    <w:p>
      <w:pPr>
        <w:spacing w:before="344" w:line="19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视觉搜索</w:t>
      </w:r>
    </w:p>
    <w:p>
      <w:pPr>
        <w:spacing w:before="348" w:line="199" w:lineRule="auto"/>
        <w:ind w:left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客户至上</w:t>
      </w:r>
    </w:p>
    <w:p>
      <w:pPr>
        <w:spacing w:before="348" w:line="860" w:lineRule="exact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position w:val="36"/>
          <w:sz w:val="36"/>
          <w:szCs w:val="36"/>
        </w:rPr>
        <w:t>人工智能的演变</w:t>
      </w:r>
    </w:p>
    <w:p>
      <w:pPr>
        <w:spacing w:line="200" w:lineRule="auto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人工智能管理</w:t>
      </w:r>
    </w:p>
    <w:p>
      <w:pPr>
        <w:pStyle w:val="BodyText"/>
        <w:spacing w:line="14" w:lineRule="auto"/>
        <w:rPr>
          <w:sz w:val="2"/>
        </w:rPr>
        <w:sectPr>
          <w:headerReference w:type="default" r:id="rId5"/>
          <w:pgSz w:w="23040" w:h="12960"/>
          <w:pgMar w:top="1" w:right="0" w:bottom="0" w:left="450" w:header="0" w:footer="0" w:gutter="0"/>
          <w:cols w:num="4" w:space="708" w:equalWidth="0">
            <w:col w:w="11679" w:space="100"/>
            <w:col w:w="905" w:space="100"/>
            <w:col w:w="4158" w:space="100"/>
            <w:col w:w="5550" w:space="0"/>
          </w:cols>
        </w:sectPr>
      </w:pPr>
      <w:r>
        <w:rPr>
          <w:sz w:val="2"/>
          <w:szCs w:val="2"/>
        </w:rPr>
        <w:br w:type="column"/>
      </w:r>
    </w:p>
    <w:p>
      <w:pPr>
        <w:spacing w:line="3606" w:lineRule="exact"/>
      </w:pPr>
      <w:r>
        <w:rPr>
          <w:position w:val="-72"/>
        </w:rPr>
        <w:drawing>
          <wp:inline distT="0" distB="0" distL="0" distR="0">
            <wp:extent cx="3523982" cy="229035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23982" cy="229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6" w:lineRule="exact"/>
        <w:sectPr>
          <w:headerReference w:type="default" r:id="rId7"/>
          <w:type w:val="nextPage"/>
          <w:pgSz w:w="23040" w:h="12960"/>
          <w:pgMar w:top="1" w:right="0" w:bottom="0" w:left="450" w:header="0" w:footer="0" w:gutter="0"/>
          <w:pgNumType w:start="2"/>
          <w:cols w:num="4" w:space="708" w:equalWidth="0">
            <w:col w:w="11679" w:space="100"/>
            <w:col w:w="905" w:space="100"/>
            <w:col w:w="4158" w:space="100"/>
            <w:col w:w="5550" w:space="0"/>
          </w:cols>
          <w:titlePg w:val="0"/>
        </w:sectPr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103" w:line="265" w:lineRule="exact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808285"/>
          <w:spacing w:val="-5"/>
          <w:sz w:val="24"/>
          <w:szCs w:val="24"/>
        </w:rPr>
        <w:t>3     2024营销趋势洞察</w:t>
      </w:r>
    </w:p>
    <w:p>
      <w:pPr>
        <w:spacing w:line="265" w:lineRule="exact"/>
        <w:rPr>
          <w:rFonts w:ascii="Microsoft YaHei" w:eastAsia="Microsoft YaHei" w:hAnsi="Microsoft YaHei" w:cs="Microsoft YaHei"/>
          <w:sz w:val="24"/>
          <w:szCs w:val="24"/>
        </w:rPr>
        <w:sectPr>
          <w:headerReference w:type="default" r:id="rId8"/>
          <w:type w:val="continuous"/>
          <w:pgSz w:w="23040" w:h="12960"/>
          <w:pgMar w:top="1" w:right="0" w:bottom="0" w:left="450" w:header="0" w:footer="0" w:gutter="0"/>
          <w:pgNumType w:start="3"/>
          <w:cols w:num="1" w:space="708" w:equalWidth="0">
            <w:col w:w="22590" w:space="0"/>
          </w:cols>
        </w:sectPr>
      </w:pPr>
    </w:p>
    <w:p>
      <w:pPr>
        <w:pStyle w:val="BodyText"/>
        <w:spacing w:line="3618" w:lineRule="exact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12928602</wp:posOffset>
            </wp:positionH>
            <wp:positionV relativeFrom="page">
              <wp:posOffset>7823207</wp:posOffset>
            </wp:positionV>
            <wp:extent cx="1316990" cy="15234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52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5" type="#_x0000_t202" style="width:491pt;height:181pt;mso-position-horizontal-relative:char;mso-position-vertical-relative:line" filled="t" fillcolor="#25bcbb" stroked="f">
            <o:lock v:ext="edit" aspectratio="f"/>
            <v:textbox inset="0,0,0,0">
              <w:txbxContent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905" w:line="163" w:lineRule="auto"/>
                    <w:ind w:left="962"/>
                    <w:rPr>
                      <w:rFonts w:ascii="Microsoft YaHei" w:eastAsia="Microsoft YaHei" w:hAnsi="Microsoft YaHei" w:cs="Microsoft YaHei"/>
                      <w:sz w:val="80"/>
                      <w:szCs w:val="80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41"/>
                      <w:w w:val="62"/>
                      <w:position w:val="-33"/>
                      <w:sz w:val="211"/>
                      <w:szCs w:val="211"/>
                    </w:rPr>
                    <w:t>1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63"/>
                      <w:position w:val="-33"/>
                      <w:sz w:val="211"/>
                      <w:szCs w:val="21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"/>
                      <w:position w:val="17"/>
                      <w:sz w:val="80"/>
                      <w:szCs w:val="80"/>
                    </w:rPr>
                    <w:t>基于价值的营销</w:t>
                  </w:r>
                </w:p>
              </w:txbxContent>
            </v:textbox>
            <w10:wrap type="none"/>
          </v:shape>
        </w:pict>
      </w: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ectPr>
          <w:headerReference w:type="default" r:id="rId9"/>
          <w:pgSz w:w="23040" w:h="12960"/>
          <w:pgMar w:top="1" w:right="605" w:bottom="0" w:left="0" w:header="0" w:footer="0" w:gutter="0"/>
          <w:pgNumType w:start="4"/>
          <w:cols w:num="1" w:space="708" w:equalWidth="0">
            <w:col w:w="22435" w:space="0"/>
          </w:cols>
        </w:sectPr>
      </w:pPr>
    </w:p>
    <w:p>
      <w:pPr>
        <w:spacing w:before="66" w:line="193" w:lineRule="auto"/>
        <w:ind w:left="1011" w:right="569" w:hanging="163"/>
        <w:jc w:val="both"/>
        <w:rPr>
          <w:rFonts w:ascii="Microsoft YaHei" w:eastAsia="Microsoft YaHei" w:hAnsi="Microsoft YaHei" w:cs="Microsoft YaHei"/>
          <w:sz w:val="34"/>
          <w:szCs w:val="34"/>
        </w:rPr>
      </w:pPr>
      <w:r>
        <w:rPr>
          <w:rFonts w:ascii="Microsoft YaHei" w:eastAsia="Microsoft YaHei" w:hAnsi="Microsoft YaHei" w:cs="Microsoft YaHei"/>
          <w:color w:val="000101"/>
          <w:spacing w:val="-7"/>
          <w:sz w:val="34"/>
          <w:szCs w:val="34"/>
        </w:rPr>
        <w:t>“基于价值的营销”是一种迎合消费者突出社会价值观或受其启发的</w:t>
      </w:r>
      <w:r>
        <w:rPr>
          <w:rFonts w:ascii="Microsoft YaHei" w:eastAsia="Microsoft YaHei" w:hAnsi="Microsoft YaHei" w:cs="Microsoft YaHei"/>
          <w:color w:val="000101"/>
          <w:spacing w:val="18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11"/>
          <w:sz w:val="34"/>
          <w:szCs w:val="34"/>
        </w:rPr>
        <w:t>营销。品牌通过向消费者提供最有价值的产品与服务，创造出新</w:t>
      </w:r>
      <w:r>
        <w:rPr>
          <w:rFonts w:ascii="Microsoft YaHei" w:eastAsia="Microsoft YaHei" w:hAnsi="Microsoft YaHei" w:cs="Microsoft YaHei"/>
          <w:color w:val="000101"/>
          <w:spacing w:val="12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-2"/>
          <w:sz w:val="34"/>
          <w:szCs w:val="34"/>
        </w:rPr>
        <w:t>的竞争优势取胜。</w:t>
      </w:r>
    </w:p>
    <w:p>
      <w:pPr>
        <w:pStyle w:val="BodyText"/>
        <w:spacing w:line="374" w:lineRule="auto"/>
      </w:pPr>
    </w:p>
    <w:p>
      <w:pPr>
        <w:spacing w:before="145" w:line="195" w:lineRule="auto"/>
        <w:ind w:left="1009" w:right="491" w:firstLine="1"/>
        <w:jc w:val="both"/>
        <w:rPr>
          <w:rFonts w:ascii="Microsoft YaHei" w:eastAsia="Microsoft YaHei" w:hAnsi="Microsoft YaHei" w:cs="Microsoft YaHei"/>
          <w:sz w:val="34"/>
          <w:szCs w:val="34"/>
        </w:rPr>
      </w:pPr>
      <w:r>
        <w:rPr>
          <w:rFonts w:ascii="Microsoft YaHei" w:eastAsia="Microsoft YaHei" w:hAnsi="Microsoft YaHei" w:cs="Microsoft YaHei"/>
          <w:color w:val="000101"/>
          <w:spacing w:val="-1"/>
          <w:sz w:val="34"/>
          <w:szCs w:val="34"/>
        </w:rPr>
        <w:t xml:space="preserve">使用基于价值的营销是品牌对消费趋势的自然反应。统计表明，消 </w:t>
      </w:r>
      <w:r>
        <w:rPr>
          <w:rFonts w:ascii="Microsoft YaHei" w:eastAsia="Microsoft YaHei" w:hAnsi="Microsoft YaHei" w:cs="Microsoft YaHei"/>
          <w:color w:val="000101"/>
          <w:sz w:val="34"/>
          <w:szCs w:val="34"/>
        </w:rPr>
        <w:t>费者，特别是</w:t>
      </w:r>
      <w:r>
        <w:rPr>
          <w:rFonts w:ascii="Microsoft YaHei" w:eastAsia="Microsoft YaHei" w:hAnsi="Microsoft YaHei" w:cs="Microsoft YaHei"/>
          <w:color w:val="000101"/>
          <w:spacing w:val="36"/>
          <w:sz w:val="34"/>
          <w:szCs w:val="34"/>
        </w:rPr>
        <w:t xml:space="preserve">  </w:t>
      </w:r>
      <w:r>
        <w:rPr>
          <w:rFonts w:ascii="Microsoft YaHei" w:eastAsia="Microsoft YaHei" w:hAnsi="Microsoft YaHei" w:cs="Microsoft YaHei"/>
          <w:color w:val="000101"/>
          <w:sz w:val="34"/>
          <w:szCs w:val="34"/>
        </w:rPr>
        <w:t>Z</w:t>
      </w:r>
      <w:r>
        <w:rPr>
          <w:rFonts w:ascii="Microsoft YaHei" w:eastAsia="Microsoft YaHei" w:hAnsi="Microsoft YaHei" w:cs="Microsoft YaHei"/>
          <w:color w:val="000101"/>
          <w:spacing w:val="31"/>
          <w:sz w:val="34"/>
          <w:szCs w:val="34"/>
        </w:rPr>
        <w:t xml:space="preserve">  </w:t>
      </w:r>
      <w:r>
        <w:rPr>
          <w:rFonts w:ascii="Microsoft YaHei" w:eastAsia="Microsoft YaHei" w:hAnsi="Microsoft YaHei" w:cs="Microsoft YaHei"/>
          <w:color w:val="000101"/>
          <w:sz w:val="34"/>
          <w:szCs w:val="34"/>
        </w:rPr>
        <w:t>世代和千禧一代，越来越被那些不仅提供</w:t>
      </w:r>
      <w:r>
        <w:rPr>
          <w:rFonts w:ascii="Microsoft YaHei" w:eastAsia="Microsoft YaHei" w:hAnsi="Microsoft YaHei" w:cs="Microsoft YaHei"/>
          <w:color w:val="000101"/>
          <w:spacing w:val="-1"/>
          <w:sz w:val="34"/>
          <w:szCs w:val="34"/>
        </w:rPr>
        <w:t>优质产</w:t>
      </w:r>
      <w:r>
        <w:rPr>
          <w:rFonts w:ascii="Microsoft YaHei" w:eastAsia="Microsoft YaHei" w:hAnsi="Microsoft YaHei" w:cs="Microsoft YaHei"/>
          <w:color w:val="000101"/>
          <w:spacing w:val="1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10"/>
          <w:sz w:val="34"/>
          <w:szCs w:val="34"/>
        </w:rPr>
        <w:t>品，</w:t>
      </w:r>
      <w:r>
        <w:rPr>
          <w:rFonts w:ascii="Microsoft YaHei" w:eastAsia="Microsoft YaHei" w:hAnsi="Microsoft YaHei" w:cs="Microsoft YaHei"/>
          <w:color w:val="000101"/>
          <w:spacing w:val="-66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10"/>
          <w:sz w:val="34"/>
          <w:szCs w:val="34"/>
        </w:rPr>
        <w:t xml:space="preserve">而且体现可持续发展、社会责任和包容性等价值观的品牌所 </w:t>
      </w:r>
      <w:r>
        <w:rPr>
          <w:rFonts w:ascii="Microsoft YaHei" w:eastAsia="Microsoft YaHei" w:hAnsi="Microsoft YaHei" w:cs="Microsoft YaHei"/>
          <w:color w:val="000101"/>
          <w:spacing w:val="11"/>
          <w:sz w:val="34"/>
          <w:szCs w:val="34"/>
        </w:rPr>
        <w:t>吸引。消费者正在寻求与他们支持的品牌建立有意义的联系，重</w:t>
      </w:r>
      <w:r>
        <w:rPr>
          <w:rFonts w:ascii="Microsoft YaHei" w:eastAsia="Microsoft YaHei" w:hAnsi="Microsoft YaHei" w:cs="Microsoft YaHei"/>
          <w:color w:val="000101"/>
          <w:spacing w:val="2"/>
          <w:sz w:val="34"/>
          <w:szCs w:val="34"/>
        </w:rPr>
        <w:t xml:space="preserve">  </w:t>
      </w:r>
      <w:r>
        <w:rPr>
          <w:rFonts w:ascii="Microsoft YaHei" w:eastAsia="Microsoft YaHei" w:hAnsi="Microsoft YaHei" w:cs="Microsoft YaHei"/>
          <w:color w:val="000101"/>
          <w:spacing w:val="4"/>
          <w:sz w:val="34"/>
          <w:szCs w:val="34"/>
        </w:rPr>
        <w:t>视道德实践和使命感，而不是单纯的交易。</w:t>
      </w:r>
    </w:p>
    <w:p>
      <w:pPr>
        <w:pStyle w:val="BodyText"/>
        <w:spacing w:line="358" w:lineRule="auto"/>
      </w:pPr>
    </w:p>
    <w:p>
      <w:pPr>
        <w:spacing w:before="147" w:line="179" w:lineRule="auto"/>
        <w:ind w:left="1008" w:right="567"/>
        <w:jc w:val="both"/>
        <w:rPr>
          <w:rFonts w:ascii="Microsoft YaHei" w:eastAsia="Microsoft YaHei" w:hAnsi="Microsoft YaHei" w:cs="Microsoft YaHei"/>
          <w:sz w:val="34"/>
          <w:szCs w:val="34"/>
        </w:rPr>
      </w:pPr>
      <w:r>
        <w:rPr>
          <w:rFonts w:ascii="Microsoft YaHei" w:eastAsia="Microsoft YaHei" w:hAnsi="Microsoft YaHei" w:cs="Microsoft YaHei"/>
          <w:color w:val="000101"/>
          <w:spacing w:val="24"/>
          <w:sz w:val="34"/>
          <w:szCs w:val="34"/>
        </w:rPr>
        <w:t>如今，品牌面临着越来越大的压力，需要展示他们对社会的承</w:t>
      </w:r>
      <w:r>
        <w:rPr>
          <w:rFonts w:ascii="Microsoft YaHei" w:eastAsia="Microsoft YaHei" w:hAnsi="Microsoft YaHei" w:cs="Microsoft YaHei"/>
          <w:color w:val="000101"/>
          <w:spacing w:val="14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11"/>
          <w:sz w:val="34"/>
          <w:szCs w:val="34"/>
        </w:rPr>
        <w:t>诺，</w:t>
      </w:r>
      <w:r>
        <w:rPr>
          <w:rFonts w:ascii="Microsoft YaHei" w:eastAsia="Microsoft YaHei" w:hAnsi="Microsoft YaHei" w:cs="Microsoft YaHei"/>
          <w:color w:val="000101"/>
          <w:spacing w:val="-72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11"/>
          <w:sz w:val="34"/>
          <w:szCs w:val="34"/>
        </w:rPr>
        <w:t>而不仅仅是口头上的承诺。这使企业面临被</w:t>
      </w:r>
      <w:r>
        <w:rPr>
          <w:rFonts w:ascii="Microsoft YaHei" w:eastAsia="Microsoft YaHei" w:hAnsi="Microsoft YaHei" w:cs="Microsoft YaHei"/>
          <w:color w:val="000101"/>
          <w:spacing w:val="10"/>
          <w:sz w:val="34"/>
          <w:szCs w:val="34"/>
        </w:rPr>
        <w:t>批评的风险。也</w:t>
      </w:r>
      <w:r>
        <w:rPr>
          <w:rFonts w:ascii="Microsoft YaHei" w:eastAsia="Microsoft YaHei" w:hAnsi="Microsoft YaHei" w:cs="Microsoft YaHei"/>
          <w:color w:val="000101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16"/>
          <w:sz w:val="34"/>
          <w:szCs w:val="34"/>
        </w:rPr>
        <w:t>就是说，表示对某项事业的支持或不采取任何有意义的行动。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7" w:line="193" w:lineRule="auto"/>
        <w:ind w:left="2" w:right="912"/>
        <w:rPr>
          <w:rFonts w:ascii="Microsoft YaHei" w:eastAsia="Microsoft YaHei" w:hAnsi="Microsoft YaHei" w:cs="Microsoft YaHei"/>
          <w:sz w:val="34"/>
          <w:szCs w:val="34"/>
        </w:rPr>
      </w:pPr>
      <w:r>
        <w:rPr>
          <w:rFonts w:ascii="Microsoft YaHei" w:eastAsia="Microsoft YaHei" w:hAnsi="Microsoft YaHei" w:cs="Microsoft YaHei"/>
          <w:color w:val="000101"/>
          <w:spacing w:val="10"/>
          <w:sz w:val="34"/>
          <w:szCs w:val="34"/>
        </w:rPr>
        <w:t>现在，我们看到一种新的消费者反应正在加入其中，这主要是受</w:t>
      </w:r>
      <w:r>
        <w:rPr>
          <w:rFonts w:ascii="Microsoft YaHei" w:eastAsia="Microsoft YaHei" w:hAnsi="Microsoft YaHei" w:cs="Microsoft YaHei"/>
          <w:color w:val="000101"/>
          <w:sz w:val="34"/>
          <w:szCs w:val="34"/>
        </w:rPr>
        <w:t xml:space="preserve">   </w:t>
      </w:r>
      <w:r>
        <w:rPr>
          <w:rFonts w:ascii="Microsoft YaHei" w:eastAsia="Microsoft YaHei" w:hAnsi="Microsoft YaHei" w:cs="Microsoft YaHei"/>
          <w:color w:val="000101"/>
          <w:spacing w:val="-12"/>
          <w:sz w:val="34"/>
          <w:szCs w:val="34"/>
        </w:rPr>
        <w:t>到全球各地“反觉醒”政治言论浪潮的推动。当善意的</w:t>
      </w:r>
      <w:r>
        <w:rPr>
          <w:rFonts w:ascii="Microsoft YaHei" w:eastAsia="Microsoft YaHei" w:hAnsi="Microsoft YaHei" w:cs="Microsoft YaHei"/>
          <w:color w:val="000101"/>
          <w:spacing w:val="-13"/>
          <w:sz w:val="34"/>
          <w:szCs w:val="34"/>
        </w:rPr>
        <w:t xml:space="preserve">品牌参与上述  </w:t>
      </w:r>
      <w:r>
        <w:rPr>
          <w:rFonts w:ascii="Microsoft YaHei" w:eastAsia="Microsoft YaHei" w:hAnsi="Microsoft YaHei" w:cs="Microsoft YaHei"/>
          <w:color w:val="000101"/>
          <w:spacing w:val="4"/>
          <w:sz w:val="34"/>
          <w:szCs w:val="34"/>
        </w:rPr>
        <w:t>宣传活动时，消费者表达了他们的不满，</w:t>
      </w:r>
      <w:r>
        <w:rPr>
          <w:rFonts w:ascii="Microsoft YaHei" w:eastAsia="Microsoft YaHei" w:hAnsi="Microsoft YaHei" w:cs="Microsoft YaHei"/>
          <w:color w:val="000101"/>
          <w:spacing w:val="-79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4"/>
          <w:sz w:val="34"/>
          <w:szCs w:val="34"/>
        </w:rPr>
        <w:t>而品</w:t>
      </w:r>
      <w:r>
        <w:rPr>
          <w:rFonts w:ascii="Microsoft YaHei" w:eastAsia="Microsoft YaHei" w:hAnsi="Microsoft YaHei" w:cs="Microsoft YaHei"/>
          <w:color w:val="000101"/>
          <w:spacing w:val="3"/>
          <w:sz w:val="34"/>
          <w:szCs w:val="34"/>
        </w:rPr>
        <w:t>牌的利润也因此大幅</w:t>
      </w:r>
      <w:r>
        <w:rPr>
          <w:rFonts w:ascii="Microsoft YaHei" w:eastAsia="Microsoft YaHei" w:hAnsi="Microsoft YaHei" w:cs="Microsoft YaHei"/>
          <w:color w:val="000101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7"/>
          <w:sz w:val="34"/>
          <w:szCs w:val="34"/>
        </w:rPr>
        <w:t>下降。</w:t>
      </w:r>
    </w:p>
    <w:p>
      <w:pPr>
        <w:pStyle w:val="BodyText"/>
        <w:spacing w:line="371" w:lineRule="auto"/>
      </w:pPr>
    </w:p>
    <w:p>
      <w:pPr>
        <w:spacing w:before="146" w:line="189" w:lineRule="auto"/>
        <w:ind w:right="932" w:firstLine="12"/>
        <w:rPr>
          <w:rFonts w:ascii="Microsoft YaHei" w:eastAsia="Microsoft YaHei" w:hAnsi="Microsoft YaHei" w:cs="Microsoft YaHei"/>
          <w:sz w:val="34"/>
          <w:szCs w:val="34"/>
        </w:rPr>
      </w:pPr>
      <w:r>
        <w:rPr>
          <w:rFonts w:ascii="Microsoft YaHei" w:eastAsia="Microsoft YaHei" w:hAnsi="Microsoft YaHei" w:cs="Microsoft YaHei"/>
          <w:color w:val="000101"/>
          <w:spacing w:val="-4"/>
          <w:sz w:val="34"/>
          <w:szCs w:val="34"/>
        </w:rPr>
        <w:t>当然，在规划吸引Z世代和千禧一代消费能力的营销活动和举措时，</w:t>
      </w:r>
      <w:r>
        <w:rPr>
          <w:rFonts w:ascii="Microsoft YaHei" w:eastAsia="Microsoft YaHei" w:hAnsi="Microsoft YaHei" w:cs="Microsoft YaHei"/>
          <w:color w:val="000101"/>
          <w:spacing w:val="8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6"/>
          <w:sz w:val="34"/>
          <w:szCs w:val="34"/>
        </w:rPr>
        <w:t>这会带来一个更加棘手和更加复杂的困境。</w:t>
      </w:r>
    </w:p>
    <w:p>
      <w:pPr>
        <w:pStyle w:val="BodyText"/>
        <w:spacing w:line="373" w:lineRule="auto"/>
      </w:pPr>
    </w:p>
    <w:p>
      <w:pPr>
        <w:spacing w:before="145" w:line="192" w:lineRule="auto"/>
        <w:ind w:right="1126"/>
        <w:rPr>
          <w:rFonts w:ascii="Microsoft YaHei" w:eastAsia="Microsoft YaHei" w:hAnsi="Microsoft YaHei" w:cs="Microsoft YaHei"/>
          <w:sz w:val="34"/>
          <w:szCs w:val="34"/>
        </w:rPr>
      </w:pPr>
      <w:r>
        <w:rPr>
          <w:rFonts w:ascii="Microsoft YaHei" w:eastAsia="Microsoft YaHei" w:hAnsi="Microsoft YaHei" w:cs="Microsoft YaHei"/>
          <w:color w:val="000101"/>
          <w:spacing w:val="-6"/>
          <w:sz w:val="34"/>
          <w:szCs w:val="34"/>
        </w:rPr>
        <w:t>接下来我们通过几个不同的案例</w:t>
      </w:r>
      <w:r>
        <w:rPr>
          <w:rFonts w:ascii="Microsoft YaHei" w:eastAsia="Microsoft YaHei" w:hAnsi="Microsoft YaHei" w:cs="Microsoft YaHei"/>
          <w:color w:val="000101"/>
          <w:spacing w:val="-46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-6"/>
          <w:sz w:val="34"/>
          <w:szCs w:val="34"/>
        </w:rPr>
        <w:t>，</w:t>
      </w:r>
      <w:r>
        <w:rPr>
          <w:rFonts w:ascii="Microsoft YaHei" w:eastAsia="Microsoft YaHei" w:hAnsi="Microsoft YaHei" w:cs="Microsoft YaHei"/>
          <w:color w:val="000101"/>
          <w:spacing w:val="-64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-6"/>
          <w:sz w:val="34"/>
          <w:szCs w:val="34"/>
        </w:rPr>
        <w:t>了解品牌尽职调查是多么重要；</w:t>
      </w:r>
      <w:r>
        <w:rPr>
          <w:rFonts w:ascii="Microsoft YaHei" w:eastAsia="Microsoft YaHei" w:hAnsi="Microsoft YaHei" w:cs="Microsoft YaHei"/>
          <w:color w:val="000101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-7"/>
          <w:sz w:val="34"/>
          <w:szCs w:val="34"/>
        </w:rPr>
        <w:t>不仅是出于声誉原因，</w:t>
      </w:r>
      <w:r>
        <w:rPr>
          <w:rFonts w:ascii="Microsoft YaHei" w:eastAsia="Microsoft YaHei" w:hAnsi="Microsoft YaHei" w:cs="Microsoft YaHei"/>
          <w:color w:val="000101"/>
          <w:spacing w:val="53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000101"/>
          <w:spacing w:val="-7"/>
          <w:sz w:val="34"/>
          <w:szCs w:val="34"/>
        </w:rPr>
        <w:t>而且是为了真正的财务影响。</w:t>
      </w:r>
    </w:p>
    <w:p>
      <w:pPr>
        <w:spacing w:line="192" w:lineRule="auto"/>
        <w:rPr>
          <w:rFonts w:ascii="Microsoft YaHei" w:eastAsia="Microsoft YaHei" w:hAnsi="Microsoft YaHei" w:cs="Microsoft YaHei"/>
          <w:sz w:val="34"/>
          <w:szCs w:val="34"/>
        </w:rPr>
        <w:sectPr>
          <w:headerReference w:type="default" r:id="rId10"/>
          <w:type w:val="continuous"/>
          <w:pgSz w:w="23040" w:h="12960"/>
          <w:pgMar w:top="1" w:right="605" w:bottom="0" w:left="0" w:header="0" w:footer="0" w:gutter="0"/>
          <w:pgNumType w:start="5"/>
          <w:cols w:num="2" w:space="708" w:equalWidth="0">
            <w:col w:w="11428" w:space="100"/>
            <w:col w:w="10907" w:space="0"/>
          </w:cols>
        </w:sectPr>
      </w:pPr>
    </w:p>
    <w:p>
      <w:pPr>
        <w:pStyle w:val="BodyText"/>
        <w:spacing w:line="279" w:lineRule="auto"/>
        <w:sectPr>
          <w:headerReference w:type="default" r:id="rId11"/>
          <w:type w:val="continuous"/>
          <w:pgSz w:w="23040" w:h="12960"/>
          <w:pgMar w:top="1" w:right="605" w:bottom="0" w:left="0" w:header="0" w:footer="0" w:gutter="0"/>
          <w:pgNumType w:start="6"/>
          <w:cols w:num="1" w:space="708" w:equalWidth="0">
            <w:col w:w="22435" w:space="0"/>
          </w:cols>
        </w:sectPr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spacing w:before="103" w:line="265" w:lineRule="exact"/>
        <w:ind w:left="43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808285"/>
          <w:spacing w:val="-4"/>
          <w:sz w:val="24"/>
          <w:szCs w:val="24"/>
        </w:rPr>
        <w:t>4     2024营销趋势洞察</w:t>
      </w:r>
    </w:p>
    <w:p>
      <w:pPr>
        <w:spacing w:line="265" w:lineRule="exact"/>
        <w:rPr>
          <w:rFonts w:ascii="Microsoft YaHei" w:eastAsia="Microsoft YaHei" w:hAnsi="Microsoft YaHei" w:cs="Microsoft YaHei"/>
          <w:sz w:val="24"/>
          <w:szCs w:val="24"/>
        </w:rPr>
        <w:sectPr>
          <w:headerReference w:type="default" r:id="rId12"/>
          <w:type w:val="nextPage"/>
          <w:pgSz w:w="23040" w:h="12960"/>
          <w:pgMar w:top="1" w:right="605" w:bottom="0" w:left="0" w:header="0" w:footer="0" w:gutter="0"/>
          <w:pgNumType w:start="7"/>
          <w:cols w:num="1" w:space="708" w:equalWidth="0">
            <w:col w:w="22435" w:space="0"/>
          </w:cols>
          <w:titlePg w:val="0"/>
        </w:sectPr>
      </w:pPr>
    </w:p>
    <w:p>
      <w:pPr>
        <w:spacing w:before="64"/>
      </w:pPr>
      <w:r>
        <w:pict>
          <v:rect id="_x0000_s1026" style="width:268.05pt;height:0.5pt;margin-top:476pt;margin-left:665.5pt;mso-position-horizontal-relative:page;mso-position-vertical-relative:page;position:absolute;z-index:251661312" o:allowincell="f" filled="t" fillcolor="black" stroked="f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8413796</wp:posOffset>
            </wp:positionH>
            <wp:positionV relativeFrom="page">
              <wp:posOffset>3943377</wp:posOffset>
            </wp:positionV>
            <wp:extent cx="368247" cy="38728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8247" cy="387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3"/>
      </w:pPr>
    </w:p>
    <w:p>
      <w:pPr>
        <w:sectPr>
          <w:headerReference w:type="default" r:id="rId14"/>
          <w:pgSz w:w="23040" w:h="12960"/>
          <w:pgMar w:top="400" w:right="640" w:bottom="0" w:left="0" w:header="0" w:footer="0" w:gutter="0"/>
          <w:pgNumType w:start="8"/>
          <w:cols w:num="1" w:space="708" w:equalWidth="0">
            <w:col w:w="22400" w:space="0"/>
          </w:cols>
        </w:sectPr>
      </w:pPr>
    </w:p>
    <w:p>
      <w:pPr>
        <w:spacing w:line="590" w:lineRule="exact"/>
      </w:pPr>
      <w:r>
        <w:rPr>
          <w:position w:val="-11"/>
        </w:rPr>
        <w:pict>
          <v:shape id="_x0000_i1027" type="#_x0000_t202" style="width:446pt;height:29.55pt;mso-position-horizontal-relative:char;mso-position-vertical-relative:line" filled="t" fillcolor="#27bbbc" stroked="f">
            <o:lock v:ext="edit" aspectratio="f"/>
            <v:textbox inset="0,0,0,0">
              <w:txbxContent>
                <w:p>
                  <w:pPr>
                    <w:spacing w:before="141" w:line="221" w:lineRule="auto"/>
                    <w:ind w:left="994"/>
                    <w:rPr>
                      <w:rFonts w:ascii="YouYuan" w:eastAsia="YouYuan" w:hAnsi="YouYuan" w:cs="YouYuan"/>
                      <w:sz w:val="34"/>
                      <w:szCs w:val="34"/>
                    </w:rPr>
                  </w:pPr>
                  <w:r>
                    <w:rPr>
                      <w:rFonts w:ascii="YouYuan" w:eastAsia="YouYuan" w:hAnsi="YouYuan" w:cs="YouYuan"/>
                      <w:b/>
                      <w:bCs/>
                      <w:color w:val="FFFFFF"/>
                      <w:spacing w:val="-5"/>
                      <w:sz w:val="34"/>
                      <w:szCs w:val="34"/>
                    </w:rPr>
                    <w:t>基于价值的营销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46" w:lineRule="auto"/>
      </w:pPr>
    </w:p>
    <w:p>
      <w:pPr>
        <w:pStyle w:val="BodyText"/>
        <w:spacing w:before="111" w:line="251" w:lineRule="auto"/>
        <w:ind w:left="990" w:right="731"/>
        <w:rPr>
          <w:rFonts w:ascii="YouYuan" w:eastAsia="YouYuan" w:hAnsi="YouYuan" w:cs="YouYuan"/>
          <w:sz w:val="34"/>
          <w:szCs w:val="34"/>
        </w:rPr>
      </w:pPr>
      <w:r>
        <w:rPr>
          <w:rFonts w:ascii="YouYuan" w:eastAsia="YouYuan" w:hAnsi="YouYuan" w:cs="YouYuan"/>
          <w:spacing w:val="-6"/>
          <w:sz w:val="34"/>
          <w:szCs w:val="34"/>
        </w:rPr>
        <w:t>百威淡啤</w:t>
      </w:r>
      <w:r>
        <w:rPr>
          <w:spacing w:val="-6"/>
          <w:sz w:val="34"/>
          <w:szCs w:val="34"/>
        </w:rPr>
        <w:t>(Bud</w:t>
      </w:r>
      <w:r>
        <w:rPr>
          <w:spacing w:val="48"/>
          <w:sz w:val="34"/>
          <w:szCs w:val="34"/>
        </w:rPr>
        <w:t xml:space="preserve"> </w:t>
      </w:r>
      <w:r>
        <w:rPr>
          <w:spacing w:val="-6"/>
          <w:sz w:val="34"/>
          <w:szCs w:val="34"/>
        </w:rPr>
        <w:t>Light)</w:t>
      </w:r>
      <w:r>
        <w:rPr>
          <w:rFonts w:ascii="YouYuan" w:eastAsia="YouYuan" w:hAnsi="YouYuan" w:cs="YouYuan"/>
          <w:spacing w:val="-6"/>
          <w:sz w:val="34"/>
          <w:szCs w:val="34"/>
        </w:rPr>
        <w:t>向流行社交媒体名人和跨性别活动家迪伦·马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2"/>
          <w:sz w:val="34"/>
          <w:szCs w:val="34"/>
        </w:rPr>
        <w:t>尔瓦尼</w:t>
      </w:r>
      <w:r>
        <w:rPr>
          <w:color w:val="004D9A"/>
          <w:spacing w:val="2"/>
          <w:sz w:val="34"/>
          <w:szCs w:val="34"/>
        </w:rPr>
        <w:t>(</w:t>
      </w:r>
      <w:r>
        <w:rPr>
          <w:color w:val="004D9A"/>
          <w:sz w:val="34"/>
          <w:szCs w:val="34"/>
        </w:rPr>
        <w:t>Dylan</w:t>
      </w:r>
      <w:r>
        <w:rPr>
          <w:color w:val="004D9A"/>
          <w:spacing w:val="24"/>
          <w:sz w:val="34"/>
          <w:szCs w:val="34"/>
        </w:rPr>
        <w:t xml:space="preserve"> </w:t>
      </w:r>
      <w:r>
        <w:rPr>
          <w:color w:val="004D9A"/>
          <w:sz w:val="34"/>
          <w:szCs w:val="34"/>
        </w:rPr>
        <w:t>Mulvaney</w:t>
      </w:r>
      <w:r>
        <w:rPr>
          <w:color w:val="004D9A"/>
          <w:spacing w:val="2"/>
          <w:sz w:val="34"/>
          <w:szCs w:val="34"/>
        </w:rPr>
        <w:t>)</w:t>
      </w:r>
      <w:r>
        <w:rPr>
          <w:rFonts w:ascii="YouYuan" w:eastAsia="YouYuan" w:hAnsi="YouYuan" w:cs="YouYuan"/>
          <w:color w:val="004D9A"/>
          <w:spacing w:val="2"/>
          <w:sz w:val="34"/>
          <w:szCs w:val="34"/>
        </w:rPr>
        <w:t>赠</w:t>
      </w:r>
      <w:r>
        <w:rPr>
          <w:rFonts w:ascii="YouYuan" w:eastAsia="YouYuan" w:hAnsi="YouYuan" w:cs="YouYuan"/>
          <w:spacing w:val="2"/>
          <w:sz w:val="34"/>
          <w:szCs w:val="34"/>
        </w:rPr>
        <w:t>送了一套</w:t>
      </w:r>
      <w:r>
        <w:rPr>
          <w:rFonts w:ascii="YouYuan" w:eastAsia="YouYuan" w:hAnsi="YouYuan" w:cs="YouYuan"/>
          <w:color w:val="004D9A"/>
          <w:spacing w:val="2"/>
          <w:sz w:val="34"/>
          <w:szCs w:val="34"/>
        </w:rPr>
        <w:t>个性化</w:t>
      </w:r>
      <w:r>
        <w:rPr>
          <w:rFonts w:ascii="YouYuan" w:eastAsia="YouYuan" w:hAnsi="YouYuan" w:cs="YouYuan"/>
          <w:spacing w:val="2"/>
          <w:sz w:val="34"/>
          <w:szCs w:val="34"/>
        </w:rPr>
        <w:t>的</w:t>
      </w:r>
      <w:r>
        <w:rPr>
          <w:rFonts w:ascii="YouYuan" w:eastAsia="YouYuan" w:hAnsi="YouYuan" w:cs="YouYuan"/>
          <w:color w:val="004D9A"/>
          <w:spacing w:val="2"/>
          <w:sz w:val="34"/>
          <w:szCs w:val="34"/>
        </w:rPr>
        <w:t>罐</w:t>
      </w:r>
      <w:r>
        <w:rPr>
          <w:rFonts w:ascii="YouYuan" w:eastAsia="YouYuan" w:hAnsi="YouYuan" w:cs="YouYuan"/>
          <w:spacing w:val="2"/>
          <w:sz w:val="34"/>
          <w:szCs w:val="34"/>
        </w:rPr>
        <w:t>装啤酒</w:t>
      </w:r>
      <w:r>
        <w:rPr>
          <w:rFonts w:ascii="YouYuan" w:eastAsia="YouYuan" w:hAnsi="YouYuan" w:cs="YouYuan"/>
          <w:color w:val="004D9A"/>
          <w:spacing w:val="2"/>
          <w:sz w:val="34"/>
          <w:szCs w:val="34"/>
        </w:rPr>
        <w:t>，以</w:t>
      </w:r>
      <w:r>
        <w:rPr>
          <w:rFonts w:ascii="YouYuan" w:eastAsia="YouYuan" w:hAnsi="YouYuan" w:cs="YouYuan"/>
          <w:spacing w:val="2"/>
          <w:sz w:val="34"/>
          <w:szCs w:val="34"/>
        </w:rPr>
        <w:t>纪念</w:t>
      </w:r>
      <w:r>
        <w:rPr>
          <w:rFonts w:ascii="YouYuan" w:eastAsia="YouYuan" w:hAnsi="YouYuan" w:cs="YouYuan"/>
          <w:sz w:val="34"/>
          <w:szCs w:val="34"/>
        </w:rPr>
        <w:t xml:space="preserve">  </w:t>
      </w:r>
      <w:r>
        <w:rPr>
          <w:rFonts w:ascii="YouYuan" w:eastAsia="YouYuan" w:hAnsi="YouYuan" w:cs="YouYuan"/>
          <w:spacing w:val="-2"/>
          <w:sz w:val="34"/>
          <w:szCs w:val="34"/>
        </w:rPr>
        <w:t>她作为女性真实生活一整年的里程碑。没有人能预料到该公司会</w:t>
      </w:r>
      <w:r>
        <w:rPr>
          <w:rFonts w:ascii="YouYuan" w:eastAsia="YouYuan" w:hAnsi="YouYuan" w:cs="YouYuan"/>
          <w:spacing w:val="5"/>
          <w:sz w:val="34"/>
          <w:szCs w:val="34"/>
        </w:rPr>
        <w:t xml:space="preserve">  </w:t>
      </w:r>
      <w:r>
        <w:rPr>
          <w:rFonts w:ascii="YouYuan" w:eastAsia="YouYuan" w:hAnsi="YouYuan" w:cs="YouYuan"/>
          <w:spacing w:val="-3"/>
          <w:sz w:val="34"/>
          <w:szCs w:val="34"/>
        </w:rPr>
        <w:t>遭到其核心消费者群体的迅速而强烈的抵制。</w:t>
      </w:r>
    </w:p>
    <w:p>
      <w:pPr>
        <w:pStyle w:val="BodyText"/>
        <w:spacing w:line="450" w:lineRule="auto"/>
      </w:pPr>
    </w:p>
    <w:p>
      <w:pPr>
        <w:spacing w:before="111"/>
        <w:ind w:left="990" w:right="922"/>
        <w:jc w:val="both"/>
        <w:rPr>
          <w:rFonts w:ascii="YouYuan" w:eastAsia="YouYuan" w:hAnsi="YouYuan" w:cs="YouYuan"/>
          <w:sz w:val="34"/>
          <w:szCs w:val="34"/>
        </w:rPr>
      </w:pPr>
      <w:r>
        <w:rPr>
          <w:rFonts w:ascii="YouYuan" w:eastAsia="YouYuan" w:hAnsi="YouYuan" w:cs="YouYuan"/>
          <w:spacing w:val="-2"/>
          <w:sz w:val="34"/>
          <w:szCs w:val="34"/>
        </w:rPr>
        <w:t>马尔瓦尼发布了百威淡啤的赞助促销活动，宣布举办竞赛和现金</w:t>
      </w:r>
      <w:r>
        <w:rPr>
          <w:rFonts w:ascii="YouYuan" w:eastAsia="YouYuan" w:hAnsi="YouYuan" w:cs="YouYuan"/>
          <w:spacing w:val="12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3"/>
          <w:sz w:val="34"/>
          <w:szCs w:val="34"/>
        </w:rPr>
        <w:t>奖励以庆祝疯狂三月。在接下来的几天和几周内，马尔瓦尼和百</w:t>
      </w:r>
      <w:r>
        <w:rPr>
          <w:rFonts w:ascii="YouYuan" w:eastAsia="YouYuan" w:hAnsi="YouYuan" w:cs="YouYuan"/>
          <w:spacing w:val="8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5"/>
          <w:sz w:val="34"/>
          <w:szCs w:val="34"/>
        </w:rPr>
        <w:t>威淡啤都受到了巨大的反对。</w:t>
      </w:r>
    </w:p>
    <w:p>
      <w:pPr>
        <w:pStyle w:val="BodyText"/>
        <w:spacing w:line="462" w:lineRule="auto"/>
      </w:pPr>
    </w:p>
    <w:p>
      <w:pPr>
        <w:spacing w:before="110" w:line="246" w:lineRule="auto"/>
        <w:ind w:left="990" w:right="820"/>
        <w:jc w:val="both"/>
        <w:rPr>
          <w:rFonts w:ascii="YouYuan" w:eastAsia="YouYuan" w:hAnsi="YouYuan" w:cs="YouYuan"/>
          <w:sz w:val="34"/>
          <w:szCs w:val="34"/>
        </w:rPr>
      </w:pPr>
      <w:r>
        <w:rPr>
          <w:rFonts w:ascii="YouYuan" w:eastAsia="YouYuan" w:hAnsi="YouYuan" w:cs="YouYuan"/>
          <w:spacing w:val="-2"/>
          <w:sz w:val="34"/>
          <w:szCs w:val="34"/>
        </w:rPr>
        <w:t>马尔瓦尼面临死亡威胁和贬低言论。百威淡啤遭到某</w:t>
      </w:r>
      <w:r>
        <w:rPr>
          <w:rFonts w:ascii="YouYuan" w:eastAsia="YouYuan" w:hAnsi="YouYuan" w:cs="YouYuan"/>
          <w:spacing w:val="-3"/>
          <w:sz w:val="34"/>
          <w:szCs w:val="34"/>
        </w:rPr>
        <w:t>些消费者的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17"/>
          <w:w w:val="99"/>
          <w:sz w:val="34"/>
          <w:szCs w:val="34"/>
        </w:rPr>
        <w:t>公开嘲笑和抵制，他们指责这家啤酒公司“不</w:t>
      </w:r>
      <w:r>
        <w:rPr>
          <w:rFonts w:ascii="YouYuan" w:eastAsia="YouYuan" w:hAnsi="YouYuan" w:cs="YouYuan"/>
          <w:spacing w:val="-18"/>
          <w:w w:val="99"/>
          <w:sz w:val="34"/>
          <w:szCs w:val="34"/>
        </w:rPr>
        <w:t>了解他们的受众”和“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YouYuan" w:eastAsia="YouYuan" w:hAnsi="YouYuan" w:cs="YouYuan"/>
          <w:color w:val="F27900"/>
          <w:spacing w:val="-18"/>
          <w:w w:val="96"/>
          <w:sz w:val="34"/>
          <w:szCs w:val="34"/>
        </w:rPr>
        <w:t>迎</w:t>
      </w:r>
      <w:r>
        <w:rPr>
          <w:rFonts w:ascii="YouYuan" w:eastAsia="YouYuan" w:hAnsi="YouYuan" w:cs="YouYuan"/>
          <w:spacing w:val="-18"/>
          <w:w w:val="96"/>
          <w:sz w:val="34"/>
          <w:szCs w:val="34"/>
        </w:rPr>
        <w:t>合左</w:t>
      </w:r>
      <w:r>
        <w:rPr>
          <w:rFonts w:ascii="YouYuan" w:eastAsia="YouYuan" w:hAnsi="YouYuan" w:cs="YouYuan"/>
          <w:color w:val="F27900"/>
          <w:spacing w:val="-18"/>
          <w:w w:val="96"/>
          <w:sz w:val="34"/>
          <w:szCs w:val="34"/>
        </w:rPr>
        <w:t>派”。</w:t>
      </w:r>
    </w:p>
    <w:p>
      <w:pPr>
        <w:pStyle w:val="BodyText"/>
        <w:spacing w:line="472" w:lineRule="auto"/>
      </w:pPr>
    </w:p>
    <w:p>
      <w:pPr>
        <w:spacing w:before="110" w:line="244" w:lineRule="auto"/>
        <w:ind w:left="990" w:right="826"/>
        <w:rPr>
          <w:rFonts w:ascii="SimSun" w:eastAsia="SimSun" w:hAnsi="SimSun" w:cs="SimSun"/>
          <w:sz w:val="34"/>
          <w:szCs w:val="34"/>
        </w:rPr>
      </w:pPr>
      <w:r>
        <w:rPr>
          <w:rFonts w:ascii="YouYuan" w:eastAsia="YouYuan" w:hAnsi="YouYuan" w:cs="YouYuan"/>
          <w:spacing w:val="2"/>
          <w:sz w:val="34"/>
          <w:szCs w:val="34"/>
        </w:rPr>
        <w:t>百威淡啤报告称，抵制活动导致收入损失3.95</w:t>
      </w:r>
      <w:r>
        <w:rPr>
          <w:rFonts w:ascii="YouYuan" w:eastAsia="YouYuan" w:hAnsi="YouYuan" w:cs="YouYuan"/>
          <w:spacing w:val="1"/>
          <w:sz w:val="34"/>
          <w:szCs w:val="34"/>
        </w:rPr>
        <w:t>亿美元，比上一年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下降10.5%。</w:t>
      </w:r>
    </w:p>
    <w:p>
      <w:pPr>
        <w:pStyle w:val="BodyText"/>
        <w:spacing w:line="391" w:lineRule="auto"/>
      </w:pPr>
    </w:p>
    <w:p>
      <w:pPr>
        <w:spacing w:before="111" w:line="246" w:lineRule="auto"/>
        <w:ind w:left="990" w:right="919"/>
        <w:rPr>
          <w:rFonts w:ascii="YouYuan" w:eastAsia="YouYuan" w:hAnsi="YouYuan" w:cs="YouYuan"/>
          <w:sz w:val="34"/>
          <w:szCs w:val="34"/>
        </w:rPr>
      </w:pPr>
      <w:r>
        <w:rPr>
          <w:rFonts w:ascii="YouYuan" w:eastAsia="YouYuan" w:hAnsi="YouYuan" w:cs="YouYuan"/>
          <w:spacing w:val="-2"/>
          <w:sz w:val="34"/>
          <w:szCs w:val="34"/>
        </w:rPr>
        <w:t>另一个例子发生在骄傲月期间，当时塔吉特推广了一系列以彩虹</w:t>
      </w:r>
      <w:r>
        <w:rPr>
          <w:rFonts w:ascii="YouYuan" w:eastAsia="YouYuan" w:hAnsi="YouYuan" w:cs="YouYuan"/>
          <w:spacing w:val="15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5"/>
          <w:sz w:val="34"/>
          <w:szCs w:val="34"/>
        </w:rPr>
        <w:t>为主题的服装，并在全国商店的显著位置展示。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75" w:line="216" w:lineRule="auto"/>
        <w:ind w:left="420"/>
        <w:rPr>
          <w:rFonts w:ascii="YouYuan" w:eastAsia="YouYuan" w:hAnsi="YouYuan" w:cs="YouYuan"/>
          <w:sz w:val="23"/>
          <w:szCs w:val="23"/>
        </w:rPr>
      </w:pPr>
      <w:r>
        <w:rPr>
          <w:rFonts w:ascii="YouYuan" w:eastAsia="YouYuan" w:hAnsi="YouYuan" w:cs="YouYuan"/>
          <w:spacing w:val="10"/>
          <w:sz w:val="23"/>
          <w:szCs w:val="23"/>
        </w:rPr>
        <w:t>5</w:t>
      </w:r>
      <w:r>
        <w:rPr>
          <w:rFonts w:ascii="YouYuan" w:eastAsia="YouYuan" w:hAnsi="YouYuan" w:cs="YouYuan"/>
          <w:spacing w:val="4"/>
          <w:sz w:val="23"/>
          <w:szCs w:val="23"/>
        </w:rPr>
        <w:t xml:space="preserve">   </w:t>
      </w:r>
      <w:r>
        <w:rPr>
          <w:rFonts w:ascii="YouYuan" w:eastAsia="YouYuan" w:hAnsi="YouYuan" w:cs="YouYuan"/>
          <w:spacing w:val="10"/>
          <w:sz w:val="23"/>
          <w:szCs w:val="23"/>
        </w:rPr>
        <w:t>2024营销趋势洞察</w:t>
      </w:r>
    </w:p>
    <w:p>
      <w:pPr>
        <w:pStyle w:val="BodyText"/>
        <w:spacing w:line="14" w:lineRule="auto"/>
        <w:rPr>
          <w:sz w:val="2"/>
        </w:rPr>
        <w:sectPr>
          <w:headerReference w:type="default" r:id="rId15"/>
          <w:type w:val="continuous"/>
          <w:pgSz w:w="23040" w:h="12960"/>
          <w:pgMar w:top="400" w:right="640" w:bottom="0" w:left="0" w:header="0" w:footer="0" w:gutter="0"/>
          <w:pgNumType w:start="9"/>
          <w:cols w:num="2" w:space="708" w:equalWidth="0">
            <w:col w:w="11391" w:space="100"/>
            <w:col w:w="10910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10" w:line="241" w:lineRule="auto"/>
        <w:ind w:right="720"/>
        <w:jc w:val="both"/>
        <w:rPr>
          <w:rFonts w:ascii="YouYuan" w:eastAsia="YouYuan" w:hAnsi="YouYuan" w:cs="YouYuan"/>
          <w:sz w:val="34"/>
          <w:szCs w:val="34"/>
        </w:rPr>
      </w:pPr>
      <w:r>
        <w:rPr>
          <w:rFonts w:ascii="YouYuan" w:eastAsia="YouYuan" w:hAnsi="YouYuan" w:cs="YouYuan"/>
          <w:spacing w:val="2"/>
          <w:sz w:val="34"/>
          <w:szCs w:val="34"/>
        </w:rPr>
        <w:t>这种对</w:t>
      </w:r>
      <w:r>
        <w:rPr>
          <w:rFonts w:ascii="SimSun" w:eastAsia="SimSun" w:hAnsi="SimSun" w:cs="SimSun"/>
          <w:sz w:val="34"/>
          <w:szCs w:val="34"/>
        </w:rPr>
        <w:t>LGBTQ</w:t>
      </w:r>
      <w:r>
        <w:rPr>
          <w:rFonts w:ascii="SimSun" w:eastAsia="SimSun" w:hAnsi="SimSun" w:cs="SimSun"/>
          <w:spacing w:val="2"/>
          <w:sz w:val="34"/>
          <w:szCs w:val="34"/>
        </w:rPr>
        <w:t>+</w:t>
      </w:r>
      <w:r>
        <w:rPr>
          <w:rFonts w:ascii="SimSun" w:eastAsia="SimSun" w:hAnsi="SimSun" w:cs="SimSun"/>
          <w:spacing w:val="110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2"/>
          <w:sz w:val="34"/>
          <w:szCs w:val="34"/>
        </w:rPr>
        <w:t>群体的声援引发了保守派团体的愤怒，</w:t>
      </w:r>
      <w:r>
        <w:rPr>
          <w:rFonts w:ascii="YouYuan" w:eastAsia="YouYuan" w:hAnsi="YouYuan" w:cs="YouYuan"/>
          <w:spacing w:val="1"/>
          <w:sz w:val="34"/>
          <w:szCs w:val="34"/>
        </w:rPr>
        <w:t>导致了抵制。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2"/>
          <w:sz w:val="34"/>
          <w:szCs w:val="34"/>
        </w:rPr>
        <w:t>作为回应，塔吉特降低了商品的优先级，并完全拆除了一些展示品，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8"/>
          <w:sz w:val="34"/>
          <w:szCs w:val="34"/>
        </w:rPr>
        <w:t>但损害已经造成。此次抵制最终导致目标销售额下降5%。</w:t>
      </w:r>
    </w:p>
    <w:p>
      <w:pPr>
        <w:pStyle w:val="BodyText"/>
        <w:spacing w:line="422" w:lineRule="auto"/>
      </w:pPr>
    </w:p>
    <w:p>
      <w:pPr>
        <w:spacing w:before="110" w:line="247" w:lineRule="auto"/>
        <w:ind w:right="713"/>
        <w:rPr>
          <w:rFonts w:ascii="YouYuan" w:eastAsia="YouYuan" w:hAnsi="YouYuan" w:cs="YouYuan"/>
          <w:sz w:val="34"/>
          <w:szCs w:val="34"/>
        </w:rPr>
      </w:pPr>
      <w:r>
        <w:rPr>
          <w:rFonts w:ascii="YouYuan" w:eastAsia="YouYuan" w:hAnsi="YouYuan" w:cs="YouYuan"/>
          <w:spacing w:val="-2"/>
          <w:sz w:val="34"/>
          <w:szCs w:val="34"/>
        </w:rPr>
        <w:t>但从品牌声誉的角度来看，他们也面临着公关危机。</w:t>
      </w:r>
      <w:r>
        <w:rPr>
          <w:rFonts w:ascii="YouYuan" w:eastAsia="YouYuan" w:hAnsi="YouYuan" w:cs="YouYuan"/>
          <w:spacing w:val="-3"/>
          <w:sz w:val="34"/>
          <w:szCs w:val="34"/>
        </w:rPr>
        <w:t>当</w:t>
      </w:r>
      <w:r>
        <w:rPr>
          <w:rFonts w:ascii="YouYuan" w:eastAsia="YouYuan" w:hAnsi="YouYuan" w:cs="YouYuan"/>
          <w:spacing w:val="-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"/>
          <w:sz w:val="34"/>
          <w:szCs w:val="34"/>
        </w:rPr>
        <w:t>LGBTQ+</w:t>
      </w:r>
      <w:r>
        <w:rPr>
          <w:rFonts w:ascii="SimSun" w:eastAsia="SimSun" w:hAnsi="SimSun" w:cs="SimSun"/>
          <w:spacing w:val="70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3"/>
          <w:sz w:val="34"/>
          <w:szCs w:val="34"/>
        </w:rPr>
        <w:t>社区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2"/>
          <w:sz w:val="34"/>
          <w:szCs w:val="34"/>
        </w:rPr>
        <w:t>成员试图安抚抵制的消费者时，他们迅速谴责塔吉特没有表明立场。</w:t>
      </w:r>
      <w:r>
        <w:rPr>
          <w:rFonts w:ascii="YouYuan" w:eastAsia="YouYuan" w:hAnsi="YouYuan" w:cs="YouYuan"/>
          <w:sz w:val="34"/>
          <w:szCs w:val="34"/>
        </w:rPr>
        <w:t xml:space="preserve"> </w:t>
      </w:r>
      <w:r>
        <w:rPr>
          <w:rFonts w:ascii="YouYuan" w:eastAsia="YouYuan" w:hAnsi="YouYuan" w:cs="YouYuan"/>
          <w:spacing w:val="-22"/>
          <w:w w:val="97"/>
          <w:sz w:val="34"/>
          <w:szCs w:val="34"/>
        </w:rPr>
        <w:t>典型的“彩虹洗涤”指控。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52" w:line="198" w:lineRule="auto"/>
        <w:ind w:left="2369"/>
        <w:rPr>
          <w:sz w:val="18"/>
          <w:szCs w:val="18"/>
        </w:rPr>
      </w:pPr>
      <w:r>
        <w:pict>
          <v:shape id="_x0000_s1028" type="#_x0000_t202" style="width:14.2pt;height:17.15pt;margin-top:-1.55pt;margin-left:344.5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eastAsia="Times New Roman" w:hAnsi="Times New Roman" w:cs="Times New Roman"/>
                      <w:sz w:val="34"/>
                      <w:szCs w:val="3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34"/>
                      <w:szCs w:val="34"/>
                    </w:rPr>
                    <w:t>X</w:t>
                  </w:r>
                </w:p>
              </w:txbxContent>
            </v:textbox>
          </v:shape>
        </w:pict>
      </w:r>
      <w:r>
        <w:rPr>
          <w:b/>
          <w:bCs/>
          <w:spacing w:val="-11"/>
          <w:sz w:val="18"/>
          <w:szCs w:val="18"/>
        </w:rPr>
        <w:t>Gavin</w:t>
      </w:r>
      <w:r>
        <w:rPr>
          <w:b/>
          <w:bCs/>
          <w:spacing w:val="14"/>
          <w:sz w:val="18"/>
          <w:szCs w:val="18"/>
        </w:rPr>
        <w:t xml:space="preserve"> </w:t>
      </w:r>
      <w:r>
        <w:rPr>
          <w:b/>
          <w:bCs/>
          <w:spacing w:val="-11"/>
          <w:sz w:val="18"/>
          <w:szCs w:val="18"/>
        </w:rPr>
        <w:t>Newsom</w:t>
      </w:r>
    </w:p>
    <w:p>
      <w:pPr>
        <w:pStyle w:val="BodyText"/>
        <w:spacing w:before="33" w:line="198" w:lineRule="auto"/>
        <w:ind w:left="2380"/>
        <w:rPr>
          <w:sz w:val="18"/>
          <w:szCs w:val="18"/>
        </w:rPr>
      </w:pPr>
      <w:r>
        <w:rPr>
          <w:spacing w:val="-10"/>
          <w:sz w:val="18"/>
          <w:szCs w:val="18"/>
        </w:rPr>
        <w:t xml:space="preserve">@GavinNewsom· </w:t>
      </w:r>
      <w:r>
        <w:rPr>
          <w:color w:val="0069E3"/>
          <w:spacing w:val="-10"/>
          <w:sz w:val="18"/>
          <w:szCs w:val="18"/>
        </w:rPr>
        <w:t>Follow</w:t>
      </w:r>
    </w:p>
    <w:p>
      <w:pPr>
        <w:pStyle w:val="BodyText"/>
        <w:spacing w:before="205" w:line="253" w:lineRule="exact"/>
        <w:ind w:left="1819"/>
        <w:rPr>
          <w:sz w:val="18"/>
          <w:szCs w:val="18"/>
        </w:rPr>
      </w:pPr>
      <w:r>
        <w:rPr>
          <w:spacing w:val="-1"/>
          <w:position w:val="3"/>
          <w:sz w:val="18"/>
          <w:szCs w:val="18"/>
        </w:rPr>
        <w:t>CEO  of  Target  Brian</w:t>
      </w:r>
      <w:r>
        <w:rPr>
          <w:spacing w:val="12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Cornell</w:t>
      </w:r>
      <w:r>
        <w:rPr>
          <w:spacing w:val="5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selling</w:t>
      </w:r>
      <w:r>
        <w:rPr>
          <w:spacing w:val="5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out</w:t>
      </w:r>
      <w:r>
        <w:rPr>
          <w:spacing w:val="4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the</w:t>
      </w:r>
      <w:r>
        <w:rPr>
          <w:spacing w:val="9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LGBTQ+</w:t>
      </w:r>
    </w:p>
    <w:p>
      <w:pPr>
        <w:pStyle w:val="BodyText"/>
        <w:spacing w:line="222" w:lineRule="exact"/>
        <w:ind w:left="1819"/>
        <w:rPr>
          <w:sz w:val="18"/>
          <w:szCs w:val="18"/>
        </w:rPr>
      </w:pPr>
      <w:r>
        <w:rPr>
          <w:spacing w:val="-2"/>
          <w:position w:val="2"/>
          <w:sz w:val="18"/>
          <w:szCs w:val="18"/>
        </w:rPr>
        <w:t>community  to   extremists</w:t>
      </w:r>
      <w:r>
        <w:rPr>
          <w:spacing w:val="24"/>
          <w:position w:val="2"/>
          <w:sz w:val="18"/>
          <w:szCs w:val="18"/>
        </w:rPr>
        <w:t xml:space="preserve">  </w:t>
      </w:r>
      <w:r>
        <w:rPr>
          <w:spacing w:val="-2"/>
          <w:position w:val="2"/>
          <w:sz w:val="18"/>
          <w:szCs w:val="18"/>
        </w:rPr>
        <w:t>is</w:t>
      </w:r>
      <w:r>
        <w:rPr>
          <w:spacing w:val="13"/>
          <w:position w:val="2"/>
          <w:sz w:val="18"/>
          <w:szCs w:val="18"/>
        </w:rPr>
        <w:t xml:space="preserve">  </w:t>
      </w:r>
      <w:r>
        <w:rPr>
          <w:spacing w:val="-2"/>
          <w:position w:val="2"/>
          <w:sz w:val="18"/>
          <w:szCs w:val="18"/>
        </w:rPr>
        <w:t>a</w:t>
      </w:r>
      <w:r>
        <w:rPr>
          <w:spacing w:val="15"/>
          <w:w w:val="101"/>
          <w:position w:val="2"/>
          <w:sz w:val="18"/>
          <w:szCs w:val="18"/>
        </w:rPr>
        <w:t xml:space="preserve">  </w:t>
      </w:r>
      <w:r>
        <w:rPr>
          <w:spacing w:val="-2"/>
          <w:position w:val="2"/>
          <w:sz w:val="18"/>
          <w:szCs w:val="18"/>
        </w:rPr>
        <w:t>real</w:t>
      </w:r>
      <w:r>
        <w:rPr>
          <w:spacing w:val="15"/>
          <w:w w:val="101"/>
          <w:position w:val="2"/>
          <w:sz w:val="18"/>
          <w:szCs w:val="18"/>
        </w:rPr>
        <w:t xml:space="preserve">  </w:t>
      </w:r>
      <w:r>
        <w:rPr>
          <w:spacing w:val="-2"/>
          <w:position w:val="2"/>
          <w:sz w:val="18"/>
          <w:szCs w:val="18"/>
        </w:rPr>
        <w:t>profile</w:t>
      </w:r>
      <w:r>
        <w:rPr>
          <w:spacing w:val="15"/>
          <w:position w:val="2"/>
          <w:sz w:val="18"/>
          <w:szCs w:val="18"/>
        </w:rPr>
        <w:t xml:space="preserve">  </w:t>
      </w:r>
      <w:r>
        <w:rPr>
          <w:spacing w:val="-2"/>
          <w:position w:val="2"/>
          <w:sz w:val="18"/>
          <w:szCs w:val="18"/>
        </w:rPr>
        <w:t>in</w:t>
      </w:r>
      <w:r>
        <w:rPr>
          <w:spacing w:val="13"/>
          <w:w w:val="101"/>
          <w:position w:val="2"/>
          <w:sz w:val="18"/>
          <w:szCs w:val="18"/>
        </w:rPr>
        <w:t xml:space="preserve">  </w:t>
      </w:r>
      <w:r>
        <w:rPr>
          <w:spacing w:val="-2"/>
          <w:position w:val="2"/>
          <w:sz w:val="18"/>
          <w:szCs w:val="18"/>
        </w:rPr>
        <w:t>courage.</w:t>
      </w:r>
    </w:p>
    <w:p>
      <w:pPr>
        <w:pStyle w:val="BodyText"/>
        <w:spacing w:before="255" w:line="245" w:lineRule="exact"/>
        <w:ind w:left="1819"/>
        <w:rPr>
          <w:sz w:val="18"/>
          <w:szCs w:val="18"/>
        </w:rPr>
      </w:pPr>
      <w:r>
        <w:rPr>
          <w:spacing w:val="-1"/>
          <w:position w:val="3"/>
          <w:sz w:val="18"/>
          <w:szCs w:val="18"/>
        </w:rPr>
        <w:t>This  isn't  just</w:t>
      </w:r>
      <w:r>
        <w:rPr>
          <w:spacing w:val="14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a</w:t>
      </w:r>
      <w:r>
        <w:rPr>
          <w:spacing w:val="7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couple  stores</w:t>
      </w:r>
      <w:r>
        <w:rPr>
          <w:spacing w:val="9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in</w:t>
      </w:r>
      <w:r>
        <w:rPr>
          <w:spacing w:val="5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the</w:t>
      </w:r>
      <w:r>
        <w:rPr>
          <w:spacing w:val="7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South.There</w:t>
      </w:r>
      <w:r>
        <w:rPr>
          <w:spacing w:val="10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is</w:t>
      </w:r>
      <w:r>
        <w:rPr>
          <w:spacing w:val="6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a</w:t>
      </w:r>
    </w:p>
    <w:p>
      <w:pPr>
        <w:pStyle w:val="BodyText"/>
        <w:spacing w:before="5" w:line="248" w:lineRule="exact"/>
        <w:ind w:left="1819"/>
        <w:rPr>
          <w:sz w:val="18"/>
          <w:szCs w:val="18"/>
        </w:rPr>
      </w:pPr>
      <w:r>
        <w:rPr>
          <w:spacing w:val="-1"/>
          <w:position w:val="3"/>
          <w:sz w:val="18"/>
          <w:szCs w:val="18"/>
        </w:rPr>
        <w:t>systematic</w:t>
      </w:r>
      <w:r>
        <w:rPr>
          <w:spacing w:val="25"/>
          <w:w w:val="101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attack</w:t>
      </w:r>
      <w:r>
        <w:rPr>
          <w:spacing w:val="24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on</w:t>
      </w:r>
      <w:r>
        <w:rPr>
          <w:spacing w:val="22"/>
          <w:w w:val="101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the</w:t>
      </w:r>
      <w:r>
        <w:rPr>
          <w:spacing w:val="23"/>
          <w:w w:val="101"/>
          <w:position w:val="3"/>
          <w:sz w:val="18"/>
          <w:szCs w:val="18"/>
        </w:rPr>
        <w:t xml:space="preserve">  </w:t>
      </w:r>
      <w:r>
        <w:rPr>
          <w:spacing w:val="-1"/>
          <w:position w:val="3"/>
          <w:sz w:val="18"/>
          <w:szCs w:val="18"/>
        </w:rPr>
        <w:t>gay   community   happening   across</w:t>
      </w:r>
    </w:p>
    <w:p>
      <w:pPr>
        <w:pStyle w:val="BodyText"/>
        <w:spacing w:line="237" w:lineRule="exact"/>
        <w:ind w:left="1819"/>
        <w:rPr>
          <w:sz w:val="18"/>
          <w:szCs w:val="18"/>
        </w:rPr>
      </w:pPr>
      <w:r>
        <w:rPr>
          <w:spacing w:val="-1"/>
          <w:position w:val="3"/>
          <w:sz w:val="18"/>
          <w:szCs w:val="18"/>
        </w:rPr>
        <w:t>the</w:t>
      </w:r>
      <w:r>
        <w:rPr>
          <w:spacing w:val="13"/>
          <w:w w:val="101"/>
          <w:position w:val="3"/>
          <w:sz w:val="18"/>
          <w:szCs w:val="18"/>
        </w:rPr>
        <w:t xml:space="preserve">   </w:t>
      </w:r>
      <w:r>
        <w:rPr>
          <w:spacing w:val="-1"/>
          <w:position w:val="3"/>
          <w:sz w:val="18"/>
          <w:szCs w:val="18"/>
        </w:rPr>
        <w:t>country</w:t>
      </w:r>
    </w:p>
    <w:p>
      <w:pPr>
        <w:pStyle w:val="BodyText"/>
        <w:spacing w:line="259" w:lineRule="auto"/>
      </w:pPr>
    </w:p>
    <w:p>
      <w:pPr>
        <w:pStyle w:val="BodyText"/>
        <w:spacing w:before="53" w:line="196" w:lineRule="auto"/>
        <w:ind w:left="1819"/>
        <w:rPr>
          <w:sz w:val="18"/>
          <w:szCs w:val="18"/>
        </w:rPr>
      </w:pPr>
      <w:r>
        <w:rPr>
          <w:spacing w:val="-2"/>
          <w:sz w:val="18"/>
          <w:szCs w:val="18"/>
        </w:rPr>
        <w:t>Wake</w:t>
      </w:r>
      <w:r>
        <w:rPr>
          <w:spacing w:val="26"/>
          <w:w w:val="101"/>
          <w:sz w:val="18"/>
          <w:szCs w:val="18"/>
        </w:rPr>
        <w:t xml:space="preserve">  </w:t>
      </w:r>
      <w:r>
        <w:rPr>
          <w:spacing w:val="-2"/>
          <w:sz w:val="18"/>
          <w:szCs w:val="18"/>
        </w:rPr>
        <w:t>up</w:t>
      </w:r>
      <w:r>
        <w:rPr>
          <w:spacing w:val="14"/>
          <w:w w:val="101"/>
          <w:sz w:val="18"/>
          <w:szCs w:val="18"/>
        </w:rPr>
        <w:t xml:space="preserve">  </w:t>
      </w:r>
      <w:r>
        <w:rPr>
          <w:spacing w:val="-2"/>
          <w:sz w:val="18"/>
          <w:szCs w:val="18"/>
        </w:rPr>
        <w:t>America.</w:t>
      </w:r>
    </w:p>
    <w:p>
      <w:pPr>
        <w:pStyle w:val="BodyText"/>
        <w:spacing w:before="265" w:line="245" w:lineRule="exact"/>
        <w:ind w:left="1819"/>
        <w:rPr>
          <w:sz w:val="18"/>
          <w:szCs w:val="18"/>
        </w:rPr>
      </w:pPr>
      <w:r>
        <w:rPr>
          <w:spacing w:val="-1"/>
          <w:position w:val="3"/>
          <w:sz w:val="18"/>
          <w:szCs w:val="18"/>
        </w:rPr>
        <w:t>This   doesn't   stop</w:t>
      </w:r>
      <w:r>
        <w:rPr>
          <w:spacing w:val="7"/>
          <w:position w:val="3"/>
          <w:sz w:val="18"/>
          <w:szCs w:val="18"/>
        </w:rPr>
        <w:t xml:space="preserve">   </w:t>
      </w:r>
      <w:r>
        <w:rPr>
          <w:spacing w:val="-1"/>
          <w:position w:val="3"/>
          <w:sz w:val="18"/>
          <w:szCs w:val="18"/>
        </w:rPr>
        <w:t xml:space="preserve">here... </w:t>
      </w:r>
      <w:r>
        <w:rPr>
          <w:color w:val="0088F0"/>
          <w:spacing w:val="-1"/>
          <w:position w:val="3"/>
          <w:sz w:val="18"/>
          <w:szCs w:val="18"/>
        </w:rPr>
        <w:t>Show   more</w:t>
      </w:r>
    </w:p>
    <w:p>
      <w:pPr>
        <w:spacing w:line="137" w:lineRule="exact"/>
      </w:pPr>
    </w:p>
    <w:tbl>
      <w:tblPr>
        <w:tblStyle w:val="TableNormal0"/>
        <w:tblW w:w="5332" w:type="dxa"/>
        <w:tblInd w:w="1832" w:type="dxa"/>
        <w:tblBorders>
          <w:left w:val="single" w:sz="2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5332"/>
      </w:tblGrid>
      <w:tr>
        <w:tblPrEx>
          <w:tblW w:w="5332" w:type="dxa"/>
          <w:tblInd w:w="1832" w:type="dxa"/>
          <w:tblBorders>
            <w:left w:val="single" w:sz="2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105"/>
        </w:trPr>
        <w:tc>
          <w:tcPr>
            <w:tcW w:w="5332" w:type="dxa"/>
            <w:vAlign w:val="top"/>
          </w:tcPr>
          <w:p>
            <w:pPr>
              <w:pStyle w:val="TableText"/>
              <w:spacing w:before="95" w:line="245" w:lineRule="exact"/>
              <w:ind w:left="344"/>
            </w:pPr>
            <w:r>
              <w:rPr>
                <w:b/>
                <w:bCs/>
                <w:spacing w:val="-10"/>
                <w:position w:val="3"/>
              </w:rPr>
              <w:t>The</w:t>
            </w:r>
            <w:r>
              <w:rPr>
                <w:b/>
                <w:bCs/>
                <w:spacing w:val="22"/>
                <w:position w:val="3"/>
              </w:rPr>
              <w:t xml:space="preserve"> </w:t>
            </w:r>
            <w:r>
              <w:rPr>
                <w:b/>
                <w:bCs/>
                <w:spacing w:val="-10"/>
                <w:position w:val="3"/>
              </w:rPr>
              <w:t>Hill</w:t>
            </w:r>
            <w:r>
              <w:rPr>
                <w:b/>
                <w:bCs/>
                <w:spacing w:val="1"/>
                <w:position w:val="3"/>
              </w:rPr>
              <w:t xml:space="preserve">     </w:t>
            </w:r>
            <w:r>
              <w:rPr>
                <w:spacing w:val="-10"/>
                <w:position w:val="3"/>
              </w:rPr>
              <w:t>@thehill</w:t>
            </w:r>
          </w:p>
          <w:p>
            <w:pPr>
              <w:pStyle w:val="TableText"/>
              <w:spacing w:before="23" w:line="250" w:lineRule="auto"/>
              <w:ind w:left="114" w:right="269"/>
              <w:jc w:val="both"/>
            </w:pPr>
            <w:r>
              <w:rPr>
                <w:spacing w:val="-12"/>
              </w:rPr>
              <w:t>Target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12"/>
              </w:rPr>
              <w:t>is</w:t>
            </w:r>
            <w:r>
              <w:rPr>
                <w:spacing w:val="4"/>
              </w:rPr>
              <w:t xml:space="preserve"> </w:t>
            </w:r>
            <w:r>
              <w:rPr>
                <w:spacing w:val="-12"/>
              </w:rPr>
              <w:t>removing certain</w:t>
            </w:r>
            <w:r>
              <w:rPr>
                <w:spacing w:val="6"/>
              </w:rPr>
              <w:t xml:space="preserve"> </w:t>
            </w:r>
            <w:r>
              <w:rPr>
                <w:spacing w:val="-12"/>
              </w:rPr>
              <w:t>LGBTQ and</w:t>
            </w:r>
            <w:r>
              <w:rPr>
                <w:spacing w:val="6"/>
              </w:rPr>
              <w:t xml:space="preserve"> </w:t>
            </w:r>
            <w:r>
              <w:rPr>
                <w:spacing w:val="-12"/>
              </w:rPr>
              <w:t>Pride</w:t>
            </w:r>
            <w:r>
              <w:rPr>
                <w:spacing w:val="4"/>
              </w:rPr>
              <w:t xml:space="preserve"> </w:t>
            </w:r>
            <w:r>
              <w:rPr>
                <w:spacing w:val="-12"/>
              </w:rPr>
              <w:t>month</w:t>
            </w:r>
            <w:r>
              <w:rPr>
                <w:spacing w:val="5"/>
              </w:rPr>
              <w:t xml:space="preserve"> </w:t>
            </w:r>
            <w:r>
              <w:rPr>
                <w:spacing w:val="-12"/>
              </w:rPr>
              <w:t>merchandise from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its stores nationwide after an intense b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acklash from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some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customers,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7"/>
              </w:rPr>
              <w:t>including violent confrontations with its workers.trib.al/Ex</w:t>
            </w:r>
            <w:r>
              <w:rPr>
                <w:spacing w:val="-8"/>
              </w:rPr>
              <w:t>7TtRT</w:t>
            </w:r>
          </w:p>
        </w:tc>
      </w:tr>
    </w:tbl>
    <w:p>
      <w:pPr>
        <w:spacing w:before="123" w:line="215" w:lineRule="auto"/>
        <w:ind w:left="1819"/>
        <w:rPr>
          <w:rFonts w:ascii="SimSun" w:eastAsia="SimSun" w:hAnsi="SimSun" w:cs="SimSun"/>
          <w:sz w:val="18"/>
          <w:szCs w:val="18"/>
        </w:rPr>
      </w:pPr>
      <w:r>
        <w:pict>
          <v:shape id="_x0000_s1029" type="#_x0000_t202" style="width:13.1pt;height:15.55pt;margin-top:3.33pt;margin-left:345.5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ind w:left="20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z w:val="23"/>
                      <w:szCs w:val="23"/>
                    </w:rPr>
                    <w:t>①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5"/>
          <w:sz w:val="18"/>
          <w:szCs w:val="18"/>
        </w:rPr>
        <w:t>10:45 PM·May 23,2023</w:t>
      </w:r>
    </w:p>
    <w:p>
      <w:pPr>
        <w:spacing w:line="68" w:lineRule="exact"/>
      </w:pPr>
    </w:p>
    <w:tbl>
      <w:tblPr>
        <w:tblStyle w:val="TableNormal0"/>
        <w:tblW w:w="5439" w:type="dxa"/>
        <w:tblInd w:w="17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2"/>
        <w:gridCol w:w="1170"/>
        <w:gridCol w:w="3197"/>
      </w:tblGrid>
      <w:tr>
        <w:tblPrEx>
          <w:tblW w:w="5439" w:type="dxa"/>
          <w:tblInd w:w="17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7"/>
        </w:trPr>
        <w:tc>
          <w:tcPr>
            <w:tcW w:w="107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7" w:line="184" w:lineRule="auto"/>
              <w:ind w:left="3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365268"/>
                <w:spacing w:val="-3"/>
                <w:sz w:val="18"/>
                <w:szCs w:val="18"/>
              </w:rPr>
              <w:t>36.1K</w:t>
            </w:r>
          </w:p>
        </w:tc>
        <w:tc>
          <w:tcPr>
            <w:tcW w:w="11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32" w:line="212" w:lineRule="auto"/>
              <w:ind w:left="277"/>
              <w:rPr>
                <w:rFonts w:ascii="SimSun" w:eastAsia="SimSun" w:hAnsi="SimSun" w:cs="SimSun"/>
              </w:rPr>
            </w:pPr>
            <w:r>
              <w:rPr>
                <w:color w:val="365268"/>
                <w:spacing w:val="-9"/>
              </w:rPr>
              <w:t>Reply</w:t>
            </w:r>
            <w:r>
              <w:rPr>
                <w:color w:val="365268"/>
                <w:spacing w:val="5"/>
              </w:rPr>
              <w:t xml:space="preserve">    </w:t>
            </w:r>
            <w:r>
              <w:rPr>
                <w:rFonts w:ascii="SimSun" w:eastAsia="SimSun" w:hAnsi="SimSun" w:cs="SimSun"/>
                <w:spacing w:val="-9"/>
              </w:rPr>
              <w:t>②</w:t>
            </w:r>
          </w:p>
        </w:tc>
        <w:tc>
          <w:tcPr>
            <w:tcW w:w="319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154" w:line="198" w:lineRule="auto"/>
              <w:ind w:left="27"/>
            </w:pPr>
            <w:r>
              <w:rPr>
                <w:color w:val="1A4C6E"/>
                <w:spacing w:val="-11"/>
              </w:rPr>
              <w:t>Copy</w:t>
            </w:r>
            <w:r>
              <w:rPr>
                <w:color w:val="1A4C6E"/>
                <w:spacing w:val="10"/>
              </w:rPr>
              <w:t xml:space="preserve"> </w:t>
            </w:r>
            <w:r>
              <w:rPr>
                <w:color w:val="1A4C6E"/>
                <w:spacing w:val="-11"/>
              </w:rPr>
              <w:t>link</w:t>
            </w:r>
          </w:p>
          <w:p>
            <w:pPr>
              <w:pStyle w:val="TableText"/>
              <w:spacing w:before="221" w:line="176" w:lineRule="auto"/>
              <w:ind w:left="151"/>
              <w:rPr>
                <w:sz w:val="16"/>
                <w:szCs w:val="16"/>
              </w:rPr>
            </w:pPr>
            <w:r>
              <w:rPr>
                <w:b/>
                <w:bCs/>
                <w:color w:val="0064D7"/>
                <w:spacing w:val="-2"/>
                <w:sz w:val="16"/>
                <w:szCs w:val="16"/>
              </w:rPr>
              <w:t>21.2K</w:t>
            </w:r>
            <w:r>
              <w:rPr>
                <w:b/>
                <w:bCs/>
                <w:color w:val="0064D7"/>
                <w:spacing w:val="16"/>
                <w:w w:val="102"/>
                <w:sz w:val="16"/>
                <w:szCs w:val="16"/>
              </w:rPr>
              <w:t xml:space="preserve">   </w:t>
            </w:r>
            <w:r>
              <w:rPr>
                <w:b/>
                <w:bCs/>
                <w:color w:val="0064D7"/>
                <w:spacing w:val="-2"/>
                <w:sz w:val="16"/>
                <w:szCs w:val="16"/>
              </w:rPr>
              <w:t>replies</w:t>
            </w:r>
          </w:p>
        </w:tc>
      </w:tr>
      <w:tr>
        <w:tblPrEx>
          <w:tblW w:w="5439" w:type="dxa"/>
          <w:tblInd w:w="1789" w:type="dxa"/>
          <w:tblLayout w:type="fixed"/>
        </w:tblPrEx>
        <w:trPr>
          <w:trHeight w:val="270"/>
        </w:trPr>
        <w:tc>
          <w:tcPr>
            <w:tcW w:w="2242" w:type="dxa"/>
            <w:gridSpan w:val="2"/>
            <w:tcBorders>
              <w:top w:val="single" w:sz="2" w:space="0" w:color="000000"/>
              <w:bottom w:val="single" w:sz="2" w:space="0" w:color="0064D7"/>
            </w:tcBorders>
            <w:vAlign w:val="top"/>
          </w:tcPr>
          <w:p>
            <w:pPr>
              <w:pStyle w:val="TableText"/>
              <w:spacing w:before="125" w:line="176" w:lineRule="auto"/>
              <w:ind w:right="13"/>
              <w:jc w:val="right"/>
              <w:rPr>
                <w:sz w:val="16"/>
                <w:szCs w:val="16"/>
              </w:rPr>
            </w:pPr>
            <w:r>
              <w:rPr>
                <w:b/>
                <w:bCs/>
                <w:color w:val="0064D7"/>
                <w:spacing w:val="-3"/>
                <w:sz w:val="16"/>
                <w:szCs w:val="16"/>
              </w:rPr>
              <w:t>Read</w:t>
            </w:r>
          </w:p>
        </w:tc>
        <w:tc>
          <w:tcPr>
            <w:tcW w:w="3197" w:type="dxa"/>
            <w:vMerge/>
            <w:tcBorders>
              <w:top w:val="nil"/>
              <w:bottom w:val="single" w:sz="2" w:space="0" w:color="0064D7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pStyle w:val="BodyText"/>
        <w:spacing w:line="384" w:lineRule="auto"/>
      </w:pPr>
    </w:p>
    <w:p>
      <w:pPr>
        <w:pStyle w:val="BodyText"/>
        <w:spacing w:before="98" w:line="198" w:lineRule="auto"/>
        <w:jc w:val="right"/>
        <w:rPr>
          <w:sz w:val="34"/>
          <w:szCs w:val="34"/>
        </w:rPr>
      </w:pPr>
      <w:r>
        <w:rPr>
          <w:b/>
          <w:bCs/>
          <w:spacing w:val="-10"/>
          <w:sz w:val="34"/>
          <w:szCs w:val="34"/>
        </w:rPr>
        <w:t>&lt;</w:t>
      </w:r>
      <w:r>
        <w:rPr>
          <w:b/>
          <w:bCs/>
          <w:spacing w:val="-9"/>
          <w:sz w:val="34"/>
          <w:szCs w:val="34"/>
        </w:rPr>
        <w:t>O)Meltwate</w:t>
      </w:r>
      <w:r>
        <w:rPr>
          <w:b/>
          <w:bCs/>
          <w:spacing w:val="4"/>
          <w:sz w:val="34"/>
          <w:szCs w:val="34"/>
        </w:rPr>
        <w:t>r</w:t>
      </w:r>
    </w:p>
    <w:p>
      <w:pPr>
        <w:spacing w:line="198" w:lineRule="auto"/>
        <w:rPr>
          <w:sz w:val="34"/>
          <w:szCs w:val="34"/>
        </w:rPr>
      </w:pPr>
      <w:r>
        <w:rPr>
          <w:sz w:val="34"/>
          <w:szCs w:val="34"/>
        </w:rPr>
        <w:br/>
      </w:r>
      <w:r>
        <w:rPr>
          <w:sz w:val="34"/>
          <w:szCs w:val="3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https://d.book118.com/536120010234010043</w:t>
        </w:r>
      </w:hyperlink>
    </w:p>
    <w:p>
      <w:pPr>
        <w:spacing w:line="198" w:lineRule="auto"/>
        <w:rPr>
          <w:sz w:val="34"/>
          <w:szCs w:val="34"/>
        </w:rPr>
      </w:pPr>
    </w:p>
    <w:sectPr>
      <w:headerReference w:type="default" r:id="rId17"/>
      <w:type w:val="nextPage"/>
      <w:pgSz w:w="23040" w:h="12960"/>
      <w:pgMar w:top="400" w:right="640" w:bottom="0" w:left="0" w:header="0" w:footer="0" w:gutter="0"/>
      <w:pgNumType w:start="10"/>
      <w:cols w:num="2" w:space="708" w:equalWidth="0">
        <w:col w:w="11391" w:space="100"/>
        <w:col w:w="1091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image" Target="media/image3.jpeg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yperlink" Target="https://d.book118.com/536120010234010043" TargetMode="External" /><Relationship Id="rId17" Type="http://schemas.openxmlformats.org/officeDocument/2006/relationships/header" Target="head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2.png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2024-02-04T23:19:02Z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2024-02-04T23:19:13Z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65bfaae1a507ba001f76cf1fwl</vt:lpwstr>
  </property>
</Properties>
</file>