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宋体" w:hAnsi="宋体" w:hint="eastAsia"/>
          <w:b/>
          <w:color w:val="000000"/>
          <w:sz w:val="44"/>
          <w:szCs w:val="44"/>
        </w:rPr>
      </w:pPr>
      <w:bookmarkStart w:id="0" w:name="_Toc271062706"/>
      <w:bookmarkStart w:id="1" w:name="_Toc269755349"/>
      <w:bookmarkStart w:id="2" w:name="_Toc270951970"/>
      <w:bookmarkStart w:id="3" w:name="_Toc270087404"/>
      <w:bookmarkStart w:id="4" w:name="_Toc271597395"/>
      <w:bookmarkStart w:id="5" w:name="_Toc270286531"/>
      <w:bookmarkStart w:id="6" w:name="_Toc271491773"/>
      <w:bookmarkStart w:id="7" w:name="_Toc270087637"/>
      <w:bookmarkStart w:id="8" w:name="_Toc271595271"/>
      <w:bookmarkStart w:id="9" w:name="_Toc270292660"/>
      <w:bookmarkStart w:id="10" w:name="_Toc271748918"/>
      <w:bookmarkStart w:id="11" w:name="_Toc270087800"/>
      <w:bookmarkStart w:id="12" w:name="_Toc270767796"/>
      <w:bookmarkStart w:id="13" w:name="_Toc270437732"/>
      <w:bookmarkStart w:id="14" w:name="_Toc270952318"/>
      <w:bookmarkStart w:id="15" w:name="_Toc271061648"/>
      <w:bookmarkStart w:id="16" w:name="_Toc271595009"/>
      <w:bookmarkStart w:id="17" w:name="_Toc271594812"/>
      <w:bookmarkStart w:id="18" w:name="_Toc270952207"/>
      <w:bookmarkStart w:id="19" w:name="_Toc270765478"/>
      <w:bookmarkStart w:id="20" w:name="_Toc270087744"/>
      <w:bookmarkStart w:id="21" w:name="_Toc271062340"/>
      <w:bookmarkStart w:id="22" w:name="_Toc271201565"/>
      <w:bookmarkStart w:id="23" w:name="_Toc271181030"/>
      <w:bookmarkStart w:id="24" w:name="_Toc271061358"/>
      <w:bookmarkStart w:id="25" w:name="_Toc271062523"/>
      <w:bookmarkStart w:id="26" w:name="_Toc271061832"/>
      <w:bookmarkStart w:id="27" w:name="_Toc271092996"/>
      <w:bookmarkStart w:id="28" w:name="_Toc271327770"/>
      <w:r>
        <w:rPr>
          <w:rFonts w:ascii="宋体" w:hAnsi="宋体" w:hint="eastAsia"/>
          <w:b/>
          <w:color w:val="000000"/>
          <w:sz w:val="44"/>
          <w:szCs w:val="44"/>
        </w:rPr>
        <w:t>民新社区综合服务中心大楼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土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方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开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挖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施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工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方</w:t>
      </w:r>
    </w:p>
    <w:p>
      <w:pPr>
        <w:spacing w:line="1300" w:lineRule="exact"/>
        <w:ind w:left="3360" w:firstLine="690" w:leftChars="1600" w:firstLineChars="115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  <w:r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  <w:t>案</w:t>
      </w:r>
    </w:p>
    <w:p>
      <w:pPr>
        <w:spacing w:line="1300" w:lineRule="exact"/>
        <w:ind w:left="3360" w:firstLine="420"/>
        <w:rPr>
          <w:rFonts w:ascii="楷体_GB2312" w:eastAsia="楷体_GB2312" w:hAnsi="Wingdings 2" w:hint="eastAsia"/>
          <w:b/>
          <w:color w:val="000000"/>
          <w:spacing w:val="20"/>
          <w:sz w:val="60"/>
          <w:szCs w:val="120"/>
        </w:rPr>
      </w:pPr>
    </w:p>
    <w:p>
      <w:pPr>
        <w:ind w:left="2520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深圳市粤鹏建筑工程有限公司</w:t>
      </w:r>
    </w:p>
    <w:p>
      <w:pPr>
        <w:ind w:left="1877" w:firstLine="640" w:firstLineChars="200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编制日期：2011年10月12日</w:t>
      </w:r>
    </w:p>
    <w:p>
      <w:pPr>
        <w:ind w:firstLine="640" w:firstLineChars="200"/>
        <w:rPr>
          <w:rFonts w:ascii="宋体" w:hAnsi="宋体" w:hint="eastAsia"/>
          <w:b/>
          <w:color w:val="000000"/>
          <w:sz w:val="32"/>
          <w:szCs w:val="32"/>
        </w:rPr>
        <w:sectPr>
          <w:headerReference w:type="default" r:id="rId4"/>
          <w:footerReference w:type="even" r:id="rId5"/>
          <w:footerReference w:type="default" r:id="rId6"/>
          <w:pgSz w:w="11906" w:h="16838"/>
          <w:pgMar w:top="935" w:right="1106" w:bottom="1869" w:left="1260" w:header="851" w:footer="992" w:gutter="0"/>
          <w:cols w:space="708"/>
          <w:docGrid w:type="lines" w:linePitch="312"/>
        </w:sectPr>
      </w:pPr>
    </w:p>
    <w:p>
      <w:pPr>
        <w:spacing w:line="580" w:lineRule="exact"/>
        <w:jc w:val="center"/>
        <w:rPr>
          <w:rFonts w:ascii="宋体" w:hAnsi="宋体" w:hint="eastAsia"/>
          <w:b/>
          <w:sz w:val="52"/>
          <w:szCs w:val="52"/>
        </w:rPr>
      </w:pP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>
        <w:rPr>
          <w:rFonts w:ascii="宋体" w:hAnsi="宋体" w:hint="eastAsia"/>
          <w:b/>
          <w:sz w:val="52"/>
          <w:szCs w:val="52"/>
        </w:rPr>
        <w:t>目    录</w:t>
      </w:r>
    </w:p>
    <w:p>
      <w:pPr>
        <w:spacing w:line="580" w:lineRule="exact"/>
        <w:jc w:val="center"/>
        <w:rPr>
          <w:rFonts w:ascii="宋体" w:hAnsi="宋体" w:hint="eastAsia"/>
          <w:b/>
          <w:sz w:val="52"/>
          <w:szCs w:val="52"/>
        </w:rPr>
      </w:pPr>
    </w:p>
    <w:p>
      <w:pPr>
        <w:pStyle w:val="TOC2"/>
        <w:tabs>
          <w:tab w:val="right" w:leader="dot" w:pos="8296"/>
        </w:tabs>
      </w:pPr>
      <w:r>
        <w:rPr>
          <w:rFonts w:ascii="宋体" w:hAnsi="宋体"/>
          <w:b/>
          <w:sz w:val="52"/>
          <w:szCs w:val="52"/>
        </w:rPr>
        <w:fldChar w:fldCharType="begin"/>
      </w:r>
      <w:r>
        <w:rPr>
          <w:rFonts w:ascii="宋体" w:hAnsi="宋体"/>
          <w:b/>
          <w:sz w:val="52"/>
          <w:szCs w:val="52"/>
        </w:rPr>
        <w:instrText xml:space="preserve"> TOC \o "1-5" \h \z \u </w:instrText>
      </w:r>
      <w:r>
        <w:rPr>
          <w:rFonts w:ascii="宋体" w:hAnsi="宋体"/>
          <w:b/>
          <w:sz w:val="52"/>
          <w:szCs w:val="52"/>
        </w:rPr>
        <w:fldChar w:fldCharType="separate"/>
      </w:r>
      <w:hyperlink w:anchor="_Toc273179095" w:history="1">
        <w:r>
          <w:rPr>
            <w:rStyle w:val="Hyperlink"/>
            <w:rFonts w:hint="eastAsia"/>
          </w:rPr>
          <w:t>一、工程概况</w:t>
        </w:r>
        <w:r>
          <w:tab/>
        </w:r>
        <w:r>
          <w:fldChar w:fldCharType="begin"/>
        </w:r>
        <w:r>
          <w:instrText xml:space="preserve"> PAGEREF _Toc273179095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096" w:history="1">
        <w:r>
          <w:rPr>
            <w:rStyle w:val="Hyperlink"/>
            <w:rFonts w:hint="eastAsia"/>
          </w:rPr>
          <w:t>二、</w:t>
        </w:r>
        <w:r>
          <w:rPr>
            <w:rFonts w:hint="eastAsia"/>
            <w:bCs/>
            <w:szCs w:val="21"/>
          </w:rPr>
          <w:t>工程地</w:t>
        </w:r>
        <w:bookmarkStart w:id="29" w:name="_Hlt306346096"/>
        <w:r>
          <w:rPr>
            <w:rFonts w:hint="eastAsia"/>
            <w:bCs/>
            <w:szCs w:val="21"/>
          </w:rPr>
          <w:t>质</w:t>
        </w:r>
        <w:bookmarkEnd w:id="29"/>
        <w:r>
          <w:rPr>
            <w:rFonts w:hint="eastAsia"/>
            <w:bCs/>
            <w:szCs w:val="21"/>
          </w:rPr>
          <w:t>条件</w:t>
        </w:r>
        <w:r>
          <w:tab/>
        </w:r>
        <w:r>
          <w:fldChar w:fldCharType="begin"/>
        </w:r>
        <w:r>
          <w:instrText xml:space="preserve"> PAGEREF _Toc273179096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097" w:history="1">
        <w:r>
          <w:rPr>
            <w:rStyle w:val="Hyperlink"/>
            <w:rFonts w:hint="eastAsia"/>
          </w:rPr>
          <w:t>三、方案编</w:t>
        </w:r>
        <w:bookmarkStart w:id="30" w:name="_Hlt306264956"/>
        <w:r>
          <w:rPr>
            <w:rStyle w:val="Hyperlink"/>
            <w:rFonts w:hint="eastAsia"/>
          </w:rPr>
          <w:t>制</w:t>
        </w:r>
        <w:bookmarkStart w:id="31" w:name="_Hlt306264948"/>
        <w:bookmarkStart w:id="32" w:name="_Hlt306268995"/>
        <w:bookmarkStart w:id="33" w:name="_Hlt306264947"/>
        <w:bookmarkEnd w:id="30"/>
        <w:r>
          <w:rPr>
            <w:rStyle w:val="Hyperlink"/>
            <w:rFonts w:hint="eastAsia"/>
          </w:rPr>
          <w:t>依</w:t>
        </w:r>
        <w:bookmarkStart w:id="34" w:name="_Hlt306269634"/>
        <w:bookmarkEnd w:id="31"/>
        <w:bookmarkEnd w:id="32"/>
        <w:bookmarkEnd w:id="33"/>
        <w:r>
          <w:rPr>
            <w:rStyle w:val="Hyperlink"/>
            <w:rFonts w:hint="eastAsia"/>
          </w:rPr>
          <w:t>据</w:t>
        </w:r>
        <w:bookmarkEnd w:id="34"/>
        <w:r>
          <w:tab/>
        </w:r>
        <w:r>
          <w:fldChar w:fldCharType="begin"/>
        </w:r>
        <w:r>
          <w:instrText xml:space="preserve"> PAGEREF _Toc273179097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098" w:history="1">
        <w:r>
          <w:rPr>
            <w:rStyle w:val="Hyperlink"/>
            <w:rFonts w:hint="eastAsia"/>
          </w:rPr>
          <w:t>四、基坑土方开挖：</w:t>
        </w:r>
        <w:r>
          <w:tab/>
        </w:r>
        <w:r>
          <w:fldChar w:fldCharType="begin"/>
        </w:r>
        <w:r>
          <w:instrText xml:space="preserve"> PAGEREF _Toc273179098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099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、挖土方施工方法</w:t>
        </w:r>
        <w:r>
          <w:tab/>
        </w:r>
        <w:r>
          <w:fldChar w:fldCharType="begin"/>
        </w:r>
        <w:r>
          <w:instrText xml:space="preserve"> PAGEREF _Toc273179099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0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、基坑土方开挖方案</w:t>
        </w:r>
        <w:r>
          <w:tab/>
        </w:r>
        <w:r>
          <w:fldChar w:fldCharType="begin"/>
        </w:r>
        <w:r>
          <w:instrText xml:space="preserve"> PAGEREF _Toc273179100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1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、土方回填</w:t>
        </w:r>
        <w:r>
          <w:tab/>
        </w:r>
        <w:r>
          <w:fldChar w:fldCharType="begin"/>
        </w:r>
        <w:r>
          <w:instrText xml:space="preserve"> PAGEREF _Toc273179101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102" w:history="1">
        <w:r>
          <w:rPr>
            <w:rStyle w:val="Hyperlink"/>
            <w:rFonts w:hint="eastAsia"/>
          </w:rPr>
          <w:t>五、基坑支护方案：</w:t>
        </w:r>
        <w:r>
          <w:tab/>
        </w:r>
        <w:r>
          <w:fldChar w:fldCharType="begin"/>
        </w:r>
        <w:r>
          <w:instrText xml:space="preserve"> PAGEREF _Toc273179102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3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、基坑边坡支护：</w:t>
        </w:r>
        <w:r>
          <w:tab/>
        </w:r>
        <w:r>
          <w:fldChar w:fldCharType="begin"/>
        </w:r>
        <w:r>
          <w:instrText xml:space="preserve"> PAGEREF _Toc273179103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4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、安全措施：</w:t>
        </w:r>
        <w:r>
          <w:tab/>
        </w:r>
        <w:r>
          <w:fldChar w:fldCharType="begin"/>
        </w:r>
        <w:r>
          <w:instrText xml:space="preserve"> PAGEREF _Toc273179104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6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、注意事项及应急措</w:t>
        </w:r>
        <w:bookmarkStart w:id="35" w:name="_Hlt306346208"/>
        <w:r>
          <w:rPr>
            <w:rStyle w:val="Hyperlink"/>
            <w:rFonts w:hint="eastAsia"/>
          </w:rPr>
          <w:t>施</w:t>
        </w:r>
        <w:bookmarkEnd w:id="35"/>
        <w:r>
          <w:tab/>
        </w:r>
        <w:r>
          <w:fldChar w:fldCharType="begin"/>
        </w:r>
        <w:r>
          <w:instrText xml:space="preserve"> PAGEREF _Toc273179106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7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>、排水措施：</w:t>
        </w:r>
        <w:r>
          <w:tab/>
        </w:r>
        <w:r>
          <w:fldChar w:fldCharType="begin"/>
        </w:r>
        <w:r>
          <w:instrText xml:space="preserve"> PAGEREF _Toc273179107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108" w:history="1">
        <w:r>
          <w:rPr>
            <w:rStyle w:val="Hyperlink"/>
            <w:rFonts w:hint="eastAsia"/>
          </w:rPr>
          <w:t>六、基坑监测方案</w:t>
        </w:r>
        <w:r>
          <w:tab/>
        </w:r>
        <w:r>
          <w:fldChar w:fldCharType="begin"/>
        </w:r>
        <w:r>
          <w:instrText xml:space="preserve"> PAGEREF _Toc273179108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09" w:history="1">
        <w:r>
          <w:rPr>
            <w:rStyle w:val="Hyperlink"/>
          </w:rPr>
          <w:t>1.</w:t>
        </w:r>
        <w:r>
          <w:rPr>
            <w:rStyle w:val="Hyperlink"/>
            <w:rFonts w:hint="eastAsia"/>
          </w:rPr>
          <w:t>监测内容：</w:t>
        </w:r>
        <w:r>
          <w:tab/>
        </w:r>
        <w:r>
          <w:fldChar w:fldCharType="begin"/>
        </w:r>
        <w:r>
          <w:instrText xml:space="preserve"> PAGEREF _Toc273179109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0" w:history="1">
        <w:r>
          <w:rPr>
            <w:rStyle w:val="Hyperlink"/>
          </w:rPr>
          <w:t>2.</w:t>
        </w:r>
        <w:r>
          <w:rPr>
            <w:rStyle w:val="Hyperlink"/>
            <w:rFonts w:hint="eastAsia"/>
          </w:rPr>
          <w:t>观测点设置：</w:t>
        </w:r>
        <w:r>
          <w:tab/>
        </w:r>
        <w:r>
          <w:fldChar w:fldCharType="begin"/>
        </w:r>
        <w:r>
          <w:instrText xml:space="preserve"> PAGEREF _Toc273179110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1" w:history="1">
        <w:r>
          <w:rPr>
            <w:rStyle w:val="Hyperlink"/>
          </w:rPr>
          <w:t>3.</w:t>
        </w:r>
        <w:r>
          <w:rPr>
            <w:rStyle w:val="Hyperlink"/>
            <w:rFonts w:hint="eastAsia"/>
          </w:rPr>
          <w:t>观测方法：</w:t>
        </w:r>
        <w:r>
          <w:tab/>
        </w:r>
        <w:r>
          <w:fldChar w:fldCharType="begin"/>
        </w:r>
        <w:r>
          <w:instrText xml:space="preserve"> PAGEREF _Toc273179111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2" w:history="1">
        <w:r>
          <w:rPr>
            <w:rStyle w:val="Hyperlink"/>
          </w:rPr>
          <w:t>4.</w:t>
        </w:r>
        <w:r>
          <w:rPr>
            <w:rStyle w:val="Hyperlink"/>
            <w:rFonts w:hint="eastAsia"/>
          </w:rPr>
          <w:t>成果分析：</w:t>
        </w:r>
        <w:r>
          <w:tab/>
        </w:r>
        <w:r>
          <w:fldChar w:fldCharType="begin"/>
        </w:r>
        <w:r>
          <w:instrText xml:space="preserve"> PAGEREF _Toc273179112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113" w:history="1">
        <w:r>
          <w:rPr>
            <w:rStyle w:val="Hyperlink"/>
            <w:rFonts w:hint="eastAsia"/>
          </w:rPr>
          <w:t>七、雨天施工方案</w:t>
        </w:r>
        <w:r>
          <w:tab/>
        </w:r>
        <w:r>
          <w:fldChar w:fldCharType="begin"/>
        </w:r>
        <w:r>
          <w:instrText xml:space="preserve"> PAGEREF _Toc273179113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114" w:history="1">
        <w:r>
          <w:rPr>
            <w:rStyle w:val="Hyperlink"/>
            <w:rFonts w:hint="eastAsia"/>
          </w:rPr>
          <w:t>八、安全保证措施</w:t>
        </w:r>
        <w:r>
          <w:tab/>
        </w:r>
        <w:r>
          <w:fldChar w:fldCharType="begin"/>
        </w:r>
        <w:r>
          <w:instrText xml:space="preserve"> PAGEREF _Toc273179114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</w:pPr>
      <w:r>
        <w:rPr>
          <w:rStyle w:val="Hyperlink"/>
          <w:rFonts w:hint="eastAsia"/>
          <w:color w:val="auto"/>
          <w:u w:val="none"/>
        </w:rPr>
        <w:t>1.</w:t>
      </w:r>
      <w:hyperlink w:anchor="_Toc273179115" w:history="1">
        <w:r>
          <w:rPr>
            <w:rStyle w:val="Hyperlink"/>
            <w:rFonts w:hint="eastAsia"/>
          </w:rPr>
          <w:t>基坑支护安全保证措施</w:t>
        </w:r>
        <w:r>
          <w:tab/>
        </w:r>
        <w:r>
          <w:fldChar w:fldCharType="begin"/>
        </w:r>
        <w:r>
          <w:instrText xml:space="preserve"> PAGEREF _Toc273179115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6" w:history="1">
        <w:r>
          <w:rPr>
            <w:rStyle w:val="Hyperlink"/>
          </w:rPr>
          <w:t>2.</w:t>
        </w:r>
        <w:r>
          <w:rPr>
            <w:rStyle w:val="Hyperlink"/>
            <w:rFonts w:hint="eastAsia"/>
          </w:rPr>
          <w:t>安全生产保证措施</w:t>
        </w:r>
        <w:r>
          <w:tab/>
        </w:r>
        <w:r>
          <w:fldChar w:fldCharType="begin"/>
        </w:r>
        <w:r>
          <w:instrText xml:space="preserve"> PAGEREF _Toc273179116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7" w:history="1">
        <w:r>
          <w:rPr>
            <w:rStyle w:val="Hyperlink"/>
          </w:rPr>
          <w:t>3.</w:t>
        </w:r>
        <w:r>
          <w:rPr>
            <w:rStyle w:val="Hyperlink"/>
            <w:rFonts w:hint="eastAsia"/>
          </w:rPr>
          <w:t>施工防火安全措施</w:t>
        </w:r>
        <w:r>
          <w:tab/>
        </w:r>
        <w:r>
          <w:fldChar w:fldCharType="begin"/>
        </w:r>
        <w:r>
          <w:instrText xml:space="preserve"> PAGEREF _Toc273179117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ind w:right="210"/>
      </w:pPr>
      <w:hyperlink w:anchor="_Toc273179118" w:history="1">
        <w:r>
          <w:rPr>
            <w:rStyle w:val="Hyperlink"/>
          </w:rPr>
          <w:t>4.</w:t>
        </w:r>
        <w:r>
          <w:rPr>
            <w:rStyle w:val="Hyperlink"/>
            <w:rFonts w:hint="eastAsia"/>
          </w:rPr>
          <w:t>地下管线及其它地上设施的安全及加固措施</w:t>
        </w:r>
        <w:r>
          <w:tab/>
        </w:r>
        <w:r>
          <w:fldChar w:fldCharType="begin"/>
        </w:r>
        <w:r>
          <w:instrText xml:space="preserve"> PAGEREF _Toc273179118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</w:pPr>
      <w:hyperlink w:anchor="_Toc273179119" w:history="1">
        <w:r>
          <w:rPr>
            <w:rStyle w:val="Hyperlink"/>
            <w:rFonts w:hint="eastAsia"/>
          </w:rPr>
          <w:t>九、文明施工及环保措施</w:t>
        </w:r>
        <w:r>
          <w:tab/>
        </w:r>
        <w:r>
          <w:fldChar w:fldCharType="begin"/>
        </w:r>
        <w:r>
          <w:instrText xml:space="preserve"> PAGEREF _Toc273179119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spacing w:line="580" w:lineRule="exact"/>
        <w:jc w:val="center"/>
        <w:rPr>
          <w:rFonts w:ascii="宋体" w:hAnsi="宋体" w:hint="eastAsia"/>
          <w:b/>
          <w:sz w:val="52"/>
          <w:szCs w:val="52"/>
        </w:rPr>
        <w:sectPr>
          <w:headerReference w:type="default" r:id="rId7"/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pgNumType w:start="2"/>
          <w:cols w:space="708"/>
          <w:docGrid w:type="lines" w:linePitch="312"/>
        </w:sectPr>
      </w:pPr>
      <w:r>
        <w:rPr>
          <w:rFonts w:ascii="宋体" w:hAnsi="宋体"/>
          <w:b/>
          <w:sz w:val="52"/>
          <w:szCs w:val="52"/>
        </w:rPr>
        <w:fldChar w:fldCharType="end"/>
      </w:r>
    </w:p>
    <w:p>
      <w:pPr>
        <w:pStyle w:val="Heading2"/>
        <w:rPr>
          <w:rFonts w:hint="eastAsia"/>
        </w:rPr>
      </w:pPr>
      <w:bookmarkStart w:id="36" w:name="_Toc271201566"/>
      <w:bookmarkStart w:id="37" w:name="_Toc271491774"/>
      <w:bookmarkStart w:id="38" w:name="_Toc271061833"/>
      <w:bookmarkStart w:id="39" w:name="_Toc271594813"/>
      <w:bookmarkStart w:id="40" w:name="_Toc271595010"/>
      <w:bookmarkStart w:id="41" w:name="_Toc271062341"/>
      <w:bookmarkStart w:id="42" w:name="_Toc271327771"/>
      <w:bookmarkStart w:id="43" w:name="_Toc271181031"/>
      <w:bookmarkStart w:id="44" w:name="_Toc271061649"/>
      <w:bookmarkStart w:id="45" w:name="_Toc271062524"/>
      <w:bookmarkStart w:id="46" w:name="_Toc134037598"/>
      <w:bookmarkStart w:id="47" w:name="_Toc271595272"/>
      <w:bookmarkStart w:id="48" w:name="_Toc141465730"/>
      <w:bookmarkStart w:id="49" w:name="_Toc273178896"/>
      <w:bookmarkStart w:id="50" w:name="_Toc271748919"/>
      <w:bookmarkStart w:id="51" w:name="_Toc271061359"/>
      <w:bookmarkStart w:id="52" w:name="_Toc273179095"/>
      <w:bookmarkStart w:id="53" w:name="_Toc271597396"/>
      <w:bookmarkStart w:id="54" w:name="_Toc271062707"/>
      <w:bookmarkStart w:id="55" w:name="_Toc271092997"/>
      <w:r>
        <w:rPr>
          <w:rFonts w:hint="eastAsia"/>
        </w:rPr>
        <w:t>一、工程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hint="eastAsia"/>
        </w:rPr>
        <w:t>概况</w:t>
      </w:r>
      <w:bookmarkStart w:id="56" w:name="_Toc271597397"/>
      <w:bookmarkStart w:id="57" w:name="_Toc271092998"/>
      <w:bookmarkStart w:id="58" w:name="_Toc271748920"/>
      <w:bookmarkStart w:id="59" w:name="_Toc271201567"/>
      <w:bookmarkStart w:id="60" w:name="_Toc271327772"/>
      <w:bookmarkStart w:id="61" w:name="_Toc231637632"/>
      <w:bookmarkStart w:id="62" w:name="_Toc271062342"/>
      <w:bookmarkStart w:id="63" w:name="_Toc273178897"/>
      <w:bookmarkStart w:id="64" w:name="_Toc271491775"/>
      <w:bookmarkStart w:id="65" w:name="_Toc271595273"/>
      <w:bookmarkStart w:id="66" w:name="_Toc271181032"/>
      <w:bookmarkStart w:id="67" w:name="_Toc271061360"/>
      <w:bookmarkStart w:id="68" w:name="_Toc271594814"/>
      <w:bookmarkStart w:id="69" w:name="_Toc271595011"/>
      <w:bookmarkStart w:id="70" w:name="_Toc271061650"/>
      <w:bookmarkStart w:id="71" w:name="_Toc273179096"/>
      <w:bookmarkStart w:id="72" w:name="_Toc271062708"/>
      <w:bookmarkStart w:id="73" w:name="_Toc271062525"/>
      <w:bookmarkStart w:id="74" w:name="_Toc231637734"/>
      <w:bookmarkStart w:id="75" w:name="_Toc243323487"/>
      <w:bookmarkStart w:id="76" w:name="_Toc271061834"/>
    </w:p>
    <w:p>
      <w:pPr>
        <w:pStyle w:val="Heading2"/>
        <w:rPr>
          <w:rFonts w:hint="eastAsia"/>
        </w:rPr>
      </w:pPr>
      <w:r>
        <w:rPr>
          <w:rFonts w:hint="eastAsia"/>
        </w:rPr>
        <w:t>（一）、</w:t>
      </w:r>
      <w:r>
        <w:t xml:space="preserve"> </w:t>
      </w:r>
      <w:r>
        <w:rPr>
          <w:rFonts w:hint="eastAsia"/>
        </w:rPr>
        <w:t>简</w:t>
      </w:r>
      <w:r>
        <w:t xml:space="preserve">   </w:t>
      </w:r>
      <w:r>
        <w:rPr>
          <w:rFonts w:hint="eastAsia"/>
        </w:rPr>
        <w:t>介</w:t>
      </w:r>
    </w:p>
    <w:p>
      <w:pPr>
        <w:ind w:right="240"/>
        <w:rPr>
          <w:rFonts w:ascii="宋体" w:hAnsi="宋体"/>
          <w:b/>
          <w:bCs/>
          <w:sz w:val="24"/>
        </w:rPr>
      </w:pPr>
      <w:r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、工程名称：民新社区综合服务中心大楼</w:t>
      </w:r>
    </w:p>
    <w:p>
      <w:pPr>
        <w:ind w:right="24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、工程地点：深圳市民治街道民新社区民康路</w:t>
      </w:r>
    </w:p>
    <w:p>
      <w:pPr>
        <w:ind w:right="24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、建设单位：深圳市民治街道办事处</w:t>
      </w:r>
    </w:p>
    <w:p>
      <w:pPr>
        <w:ind w:right="24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、设计单位：广州智海建筑工程技术有限公司</w:t>
      </w:r>
      <w:r>
        <w:rPr>
          <w:rFonts w:ascii="宋体" w:hAnsi="宋体"/>
          <w:sz w:val="24"/>
        </w:rPr>
        <w:t xml:space="preserve"> </w:t>
      </w:r>
    </w:p>
    <w:p>
      <w:pPr>
        <w:ind w:right="24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</w:t>
      </w:r>
      <w:r>
        <w:rPr>
          <w:rFonts w:ascii="宋体" w:hAnsi="宋体" w:hint="eastAsia"/>
          <w:sz w:val="24"/>
        </w:rPr>
        <w:t>、监理单位：深圳市宝安区建设工程监理公司</w:t>
      </w:r>
    </w:p>
    <w:p>
      <w:pPr>
        <w:ind w:right="24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6</w:t>
      </w:r>
      <w:r>
        <w:rPr>
          <w:rFonts w:ascii="宋体" w:hAnsi="宋体" w:hint="eastAsia"/>
          <w:sz w:val="24"/>
        </w:rPr>
        <w:t>、勘察单位：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深圳市协鹏工程勘察有限公司</w:t>
      </w:r>
    </w:p>
    <w:p>
      <w:pPr>
        <w:ind w:left="7320" w:hanging="7320" w:hangingChars="305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7</w:t>
      </w:r>
      <w:r>
        <w:rPr>
          <w:rFonts w:ascii="宋体" w:hAnsi="宋体" w:hint="eastAsia"/>
          <w:sz w:val="24"/>
        </w:rPr>
        <w:t>、施工单位：深圳市粤鹏建筑工程有限公司</w:t>
      </w:r>
    </w:p>
    <w:p>
      <w:pPr>
        <w:ind w:left="7320" w:hanging="7320" w:hangingChars="3050"/>
        <w:rPr>
          <w:rFonts w:ascii="宋体" w:hAnsi="宋体" w:hint="eastAsia"/>
          <w:sz w:val="24"/>
        </w:rPr>
      </w:pPr>
    </w:p>
    <w:p>
      <w:pPr>
        <w:ind w:right="24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（二）、  项目概况</w:t>
      </w:r>
    </w:p>
    <w:p>
      <w:pPr>
        <w:ind w:right="240"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工程总建筑面积2493.96m2，其中地下建筑面积45.04m2、地上建筑面积2448.92m2，建筑基底面积558.62m2，建设用地面积1898.06m2，绿地面积335m2，各层功能如下：地下室为设备房，一层为社区健康服务中心，配电室；二层为会议室，社区警务办公室和社区工作站；三层为社区工作站；四层为社区居委会办公用房，老人之家；五层为大会议室，准备室。</w:t>
      </w:r>
    </w:p>
    <w:p>
      <w:pPr>
        <w:ind w:right="240" w:firstLine="480" w:firstLineChars="20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本工程釆用静圧予制砼管桩,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室内标高</w:t>
      </w:r>
      <w:r>
        <w:rPr>
          <w:rFonts w:ascii="宋体" w:hAnsi="宋体" w:hint="eastAsia"/>
          <w:sz w:val="24"/>
        </w:rPr>
        <w:t>±</w:t>
      </w:r>
      <w:r>
        <w:rPr>
          <w:rFonts w:ascii="宋体" w:hAnsi="宋体" w:hint="eastAsia"/>
          <w:sz w:val="24"/>
        </w:rPr>
        <w:t>0.00相当于黄海标高67.2m,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其中10～14轴首层下面增加地下室设备房,</w:t>
      </w:r>
      <w:r>
        <w:rPr>
          <w:rFonts w:hint="eastAsia"/>
          <w:sz w:val="24"/>
        </w:rPr>
        <w:t xml:space="preserve"> 板底</w:t>
      </w:r>
      <w:r>
        <w:rPr>
          <w:rFonts w:ascii="宋体" w:hAnsi="宋体" w:hint="eastAsia"/>
          <w:sz w:val="24"/>
        </w:rPr>
        <w:t>标高-3.3m.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现有自然地面标高(黄海)</w:t>
      </w:r>
      <w:r>
        <w:rPr>
          <w:rFonts w:hint="eastAsia"/>
          <w:sz w:val="24"/>
        </w:rPr>
        <w:t xml:space="preserve"> 约69.0m。</w:t>
      </w:r>
    </w:p>
    <w:p>
      <w:pPr>
        <w:ind w:right="24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基础施工方法：先在原来自然地面先进行桩基础施工, 完成后再进行土方开挖施工.</w:t>
      </w:r>
    </w:p>
    <w:p>
      <w:pPr>
        <w:spacing w:before="156" w:beforeLines="50" w:after="156" w:afterLines="50" w:line="360" w:lineRule="auto"/>
        <w:jc w:val="center"/>
        <w:rPr>
          <w:b/>
          <w:bCs/>
          <w:sz w:val="44"/>
          <w:szCs w:val="44"/>
        </w:rPr>
      </w:pPr>
      <w:bookmarkStart w:id="77" w:name="_Toc141465733"/>
      <w:bookmarkStart w:id="78" w:name="_Toc271061361"/>
      <w:bookmarkStart w:id="79" w:name="_Toc271061835"/>
      <w:bookmarkStart w:id="80" w:name="_Toc271597398"/>
      <w:bookmarkStart w:id="81" w:name="_Toc271061651"/>
      <w:bookmarkStart w:id="82" w:name="_Toc271491776"/>
      <w:bookmarkStart w:id="83" w:name="_Toc271092999"/>
      <w:bookmarkStart w:id="84" w:name="_Toc271595274"/>
      <w:bookmarkStart w:id="85" w:name="_Toc271594815"/>
      <w:bookmarkStart w:id="86" w:name="_Toc271595012"/>
      <w:bookmarkStart w:id="87" w:name="_Toc271201568"/>
      <w:bookmarkStart w:id="88" w:name="_Toc271748921"/>
      <w:bookmarkStart w:id="89" w:name="_Toc271181033"/>
      <w:bookmarkStart w:id="90" w:name="_Toc271327773"/>
      <w:bookmarkStart w:id="91" w:name="_Toc134037601"/>
      <w:bookmarkStart w:id="92" w:name="_Toc271062343"/>
      <w:bookmarkStart w:id="93" w:name="_Toc271062709"/>
      <w:bookmarkStart w:id="94" w:name="_Toc273178898"/>
      <w:bookmarkStart w:id="95" w:name="_Toc273179097"/>
      <w:bookmarkStart w:id="96" w:name="_Toc271062526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eastAsia"/>
          <w:b/>
          <w:bCs/>
          <w:sz w:val="44"/>
          <w:szCs w:val="44"/>
        </w:rPr>
        <w:t>二.工程地质条件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（一）、场地位置及地形地貌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ascii="宋体" w:hAnsi="宋体" w:hint="eastAsia"/>
          <w:sz w:val="24"/>
        </w:rPr>
        <w:t>拟建场地位于深圳市宝安区</w:t>
      </w:r>
      <w:r>
        <w:rPr>
          <w:rFonts w:hint="eastAsia"/>
          <w:sz w:val="24"/>
        </w:rPr>
        <w:t>民治街道民康路旁</w:t>
      </w:r>
      <w:r>
        <w:rPr>
          <w:rFonts w:ascii="宋体" w:hAnsi="宋体" w:hint="eastAsia"/>
          <w:sz w:val="24"/>
        </w:rPr>
        <w:t xml:space="preserve">，原始地貌单元属燕山期花岗岩风化剥蚀台的坡洪积地段，场地地面较平整，用地红线面积约1000平方米。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（二）、岩土层结构及其物理力学性质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、人工填土层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素填土（1）：红褐，灰，黄褐色，稍湿，松散~稍密状，主要由第四纪坡残积砾质粘性土经人工回填而成，局部含碎石块及建筑垃圾，分为扰动的砾质粘性土堆填，</w:t>
      </w:r>
      <w:r>
        <w:rPr>
          <w:rFonts w:ascii="宋体" w:hAnsi="宋体" w:hint="eastAsia"/>
          <w:sz w:val="24"/>
        </w:rPr>
        <w:t>岩芯呈散块状、土柱状；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2、第四纪坡洪积层</w:t>
      </w:r>
    </w:p>
    <w:p>
      <w:pPr>
        <w:spacing w:line="360" w:lineRule="auto"/>
        <w:ind w:firstLine="480"/>
        <w:rPr>
          <w:rFonts w:hint="eastAsia"/>
          <w:sz w:val="24"/>
        </w:rPr>
        <w:sectPr>
          <w:headerReference w:type="default" r:id="rId10"/>
          <w:footerReference w:type="even" r:id="rId11"/>
          <w:footerReference w:type="default" r:id="rId12"/>
          <w:pgSz w:w="11906" w:h="16838"/>
          <w:pgMar w:top="1440" w:right="1797" w:bottom="1440" w:left="1797" w:header="851" w:footer="992" w:gutter="0"/>
          <w:pgNumType w:start="1"/>
          <w:cols w:space="708"/>
          <w:docGrid w:type="lines" w:linePitch="312"/>
        </w:sectPr>
      </w:pPr>
      <w:r>
        <w:rPr>
          <w:rFonts w:hint="eastAsia"/>
          <w:sz w:val="24"/>
        </w:rPr>
        <w:t>2-1含砂粘性土：土黄、黄褐、土红、红褐色，湿，可~硬塑状，主要为粘土矿物，次为粗砂，网纹状结构发育，刀切面粗糙，无摇振反应，稍具光泽，干强度中等，韧性中等，岩芯呈土柱状。</w:t>
      </w:r>
    </w:p>
    <w:p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2-2粘土：灰、黄褐、深灰、灰黄色，可塑状，泡水软化，主要由高岭石、伊利石等粘土矿物等组成，网纹状结构发育，刀切面光泽，无摇震反应，具光泽，干强度中等，韧性中等，岩芯呈土柱状。</w:t>
      </w:r>
    </w:p>
    <w:p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2-3含粘性土砂：灰褐、深灰、黄褐色、饱和，松散~中密，主要成分为石英质中粗砂，次为粗砾砂，含20%左右的粘土，岩芯呈土柱状、局部呈散砂状。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、第四纪残积层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砾质粘性土：黄褐、黄白、紫色、红褐色，湿，可~硬塑状，水泡软化、砂土分离，系下伏燕山期花岗岩风化残积而成，主要由高岭石、水云母、石英等矿物组成，刀切面粗糙，无摇振反应，稍有光泽，干强度高，韧性较高，岩芯呈土柱状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、燕山期花岗岩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拟建场地下伏岩石主体为燕山期花岗岩，矿物成分主要为石英、长石、云母，次为少量的暗色矿物、粘土矿物，全晶质粗粒花岗岩结构，块状构造，野外钻探揭露出两个风化岩带：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4-1全风化燕山期花岗岩：黄褐、红褐、褐色，坚硬状，尚可见残余结构、构造，岩石已风化成土状，泡水后手捏成团，与上下层位呈渐变关系，岩芯呈土柱状。</w:t>
      </w:r>
    </w:p>
    <w:p>
      <w:pPr>
        <w:pStyle w:val="Heading2"/>
        <w:rPr>
          <w:rFonts w:hint="eastAsia"/>
        </w:rPr>
      </w:pPr>
      <w:r>
        <w:rPr>
          <w:rFonts w:hint="eastAsia"/>
        </w:rPr>
        <w:t>三、方案编制依据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>
      <w:pPr>
        <w:spacing w:line="580" w:lineRule="exact"/>
        <w:ind w:firstLine="420" w:firstLineChars="1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3.1.本工程岩土工程地质勘察报告</w:t>
      </w:r>
    </w:p>
    <w:p>
      <w:pPr>
        <w:spacing w:line="580" w:lineRule="exact"/>
        <w:ind w:firstLine="420" w:firstLineChars="1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3.2.本工程业主有关要求</w:t>
      </w:r>
    </w:p>
    <w:p>
      <w:pPr>
        <w:spacing w:line="580" w:lineRule="exact"/>
        <w:ind w:firstLine="420" w:firstLineChars="1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3.3.本工程有关设计图纸</w:t>
      </w:r>
    </w:p>
    <w:p>
      <w:pPr>
        <w:spacing w:line="580" w:lineRule="exact"/>
        <w:ind w:firstLine="420" w:firstLineChars="1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3.4.选用规范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1）《建筑地基基础工程施工质量验收规范》GBJ50202-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2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2）《建筑基坑工程技术规范》YB9258-97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3）《工程测量规范》GB50026-93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4）《建筑变形测量规程》JGJ/T8-97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  <w:sectPr>
          <w:headerReference w:type="default" r:id="rId13"/>
          <w:footerReference w:type="even" r:id="rId14"/>
          <w:footerReference w:type="default" r:id="rId15"/>
          <w:type w:val="nextPage"/>
          <w:pgSz w:w="11906" w:h="16838"/>
          <w:pgMar w:top="1440" w:right="1797" w:bottom="1440" w:left="1797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5）《建筑工程施工质量验收统一标准》GB50300-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1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6）《建筑施工安全检查标准》JGJ59-99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7）《建筑机械使用安全技术规程》</w:t>
      </w:r>
      <w:r>
        <w:rPr>
          <w:rFonts w:ascii="宋体" w:hAnsi="宋体"/>
          <w:sz w:val="28"/>
          <w:szCs w:val="28"/>
        </w:rPr>
        <w:tab/>
      </w:r>
      <w:r>
        <w:rPr>
          <w:rFonts w:ascii="宋体" w:hAnsi="宋体" w:hint="eastAsia"/>
          <w:sz w:val="28"/>
          <w:szCs w:val="28"/>
        </w:rPr>
        <w:t>JGJ33-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1</w:t>
      </w:r>
    </w:p>
    <w:p>
      <w:pPr>
        <w:spacing w:line="58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8）《施工现场临时用电安全技术规范》JGJ46-88</w:t>
      </w:r>
    </w:p>
    <w:p>
      <w:pPr>
        <w:spacing w:line="58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9）《建设工程施工现场供用电安全规范》GB50194-93</w:t>
      </w:r>
    </w:p>
    <w:p>
      <w:pPr>
        <w:pStyle w:val="Heading2"/>
        <w:rPr>
          <w:rFonts w:hint="eastAsia"/>
        </w:rPr>
      </w:pPr>
      <w:bookmarkStart w:id="97" w:name="_Toc271062527"/>
      <w:bookmarkStart w:id="98" w:name="_Toc271595275"/>
      <w:bookmarkStart w:id="99" w:name="_Toc271181034"/>
      <w:bookmarkStart w:id="100" w:name="_Toc271595013"/>
      <w:bookmarkStart w:id="101" w:name="_Toc271062344"/>
      <w:bookmarkStart w:id="102" w:name="_Toc271597399"/>
      <w:bookmarkStart w:id="103" w:name="_Toc271201569"/>
      <w:bookmarkStart w:id="104" w:name="_Toc273178899"/>
      <w:bookmarkStart w:id="105" w:name="_Toc271093000"/>
      <w:bookmarkStart w:id="106" w:name="_Toc271327774"/>
      <w:bookmarkStart w:id="107" w:name="_Toc271061652"/>
      <w:bookmarkStart w:id="108" w:name="_Toc271062710"/>
      <w:bookmarkStart w:id="109" w:name="_Toc271594816"/>
      <w:bookmarkStart w:id="110" w:name="_Toc271491777"/>
      <w:bookmarkStart w:id="111" w:name="_Toc271061362"/>
      <w:bookmarkStart w:id="112" w:name="_Toc271061836"/>
      <w:bookmarkStart w:id="113" w:name="_Toc271748922"/>
      <w:bookmarkStart w:id="114" w:name="_Toc273179098"/>
      <w:r>
        <w:rPr>
          <w:rFonts w:hint="eastAsia"/>
        </w:rPr>
        <w:t>四、基坑土方开挖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>
      <w:pPr>
        <w:autoSpaceDE w:val="0"/>
        <w:autoSpaceDN w:val="0"/>
        <w:adjustRightInd w:val="0"/>
        <w:spacing w:line="360" w:lineRule="auto"/>
        <w:ind w:firstLine="560" w:firstLineChars="200"/>
        <w:rPr>
          <w:rFonts w:ascii="仿宋_GB2312" w:eastAsia="仿宋_GB2312" w:hAnsi="仿宋_GB2312" w:hint="eastAsia"/>
          <w:b/>
          <w:sz w:val="28"/>
          <w:szCs w:val="28"/>
          <w:lang w:val="zh-CN"/>
        </w:rPr>
      </w:pPr>
      <w:r>
        <w:rPr>
          <w:rFonts w:ascii="仿宋_GB2312" w:eastAsia="仿宋_GB2312" w:hAnsi="仿宋_GB2312" w:hint="eastAsia"/>
          <w:b/>
          <w:sz w:val="28"/>
          <w:szCs w:val="28"/>
          <w:lang w:val="zh-CN"/>
        </w:rPr>
        <w:t>（一）、作业条件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1、土方开挖前，应根据施工方案的要求，将施工区域内的地下、地上障碍物清除和处理完毕，对己完成的管桩做好标志，防止机械或汽车碰坏。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2、 建筑物或构筑物的位置或场地的定位控制线（桩）、标准水平桩及开槽的灰线尺寸，必须经过检验合格；并办完预检手续。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3、 夜间施工时，应有足够的照明设施；在危险地段应设置明显标志，并要合理安排开挖顺序，防止错挖或超挖。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4、在挖土方前，应做好地面排水和降低地下水位工作。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开挖有地下水位的基坑槽、管沟时，应根据当地工程地质资料，采取措施降低地下水位。一般要降至开挖面以下0.5m，然后才能开挖。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5、施工区域运行路线的布置，应根据作业区域工程的大小、机械性能、运距和地形起伏等情况加以确定。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6、 在机械施工无法作业的部位和修整边坡坡度、清理槽底等，均应配备人工进行。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7、土方施工前应进行挖、填方的平衡计算，综合考虑土方运距最短、运程合理和各个工程项目的合理施工程序等，做好土方平衡调配，减少重复挖运。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  <w:sectPr>
          <w:headerReference w:type="default" r:id="rId16"/>
          <w:footerReference w:type="even" r:id="rId17"/>
          <w:footerReference w:type="default" r:id="rId18"/>
          <w:type w:val="nextPage"/>
          <w:pgSz w:w="11906" w:h="16838"/>
          <w:pgMar w:top="1440" w:right="1797" w:bottom="1440" w:left="1797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8、土方工程施工，应经常测量和校核其平面位置、水平标高和边坡坡度、压实度、排水、降低地下水位系统。平面控制桩和水准控制点应采取可靠的保护措施，定期复测和检查。土方不应堆在基坑边缘，并随时观测周围的环境变化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9、雨季和冬季施工应遵守国家现行有关标准。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10、基坑开挖前，应根据支护结构形式、挖深、地质条件、施工方法、周围环境、工期、气候和地面载荷等资料制定施工方案、环境保护措施、监测方案，经审批后方可施工。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11、土方开挖的顺序、方法必须遵循</w:t>
      </w:r>
      <w:r>
        <w:rPr>
          <w:rFonts w:ascii="仿宋_GB2312" w:eastAsia="仿宋_GB2312" w:hAnsi="宋体" w:hint="eastAsia"/>
          <w:sz w:val="28"/>
          <w:szCs w:val="28"/>
        </w:rPr>
        <w:t>“</w:t>
      </w:r>
      <w:r>
        <w:rPr>
          <w:rFonts w:ascii="仿宋_GB2312" w:eastAsia="仿宋_GB2312" w:hAnsi="宋体" w:hint="eastAsia"/>
          <w:sz w:val="28"/>
          <w:szCs w:val="28"/>
        </w:rPr>
        <w:t>开槽支撑，先撑后挖，分层开挖，严禁超挖</w:t>
      </w:r>
      <w:r>
        <w:rPr>
          <w:rFonts w:ascii="仿宋_GB2312" w:eastAsia="仿宋_GB2312" w:hAnsi="宋体" w:hint="eastAsia"/>
          <w:sz w:val="28"/>
          <w:szCs w:val="28"/>
        </w:rPr>
        <w:t>”</w:t>
      </w:r>
      <w:r>
        <w:rPr>
          <w:rFonts w:ascii="仿宋_GB2312" w:eastAsia="仿宋_GB2312" w:hAnsi="宋体" w:hint="eastAsia"/>
          <w:sz w:val="28"/>
          <w:szCs w:val="28"/>
        </w:rPr>
        <w:t>的原则。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12、在施工过程中基坑边堆置土方不应超过设计荷载，挖土方时不应碰撞或损伤支护结构、降水设施。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13、基坑开挖至设计标高后，应对坑底进行保护，经验槽合格后，方可进行垫层施工。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14、基坑土方工程验收必须确保支护结构安全和周围环境安全为前提。当设计有指标时，以设计要求为依据，如无设计指标时应规定执行。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rPr>
          <w:rFonts w:ascii="仿宋_GB2312" w:eastAsia="仿宋_GB2312" w:hAnsi="仿宋_GB2312" w:hint="eastAsia"/>
          <w:b/>
          <w:sz w:val="28"/>
          <w:szCs w:val="28"/>
          <w:lang w:val="zh-CN"/>
        </w:rPr>
      </w:pPr>
      <w:r>
        <w:rPr>
          <w:rFonts w:ascii="仿宋_GB2312" w:eastAsia="仿宋_GB2312" w:hAnsi="仿宋_GB2312" w:hint="eastAsia"/>
          <w:b/>
          <w:sz w:val="28"/>
          <w:szCs w:val="28"/>
          <w:lang w:val="zh-CN"/>
        </w:rPr>
        <w:t>（二）、技术准备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32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（1）.组织学习图纸，地勘，进行技术交底，施工技术交底，编</w:t>
      </w:r>
      <w:r>
        <w:rPr>
          <w:rFonts w:ascii="仿宋_GB2312" w:eastAsia="仿宋_GB2312" w:hAnsi="宋体" w:hint="eastAsia"/>
          <w:sz w:val="32"/>
          <w:szCs w:val="28"/>
        </w:rPr>
        <w:t>制施工预算。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ascii="仿宋_GB2312" w:eastAsia="仿宋_GB2312" w:hAnsi="宋体" w:hint="eastAsia"/>
          <w:sz w:val="32"/>
          <w:szCs w:val="28"/>
        </w:rPr>
      </w:pPr>
      <w:r>
        <w:rPr>
          <w:rFonts w:ascii="仿宋_GB2312" w:eastAsia="仿宋_GB2312" w:hAnsi="宋体" w:hint="eastAsia"/>
          <w:sz w:val="32"/>
          <w:szCs w:val="28"/>
        </w:rPr>
        <w:t>（2）.提出材料计划和技术资料。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ascii="仿宋_GB2312" w:eastAsia="仿宋_GB2312" w:hAnsi="宋体" w:hint="eastAsia"/>
          <w:sz w:val="32"/>
          <w:szCs w:val="28"/>
        </w:rPr>
      </w:pPr>
      <w:r>
        <w:rPr>
          <w:rFonts w:ascii="仿宋_GB2312" w:eastAsia="仿宋_GB2312" w:hAnsi="宋体" w:hint="eastAsia"/>
          <w:sz w:val="32"/>
          <w:szCs w:val="28"/>
        </w:rPr>
        <w:t>（3）.对各工种进行培训，学习施工技术、规范、安全法规、安全技术规程、安全操作规程。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ascii="仿宋_GB2312" w:eastAsia="仿宋_GB2312" w:hAnsi="宋体" w:hint="eastAsia"/>
          <w:sz w:val="32"/>
          <w:szCs w:val="28"/>
        </w:rPr>
      </w:pPr>
      <w:r>
        <w:rPr>
          <w:rFonts w:ascii="仿宋_GB2312" w:eastAsia="仿宋_GB2312" w:hAnsi="宋体" w:hint="eastAsia"/>
          <w:sz w:val="32"/>
          <w:szCs w:val="28"/>
        </w:rPr>
        <w:t>（4）.对新进工人进行安全教育。</w:t>
      </w:r>
    </w:p>
    <w:p>
      <w:pPr>
        <w:autoSpaceDE w:val="0"/>
        <w:autoSpaceDN w:val="0"/>
        <w:adjustRightInd w:val="0"/>
        <w:spacing w:line="360" w:lineRule="auto"/>
        <w:ind w:firstLine="640" w:firstLineChars="200"/>
        <w:rPr>
          <w:rFonts w:ascii="仿宋_GB2312" w:eastAsia="仿宋_GB2312" w:hAnsi="仿宋_GB2312" w:hint="eastAsia"/>
          <w:b/>
          <w:sz w:val="32"/>
          <w:szCs w:val="28"/>
          <w:lang w:val="zh-CN"/>
        </w:rPr>
        <w:sectPr>
          <w:headerReference w:type="default" r:id="rId19"/>
          <w:footerReference w:type="even" r:id="rId20"/>
          <w:footerReference w:type="default" r:id="rId21"/>
          <w:type w:val="nextPage"/>
          <w:pgSz w:w="11906" w:h="16838"/>
          <w:pgMar w:top="1440" w:right="1797" w:bottom="1440" w:left="1797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仿宋_GB2312" w:eastAsia="仿宋_GB2312" w:hAnsi="仿宋_GB2312" w:hint="eastAsia"/>
          <w:b/>
          <w:sz w:val="32"/>
          <w:szCs w:val="28"/>
          <w:lang w:val="zh-CN"/>
        </w:rPr>
        <w:t>（三）、机械准备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ascii="仿宋_GB2312" w:eastAsia="仿宋_GB2312" w:hAnsi="宋体" w:hint="eastAsia"/>
          <w:sz w:val="32"/>
          <w:szCs w:val="28"/>
        </w:rPr>
      </w:pPr>
      <w:r>
        <w:rPr>
          <w:rFonts w:ascii="仿宋_GB2312" w:eastAsia="仿宋_GB2312" w:hAnsi="宋体" w:hint="eastAsia"/>
          <w:sz w:val="32"/>
          <w:szCs w:val="28"/>
        </w:rPr>
        <w:t>挖掘机、碾压机、蛙式打夯机、潜水泵。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根据土质要求，合理选择放坡系数放坡。采用斗容量PC</w:t>
      </w:r>
      <w:r>
        <w:rPr>
          <w:rFonts w:ascii="仿宋" w:eastAsia="仿宋" w:hAnsi="仿宋" w:hint="eastAsia"/>
          <w:sz w:val="28"/>
          <w:szCs w:val="28"/>
          <w:lang w:eastAsia="zh-CN"/>
        </w:rPr>
        <w:t>201</w:t>
      </w:r>
      <w:r>
        <w:rPr>
          <w:rFonts w:ascii="仿宋" w:eastAsia="仿宋" w:hAnsi="仿宋" w:hint="eastAsia"/>
          <w:sz w:val="28"/>
          <w:szCs w:val="28"/>
        </w:rPr>
        <w:t>型履带挖掘机一台配合自卸车8台进行基坑土方开挖以保证施工机械的连续作业，挖出土方全部</w:t>
      </w:r>
      <w:r>
        <w:rPr>
          <w:rFonts w:ascii="宋体" w:hAnsi="宋体" w:hint="eastAsia"/>
          <w:sz w:val="28"/>
          <w:szCs w:val="28"/>
        </w:rPr>
        <w:t>外运至废旧场地内堆放</w:t>
      </w:r>
      <w:r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>挖至设计深度以上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/>
          <w:sz w:val="28"/>
          <w:szCs w:val="28"/>
        </w:rPr>
        <w:t>mm</w:t>
      </w:r>
      <w:r>
        <w:rPr>
          <w:rFonts w:ascii="宋体" w:hAnsi="宋体" w:hint="eastAsia"/>
          <w:sz w:val="28"/>
          <w:szCs w:val="28"/>
        </w:rPr>
        <w:t>处停止挖土，最后采用人工挖土。</w:t>
      </w:r>
    </w:p>
    <w:p>
      <w:pPr>
        <w:pStyle w:val="Heading3"/>
        <w:rPr>
          <w:rFonts w:hint="eastAsia"/>
        </w:rPr>
      </w:pPr>
      <w:bookmarkStart w:id="115" w:name="_Toc271201570"/>
      <w:bookmarkStart w:id="116" w:name="_Toc271595014"/>
      <w:bookmarkStart w:id="117" w:name="_Toc271597400"/>
      <w:bookmarkStart w:id="118" w:name="_Toc271748923"/>
      <w:bookmarkStart w:id="119" w:name="_Toc271594817"/>
      <w:bookmarkStart w:id="120" w:name="_Toc271595276"/>
      <w:bookmarkStart w:id="121" w:name="_Toc271491778"/>
      <w:bookmarkStart w:id="122" w:name="_Toc271327775"/>
      <w:bookmarkStart w:id="123" w:name="_Toc273178900"/>
      <w:bookmarkStart w:id="124" w:name="_Toc273179099"/>
      <w:r>
        <w:rPr>
          <w:rFonts w:hint="eastAsia"/>
        </w:rPr>
        <w:t>1、挖土方施工方法</w:t>
      </w:r>
      <w:bookmarkEnd w:id="124"/>
      <w:bookmarkEnd w:id="123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>
        <w:rPr>
          <w:rFonts w:hint="eastAsia"/>
        </w:rPr>
        <w:t xml:space="preserve">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A、开挖时根据基坑支护设计要求应分层进行。每层开挖厚度不超过2m,当土方开挖快接近基底标高时，在边坡上放出基底标高控制线，控制线采用红色油漆进行标注。挖掘机应使用平刮方式进行挖土，现场配合测量人员随时测量挖土的标高，避免土方超挖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B、基坑开挖完毕，应全面进行钎探，然后会同勘察、设计、业主、监理等有关部门进行验槽，在确定已达到设计标高及容许承载力，并办完隐检手续，签证齐全后方可进行基础施工。 </w:t>
      </w:r>
    </w:p>
    <w:p>
      <w:pPr>
        <w:pStyle w:val="Heading3"/>
        <w:rPr>
          <w:rFonts w:hint="eastAsia"/>
        </w:rPr>
      </w:pPr>
      <w:bookmarkStart w:id="125" w:name="_Toc272442985"/>
      <w:bookmarkStart w:id="126" w:name="_Toc270711280"/>
      <w:bookmarkStart w:id="127" w:name="_Toc270699313"/>
      <w:bookmarkStart w:id="128" w:name="_Toc270699406"/>
      <w:bookmarkStart w:id="129" w:name="_Toc271201400"/>
      <w:bookmarkStart w:id="130" w:name="_Toc271201343"/>
      <w:bookmarkStart w:id="131" w:name="_Toc270699471"/>
      <w:bookmarkStart w:id="132" w:name="_Toc270712217"/>
      <w:bookmarkStart w:id="133" w:name="_Toc272443312"/>
      <w:bookmarkStart w:id="134" w:name="_Toc270699636"/>
      <w:bookmarkStart w:id="135" w:name="_Toc270712886"/>
      <w:bookmarkStart w:id="136" w:name="_Toc270699359"/>
      <w:bookmarkStart w:id="137" w:name="_Toc273179100"/>
      <w:bookmarkStart w:id="138" w:name="_Toc273178901"/>
      <w:r>
        <w:rPr>
          <w:rFonts w:hint="eastAsia"/>
        </w:rPr>
        <w:t>2、基坑土方开挖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>
        <w:rPr>
          <w:rFonts w:hint="eastAsia"/>
        </w:rPr>
        <w:t>方案</w:t>
      </w:r>
      <w:bookmarkEnd w:id="137"/>
      <w:bookmarkEnd w:id="138"/>
    </w:p>
    <w:p>
      <w:pPr>
        <w:ind w:right="240" w:firstLine="48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宋体" w:hAnsi="宋体" w:hint="eastAsia"/>
          <w:sz w:val="24"/>
        </w:rPr>
        <w:t>现有自然地面土方标高高于室内</w:t>
      </w:r>
      <w:r>
        <w:rPr>
          <w:rFonts w:ascii="宋体" w:hAnsi="宋体" w:hint="eastAsia"/>
          <w:sz w:val="24"/>
        </w:rPr>
        <w:t>±</w:t>
      </w:r>
      <w:r>
        <w:rPr>
          <w:rFonts w:ascii="宋体" w:hAnsi="宋体" w:hint="eastAsia"/>
          <w:sz w:val="24"/>
        </w:rPr>
        <w:t>0.00约1.8</w:t>
      </w:r>
      <w:r>
        <w:rPr>
          <w:rFonts w:ascii="仿宋_GB2312" w:eastAsia="仿宋_GB2312" w:hAnsi="宋体" w:hint="eastAsia"/>
          <w:sz w:val="28"/>
          <w:szCs w:val="28"/>
        </w:rPr>
        <w:t>～2.0m</w:t>
      </w:r>
      <w:r>
        <w:rPr>
          <w:rFonts w:hint="eastAsia"/>
          <w:sz w:val="24"/>
        </w:rPr>
        <w:t>,</w:t>
      </w:r>
      <w:r>
        <w:rPr>
          <w:rFonts w:ascii="仿宋_GB2312" w:eastAsia="仿宋_GB2312" w:hAnsi="宋体" w:hint="eastAsia"/>
          <w:sz w:val="28"/>
          <w:szCs w:val="28"/>
        </w:rPr>
        <w:t>根据现场实际、图纸要求及地勘报告，挖土主要工艺:</w:t>
      </w:r>
    </w:p>
    <w:p>
      <w:pPr>
        <w:numPr>
          <w:ilvl w:val="0"/>
          <w:numId w:val="7"/>
        </w:numPr>
        <w:tabs>
          <w:tab w:val="left" w:pos="920"/>
        </w:tabs>
        <w:adjustRightInd w:val="0"/>
        <w:snapToGrid w:val="0"/>
        <w:spacing w:line="360" w:lineRule="auto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1～10轴交A～D轴部分土方暂挖至-0.8m,</w:t>
      </w:r>
      <w:r>
        <w:rPr>
          <w:rFonts w:hint="eastAsia"/>
        </w:rPr>
        <w:t xml:space="preserve"> </w:t>
      </w:r>
      <w:r>
        <w:rPr>
          <w:rFonts w:ascii="仿宋_GB2312" w:eastAsia="仿宋_GB2312" w:hAnsi="宋体" w:hint="eastAsia"/>
          <w:sz w:val="28"/>
          <w:szCs w:val="28"/>
        </w:rPr>
        <w:t>再用小型机械配合人工挖桩基承台土方.</w:t>
      </w:r>
    </w:p>
    <w:p>
      <w:pPr>
        <w:numPr>
          <w:ilvl w:val="0"/>
          <w:numId w:val="7"/>
        </w:numPr>
        <w:tabs>
          <w:tab w:val="left" w:pos="920"/>
        </w:tabs>
        <w:adjustRightInd w:val="0"/>
        <w:snapToGrid w:val="0"/>
        <w:spacing w:line="360" w:lineRule="auto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10～14轴交于A～C轴为地下室设备房部位,</w:t>
      </w:r>
      <w:r>
        <w:rPr>
          <w:rFonts w:hint="eastAsia"/>
        </w:rPr>
        <w:t xml:space="preserve"> </w:t>
      </w:r>
      <w:r>
        <w:rPr>
          <w:rFonts w:ascii="仿宋_GB2312" w:eastAsia="仿宋_GB2312" w:hAnsi="宋体" w:hint="eastAsia"/>
          <w:sz w:val="28"/>
          <w:szCs w:val="28"/>
        </w:rPr>
        <w:t>底板设计标高为-3.3m,</w:t>
      </w:r>
      <w:r>
        <w:rPr>
          <w:rFonts w:hint="eastAsia"/>
        </w:rPr>
        <w:t xml:space="preserve"> </w:t>
      </w:r>
      <w:r>
        <w:rPr>
          <w:rFonts w:ascii="仿宋_GB2312" w:eastAsia="仿宋_GB2312" w:hAnsi="宋体" w:hint="eastAsia"/>
          <w:sz w:val="28"/>
          <w:szCs w:val="28"/>
        </w:rPr>
        <w:t>此范围土方开挖笫一次先挖至-0.8m;第二次再进行-3.3m部分基坑土方开挖.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  <w:sectPr>
          <w:headerReference w:type="default" r:id="rId22"/>
          <w:footerReference w:type="even" r:id="rId23"/>
          <w:footerReference w:type="default" r:id="rId24"/>
          <w:type w:val="nextPage"/>
          <w:pgSz w:w="11906" w:h="16838"/>
          <w:pgMar w:top="1440" w:right="1797" w:bottom="1440" w:left="1797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工程采用机械大开挖方式进行土方施工。根据土质要求，合理选择放坡系数放坡。采用反铲履带挖掘机进行土方开挖，4台自卸车进行倒土运输。开挖地下深坑时，根据基坑情况可增设1台小型挖掘机。一次开挖到位，挖至设计深度以上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201</w:t>
      </w:r>
      <w:r>
        <w:rPr>
          <w:rFonts w:ascii="仿宋_GB2312" w:eastAsia="仿宋_GB2312" w:hAnsi="宋体"/>
          <w:sz w:val="28"/>
          <w:szCs w:val="28"/>
        </w:rPr>
        <w:t>mm</w:t>
      </w:r>
      <w:r>
        <w:rPr>
          <w:rFonts w:ascii="仿宋_GB2312" w:eastAsia="仿宋_GB2312" w:hAnsi="宋体" w:hint="eastAsia"/>
          <w:sz w:val="28"/>
          <w:szCs w:val="28"/>
        </w:rPr>
        <w:t>处停止挖土，最后采用人工清槽，土方全部外运至废旧场地内堆放.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地下室设备房即-3.3m部分,</w:t>
      </w:r>
      <w:r>
        <w:rPr>
          <w:rFonts w:hint="eastAsia"/>
          <w:sz w:val="28"/>
        </w:rPr>
        <w:t xml:space="preserve"> </w:t>
      </w:r>
      <w:r>
        <w:rPr>
          <w:rFonts w:ascii="仿宋_GB2312" w:eastAsia="仿宋_GB2312" w:hAnsi="宋体" w:hint="eastAsia"/>
          <w:sz w:val="28"/>
          <w:szCs w:val="28"/>
        </w:rPr>
        <w:t>靠碧水龙庭花园一面按设计变更要求，</w:t>
      </w:r>
      <w:r>
        <w:rPr>
          <w:rFonts w:ascii="宋体" w:hAnsi="宋体" w:cs="宋体" w:hint="eastAsia"/>
          <w:sz w:val="28"/>
          <w:szCs w:val="28"/>
        </w:rPr>
        <w:t>釆用护壁予制砼管桩,</w:t>
      </w:r>
      <w:r>
        <w:rPr>
          <w:rFonts w:hint="eastAsia"/>
          <w:sz w:val="28"/>
        </w:rPr>
        <w:t xml:space="preserve"> 桩长9m, 桩与桩的净空为80cm, 土方挖走后, 将原有土基修平压实, 在桩与桩的中间土层加钢丝用膨胀镙栓固定在两桩上保护,其余三面土方开挖釆用放坡，</w:t>
      </w:r>
      <w:r>
        <w:rPr>
          <w:rFonts w:ascii="仿宋_GB2312" w:eastAsia="仿宋_GB2312" w:hAnsi="宋体" w:hint="eastAsia"/>
          <w:sz w:val="28"/>
          <w:szCs w:val="28"/>
        </w:rPr>
        <w:t>基坑壁放坡系数拟采用： 1：1放坡系数，并采取边坡支护。开挖后根据实际情况</w:t>
      </w:r>
      <w:r>
        <w:rPr>
          <w:rFonts w:ascii="仿宋_GB2312" w:eastAsia="仿宋_GB2312" w:hAnsi="宋体"/>
          <w:sz w:val="28"/>
          <w:szCs w:val="28"/>
        </w:rPr>
        <w:t>后作适当调整。</w:t>
      </w:r>
      <w:r>
        <w:rPr>
          <w:rFonts w:ascii="仿宋_GB2312" w:eastAsia="仿宋_GB2312" w:hAnsi="宋体" w:hint="eastAsia"/>
          <w:sz w:val="28"/>
          <w:szCs w:val="28"/>
        </w:rPr>
        <w:t>按本工程基础尺寸，四周预留1000宽作为工作面</w:t>
      </w:r>
      <w:r>
        <w:rPr>
          <w:rFonts w:ascii="仿宋_GB2312" w:eastAsia="仿宋_GB2312" w:hAnsi="宋体"/>
          <w:sz w:val="28"/>
          <w:szCs w:val="28"/>
        </w:rPr>
        <w:t>。</w:t>
      </w:r>
    </w:p>
    <w:p>
      <w:pPr>
        <w:adjustRightInd w:val="0"/>
        <w:snapToGrid w:val="0"/>
        <w:spacing w:line="360" w:lineRule="auto"/>
        <w:ind w:firstLine="42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工艺流程：</w:t>
      </w:r>
      <w:r>
        <w:rPr>
          <w:rFonts w:ascii="仿宋_GB2312" w:eastAsia="仿宋_GB2312" w:hAnsi="宋体" w:hint="eastAsia"/>
          <w:sz w:val="28"/>
          <w:szCs w:val="28"/>
        </w:rPr>
        <w:t>放线</w:t>
      </w:r>
      <w:r>
        <w:rPr>
          <w:rFonts w:ascii="仿宋_GB2312" w:eastAsia="仿宋_GB2312" w:hAnsi="宋体" w:hint="eastAsia"/>
          <w:sz w:val="28"/>
          <w:szCs w:val="28"/>
        </w:rPr>
        <w:t>→</w:t>
      </w:r>
      <w:r>
        <w:rPr>
          <w:rFonts w:ascii="仿宋_GB2312" w:eastAsia="仿宋_GB2312" w:hAnsi="宋体" w:hint="eastAsia"/>
          <w:sz w:val="28"/>
          <w:szCs w:val="28"/>
        </w:rPr>
        <w:t>分层开挖</w:t>
      </w:r>
      <w:r>
        <w:rPr>
          <w:rFonts w:ascii="仿宋_GB2312" w:eastAsia="仿宋_GB2312" w:hAnsi="宋体" w:hint="eastAsia"/>
          <w:sz w:val="28"/>
          <w:szCs w:val="28"/>
        </w:rPr>
        <w:t>→</w:t>
      </w:r>
      <w:r>
        <w:rPr>
          <w:rFonts w:ascii="仿宋_GB2312" w:eastAsia="仿宋_GB2312" w:hAnsi="宋体" w:hint="eastAsia"/>
          <w:sz w:val="28"/>
          <w:szCs w:val="28"/>
        </w:rPr>
        <w:t>修边(坡)</w:t>
      </w:r>
      <w:r>
        <w:rPr>
          <w:rFonts w:ascii="仿宋_GB2312" w:eastAsia="仿宋_GB2312" w:hAnsi="宋体" w:hint="eastAsia"/>
          <w:sz w:val="28"/>
          <w:szCs w:val="28"/>
        </w:rPr>
        <w:t>→</w:t>
      </w:r>
      <w:r>
        <w:rPr>
          <w:rFonts w:ascii="仿宋_GB2312" w:eastAsia="仿宋_GB2312" w:hAnsi="宋体" w:hint="eastAsia"/>
          <w:sz w:val="28"/>
          <w:szCs w:val="28"/>
        </w:rPr>
        <w:t>基(槽)底整平</w:t>
      </w:r>
      <w:r>
        <w:rPr>
          <w:rFonts w:ascii="仿宋_GB2312" w:eastAsia="仿宋_GB2312" w:hAnsi="宋体" w:hint="eastAsia"/>
          <w:sz w:val="28"/>
          <w:szCs w:val="28"/>
        </w:rPr>
        <w:t>→</w:t>
      </w:r>
      <w:r>
        <w:rPr>
          <w:rFonts w:ascii="仿宋_GB2312" w:eastAsia="仿宋_GB2312" w:hAnsi="宋体" w:hint="eastAsia"/>
          <w:sz w:val="28"/>
          <w:szCs w:val="28"/>
        </w:rPr>
        <w:t>基(槽)底预留土层</w:t>
      </w:r>
      <w:r>
        <w:rPr>
          <w:rFonts w:ascii="仿宋_GB2312" w:eastAsia="仿宋_GB2312" w:hAnsi="宋体" w:hint="eastAsia"/>
          <w:sz w:val="28"/>
          <w:szCs w:val="28"/>
        </w:rPr>
        <w:t>→</w:t>
      </w:r>
      <w:r>
        <w:rPr>
          <w:rFonts w:ascii="仿宋_GB2312" w:eastAsia="仿宋_GB2312" w:hAnsi="宋体" w:hint="eastAsia"/>
          <w:sz w:val="28"/>
          <w:szCs w:val="28"/>
        </w:rPr>
        <w:t>基(槽)底找平。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基坑开挖完毕，应全面进行钎探，然后会同勘察、设计、业主、监理等有关部门进行验槽，在确定已达到设计标高及容许承载力，并办完隐检手续，签证齐全后方可进行基础施工。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rPr>
          <w:rFonts w:ascii="仿宋_GB2312" w:eastAsia="仿宋_GB2312" w:hAnsi="仿宋_GB2312" w:hint="eastAsia"/>
          <w:b/>
          <w:sz w:val="28"/>
          <w:szCs w:val="28"/>
          <w:lang w:val="zh-CN"/>
        </w:rPr>
      </w:pPr>
      <w:r>
        <w:rPr>
          <w:rFonts w:ascii="仿宋_GB2312" w:eastAsia="仿宋_GB2312" w:hAnsi="仿宋_GB2312" w:hint="eastAsia"/>
          <w:b/>
          <w:sz w:val="28"/>
          <w:szCs w:val="28"/>
          <w:lang w:val="zh-CN"/>
        </w:rPr>
        <w:t>操作要点：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（1）</w:t>
      </w:r>
      <w:r>
        <w:rPr>
          <w:rFonts w:ascii="仿宋_GB2312" w:eastAsia="仿宋_GB2312" w:hAnsi="宋体"/>
          <w:sz w:val="28"/>
          <w:szCs w:val="28"/>
        </w:rPr>
        <w:t>土方开挖至设计标高</w:t>
      </w:r>
      <w:r>
        <w:rPr>
          <w:rFonts w:ascii="仿宋_GB2312" w:eastAsia="仿宋_GB2312" w:hAnsi="宋体" w:hint="eastAsia"/>
          <w:sz w:val="28"/>
          <w:szCs w:val="28"/>
        </w:rPr>
        <w:t>40-5</w:t>
      </w:r>
      <w:r>
        <w:rPr>
          <w:rFonts w:ascii="仿宋_GB2312" w:eastAsia="仿宋_GB2312" w:hAnsi="宋体"/>
          <w:sz w:val="28"/>
          <w:szCs w:val="28"/>
        </w:rPr>
        <w:t>0cm时复核开挖位置，确定其正确后继续开挖至垫层顶标高时及时会同建设、设计、质监部门验槽；签字认定后及时浇筑垫层砼封闭；做到随挖随检，随验随浇，避免雨水、地表水浸泡土质发生变化</w:t>
      </w:r>
      <w:r>
        <w:rPr>
          <w:rFonts w:ascii="仿宋_GB2312" w:eastAsia="仿宋_GB2312" w:hAnsi="宋体" w:hint="eastAsia"/>
          <w:sz w:val="28"/>
          <w:szCs w:val="28"/>
        </w:rPr>
        <w:t>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（2）挖方的弃土或放土，应保证挖方边坡的稳定与排水，当土质良好时，应距槽沟边缘0.8m以外堆放，且高度不宜超过1.5m。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（3）土方工程一般不宜在雨天进行。在雨季施工时，工作面不宜过大。应逐段、逐片地完成，并应切实制订雨季施工的安全技术措施。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  <w:sectPr>
          <w:headerReference w:type="default" r:id="rId25"/>
          <w:footerReference w:type="even" r:id="rId26"/>
          <w:footerReference w:type="default" r:id="rId27"/>
          <w:type w:val="nextPage"/>
          <w:pgSz w:w="11906" w:h="16838"/>
          <w:pgMar w:top="1440" w:right="1797" w:bottom="1440" w:left="1797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仿宋_GB2312" w:eastAsia="仿宋_GB2312" w:hAnsi="宋体" w:hint="eastAsia"/>
          <w:sz w:val="28"/>
          <w:szCs w:val="28"/>
        </w:rPr>
        <w:t xml:space="preserve">（4）为减少对地基土的扰动，机械挖土应在基底标高以上保留 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  <w:lang w:eastAsia="zh-CN"/>
        </w:rPr>
        <w:t>201</w:t>
      </w:r>
      <w:r>
        <w:rPr>
          <w:rFonts w:ascii="仿宋_GB2312" w:eastAsia="仿宋_GB2312" w:hAnsi="宋体" w:hint="eastAsia"/>
          <w:sz w:val="28"/>
          <w:szCs w:val="28"/>
        </w:rPr>
        <w:t>mm左右，以后用人工挖平清底；如人工挖土后不能立即修筑基础或铺设管道时，也应保留180mm厚的土层暂时不挖。所有预留厚度应在基础施工前用人工挖除。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（5）挖至基坑（槽）底时，应及时会同甲方、监理和设计人进行验槽。以便对软弱夹层进行深挖与处理。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（6）控制避免基坑超挖：有水平标准严格控制基底的标桩，标桩间的距离</w:t>
      </w:r>
      <w:r>
        <w:rPr>
          <w:rFonts w:ascii="仿宋_GB2312" w:eastAsia="仿宋_GB2312" w:hAnsi="宋体" w:hint="eastAsia"/>
          <w:sz w:val="28"/>
          <w:szCs w:val="28"/>
        </w:rPr>
        <w:t>≤</w:t>
      </w:r>
      <w:r>
        <w:rPr>
          <w:rFonts w:ascii="仿宋_GB2312" w:eastAsia="仿宋_GB2312" w:hAnsi="宋体" w:hint="eastAsia"/>
          <w:sz w:val="28"/>
          <w:szCs w:val="28"/>
        </w:rPr>
        <w:t>3m，以防基底超挖。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（7）夜间施工时，施工现场应有足够照明设施，在危险地段设置明显的警示标志和护栏。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（8）土方开挖前，应对周围环境进行普查，清除安全隐患。对邻近设施在施工中进行沉降和位移观测。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（9）工上下深坑（槽）应预先搭设稳固安全的阶梯，避免上下时发生坠落。人员专用通道应在施工组织设计中确定，其攀登设施可视条件采用梯子或专门搭设，应符合高处作业规范中攀登做的要求。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（10）在雨季挖土方时，必须排水畅通，应注意边坡的稳定。下大雨时应暂停土方施工。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（11）施工中，施工员要经常注意边坡是否有裂缝、滑坡迹象，一旦发现，应该立即停止，待处理和加固后才能进行施工。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（12）所有施工机械应按规定进场经过有关部门组织验收确认合格，并有记录。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（13）机械挖土与人工挖土进行配合操作时，人员不得进入挖土机作业半径内，必须进入时，待挖土作业停止后，人员方可进行坑低清理、边坡找平等作业。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  <w:sectPr>
          <w:headerReference w:type="default" r:id="rId28"/>
          <w:footerReference w:type="even" r:id="rId29"/>
          <w:footerReference w:type="default" r:id="rId30"/>
          <w:type w:val="nextPage"/>
          <w:pgSz w:w="11906" w:h="16838"/>
          <w:pgMar w:top="1440" w:right="1797" w:bottom="1440" w:left="1797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仿宋_GB2312" w:eastAsia="仿宋_GB2312" w:hAnsi="宋体" w:hint="eastAsia"/>
          <w:sz w:val="28"/>
          <w:szCs w:val="28"/>
        </w:rPr>
        <w:t>（14）挖土机作业位置的土质及支护条件，必须满足机械作业的荷载要求，机械应保持水平位置和足够的工作面。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（15）挖土机司机属特种作业人员，应经专门培训考试合格持有操作证。</w:t>
      </w:r>
    </w:p>
    <w:p>
      <w:pPr>
        <w:pStyle w:val="Heading3"/>
        <w:rPr>
          <w:rFonts w:hint="eastAsia"/>
        </w:rPr>
      </w:pPr>
      <w:bookmarkStart w:id="139" w:name="_Toc271201571"/>
      <w:bookmarkStart w:id="140" w:name="_Toc271597401"/>
      <w:bookmarkStart w:id="141" w:name="_Toc271595015"/>
      <w:bookmarkStart w:id="142" w:name="_Toc271748924"/>
      <w:bookmarkStart w:id="143" w:name="_Toc271595277"/>
      <w:bookmarkStart w:id="144" w:name="_Toc271491779"/>
      <w:bookmarkStart w:id="145" w:name="_Toc273179101"/>
      <w:bookmarkStart w:id="146" w:name="_Toc273178902"/>
      <w:bookmarkStart w:id="147" w:name="_Toc271327776"/>
      <w:bookmarkStart w:id="148" w:name="_Toc271594818"/>
      <w:r>
        <w:rPr>
          <w:rFonts w:hint="eastAsia"/>
        </w:rPr>
        <w:t>3、</w:t>
      </w:r>
      <w:bookmarkEnd w:id="147"/>
      <w:bookmarkEnd w:id="148"/>
      <w:bookmarkEnd w:id="139"/>
      <w:bookmarkEnd w:id="140"/>
      <w:bookmarkEnd w:id="141"/>
      <w:bookmarkEnd w:id="142"/>
      <w:bookmarkEnd w:id="143"/>
      <w:bookmarkEnd w:id="144"/>
      <w:r>
        <w:rPr>
          <w:rFonts w:hint="eastAsia"/>
        </w:rPr>
        <w:t>土方回填</w:t>
      </w:r>
      <w:bookmarkEnd w:id="145"/>
      <w:bookmarkEnd w:id="146"/>
      <w:r>
        <w:rPr>
          <w:rFonts w:hint="eastAsia"/>
        </w:rPr>
        <w:t xml:space="preserve">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A、材料及主要机具准备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a、土：宜优先利用基槽中挖出的土，但不得含有有机杂质。使用前应过筛，其粒径不大于50mm，含水率应符合规定。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b、主要机具有：蛙式或柴油打夯机、手推车、筛子（孔径40～60mm）、木耙、铁锹（尖头与平头）、2m靠尺、胶皮管、小线和木折尺等。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B、作业条件：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a、 施工前应根据工程特点、填方土料种类、密实度要求、施工条件等，合理地确定填方土料含水率控制范围、虚铺厚度和压实遍数等参数；重要回填土方工程，其参数应通过压实试验来确定。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b、回填前应对基础、保护层等进行检查验收，并且要办好隐检手续。其基础混凝土强度应达到规定的要求，方可进行回填土。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c、管沟的回填，应在完成上下水的管道安装和管沟墙间加固后，再进行。并将沟槽、地坪上的积水和有机物等清理干净。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d、施工前，应做好水平标志，以控制回填土的高度或厚度。如在基坑（槽）或管沟边坡上，每隔3m 钉上水平板；室内和散水的边墙上弹上水平线或在地坪上钉上标高控制木桩。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C、工艺流程：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基坑( 槽) 底地坪上清理</w:t>
      </w:r>
      <w:r>
        <w:rPr>
          <w:rFonts w:ascii="仿宋" w:eastAsia="仿宋" w:hAnsi="仿宋" w:hint="eastAsia"/>
          <w:sz w:val="28"/>
          <w:szCs w:val="28"/>
        </w:rPr>
        <w:t>→</w:t>
      </w:r>
      <w:r>
        <w:rPr>
          <w:rFonts w:ascii="仿宋" w:eastAsia="仿宋" w:hAnsi="仿宋" w:hint="eastAsia"/>
          <w:sz w:val="28"/>
          <w:szCs w:val="28"/>
        </w:rPr>
        <w:t>检验土质</w:t>
      </w:r>
      <w:r>
        <w:rPr>
          <w:rFonts w:ascii="仿宋" w:eastAsia="仿宋" w:hAnsi="仿宋" w:hint="eastAsia"/>
          <w:sz w:val="28"/>
          <w:szCs w:val="28"/>
        </w:rPr>
        <w:t>→</w:t>
      </w:r>
      <w:r>
        <w:rPr>
          <w:rFonts w:ascii="仿宋" w:eastAsia="仿宋" w:hAnsi="仿宋" w:hint="eastAsia"/>
          <w:sz w:val="28"/>
          <w:szCs w:val="28"/>
        </w:rPr>
        <w:t>分层铺土、耙平</w:t>
      </w:r>
      <w:r>
        <w:rPr>
          <w:rFonts w:ascii="仿宋" w:eastAsia="仿宋" w:hAnsi="仿宋" w:hint="eastAsia"/>
          <w:sz w:val="28"/>
          <w:szCs w:val="28"/>
        </w:rPr>
        <w:t>→</w:t>
      </w:r>
      <w:r>
        <w:rPr>
          <w:rFonts w:ascii="仿宋" w:eastAsia="仿宋" w:hAnsi="仿宋" w:hint="eastAsia"/>
          <w:sz w:val="28"/>
          <w:szCs w:val="28"/>
        </w:rPr>
        <w:t>夯打密实</w:t>
      </w:r>
      <w:r>
        <w:rPr>
          <w:rFonts w:ascii="仿宋" w:eastAsia="仿宋" w:hAnsi="仿宋" w:hint="eastAsia"/>
          <w:sz w:val="28"/>
          <w:szCs w:val="28"/>
        </w:rPr>
        <w:t>→</w:t>
      </w:r>
      <w:r>
        <w:rPr>
          <w:rFonts w:ascii="仿宋" w:eastAsia="仿宋" w:hAnsi="仿宋" w:hint="eastAsia"/>
          <w:sz w:val="28"/>
          <w:szCs w:val="28"/>
        </w:rPr>
        <w:t>检验密实度</w:t>
      </w:r>
      <w:r>
        <w:rPr>
          <w:rFonts w:ascii="仿宋" w:eastAsia="仿宋" w:hAnsi="仿宋" w:hint="eastAsia"/>
          <w:sz w:val="28"/>
          <w:szCs w:val="28"/>
        </w:rPr>
        <w:t>→</w:t>
      </w:r>
      <w:r>
        <w:rPr>
          <w:rFonts w:ascii="仿宋" w:eastAsia="仿宋" w:hAnsi="仿宋" w:hint="eastAsia"/>
          <w:sz w:val="28"/>
          <w:szCs w:val="28"/>
        </w:rPr>
        <w:t>修整找平验收。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  <w:sectPr>
          <w:headerReference w:type="default" r:id="rId31"/>
          <w:footerReference w:type="even" r:id="rId32"/>
          <w:footerReference w:type="default" r:id="rId33"/>
          <w:type w:val="nextPage"/>
          <w:pgSz w:w="11906" w:h="16838"/>
          <w:pgMar w:top="1440" w:right="1797" w:bottom="1440" w:left="1797" w:header="851" w:footer="992" w:gutter="0"/>
          <w:pgNumType w:start="8"/>
          <w:cols w:space="708"/>
          <w:titlePg w:val="0"/>
          <w:docGrid w:type="lines" w:linePitch="312"/>
        </w:sectPr>
      </w:pP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a、填土前应将基坑（槽）底或地坪上的垃圾等杂物清理干净；坑槽回填前，必须清理到基础底面标高，将回落的松散垃圾、砂浆、石子等杂物清除干净。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b、检验回填土的质量有无杂物，粒径是否符合规定，以及回填</w:t>
      </w:r>
    </w:p>
    <w:p>
      <w:pPr>
        <w:spacing w:line="54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土的含水量是否在控制的范围内；如含水量偏高，可采用翻松、晾晒或均匀掺入干土等措施；如遇回填上的含水量偏低，可采用预先洒水润湿等措施。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c、回填土应分层铺摊。每层铺土厚度应根据土质、密实度要求和机具性能确定。一般蛙式打夯机每层铺土厚度为</w:t>
      </w:r>
      <w:r>
        <w:rPr>
          <w:rFonts w:ascii="仿宋" w:eastAsia="仿宋" w:hAnsi="仿宋" w:hint="eastAsia"/>
          <w:sz w:val="28"/>
          <w:szCs w:val="28"/>
          <w:lang w:eastAsia="zh-CN"/>
        </w:rPr>
        <w:t>201</w:t>
      </w:r>
      <w:r>
        <w:rPr>
          <w:rFonts w:ascii="仿宋" w:eastAsia="仿宋" w:hAnsi="仿宋" w:hint="eastAsia"/>
          <w:sz w:val="28"/>
          <w:szCs w:val="28"/>
        </w:rPr>
        <w:t>～250mm；人工打夯不大于</w:t>
      </w:r>
      <w:r>
        <w:rPr>
          <w:rFonts w:ascii="仿宋" w:eastAsia="仿宋" w:hAnsi="仿宋" w:hint="eastAsia"/>
          <w:sz w:val="28"/>
          <w:szCs w:val="28"/>
          <w:lang w:eastAsia="zh-CN"/>
        </w:rPr>
        <w:t>201</w:t>
      </w:r>
      <w:r>
        <w:rPr>
          <w:rFonts w:ascii="仿宋" w:eastAsia="仿宋" w:hAnsi="仿宋" w:hint="eastAsia"/>
          <w:sz w:val="28"/>
          <w:szCs w:val="28"/>
        </w:rPr>
        <w:t xml:space="preserve">mm。每层铺摊后，随之耙平。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d、回填上每层至少夯打三遍。打夯应一夯压半夯，夯夯相接，行行相连，纵横交叉。并且严禁采用水浇使土下沉的所谓</w:t>
      </w:r>
      <w:r>
        <w:rPr>
          <w:rFonts w:ascii="仿宋" w:eastAsia="仿宋" w:hAnsi="仿宋" w:hint="eastAsia"/>
          <w:sz w:val="28"/>
          <w:szCs w:val="28"/>
        </w:rPr>
        <w:t>“</w:t>
      </w:r>
      <w:r>
        <w:rPr>
          <w:rFonts w:ascii="仿宋" w:eastAsia="仿宋" w:hAnsi="仿宋" w:hint="eastAsia"/>
          <w:sz w:val="28"/>
          <w:szCs w:val="28"/>
        </w:rPr>
        <w:t>水夯</w:t>
      </w:r>
      <w:r>
        <w:rPr>
          <w:rFonts w:ascii="仿宋" w:eastAsia="仿宋" w:hAnsi="仿宋" w:hint="eastAsia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 xml:space="preserve">法。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e、深浅两基坑（槽）相连时，应先填夯深基础；填至浅基坑相同的标高时，再与浅基础一起填夯。如必须分段填夯时，交接处应填成阶梯形，梯形的高宽比一般为1</w:t>
      </w:r>
      <w:r>
        <w:rPr>
          <w:rFonts w:ascii="仿宋" w:eastAsia="仿宋" w:hAnsi="仿宋" w:hint="eastAsia"/>
          <w:sz w:val="28"/>
          <w:szCs w:val="28"/>
        </w:rPr>
        <w:t>∶</w:t>
      </w:r>
      <w:r>
        <w:rPr>
          <w:rFonts w:ascii="仿宋" w:eastAsia="仿宋" w:hAnsi="仿宋" w:hint="eastAsia"/>
          <w:sz w:val="28"/>
          <w:szCs w:val="28"/>
        </w:rPr>
        <w:t xml:space="preserve">2。上下层错缝距离不小于1.0m。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f、基坑（槽）回填应在相对两侧或四周同时进行。基础墙两侧标高不可相差太多，以免把墙挤歪；较长的管沟墙，应采用内部加支撑的措施，然后再在外侧回填土方。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g、 管沟时，为防止管道中心线位移或损坏管道，应用人工先在管子两侧填土夯实；并应由管道两侧同时进行，直至管项0.5m 以上时，在不损坏管道的情况下，方可采用蛙式打夯机夯实。在抹带接口处，防腐绝缘层或电缆周围，应回填细粒料。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h、回填土每层填土夯实后，应按规范规定进行环刀取样，测出干土的质量密度；达到要求后，再进行上一层的铺土。 </w:t>
      </w:r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i修整找平：填土全部完成后，应进行表面拉线找平，凡超过标准高程的地方，及时依线铲平；凡低于标准高程的地方，应补土夯实。</w:t>
      </w:r>
      <w:r>
        <w:rPr>
          <w:rFonts w:ascii="仿宋" w:eastAsia="仿宋" w:hAnsi="仿宋" w:hint="eastAsia"/>
          <w:sz w:val="28"/>
          <w:szCs w:val="28"/>
        </w:rPr>
        <w:br/>
      </w:r>
      <w:r>
        <w:rPr>
          <w:rFonts w:ascii="仿宋" w:eastAsia="仿宋" w:hAnsi="仿宋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https://d.book118.com/537020125101006024</w:t>
        </w:r>
      </w:hyperlink>
    </w:p>
    <w:p>
      <w:pPr>
        <w:spacing w:line="540" w:lineRule="exact"/>
        <w:ind w:firstLine="560" w:firstLineChars="200"/>
        <w:rPr>
          <w:rFonts w:ascii="仿宋" w:eastAsia="仿宋" w:hAnsi="仿宋" w:hint="eastAsia"/>
          <w:sz w:val="28"/>
          <w:szCs w:val="28"/>
        </w:rPr>
      </w:pPr>
    </w:p>
    <w:sectPr>
      <w:headerReference w:type="default" r:id="rId35"/>
      <w:footerReference w:type="even" r:id="rId36"/>
      <w:footerReference w:type="default" r:id="rId37"/>
      <w:type w:val="nextPage"/>
      <w:pgSz w:w="11906" w:h="16838"/>
      <w:pgMar w:top="1440" w:right="1797" w:bottom="1440" w:left="1797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right="360" w:firstLine="360"/>
      <w:rPr>
        <w:rStyle w:val="PageNumber"/>
        <w:rFonts w:hint="eastAsia"/>
      </w:rPr>
    </w:pPr>
  </w:p>
  <w:p>
    <w:pPr>
      <w:pStyle w:val="Footer"/>
      <w:tabs>
        <w:tab w:val="center" w:pos="4153"/>
        <w:tab w:val="right" w:pos="8306"/>
      </w:tabs>
      <w:ind w:firstLine="360"/>
      <w:jc w:val="center"/>
      <w:rPr>
        <w:rFonts w:hint="eastAsia"/>
      </w:rPr>
    </w:pPr>
    <w:r>
      <w:rPr>
        <w:rFonts w:hint="eastAsia"/>
      </w:rPr>
      <w:t xml:space="preserve">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35816"/>
    <w:multiLevelType w:val="multilevel"/>
    <w:tmpl w:val="3A435816"/>
    <w:lvl w:ilvl="0">
      <w:start w:val="1"/>
      <w:numFmt w:val="decimal"/>
      <w:lvlText w:val="%1）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>
    <w:nsid w:val="3FA97F80"/>
    <w:multiLevelType w:val="multilevel"/>
    <w:tmpl w:val="3FA97F80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">
    <w:nsid w:val="4A2529B9"/>
    <w:multiLevelType w:val="multilevel"/>
    <w:tmpl w:val="4A2529B9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00A7ED0"/>
    <w:multiLevelType w:val="multilevel"/>
    <w:tmpl w:val="3FA97F80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">
    <w:nsid w:val="578F5333"/>
    <w:multiLevelType w:val="multilevel"/>
    <w:tmpl w:val="578F5333"/>
    <w:lvl w:ilvl="0">
      <w:start w:val="1"/>
      <w:numFmt w:val="decimal"/>
      <w:lvlText w:val="%1."/>
      <w:lvlJc w:val="left"/>
      <w:pPr>
        <w:tabs>
          <w:tab w:val="num" w:pos="980"/>
        </w:tabs>
        <w:ind w:left="980" w:hanging="42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D0B2F68"/>
    <w:multiLevelType w:val="multilevel"/>
    <w:tmpl w:val="5D0B2F68"/>
    <w:lvl w:ilvl="0">
      <w:start w:val="1"/>
      <w:numFmt w:val="decimal"/>
      <w:lvlText w:val="%1）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>
    <w:nsid w:val="6AA91BCF"/>
    <w:multiLevelType w:val="multilevel"/>
    <w:tmpl w:val="6AA91BCF"/>
    <w:lvl w:ilvl="0">
      <w:start w:val="1"/>
      <w:numFmt w:val="decimal"/>
      <w:lvlText w:val="%1）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D7B"/>
    <w:rsid w:val="0001707E"/>
    <w:rsid w:val="000331DA"/>
    <w:rsid w:val="00080329"/>
    <w:rsid w:val="00092310"/>
    <w:rsid w:val="000A5182"/>
    <w:rsid w:val="000A7BB4"/>
    <w:rsid w:val="000B297A"/>
    <w:rsid w:val="000B55AE"/>
    <w:rsid w:val="000C710D"/>
    <w:rsid w:val="000D449C"/>
    <w:rsid w:val="000F51F1"/>
    <w:rsid w:val="00111AD9"/>
    <w:rsid w:val="00116F69"/>
    <w:rsid w:val="001329A9"/>
    <w:rsid w:val="001343A2"/>
    <w:rsid w:val="00134623"/>
    <w:rsid w:val="00146CB2"/>
    <w:rsid w:val="00180611"/>
    <w:rsid w:val="001B0F90"/>
    <w:rsid w:val="001B16D6"/>
    <w:rsid w:val="001C243E"/>
    <w:rsid w:val="00207668"/>
    <w:rsid w:val="00234541"/>
    <w:rsid w:val="0024144C"/>
    <w:rsid w:val="00251D71"/>
    <w:rsid w:val="0026089B"/>
    <w:rsid w:val="00264716"/>
    <w:rsid w:val="002660CC"/>
    <w:rsid w:val="00277AA4"/>
    <w:rsid w:val="002831F7"/>
    <w:rsid w:val="00296E89"/>
    <w:rsid w:val="002B0116"/>
    <w:rsid w:val="002B58CE"/>
    <w:rsid w:val="002E19E8"/>
    <w:rsid w:val="002F15DF"/>
    <w:rsid w:val="003074D6"/>
    <w:rsid w:val="00311975"/>
    <w:rsid w:val="003278F5"/>
    <w:rsid w:val="003304A2"/>
    <w:rsid w:val="003348E4"/>
    <w:rsid w:val="00340FBB"/>
    <w:rsid w:val="00341769"/>
    <w:rsid w:val="003523BD"/>
    <w:rsid w:val="00354AA8"/>
    <w:rsid w:val="00354C78"/>
    <w:rsid w:val="00371A7C"/>
    <w:rsid w:val="003742AD"/>
    <w:rsid w:val="00381A4A"/>
    <w:rsid w:val="003854A9"/>
    <w:rsid w:val="0039451D"/>
    <w:rsid w:val="0039562B"/>
    <w:rsid w:val="003B15D2"/>
    <w:rsid w:val="003C7CA2"/>
    <w:rsid w:val="003D1D3B"/>
    <w:rsid w:val="003D2F60"/>
    <w:rsid w:val="003E3D06"/>
    <w:rsid w:val="003F0C0B"/>
    <w:rsid w:val="00402EB9"/>
    <w:rsid w:val="004258A3"/>
    <w:rsid w:val="0043640A"/>
    <w:rsid w:val="00464B24"/>
    <w:rsid w:val="00472621"/>
    <w:rsid w:val="004840E4"/>
    <w:rsid w:val="004976DD"/>
    <w:rsid w:val="004A732D"/>
    <w:rsid w:val="004B6A04"/>
    <w:rsid w:val="004E6333"/>
    <w:rsid w:val="004E7137"/>
    <w:rsid w:val="00500165"/>
    <w:rsid w:val="005529E7"/>
    <w:rsid w:val="00554327"/>
    <w:rsid w:val="00554DC0"/>
    <w:rsid w:val="00566A61"/>
    <w:rsid w:val="005729A2"/>
    <w:rsid w:val="005958C7"/>
    <w:rsid w:val="005A39B3"/>
    <w:rsid w:val="005A3FB7"/>
    <w:rsid w:val="005A4495"/>
    <w:rsid w:val="005B2F01"/>
    <w:rsid w:val="005B5199"/>
    <w:rsid w:val="005E1327"/>
    <w:rsid w:val="005E3454"/>
    <w:rsid w:val="005E71C7"/>
    <w:rsid w:val="00607CFB"/>
    <w:rsid w:val="00622877"/>
    <w:rsid w:val="006452BA"/>
    <w:rsid w:val="00647C93"/>
    <w:rsid w:val="006558F2"/>
    <w:rsid w:val="00655C95"/>
    <w:rsid w:val="00667E98"/>
    <w:rsid w:val="00670472"/>
    <w:rsid w:val="00670C53"/>
    <w:rsid w:val="00675A0B"/>
    <w:rsid w:val="0068609D"/>
    <w:rsid w:val="006875F8"/>
    <w:rsid w:val="006A07F8"/>
    <w:rsid w:val="006B6C71"/>
    <w:rsid w:val="006E32E6"/>
    <w:rsid w:val="006E7C8F"/>
    <w:rsid w:val="006F11F1"/>
    <w:rsid w:val="00702765"/>
    <w:rsid w:val="00703A5F"/>
    <w:rsid w:val="00715A48"/>
    <w:rsid w:val="00727A14"/>
    <w:rsid w:val="00731145"/>
    <w:rsid w:val="0073290A"/>
    <w:rsid w:val="00737E91"/>
    <w:rsid w:val="00750901"/>
    <w:rsid w:val="00760685"/>
    <w:rsid w:val="00761806"/>
    <w:rsid w:val="00775DC8"/>
    <w:rsid w:val="00782C25"/>
    <w:rsid w:val="00795473"/>
    <w:rsid w:val="007B4B25"/>
    <w:rsid w:val="007C4EEA"/>
    <w:rsid w:val="007E5AD9"/>
    <w:rsid w:val="008501E7"/>
    <w:rsid w:val="0087078F"/>
    <w:rsid w:val="00871685"/>
    <w:rsid w:val="00871C04"/>
    <w:rsid w:val="00874380"/>
    <w:rsid w:val="008749F7"/>
    <w:rsid w:val="008752FB"/>
    <w:rsid w:val="00876F10"/>
    <w:rsid w:val="00884B38"/>
    <w:rsid w:val="00891CFE"/>
    <w:rsid w:val="008A669E"/>
    <w:rsid w:val="008A6848"/>
    <w:rsid w:val="008D6CA4"/>
    <w:rsid w:val="008F158C"/>
    <w:rsid w:val="00903D8C"/>
    <w:rsid w:val="009179B9"/>
    <w:rsid w:val="00920643"/>
    <w:rsid w:val="0092572D"/>
    <w:rsid w:val="0093079D"/>
    <w:rsid w:val="009319F9"/>
    <w:rsid w:val="00972539"/>
    <w:rsid w:val="00973A7E"/>
    <w:rsid w:val="009772B4"/>
    <w:rsid w:val="00986076"/>
    <w:rsid w:val="009B54C8"/>
    <w:rsid w:val="009D4B42"/>
    <w:rsid w:val="009E4852"/>
    <w:rsid w:val="009F1FA3"/>
    <w:rsid w:val="009F47B2"/>
    <w:rsid w:val="009F5581"/>
    <w:rsid w:val="009F633D"/>
    <w:rsid w:val="00A03DA4"/>
    <w:rsid w:val="00A05F80"/>
    <w:rsid w:val="00A409A3"/>
    <w:rsid w:val="00A50760"/>
    <w:rsid w:val="00A60D8A"/>
    <w:rsid w:val="00A63B0E"/>
    <w:rsid w:val="00A83051"/>
    <w:rsid w:val="00A960EB"/>
    <w:rsid w:val="00AA4B92"/>
    <w:rsid w:val="00AC63A9"/>
    <w:rsid w:val="00AD1D76"/>
    <w:rsid w:val="00AD5B9F"/>
    <w:rsid w:val="00AD69DB"/>
    <w:rsid w:val="00AF2AEB"/>
    <w:rsid w:val="00AF7761"/>
    <w:rsid w:val="00B05A23"/>
    <w:rsid w:val="00B11733"/>
    <w:rsid w:val="00B147B7"/>
    <w:rsid w:val="00B24732"/>
    <w:rsid w:val="00B37330"/>
    <w:rsid w:val="00B5368D"/>
    <w:rsid w:val="00B579F6"/>
    <w:rsid w:val="00B76500"/>
    <w:rsid w:val="00B850EE"/>
    <w:rsid w:val="00B85D10"/>
    <w:rsid w:val="00B86B12"/>
    <w:rsid w:val="00B87961"/>
    <w:rsid w:val="00B95B8B"/>
    <w:rsid w:val="00B96309"/>
    <w:rsid w:val="00BA16CD"/>
    <w:rsid w:val="00BC5A69"/>
    <w:rsid w:val="00BD119C"/>
    <w:rsid w:val="00BF4A4C"/>
    <w:rsid w:val="00C11A54"/>
    <w:rsid w:val="00C25FBB"/>
    <w:rsid w:val="00C3243E"/>
    <w:rsid w:val="00C54C4D"/>
    <w:rsid w:val="00C55006"/>
    <w:rsid w:val="00C616EC"/>
    <w:rsid w:val="00C80E86"/>
    <w:rsid w:val="00C87E8F"/>
    <w:rsid w:val="00CA2C13"/>
    <w:rsid w:val="00CA2F7D"/>
    <w:rsid w:val="00CB1B83"/>
    <w:rsid w:val="00CB1EE0"/>
    <w:rsid w:val="00CC444D"/>
    <w:rsid w:val="00CC4E64"/>
    <w:rsid w:val="00CC6757"/>
    <w:rsid w:val="00CD6780"/>
    <w:rsid w:val="00CE789B"/>
    <w:rsid w:val="00D036BF"/>
    <w:rsid w:val="00D31451"/>
    <w:rsid w:val="00D46576"/>
    <w:rsid w:val="00D71A4A"/>
    <w:rsid w:val="00D74320"/>
    <w:rsid w:val="00DC6272"/>
    <w:rsid w:val="00DC7889"/>
    <w:rsid w:val="00E2105E"/>
    <w:rsid w:val="00E2338E"/>
    <w:rsid w:val="00E2339D"/>
    <w:rsid w:val="00E4200F"/>
    <w:rsid w:val="00E42760"/>
    <w:rsid w:val="00E63F2E"/>
    <w:rsid w:val="00E669EE"/>
    <w:rsid w:val="00E75EF7"/>
    <w:rsid w:val="00E87F8E"/>
    <w:rsid w:val="00E93460"/>
    <w:rsid w:val="00E96C94"/>
    <w:rsid w:val="00EA5F5A"/>
    <w:rsid w:val="00EB3FC3"/>
    <w:rsid w:val="00EE62F1"/>
    <w:rsid w:val="00EF36DC"/>
    <w:rsid w:val="00EF473D"/>
    <w:rsid w:val="00F12124"/>
    <w:rsid w:val="00F178B9"/>
    <w:rsid w:val="00F23BC6"/>
    <w:rsid w:val="00F2750C"/>
    <w:rsid w:val="00F31EB5"/>
    <w:rsid w:val="00F4113F"/>
    <w:rsid w:val="00F44406"/>
    <w:rsid w:val="00F51176"/>
    <w:rsid w:val="00F539EC"/>
    <w:rsid w:val="00F53D7B"/>
    <w:rsid w:val="00F67CD2"/>
    <w:rsid w:val="00F87E56"/>
    <w:rsid w:val="00F959A8"/>
    <w:rsid w:val="00FB28A4"/>
    <w:rsid w:val="00FB3310"/>
    <w:rsid w:val="00FD1969"/>
    <w:rsid w:val="00FD57E4"/>
    <w:rsid w:val="00FE2736"/>
    <w:rsid w:val="00FE4607"/>
    <w:rsid w:val="00FE4CED"/>
    <w:rsid w:val="0D4B280C"/>
    <w:rsid w:val="0E330C5D"/>
    <w:rsid w:val="10C8116E"/>
    <w:rsid w:val="15BE1AC7"/>
    <w:rsid w:val="18DB2CF7"/>
    <w:rsid w:val="1B1D2E24"/>
    <w:rsid w:val="25BE71D5"/>
    <w:rsid w:val="29417969"/>
    <w:rsid w:val="2B7038A0"/>
    <w:rsid w:val="31243230"/>
    <w:rsid w:val="3F70041E"/>
    <w:rsid w:val="3FD84540"/>
    <w:rsid w:val="47ED3310"/>
    <w:rsid w:val="55433DEC"/>
    <w:rsid w:val="5F9630BC"/>
    <w:rsid w:val="636E262F"/>
    <w:rsid w:val="708A08EB"/>
    <w:rsid w:val="74D80B53"/>
    <w:rsid w:val="7C9712F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pPr>
      <w:keepNext/>
      <w:ind w:right="210" w:rightChars="100"/>
      <w:outlineLvl w:val="1"/>
    </w:pPr>
    <w:rPr>
      <w:rFonts w:ascii="宋体" w:hAnsi="宋体"/>
      <w:b/>
      <w:sz w:val="30"/>
    </w:rPr>
  </w:style>
  <w:style w:type="paragraph" w:styleId="Heading3">
    <w:name w:val="heading 3"/>
    <w:basedOn w:val="Normal"/>
    <w:next w:val="Normal"/>
    <w:link w:val="3"/>
    <w:pPr>
      <w:keepNext/>
      <w:keepLines/>
      <w:spacing w:before="260" w:after="260" w:line="416" w:lineRule="auto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标题 2 字符"/>
    <w:link w:val="Heading2"/>
    <w:rPr>
      <w:rFonts w:ascii="宋体" w:eastAsia="宋体" w:hAnsi="宋体"/>
      <w:b/>
      <w:kern w:val="2"/>
      <w:sz w:val="30"/>
      <w:szCs w:val="24"/>
      <w:lang w:val="en-US" w:eastAsia="zh-CN" w:bidi="ar-SA"/>
    </w:rPr>
  </w:style>
  <w:style w:type="character" w:customStyle="1" w:styleId="3">
    <w:name w:val="标题 3 字符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pPr>
      <w:shd w:val="clear" w:color="auto" w:fill="000080"/>
    </w:pPr>
    <w:rPr>
      <w:rFonts w:ascii="Times New Roman" w:eastAsia="宋体" w:hAnsi="Times New Roman" w:cs="Times New Roman"/>
      <w:szCs w:val="20"/>
    </w:rPr>
  </w:style>
  <w:style w:type="paragraph" w:styleId="BodyText3">
    <w:name w:val="Body Text 3"/>
    <w:basedOn w:val="Normal"/>
    <w:pPr>
      <w:spacing w:line="240" w:lineRule="atLeast"/>
    </w:pPr>
    <w:rPr>
      <w:rFonts w:ascii="Times New Roman" w:eastAsia="楷体" w:hAnsi="Times New Roman" w:cs="Times New Roman"/>
      <w:bCs/>
      <w:sz w:val="24"/>
      <w:szCs w:val="20"/>
    </w:rPr>
  </w:style>
  <w:style w:type="paragraph" w:styleId="BodyText">
    <w:name w:val="Body Text"/>
    <w:basedOn w:val="Normal"/>
    <w:pPr>
      <w:jc w:val="center"/>
    </w:pPr>
    <w:rPr>
      <w:rFonts w:ascii="宋体" w:eastAsia="宋体" w:hAnsi="宋体" w:cs="Times New Roman"/>
      <w:szCs w:val="20"/>
    </w:rPr>
  </w:style>
  <w:style w:type="paragraph" w:styleId="BodyTextIndent">
    <w:name w:val="Body Text Indent"/>
    <w:basedOn w:val="Normal"/>
    <w:pPr>
      <w:ind w:left="3990" w:hanging="1260" w:leftChars="1300" w:hangingChars="600"/>
    </w:pPr>
    <w:rPr>
      <w:rFonts w:ascii="Times New Roman" w:eastAsia="宋体" w:hAnsi="Times New Roman" w:cs="Times New Roman"/>
      <w:szCs w:val="20"/>
    </w:rPr>
  </w:style>
  <w:style w:type="paragraph" w:styleId="TOC3">
    <w:name w:val="toc 3"/>
    <w:basedOn w:val="Normal"/>
    <w:next w:val="Normal"/>
    <w:pPr>
      <w:ind w:left="840" w:leftChars="400"/>
    </w:pPr>
  </w:style>
  <w:style w:type="paragraph" w:styleId="PlainText">
    <w:name w:val="Plain Text"/>
    <w:basedOn w:val="Normal"/>
    <w:rPr>
      <w:rFonts w:ascii="宋体" w:eastAsia="宋体" w:hAnsi="Courier New" w:cs="Courier New"/>
      <w:szCs w:val="21"/>
    </w:rPr>
  </w:style>
  <w:style w:type="paragraph" w:styleId="BodyTextIndent2">
    <w:name w:val="Body Text Indent 2"/>
    <w:basedOn w:val="Normal"/>
    <w:pPr>
      <w:widowControl/>
      <w:ind w:firstLine="420" w:firstLineChars="200"/>
    </w:pPr>
    <w:rPr>
      <w:rFonts w:ascii="Times New Roman" w:eastAsia="宋体" w:hAnsi="Times New Roman" w:cs="Times New Roman"/>
      <w:szCs w:val="20"/>
    </w:rPr>
  </w:style>
  <w:style w:type="paragraph" w:styleId="BalloonText">
    <w:name w:val="Balloon Text"/>
    <w:basedOn w:val="Normal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脚 字符"/>
    <w:link w:val="Footer"/>
    <w:semiHidden/>
    <w:rPr>
      <w:rFonts w:eastAsia="宋体"/>
      <w:kern w:val="2"/>
      <w:sz w:val="18"/>
      <w:szCs w:val="18"/>
      <w:lang w:val="en-US" w:eastAsia="zh-CN" w:bidi="ar-SA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</w:style>
  <w:style w:type="paragraph" w:styleId="BodyTextIndent3">
    <w:name w:val="Body Text Indent 3"/>
    <w:basedOn w:val="Normal"/>
    <w:pPr>
      <w:ind w:left="540" w:hanging="540" w:hangingChars="257"/>
    </w:pPr>
    <w:rPr>
      <w:rFonts w:ascii="Times New Roman" w:eastAsia="华文楷体" w:hAnsi="Times New Roman" w:cs="Times New Roman"/>
      <w:szCs w:val="20"/>
    </w:rPr>
  </w:style>
  <w:style w:type="paragraph" w:styleId="TOC2">
    <w:name w:val="toc 2"/>
    <w:basedOn w:val="Normal"/>
    <w:next w:val="Normal"/>
    <w:pPr>
      <w:ind w:left="420" w:leftChars="200"/>
    </w:pPr>
  </w:style>
  <w:style w:type="paragraph" w:styleId="BodyText2">
    <w:name w:val="Body Text 2"/>
    <w:basedOn w:val="Normal"/>
    <w:pPr>
      <w:jc w:val="center"/>
    </w:pPr>
    <w:rPr>
      <w:rFonts w:ascii="宋体" w:eastAsia="宋体" w:hAnsi="宋体" w:cs="Times New Roman"/>
      <w:sz w:val="18"/>
      <w:szCs w:val="20"/>
    </w:rPr>
  </w:style>
  <w:style w:type="paragraph" w:styleId="NormalWeb">
    <w:name w:val="Normal (Web)"/>
    <w:basedOn w:val="Normal"/>
    <w:pPr>
      <w:widowControl/>
      <w:spacing w:before="150" w:line="360" w:lineRule="auto"/>
      <w:jc w:val="left"/>
    </w:pPr>
    <w:rPr>
      <w:rFonts w:ascii="宋体" w:eastAsia="宋体" w:hAnsi="宋体" w:cs="宋体"/>
      <w:kern w:val="0"/>
      <w:sz w:val="24"/>
    </w:rPr>
  </w:style>
  <w:style w:type="paragraph" w:styleId="Title">
    <w:name w:val="Title"/>
    <w:basedOn w:val="Normal"/>
    <w:next w:val="Heading1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character" w:styleId="Hyperlink">
    <w:name w:val="Hyperlink"/>
    <w:rPr>
      <w:color w:val="0000FF"/>
      <w:u w:val="single"/>
    </w:rPr>
  </w:style>
  <w:style w:type="paragraph" w:customStyle="1" w:styleId="221">
    <w:name w:val="样式 标题 2 + 首行缩进:  2 字符1"/>
    <w:basedOn w:val="Heading2"/>
    <w:next w:val="Heading2"/>
    <w:pPr>
      <w:keepLines w:val="0"/>
      <w:spacing w:before="0" w:after="0" w:line="240" w:lineRule="auto"/>
      <w:ind w:firstLine="200" w:firstLineChars="200"/>
    </w:pPr>
    <w:rPr>
      <w:rFonts w:ascii="宋体" w:eastAsia="宋体" w:hAnsi="宋体" w:cs="宋体"/>
      <w:sz w:val="28"/>
      <w:szCs w:val="20"/>
    </w:rPr>
  </w:style>
  <w:style w:type="paragraph" w:customStyle="1" w:styleId="Style26">
    <w:name w:val="_Style 26"/>
    <w:basedOn w:val="Normal"/>
    <w:next w:val="PlainText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header" Target="header4.xml" /><Relationship Id="rId14" Type="http://schemas.openxmlformats.org/officeDocument/2006/relationships/footer" Target="footer7.xml" /><Relationship Id="rId15" Type="http://schemas.openxmlformats.org/officeDocument/2006/relationships/footer" Target="footer8.xml" /><Relationship Id="rId16" Type="http://schemas.openxmlformats.org/officeDocument/2006/relationships/header" Target="header5.xml" /><Relationship Id="rId17" Type="http://schemas.openxmlformats.org/officeDocument/2006/relationships/footer" Target="footer9.xml" /><Relationship Id="rId18" Type="http://schemas.openxmlformats.org/officeDocument/2006/relationships/footer" Target="footer10.xml" /><Relationship Id="rId19" Type="http://schemas.openxmlformats.org/officeDocument/2006/relationships/header" Target="header6.xml" /><Relationship Id="rId2" Type="http://schemas.openxmlformats.org/officeDocument/2006/relationships/webSettings" Target="webSettings.xml" /><Relationship Id="rId20" Type="http://schemas.openxmlformats.org/officeDocument/2006/relationships/footer" Target="footer11.xml" /><Relationship Id="rId21" Type="http://schemas.openxmlformats.org/officeDocument/2006/relationships/footer" Target="footer12.xml" /><Relationship Id="rId22" Type="http://schemas.openxmlformats.org/officeDocument/2006/relationships/header" Target="header7.xml" /><Relationship Id="rId23" Type="http://schemas.openxmlformats.org/officeDocument/2006/relationships/footer" Target="footer13.xml" /><Relationship Id="rId24" Type="http://schemas.openxmlformats.org/officeDocument/2006/relationships/footer" Target="footer14.xml" /><Relationship Id="rId25" Type="http://schemas.openxmlformats.org/officeDocument/2006/relationships/header" Target="header8.xml" /><Relationship Id="rId26" Type="http://schemas.openxmlformats.org/officeDocument/2006/relationships/footer" Target="footer15.xml" /><Relationship Id="rId27" Type="http://schemas.openxmlformats.org/officeDocument/2006/relationships/footer" Target="footer16.xml" /><Relationship Id="rId28" Type="http://schemas.openxmlformats.org/officeDocument/2006/relationships/header" Target="header9.xml" /><Relationship Id="rId29" Type="http://schemas.openxmlformats.org/officeDocument/2006/relationships/footer" Target="footer17.xml" /><Relationship Id="rId3" Type="http://schemas.openxmlformats.org/officeDocument/2006/relationships/fontTable" Target="fontTable.xml" /><Relationship Id="rId30" Type="http://schemas.openxmlformats.org/officeDocument/2006/relationships/footer" Target="footer18.xml" /><Relationship Id="rId31" Type="http://schemas.openxmlformats.org/officeDocument/2006/relationships/header" Target="header10.xml" /><Relationship Id="rId32" Type="http://schemas.openxmlformats.org/officeDocument/2006/relationships/footer" Target="footer19.xml" /><Relationship Id="rId33" Type="http://schemas.openxmlformats.org/officeDocument/2006/relationships/footer" Target="footer20.xml" /><Relationship Id="rId34" Type="http://schemas.openxmlformats.org/officeDocument/2006/relationships/hyperlink" Target="https://d.book118.com/537020125101006024" TargetMode="External" /><Relationship Id="rId35" Type="http://schemas.openxmlformats.org/officeDocument/2006/relationships/header" Target="header11.xml" /><Relationship Id="rId36" Type="http://schemas.openxmlformats.org/officeDocument/2006/relationships/footer" Target="footer21.xml" /><Relationship Id="rId37" Type="http://schemas.openxmlformats.org/officeDocument/2006/relationships/footer" Target="footer22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1780</Words>
  <Characters>10149</Characters>
  <Application>Microsoft Office Word</Application>
  <DocSecurity>0</DocSecurity>
  <Lines>84</Lines>
  <Paragraphs>23</Paragraphs>
  <ScaleCrop>false</ScaleCrop>
  <Company>WWW.YlmF.CoM</Company>
  <LinksUpToDate>false</LinksUpToDate>
  <CharactersWithSpaces>11906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民新社区综合服务中心大楼</dc:title>
  <dc:creator>张 新;袁晶;雨林木风</dc:creator>
  <cp:lastModifiedBy>张新</cp:lastModifiedBy>
  <cp:revision>9</cp:revision>
  <cp:lastPrinted>2019-07-11T11:55:00Z</cp:lastPrinted>
  <dcterms:created xsi:type="dcterms:W3CDTF">2011-10-13T01:26:00Z</dcterms:created>
  <dcterms:modified xsi:type="dcterms:W3CDTF">2023-12-23T06:04:48Z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9127AF304CAE455CB797B5A7E20C8A45_13</vt:lpwstr>
  </property>
  <property fmtid="{D5CDD505-2E9C-101B-9397-08002B2CF9AE}" pid="3" name="KSOProductBuildVer">
    <vt:lpwstr>2052-12.1.0.16120</vt:lpwstr>
  </property>
</Properties>
</file>