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b/>
          <w:bCs/>
          <w:sz w:val="36"/>
          <w:szCs w:val="32"/>
        </w:rPr>
        <w:id w:val="147479957"/>
        <w:docPartObj>
          <w:docPartGallery w:val="Table of Contents"/>
          <w:docPartUnique/>
        </w:docPartObj>
      </w:sdtPr>
      <w:sdtEndPr>
        <w:rPr>
          <w:rFonts w:ascii="幼圆" w:eastAsia="幼圆" w:hAnsi="幼圆" w:cs="幼圆" w:hint="eastAsia"/>
          <w:b/>
          <w:bCs/>
          <w:kern w:val="0"/>
          <w:sz w:val="24"/>
          <w:szCs w:val="24"/>
        </w:rPr>
      </w:sdtEndPr>
      <w:sdtContent>
        <w:p>
          <w:pPr>
            <w:spacing w:line="240" w:lineRule="auto"/>
            <w:ind w:firstLine="0" w:firstLineChars="0"/>
            <w:jc w:val="center"/>
            <w:rPr>
              <w:rFonts w:ascii="幼圆" w:eastAsia="幼圆" w:hAnsi="幼圆" w:cs="幼圆" w:hint="eastAsia"/>
              <w:b/>
              <w:bCs/>
              <w:sz w:val="36"/>
              <w:szCs w:val="32"/>
            </w:rPr>
          </w:pPr>
          <w:bookmarkStart w:id="0" w:name="_GoBack"/>
          <w:r>
            <w:rPr>
              <w:rFonts w:ascii="幼圆" w:eastAsia="幼圆" w:hAnsi="幼圆" w:cs="幼圆" w:hint="eastAsia"/>
              <w:b/>
              <w:kern w:val="0"/>
              <w:sz w:val="28"/>
              <w:szCs w:val="24"/>
            </w:rPr>
            <w:t>基于EVA的南极电商企业价值评估分析</w:t>
          </w:r>
        </w:p>
        <w:bookmarkEnd w:id="0"/>
        <w:p>
          <w:pPr>
            <w:pStyle w:val="TOC1"/>
            <w:tabs>
              <w:tab w:val="right" w:leader="dot" w:pos="8505"/>
            </w:tabs>
            <w:ind w:firstLine="0" w:firstLineChars="0"/>
            <w:rPr>
              <w:rFonts w:ascii="幼圆" w:eastAsia="幼圆" w:hAnsi="幼圆" w:cs="幼圆" w:hint="eastAsia"/>
              <w:b/>
              <w:sz w:val="28"/>
            </w:rPr>
          </w:pPr>
          <w:r>
            <w:rPr>
              <w:rFonts w:ascii="幼圆" w:eastAsia="幼圆" w:hAnsi="幼圆" w:cs="幼圆" w:hint="eastAsia"/>
              <w:kern w:val="0"/>
              <w:szCs w:val="24"/>
            </w:rPr>
            <w:fldChar w:fldCharType="begin"/>
          </w:r>
          <w:r>
            <w:rPr>
              <w:rFonts w:ascii="幼圆" w:eastAsia="幼圆" w:hAnsi="幼圆" w:cs="幼圆" w:hint="eastAsia"/>
              <w:kern w:val="0"/>
              <w:szCs w:val="24"/>
            </w:rPr>
            <w:instrText xml:space="preserve">TOC \o "1-3" \h \u </w:instrText>
          </w:r>
          <w:r>
            <w:rPr>
              <w:rFonts w:ascii="幼圆" w:eastAsia="幼圆" w:hAnsi="幼圆" w:cs="幼圆" w:hint="eastAsia"/>
              <w:kern w:val="0"/>
              <w:szCs w:val="24"/>
            </w:rPr>
            <w:fldChar w:fldCharType="separate"/>
          </w:r>
          <w:r>
            <w:rPr>
              <w:rFonts w:ascii="幼圆" w:eastAsia="幼圆" w:hAnsi="幼圆" w:cs="幼圆" w:hint="eastAsia"/>
            </w:rPr>
            <w:fldChar w:fldCharType="begin"/>
          </w:r>
          <w:r>
            <w:rPr>
              <w:rFonts w:ascii="幼圆" w:eastAsia="幼圆" w:hAnsi="幼圆" w:cs="幼圆" w:hint="eastAsia"/>
            </w:rPr>
            <w:instrText xml:space="preserve"> HYPERLINK \l "_Toc28003" </w:instrText>
          </w:r>
          <w:r>
            <w:rPr>
              <w:rFonts w:ascii="幼圆" w:eastAsia="幼圆" w:hAnsi="幼圆" w:cs="幼圆" w:hint="eastAsia"/>
            </w:rPr>
            <w:fldChar w:fldCharType="separate"/>
          </w:r>
          <w:r>
            <w:rPr>
              <w:rFonts w:ascii="幼圆" w:eastAsia="幼圆" w:hAnsi="幼圆" w:cs="幼圆" w:hint="eastAsia"/>
              <w:b/>
              <w:bCs/>
              <w:sz w:val="28"/>
            </w:rPr>
            <w:t>一、EVA价值评估理论及模型</w:t>
          </w:r>
          <w:r>
            <w:rPr>
              <w:rFonts w:ascii="幼圆" w:eastAsia="幼圆" w:hAnsi="幼圆" w:cs="幼圆" w:hint="eastAsia"/>
              <w:b/>
              <w:sz w:val="28"/>
            </w:rPr>
            <w:tab/>
          </w:r>
          <w:r>
            <w:rPr>
              <w:rFonts w:ascii="幼圆" w:eastAsia="幼圆" w:hAnsi="幼圆" w:cs="幼圆" w:hint="eastAsia"/>
              <w:b/>
              <w:sz w:val="28"/>
            </w:rPr>
            <w:fldChar w:fldCharType="begin"/>
          </w:r>
          <w:r>
            <w:rPr>
              <w:rFonts w:ascii="幼圆" w:eastAsia="幼圆" w:hAnsi="幼圆" w:cs="幼圆" w:hint="eastAsia"/>
              <w:b/>
              <w:sz w:val="28"/>
            </w:rPr>
            <w:instrText xml:space="preserve"> PAGEREF _Toc28003 \h </w:instrText>
          </w:r>
          <w:r>
            <w:rPr>
              <w:rFonts w:ascii="幼圆" w:eastAsia="幼圆" w:hAnsi="幼圆" w:cs="幼圆" w:hint="eastAsia"/>
              <w:b/>
              <w:sz w:val="28"/>
            </w:rPr>
            <w:fldChar w:fldCharType="separate"/>
          </w:r>
          <w:r>
            <w:rPr>
              <w:rFonts w:ascii="幼圆" w:eastAsia="幼圆" w:hAnsi="幼圆" w:cs="幼圆" w:hint="eastAsia"/>
              <w:b/>
              <w:sz w:val="28"/>
            </w:rPr>
            <w:t>1</w:t>
          </w:r>
          <w:r>
            <w:rPr>
              <w:rFonts w:ascii="幼圆" w:eastAsia="幼圆" w:hAnsi="幼圆" w:cs="幼圆" w:hint="eastAsia"/>
              <w:b/>
              <w:sz w:val="28"/>
            </w:rPr>
            <w:fldChar w:fldCharType="end"/>
          </w:r>
          <w:r>
            <w:rPr>
              <w:rFonts w:ascii="幼圆" w:eastAsia="幼圆" w:hAnsi="幼圆" w:cs="幼圆" w:hint="eastAsia"/>
              <w:b/>
              <w:sz w:val="28"/>
            </w:rPr>
            <w:fldChar w:fldCharType="end"/>
          </w:r>
        </w:p>
        <w:p>
          <w:pPr>
            <w:pStyle w:val="TOC2"/>
            <w:tabs>
              <w:tab w:val="right" w:leader="dot" w:pos="8505"/>
            </w:tabs>
            <w:ind w:left="480" w:firstLine="0" w:firstLineChars="0"/>
            <w:rPr>
              <w:rFonts w:ascii="幼圆" w:eastAsia="幼圆" w:hAnsi="幼圆" w:cs="幼圆" w:hint="eastAsia"/>
            </w:rPr>
          </w:pPr>
          <w:hyperlink w:anchor="_Toc31565" w:history="1">
            <w:r>
              <w:rPr>
                <w:rFonts w:ascii="幼圆" w:eastAsia="幼圆" w:hAnsi="幼圆" w:cs="幼圆" w:hint="eastAsia"/>
                <w:bCs/>
              </w:rPr>
              <w:t>(一)EVA模型的理论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_Toc31565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505"/>
            </w:tabs>
            <w:ind w:left="480" w:firstLine="0" w:firstLineChars="0"/>
            <w:rPr>
              <w:rFonts w:ascii="幼圆" w:eastAsia="幼圆" w:hAnsi="幼圆" w:cs="幼圆" w:hint="eastAsia"/>
            </w:rPr>
          </w:pPr>
          <w:hyperlink w:anchor="_Toc15628" w:history="1">
            <w:r>
              <w:rPr>
                <w:rFonts w:ascii="幼圆" w:eastAsia="幼圆" w:hAnsi="幼圆" w:cs="幼圆" w:hint="eastAsia"/>
                <w:bCs/>
              </w:rPr>
              <w:t>（二）EVA价值评估模型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_Toc15628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30283" w:history="1">
            <w:r>
              <w:rPr>
                <w:rFonts w:ascii="幼圆" w:eastAsia="幼圆" w:hAnsi="幼圆" w:cs="幼圆" w:hint="eastAsia"/>
                <w:bCs/>
              </w:rPr>
              <w:t>1.EVA的计算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_Toc30283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19526" w:history="1">
            <w:r>
              <w:rPr>
                <w:rFonts w:ascii="幼圆" w:eastAsia="幼圆" w:hAnsi="幼圆" w:cs="幼圆" w:hint="eastAsia"/>
                <w:bCs/>
              </w:rPr>
              <w:t>2.EVA评估模型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_Toc19526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505"/>
            </w:tabs>
            <w:ind w:left="480" w:firstLine="0" w:firstLineChars="0"/>
            <w:rPr>
              <w:rFonts w:ascii="幼圆" w:eastAsia="幼圆" w:hAnsi="幼圆" w:cs="幼圆" w:hint="eastAsia"/>
            </w:rPr>
          </w:pPr>
          <w:hyperlink w:anchor="_Toc3488" w:history="1">
            <w:r>
              <w:rPr>
                <w:rFonts w:ascii="幼圆" w:eastAsia="幼圆" w:hAnsi="幼圆" w:cs="幼圆" w:hint="eastAsia"/>
                <w:bCs/>
              </w:rPr>
              <w:t>（三）EVA模型会计指标的调整</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_Toc3488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26212" w:history="1">
            <w:r>
              <w:rPr>
                <w:rFonts w:ascii="幼圆" w:eastAsia="幼圆" w:hAnsi="幼圆" w:cs="幼圆" w:hint="eastAsia"/>
                <w:bCs/>
              </w:rPr>
              <w:t>1.税后净营业利润（NOPAT）的调整</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_Toc26212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4498" w:history="1">
            <w:r>
              <w:rPr>
                <w:rFonts w:ascii="幼圆" w:eastAsia="幼圆" w:hAnsi="幼圆" w:cs="幼圆" w:hint="eastAsia"/>
                <w:bCs/>
              </w:rPr>
              <w:t>2.资本总额（TC）的调整</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_Toc4498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3019" w:history="1">
            <w:r>
              <w:rPr>
                <w:rFonts w:ascii="幼圆" w:eastAsia="幼圆" w:hAnsi="幼圆" w:cs="幼圆" w:hint="eastAsia"/>
                <w:bCs/>
              </w:rPr>
              <w:t>3.加权平均资本成本（WACC）的调整</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_Toc3019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1"/>
            <w:tabs>
              <w:tab w:val="right" w:leader="dot" w:pos="8505"/>
            </w:tabs>
            <w:ind w:firstLine="0" w:firstLineChars="0"/>
            <w:rPr>
              <w:rFonts w:ascii="幼圆" w:eastAsia="幼圆" w:hAnsi="幼圆" w:cs="幼圆" w:hint="eastAsia"/>
              <w:b/>
              <w:kern w:val="0"/>
              <w:sz w:val="28"/>
              <w:szCs w:val="24"/>
            </w:rPr>
          </w:pPr>
          <w:hyperlink w:anchor="_Toc5445" w:history="1">
            <w:r>
              <w:rPr>
                <w:rFonts w:ascii="幼圆" w:eastAsia="幼圆" w:hAnsi="幼圆" w:cs="幼圆" w:hint="eastAsia"/>
                <w:b/>
                <w:kern w:val="0"/>
                <w:sz w:val="28"/>
                <w:szCs w:val="24"/>
              </w:rPr>
              <w:t>二、电商企业的概念、特点与估值方法选择</w:t>
            </w:r>
            <w:r>
              <w:rPr>
                <w:rFonts w:ascii="幼圆" w:eastAsia="幼圆" w:hAnsi="幼圆" w:cs="幼圆" w:hint="eastAsia"/>
                <w:b/>
                <w:kern w:val="0"/>
                <w:sz w:val="28"/>
                <w:szCs w:val="24"/>
              </w:rPr>
              <w:tab/>
            </w:r>
            <w:r>
              <w:rPr>
                <w:rFonts w:ascii="幼圆" w:eastAsia="幼圆" w:hAnsi="幼圆" w:cs="幼圆" w:hint="eastAsia"/>
                <w:b/>
                <w:kern w:val="0"/>
                <w:sz w:val="28"/>
                <w:szCs w:val="24"/>
              </w:rPr>
              <w:fldChar w:fldCharType="begin"/>
            </w:r>
            <w:r>
              <w:rPr>
                <w:rFonts w:ascii="幼圆" w:eastAsia="幼圆" w:hAnsi="幼圆" w:cs="幼圆" w:hint="eastAsia"/>
                <w:b/>
                <w:kern w:val="0"/>
                <w:sz w:val="28"/>
                <w:szCs w:val="24"/>
              </w:rPr>
              <w:instrText xml:space="preserve"> PAGEREF _Toc5445 \h </w:instrText>
            </w:r>
            <w:r>
              <w:rPr>
                <w:rFonts w:ascii="幼圆" w:eastAsia="幼圆" w:hAnsi="幼圆" w:cs="幼圆" w:hint="eastAsia"/>
                <w:b/>
                <w:kern w:val="0"/>
                <w:sz w:val="28"/>
                <w:szCs w:val="24"/>
              </w:rPr>
              <w:fldChar w:fldCharType="separate"/>
            </w:r>
            <w:r>
              <w:rPr>
                <w:rFonts w:ascii="幼圆" w:eastAsia="幼圆" w:hAnsi="幼圆" w:cs="幼圆" w:hint="eastAsia"/>
                <w:b/>
                <w:kern w:val="0"/>
                <w:sz w:val="28"/>
                <w:szCs w:val="24"/>
              </w:rPr>
              <w:t>3</w:t>
            </w:r>
            <w:r>
              <w:rPr>
                <w:rFonts w:ascii="幼圆" w:eastAsia="幼圆" w:hAnsi="幼圆" w:cs="幼圆" w:hint="eastAsia"/>
                <w:b/>
                <w:kern w:val="0"/>
                <w:sz w:val="28"/>
                <w:szCs w:val="24"/>
              </w:rPr>
              <w:fldChar w:fldCharType="end"/>
            </w:r>
          </w:hyperlink>
        </w:p>
        <w:p>
          <w:pPr>
            <w:pStyle w:val="TOC2"/>
            <w:tabs>
              <w:tab w:val="right" w:leader="dot" w:pos="8505"/>
            </w:tabs>
            <w:ind w:left="480" w:firstLine="0" w:firstLineChars="0"/>
            <w:rPr>
              <w:rFonts w:ascii="幼圆" w:eastAsia="幼圆" w:hAnsi="幼圆" w:cs="幼圆" w:hint="eastAsia"/>
            </w:rPr>
          </w:pPr>
          <w:hyperlink w:anchor="_Toc3611" w:history="1">
            <w:r>
              <w:rPr>
                <w:rFonts w:ascii="幼圆" w:eastAsia="幼圆" w:hAnsi="幼圆" w:cs="幼圆" w:hint="eastAsia"/>
                <w:bCs/>
              </w:rPr>
              <w:t>（一）电商企业的概念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_Toc3611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505"/>
            </w:tabs>
            <w:ind w:left="480" w:firstLine="0" w:firstLineChars="0"/>
            <w:rPr>
              <w:rFonts w:ascii="幼圆" w:eastAsia="幼圆" w:hAnsi="幼圆" w:cs="幼圆" w:hint="eastAsia"/>
            </w:rPr>
          </w:pPr>
          <w:hyperlink w:anchor="_Toc10937" w:history="1">
            <w:r>
              <w:rPr>
                <w:rFonts w:ascii="幼圆" w:eastAsia="幼圆" w:hAnsi="幼圆" w:cs="幼圆" w:hint="eastAsia"/>
                <w:bCs/>
              </w:rPr>
              <w:t>（二）电商企业的特点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_Toc10937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505"/>
            </w:tabs>
            <w:ind w:left="480" w:firstLine="0" w:firstLineChars="0"/>
            <w:rPr>
              <w:rFonts w:ascii="幼圆" w:eastAsia="幼圆" w:hAnsi="幼圆" w:cs="幼圆" w:hint="eastAsia"/>
            </w:rPr>
          </w:pPr>
          <w:hyperlink w:anchor="_Toc10924" w:history="1">
            <w:r>
              <w:rPr>
                <w:rFonts w:ascii="幼圆" w:eastAsia="幼圆" w:hAnsi="幼圆" w:cs="幼圆" w:hint="eastAsia"/>
                <w:bCs/>
              </w:rPr>
              <w:t>（三）电商企业的估值方法选择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_Toc10924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10205" w:history="1">
            <w:r>
              <w:rPr>
                <w:rFonts w:ascii="幼圆" w:eastAsia="幼圆" w:hAnsi="幼圆" w:cs="幼圆" w:hint="eastAsia"/>
                <w:bCs/>
              </w:rPr>
              <w:t>1.EVA法与市盈率法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_Toc10205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32223" w:history="1">
            <w:r>
              <w:rPr>
                <w:rFonts w:ascii="幼圆" w:eastAsia="幼圆" w:hAnsi="幼圆" w:cs="幼圆" w:hint="eastAsia"/>
                <w:bCs/>
              </w:rPr>
              <w:t>2.EVA法与传统会计指标</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_Toc32223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1"/>
            <w:tabs>
              <w:tab w:val="right" w:leader="dot" w:pos="8505"/>
            </w:tabs>
            <w:ind w:firstLine="0" w:firstLineChars="0"/>
            <w:rPr>
              <w:rFonts w:ascii="幼圆" w:eastAsia="幼圆" w:hAnsi="幼圆" w:cs="幼圆" w:hint="eastAsia"/>
            </w:rPr>
          </w:pPr>
          <w:hyperlink w:anchor="_Toc1293" w:history="1">
            <w:r>
              <w:rPr>
                <w:rFonts w:ascii="幼圆" w:eastAsia="幼圆" w:hAnsi="幼圆" w:cs="幼圆" w:hint="eastAsia"/>
                <w:b/>
                <w:kern w:val="0"/>
                <w:sz w:val="28"/>
                <w:szCs w:val="24"/>
              </w:rPr>
              <w:t>三、基于EVA的南极电商企业价值评估分析</w:t>
            </w:r>
            <w:r>
              <w:rPr>
                <w:rFonts w:ascii="幼圆" w:eastAsia="幼圆" w:hAnsi="幼圆" w:cs="幼圆" w:hint="eastAsia"/>
                <w:b/>
                <w:kern w:val="0"/>
                <w:sz w:val="28"/>
                <w:szCs w:val="24"/>
              </w:rPr>
              <w:tab/>
            </w:r>
            <w:r>
              <w:rPr>
                <w:rFonts w:ascii="幼圆" w:eastAsia="幼圆" w:hAnsi="幼圆" w:cs="幼圆" w:hint="eastAsia"/>
                <w:b/>
                <w:kern w:val="0"/>
                <w:sz w:val="28"/>
                <w:szCs w:val="24"/>
              </w:rPr>
              <w:fldChar w:fldCharType="begin"/>
            </w:r>
            <w:r>
              <w:rPr>
                <w:rFonts w:ascii="幼圆" w:eastAsia="幼圆" w:hAnsi="幼圆" w:cs="幼圆" w:hint="eastAsia"/>
                <w:b/>
                <w:kern w:val="0"/>
                <w:sz w:val="28"/>
                <w:szCs w:val="24"/>
              </w:rPr>
              <w:instrText xml:space="preserve"> PAGEREF _Toc1293 \h </w:instrText>
            </w:r>
            <w:r>
              <w:rPr>
                <w:rFonts w:ascii="幼圆" w:eastAsia="幼圆" w:hAnsi="幼圆" w:cs="幼圆" w:hint="eastAsia"/>
                <w:b/>
                <w:kern w:val="0"/>
                <w:sz w:val="28"/>
                <w:szCs w:val="24"/>
              </w:rPr>
              <w:fldChar w:fldCharType="separate"/>
            </w:r>
            <w:r>
              <w:rPr>
                <w:rFonts w:ascii="幼圆" w:eastAsia="幼圆" w:hAnsi="幼圆" w:cs="幼圆" w:hint="eastAsia"/>
                <w:b/>
                <w:kern w:val="0"/>
                <w:sz w:val="28"/>
                <w:szCs w:val="24"/>
              </w:rPr>
              <w:t>5</w:t>
            </w:r>
            <w:r>
              <w:rPr>
                <w:rFonts w:ascii="幼圆" w:eastAsia="幼圆" w:hAnsi="幼圆" w:cs="幼圆" w:hint="eastAsia"/>
                <w:b/>
                <w:kern w:val="0"/>
                <w:sz w:val="28"/>
                <w:szCs w:val="24"/>
              </w:rPr>
              <w:fldChar w:fldCharType="end"/>
            </w:r>
          </w:hyperlink>
        </w:p>
        <w:p>
          <w:pPr>
            <w:pStyle w:val="TOC2"/>
            <w:tabs>
              <w:tab w:val="right" w:leader="dot" w:pos="8505"/>
            </w:tabs>
            <w:ind w:left="480" w:firstLine="0" w:firstLineChars="0"/>
            <w:rPr>
              <w:rFonts w:ascii="幼圆" w:eastAsia="幼圆" w:hAnsi="幼圆" w:cs="幼圆" w:hint="eastAsia"/>
            </w:rPr>
          </w:pPr>
          <w:hyperlink w:anchor="_Toc15893" w:history="1">
            <w:r>
              <w:rPr>
                <w:rFonts w:ascii="幼圆" w:eastAsia="幼圆" w:hAnsi="幼圆" w:cs="幼圆" w:hint="eastAsia"/>
                <w:bCs/>
              </w:rPr>
              <w:t>（一）南极电商的简介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_Toc15893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505"/>
            </w:tabs>
            <w:ind w:left="480" w:firstLine="0" w:firstLineChars="0"/>
            <w:rPr>
              <w:rFonts w:ascii="幼圆" w:eastAsia="幼圆" w:hAnsi="幼圆" w:cs="幼圆" w:hint="eastAsia"/>
            </w:rPr>
          </w:pPr>
          <w:hyperlink w:anchor="_Toc10424" w:history="1">
            <w:r>
              <w:rPr>
                <w:rFonts w:ascii="幼圆" w:eastAsia="幼圆" w:hAnsi="幼圆" w:cs="幼圆" w:hint="eastAsia"/>
                <w:bCs/>
              </w:rPr>
              <w:t>（二）南极电商的财务状况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_Toc10424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25421" w:history="1">
            <w:r>
              <w:rPr>
                <w:rFonts w:ascii="幼圆" w:eastAsia="幼圆" w:hAnsi="幼圆" w:cs="幼圆" w:hint="eastAsia"/>
                <w:bCs/>
              </w:rPr>
              <w:t>1.盈利能力分析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_Toc25421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20739" w:history="1">
            <w:r>
              <w:rPr>
                <w:rFonts w:ascii="幼圆" w:eastAsia="幼圆" w:hAnsi="幼圆" w:cs="幼圆" w:hint="eastAsia"/>
                <w:bCs/>
              </w:rPr>
              <w:t>2.偿债能力分析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_Toc20739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18611" w:history="1">
            <w:r>
              <w:rPr>
                <w:rFonts w:ascii="幼圆" w:eastAsia="幼圆" w:hAnsi="幼圆" w:cs="幼圆" w:hint="eastAsia"/>
                <w:bCs/>
              </w:rPr>
              <w:t>3.营运能力分析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_Toc18611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5019" w:history="1">
            <w:r>
              <w:rPr>
                <w:rFonts w:ascii="幼圆" w:eastAsia="幼圆" w:hAnsi="幼圆" w:cs="幼圆" w:hint="eastAsia"/>
                <w:bCs/>
              </w:rPr>
              <w:t>4.发展能力分析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_Toc5019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505"/>
            </w:tabs>
            <w:ind w:left="480" w:firstLine="0" w:firstLineChars="0"/>
            <w:rPr>
              <w:rFonts w:ascii="幼圆" w:eastAsia="幼圆" w:hAnsi="幼圆" w:cs="幼圆" w:hint="eastAsia"/>
            </w:rPr>
          </w:pPr>
          <w:hyperlink w:anchor="_Toc32681" w:history="1">
            <w:r>
              <w:rPr>
                <w:rFonts w:ascii="幼圆" w:eastAsia="幼圆" w:hAnsi="幼圆" w:cs="幼圆" w:hint="eastAsia"/>
                <w:bCs/>
              </w:rPr>
              <w:t>（三）南极电商基期EVA的计算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_Toc32681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sectPr>
              <w:headerReference w:type="default" r:id="rId8"/>
              <w:footerReference w:type="default" r:id="rId9"/>
              <w:footnotePr>
                <w:numFmt w:val="decimalEnclosedCircleChinese"/>
              </w:footnotePr>
              <w:pgSz w:w="11906" w:h="16838"/>
              <w:pgMar w:top="2551" w:right="1417" w:bottom="2268" w:left="1984" w:header="907" w:footer="992" w:gutter="0"/>
              <w:pgNumType w:fmt="upperRoman" w:start="1"/>
              <w:cols w:num="1" w:space="720"/>
              <w:docGrid w:type="lines" w:linePitch="316" w:charSpace="0"/>
            </w:sectPr>
          </w:pPr>
          <w:hyperlink w:anchor="_Toc27934" w:history="1">
            <w:r>
              <w:rPr>
                <w:rFonts w:ascii="幼圆" w:eastAsia="幼圆" w:hAnsi="幼圆" w:cs="幼圆" w:hint="eastAsia"/>
                <w:bCs/>
              </w:rPr>
              <w:t>1.计算NOPAT</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_Toc27934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sdtContent>
    </w:sdt>
    <w:sdt>
      <w:sdtPr>
        <w:rPr>
          <w:rFonts w:ascii="幼圆" w:eastAsia="幼圆" w:hAnsi="幼圆" w:cs="幼圆" w:hint="eastAsia"/>
          <w:b/>
          <w:bCs/>
          <w:sz w:val="36"/>
          <w:szCs w:val="32"/>
        </w:rPr>
        <w:id w:val="1739086362"/>
        <w:docPartObj>
          <w:docPartGallery w:val="Table of Contents"/>
          <w:docPartUnique/>
        </w:docPartObj>
      </w:sdtPr>
      <w:sdtEndPr>
        <w:rPr>
          <w:rFonts w:ascii="幼圆" w:eastAsia="幼圆" w:hAnsi="幼圆" w:cs="幼圆" w:hint="eastAsia"/>
          <w:b/>
          <w:bCs/>
          <w:kern w:val="0"/>
          <w:sz w:val="24"/>
          <w:szCs w:val="24"/>
        </w:rPr>
      </w:sdtEndPr>
      <w:sdtContent>
        <w:p>
          <w:pPr>
            <w:pStyle w:val="TOC3"/>
            <w:tabs>
              <w:tab w:val="right" w:leader="dot" w:pos="8505"/>
            </w:tabs>
            <w:ind w:left="960" w:firstLine="0" w:firstLineChars="0"/>
            <w:rPr>
              <w:rFonts w:ascii="幼圆" w:eastAsia="幼圆" w:hAnsi="幼圆" w:cs="幼圆" w:hint="eastAsia"/>
            </w:rPr>
          </w:pPr>
          <w:hyperlink w:anchor="_Toc2063" w:history="1">
            <w:r>
              <w:rPr>
                <w:rFonts w:ascii="幼圆" w:eastAsia="幼圆" w:hAnsi="幼圆" w:cs="幼圆" w:hint="eastAsia"/>
                <w:bCs/>
              </w:rPr>
              <w:t>2.计算TC</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_Toc2063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25792" w:history="1">
            <w:r>
              <w:rPr>
                <w:rFonts w:ascii="幼圆" w:eastAsia="幼圆" w:hAnsi="幼圆" w:cs="幼圆" w:hint="eastAsia"/>
                <w:bCs/>
              </w:rPr>
              <w:t>3.计算加权平均资本成本</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_Toc25792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32723" w:history="1">
            <w:r>
              <w:rPr>
                <w:rFonts w:ascii="幼圆" w:eastAsia="幼圆" w:hAnsi="幼圆" w:cs="幼圆" w:hint="eastAsia"/>
                <w:bCs/>
              </w:rPr>
              <w:t>4.计算基期EVA</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_Toc32723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8505"/>
            </w:tabs>
            <w:ind w:left="480" w:firstLine="0" w:firstLineChars="0"/>
            <w:rPr>
              <w:rFonts w:ascii="幼圆" w:eastAsia="幼圆" w:hAnsi="幼圆" w:cs="幼圆" w:hint="eastAsia"/>
            </w:rPr>
          </w:pPr>
          <w:hyperlink w:anchor="_Toc11795" w:history="1">
            <w:r>
              <w:rPr>
                <w:rFonts w:ascii="幼圆" w:eastAsia="幼圆" w:hAnsi="幼圆" w:cs="幼圆" w:hint="eastAsia"/>
                <w:bCs/>
              </w:rPr>
              <w:t>（四）南极电商预测期EVA计算及企业价值评估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_Toc11795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11290" w:history="1">
            <w:r>
              <w:rPr>
                <w:rFonts w:ascii="幼圆" w:eastAsia="幼圆" w:hAnsi="幼圆" w:cs="幼圆" w:hint="eastAsia"/>
                <w:bCs/>
              </w:rPr>
              <w:t>1.预测期EVA的相关指标</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_Toc11290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16927" w:history="1">
            <w:r>
              <w:rPr>
                <w:rFonts w:ascii="幼圆" w:eastAsia="幼圆" w:hAnsi="幼圆" w:cs="幼圆" w:hint="eastAsia"/>
                <w:bCs/>
              </w:rPr>
              <w:t>2.预测期NOPAT和TC</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_Toc16927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4214" w:history="1">
            <w:r>
              <w:rPr>
                <w:rFonts w:ascii="幼圆" w:eastAsia="幼圆" w:hAnsi="幼圆" w:cs="幼圆" w:hint="eastAsia"/>
                <w:bCs/>
              </w:rPr>
              <w:t>3.预测期加权平均资本成本</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_Toc4214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29228" w:history="1">
            <w:r>
              <w:rPr>
                <w:rFonts w:ascii="幼圆" w:eastAsia="幼圆" w:hAnsi="幼圆" w:cs="幼圆" w:hint="eastAsia"/>
                <w:bCs/>
              </w:rPr>
              <w:t>4.预测期EVA的计算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_Toc29228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1"/>
            <w:tabs>
              <w:tab w:val="right" w:leader="dot" w:pos="8505"/>
            </w:tabs>
            <w:ind w:firstLine="0" w:firstLineChars="0"/>
            <w:rPr>
              <w:rFonts w:ascii="幼圆" w:eastAsia="幼圆" w:hAnsi="幼圆" w:cs="幼圆" w:hint="eastAsia"/>
            </w:rPr>
          </w:pPr>
          <w:hyperlink w:anchor="_Toc11528" w:history="1">
            <w:r>
              <w:rPr>
                <w:rFonts w:ascii="幼圆" w:eastAsia="幼圆" w:hAnsi="幼圆" w:cs="幼圆" w:hint="eastAsia"/>
                <w:b/>
                <w:kern w:val="0"/>
                <w:sz w:val="28"/>
                <w:szCs w:val="24"/>
              </w:rPr>
              <w:t>四、南极电子商务应用EVA评估存在的问题</w:t>
            </w:r>
            <w:r>
              <w:rPr>
                <w:rFonts w:ascii="幼圆" w:eastAsia="幼圆" w:hAnsi="幼圆" w:cs="幼圆" w:hint="eastAsia"/>
                <w:b/>
                <w:kern w:val="0"/>
                <w:sz w:val="28"/>
                <w:szCs w:val="24"/>
              </w:rPr>
              <w:tab/>
            </w:r>
            <w:r>
              <w:rPr>
                <w:rFonts w:ascii="幼圆" w:eastAsia="幼圆" w:hAnsi="幼圆" w:cs="幼圆" w:hint="eastAsia"/>
                <w:b/>
                <w:kern w:val="0"/>
                <w:sz w:val="28"/>
                <w:szCs w:val="24"/>
              </w:rPr>
              <w:fldChar w:fldCharType="begin"/>
            </w:r>
            <w:r>
              <w:rPr>
                <w:rFonts w:ascii="幼圆" w:eastAsia="幼圆" w:hAnsi="幼圆" w:cs="幼圆" w:hint="eastAsia"/>
                <w:b/>
                <w:kern w:val="0"/>
                <w:sz w:val="28"/>
                <w:szCs w:val="24"/>
              </w:rPr>
              <w:instrText xml:space="preserve"> PAGEREF _Toc11528 \h </w:instrText>
            </w:r>
            <w:r>
              <w:rPr>
                <w:rFonts w:ascii="幼圆" w:eastAsia="幼圆" w:hAnsi="幼圆" w:cs="幼圆" w:hint="eastAsia"/>
                <w:b/>
                <w:kern w:val="0"/>
                <w:sz w:val="28"/>
                <w:szCs w:val="24"/>
              </w:rPr>
              <w:fldChar w:fldCharType="separate"/>
            </w:r>
            <w:r>
              <w:rPr>
                <w:rFonts w:ascii="幼圆" w:eastAsia="幼圆" w:hAnsi="幼圆" w:cs="幼圆" w:hint="eastAsia"/>
                <w:b/>
                <w:kern w:val="0"/>
                <w:sz w:val="28"/>
                <w:szCs w:val="24"/>
              </w:rPr>
              <w:t>21</w:t>
            </w:r>
            <w:r>
              <w:rPr>
                <w:rFonts w:ascii="幼圆" w:eastAsia="幼圆" w:hAnsi="幼圆" w:cs="幼圆" w:hint="eastAsia"/>
                <w:b/>
                <w:kern w:val="0"/>
                <w:sz w:val="28"/>
                <w:szCs w:val="24"/>
              </w:rPr>
              <w:fldChar w:fldCharType="end"/>
            </w:r>
          </w:hyperlink>
        </w:p>
        <w:p>
          <w:pPr>
            <w:pStyle w:val="TOC2"/>
            <w:tabs>
              <w:tab w:val="right" w:leader="dot" w:pos="8505"/>
            </w:tabs>
            <w:ind w:left="480" w:firstLine="0" w:firstLineChars="0"/>
            <w:rPr>
              <w:rFonts w:ascii="幼圆" w:eastAsia="幼圆" w:hAnsi="幼圆" w:cs="幼圆" w:hint="eastAsia"/>
            </w:rPr>
          </w:pPr>
          <w:hyperlink w:anchor="_Toc18924" w:history="1">
            <w:r>
              <w:rPr>
                <w:rFonts w:ascii="幼圆" w:eastAsia="幼圆" w:hAnsi="幼圆" w:cs="幼圆" w:hint="eastAsia"/>
                <w:bCs/>
              </w:rPr>
              <w:t>（一）资本成本测算难度高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_Toc18924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2"/>
            <w:tabs>
              <w:tab w:val="right" w:leader="dot" w:pos="8505"/>
            </w:tabs>
            <w:ind w:left="480" w:firstLine="0" w:firstLineChars="0"/>
            <w:rPr>
              <w:rFonts w:ascii="幼圆" w:eastAsia="幼圆" w:hAnsi="幼圆" w:cs="幼圆" w:hint="eastAsia"/>
            </w:rPr>
          </w:pPr>
          <w:hyperlink w:anchor="_Toc643" w:history="1">
            <w:r>
              <w:rPr>
                <w:rFonts w:ascii="幼圆" w:eastAsia="幼圆" w:hAnsi="幼圆" w:cs="幼圆" w:hint="eastAsia"/>
                <w:bCs/>
              </w:rPr>
              <w:t>（二）对未来收益的不确定性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_Toc643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1"/>
            <w:tabs>
              <w:tab w:val="right" w:leader="dot" w:pos="8505"/>
            </w:tabs>
            <w:ind w:firstLine="0" w:firstLineChars="0"/>
            <w:rPr>
              <w:rFonts w:ascii="幼圆" w:eastAsia="幼圆" w:hAnsi="幼圆" w:cs="幼圆" w:hint="eastAsia"/>
              <w:b/>
              <w:kern w:val="0"/>
              <w:sz w:val="28"/>
              <w:szCs w:val="24"/>
            </w:rPr>
          </w:pPr>
          <w:hyperlink w:anchor="_Toc1002" w:history="1">
            <w:r>
              <w:rPr>
                <w:rFonts w:ascii="幼圆" w:eastAsia="幼圆" w:hAnsi="幼圆" w:cs="幼圆" w:hint="eastAsia"/>
                <w:b/>
                <w:kern w:val="0"/>
                <w:sz w:val="28"/>
                <w:szCs w:val="24"/>
              </w:rPr>
              <w:t>五、建议</w:t>
            </w:r>
            <w:r>
              <w:rPr>
                <w:rFonts w:ascii="幼圆" w:eastAsia="幼圆" w:hAnsi="幼圆" w:cs="幼圆" w:hint="eastAsia"/>
                <w:b/>
                <w:kern w:val="0"/>
                <w:sz w:val="28"/>
                <w:szCs w:val="24"/>
              </w:rPr>
              <w:tab/>
            </w:r>
            <w:r>
              <w:rPr>
                <w:rFonts w:ascii="幼圆" w:eastAsia="幼圆" w:hAnsi="幼圆" w:cs="幼圆" w:hint="eastAsia"/>
                <w:b/>
                <w:kern w:val="0"/>
                <w:sz w:val="28"/>
                <w:szCs w:val="24"/>
              </w:rPr>
              <w:fldChar w:fldCharType="begin"/>
            </w:r>
            <w:r>
              <w:rPr>
                <w:rFonts w:ascii="幼圆" w:eastAsia="幼圆" w:hAnsi="幼圆" w:cs="幼圆" w:hint="eastAsia"/>
                <w:b/>
                <w:kern w:val="0"/>
                <w:sz w:val="28"/>
                <w:szCs w:val="24"/>
              </w:rPr>
              <w:instrText xml:space="preserve"> PAGEREF _Toc1002 \h </w:instrText>
            </w:r>
            <w:r>
              <w:rPr>
                <w:rFonts w:ascii="幼圆" w:eastAsia="幼圆" w:hAnsi="幼圆" w:cs="幼圆" w:hint="eastAsia"/>
                <w:b/>
                <w:kern w:val="0"/>
                <w:sz w:val="28"/>
                <w:szCs w:val="24"/>
              </w:rPr>
              <w:fldChar w:fldCharType="separate"/>
            </w:r>
            <w:r>
              <w:rPr>
                <w:rFonts w:ascii="幼圆" w:eastAsia="幼圆" w:hAnsi="幼圆" w:cs="幼圆" w:hint="eastAsia"/>
                <w:b/>
                <w:kern w:val="0"/>
                <w:sz w:val="28"/>
                <w:szCs w:val="24"/>
              </w:rPr>
              <w:t>22</w:t>
            </w:r>
            <w:r>
              <w:rPr>
                <w:rFonts w:ascii="幼圆" w:eastAsia="幼圆" w:hAnsi="幼圆" w:cs="幼圆" w:hint="eastAsia"/>
                <w:b/>
                <w:kern w:val="0"/>
                <w:sz w:val="28"/>
                <w:szCs w:val="24"/>
              </w:rPr>
              <w:fldChar w:fldCharType="end"/>
            </w:r>
          </w:hyperlink>
        </w:p>
        <w:p>
          <w:pPr>
            <w:pStyle w:val="TOC2"/>
            <w:tabs>
              <w:tab w:val="right" w:leader="dot" w:pos="8505"/>
            </w:tabs>
            <w:ind w:left="480" w:firstLine="0" w:firstLineChars="0"/>
            <w:rPr>
              <w:rFonts w:ascii="幼圆" w:eastAsia="幼圆" w:hAnsi="幼圆" w:cs="幼圆" w:hint="eastAsia"/>
            </w:rPr>
          </w:pPr>
          <w:hyperlink w:anchor="_Toc13154" w:history="1">
            <w:r>
              <w:rPr>
                <w:rFonts w:ascii="幼圆" w:eastAsia="幼圆" w:hAnsi="幼圆" w:cs="幼圆" w:hint="eastAsia"/>
                <w:bCs/>
              </w:rPr>
              <w:t>（一）投资者建议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_Toc13154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10849" w:history="1">
            <w:r>
              <w:rPr>
                <w:rFonts w:ascii="幼圆" w:eastAsia="幼圆" w:hAnsi="幼圆" w:cs="幼圆" w:hint="eastAsia"/>
                <w:bCs/>
              </w:rPr>
              <w:t>1.跳出人工操纵会计信息的空间</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_Toc10849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3"/>
            <w:tabs>
              <w:tab w:val="right" w:leader="dot" w:pos="8505"/>
            </w:tabs>
            <w:ind w:left="960" w:firstLine="0" w:firstLineChars="0"/>
            <w:rPr>
              <w:rFonts w:ascii="幼圆" w:eastAsia="幼圆" w:hAnsi="幼圆" w:cs="幼圆" w:hint="eastAsia"/>
            </w:rPr>
          </w:pPr>
          <w:hyperlink w:anchor="_Toc5086" w:history="1">
            <w:r>
              <w:rPr>
                <w:rFonts w:ascii="幼圆" w:eastAsia="幼圆" w:hAnsi="幼圆" w:cs="幼圆" w:hint="eastAsia"/>
                <w:bCs/>
              </w:rPr>
              <w:t>2.认识到企业成长性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_Toc5086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tabs>
              <w:tab w:val="right" w:leader="dot" w:pos="8505"/>
            </w:tabs>
            <w:ind w:left="480" w:firstLine="0" w:firstLineChars="0"/>
            <w:rPr>
              <w:rFonts w:ascii="幼圆" w:eastAsia="幼圆" w:hAnsi="幼圆" w:cs="幼圆" w:hint="eastAsia"/>
            </w:rPr>
          </w:pPr>
          <w:hyperlink w:anchor="_Toc4078" w:history="1">
            <w:r>
              <w:rPr>
                <w:rFonts w:ascii="幼圆" w:eastAsia="幼圆" w:hAnsi="幼圆" w:cs="幼圆" w:hint="eastAsia"/>
                <w:bCs/>
              </w:rPr>
              <w:t>（二）管理者建议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_Toc4078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1"/>
            <w:tabs>
              <w:tab w:val="right" w:leader="dot" w:pos="8505"/>
            </w:tabs>
            <w:ind w:firstLine="0" w:firstLineChars="0"/>
            <w:rPr>
              <w:rFonts w:ascii="幼圆" w:eastAsia="幼圆" w:hAnsi="幼圆" w:cs="幼圆" w:hint="eastAsia"/>
              <w:b/>
              <w:kern w:val="0"/>
              <w:sz w:val="28"/>
              <w:szCs w:val="24"/>
            </w:rPr>
          </w:pPr>
          <w:hyperlink w:anchor="_Toc18007" w:history="1">
            <w:r>
              <w:rPr>
                <w:rFonts w:ascii="幼圆" w:eastAsia="幼圆" w:hAnsi="幼圆" w:cs="幼圆" w:hint="eastAsia"/>
                <w:b/>
                <w:kern w:val="0"/>
                <w:sz w:val="28"/>
                <w:szCs w:val="24"/>
              </w:rPr>
              <w:t>结语</w:t>
            </w:r>
            <w:r>
              <w:rPr>
                <w:rFonts w:ascii="幼圆" w:eastAsia="幼圆" w:hAnsi="幼圆" w:cs="幼圆" w:hint="eastAsia"/>
                <w:b/>
                <w:kern w:val="0"/>
                <w:sz w:val="28"/>
                <w:szCs w:val="24"/>
              </w:rPr>
              <w:tab/>
            </w:r>
            <w:r>
              <w:rPr>
                <w:rFonts w:ascii="幼圆" w:eastAsia="幼圆" w:hAnsi="幼圆" w:cs="幼圆" w:hint="eastAsia"/>
                <w:b/>
                <w:kern w:val="0"/>
                <w:sz w:val="28"/>
                <w:szCs w:val="24"/>
              </w:rPr>
              <w:fldChar w:fldCharType="begin"/>
            </w:r>
            <w:r>
              <w:rPr>
                <w:rFonts w:ascii="幼圆" w:eastAsia="幼圆" w:hAnsi="幼圆" w:cs="幼圆" w:hint="eastAsia"/>
                <w:b/>
                <w:kern w:val="0"/>
                <w:sz w:val="28"/>
                <w:szCs w:val="24"/>
              </w:rPr>
              <w:instrText xml:space="preserve"> PAGEREF _Toc18007 \h </w:instrText>
            </w:r>
            <w:r>
              <w:rPr>
                <w:rFonts w:ascii="幼圆" w:eastAsia="幼圆" w:hAnsi="幼圆" w:cs="幼圆" w:hint="eastAsia"/>
                <w:b/>
                <w:kern w:val="0"/>
                <w:sz w:val="28"/>
                <w:szCs w:val="24"/>
              </w:rPr>
              <w:fldChar w:fldCharType="separate"/>
            </w:r>
            <w:r>
              <w:rPr>
                <w:rFonts w:ascii="幼圆" w:eastAsia="幼圆" w:hAnsi="幼圆" w:cs="幼圆" w:hint="eastAsia"/>
                <w:b/>
                <w:kern w:val="0"/>
                <w:sz w:val="28"/>
                <w:szCs w:val="24"/>
              </w:rPr>
              <w:t>22</w:t>
            </w:r>
            <w:r>
              <w:rPr>
                <w:rFonts w:ascii="幼圆" w:eastAsia="幼圆" w:hAnsi="幼圆" w:cs="幼圆" w:hint="eastAsia"/>
                <w:b/>
                <w:kern w:val="0"/>
                <w:sz w:val="28"/>
                <w:szCs w:val="24"/>
              </w:rPr>
              <w:fldChar w:fldCharType="end"/>
            </w:r>
          </w:hyperlink>
        </w:p>
        <w:p>
          <w:pPr>
            <w:pStyle w:val="TOC1"/>
            <w:tabs>
              <w:tab w:val="right" w:leader="dot" w:pos="8505"/>
            </w:tabs>
            <w:ind w:firstLine="0" w:firstLineChars="0"/>
            <w:rPr>
              <w:rFonts w:ascii="幼圆" w:eastAsia="幼圆" w:hAnsi="幼圆" w:cs="幼圆" w:hint="eastAsia"/>
              <w:b/>
              <w:kern w:val="0"/>
              <w:sz w:val="28"/>
              <w:szCs w:val="24"/>
            </w:rPr>
          </w:pPr>
          <w:hyperlink w:anchor="_Toc26301" w:history="1">
            <w:r>
              <w:rPr>
                <w:rFonts w:ascii="幼圆" w:eastAsia="幼圆" w:hAnsi="幼圆" w:cs="幼圆" w:hint="eastAsia"/>
                <w:b/>
                <w:kern w:val="0"/>
                <w:sz w:val="28"/>
                <w:szCs w:val="24"/>
              </w:rPr>
              <w:t>参考文献</w:t>
            </w:r>
            <w:r>
              <w:rPr>
                <w:rFonts w:ascii="幼圆" w:eastAsia="幼圆" w:hAnsi="幼圆" w:cs="幼圆" w:hint="eastAsia"/>
                <w:b/>
                <w:kern w:val="0"/>
                <w:sz w:val="28"/>
                <w:szCs w:val="24"/>
              </w:rPr>
              <w:tab/>
            </w:r>
            <w:r>
              <w:rPr>
                <w:rFonts w:ascii="幼圆" w:eastAsia="幼圆" w:hAnsi="幼圆" w:cs="幼圆" w:hint="eastAsia"/>
                <w:b/>
                <w:kern w:val="0"/>
                <w:sz w:val="28"/>
                <w:szCs w:val="24"/>
              </w:rPr>
              <w:fldChar w:fldCharType="begin"/>
            </w:r>
            <w:r>
              <w:rPr>
                <w:rFonts w:ascii="幼圆" w:eastAsia="幼圆" w:hAnsi="幼圆" w:cs="幼圆" w:hint="eastAsia"/>
                <w:b/>
                <w:kern w:val="0"/>
                <w:sz w:val="28"/>
                <w:szCs w:val="24"/>
              </w:rPr>
              <w:instrText xml:space="preserve"> PAGEREF _Toc26301 \h </w:instrText>
            </w:r>
            <w:r>
              <w:rPr>
                <w:rFonts w:ascii="幼圆" w:eastAsia="幼圆" w:hAnsi="幼圆" w:cs="幼圆" w:hint="eastAsia"/>
                <w:b/>
                <w:kern w:val="0"/>
                <w:sz w:val="28"/>
                <w:szCs w:val="24"/>
              </w:rPr>
              <w:fldChar w:fldCharType="separate"/>
            </w:r>
            <w:r>
              <w:rPr>
                <w:rFonts w:ascii="幼圆" w:eastAsia="幼圆" w:hAnsi="幼圆" w:cs="幼圆" w:hint="eastAsia"/>
                <w:b/>
                <w:kern w:val="0"/>
                <w:sz w:val="28"/>
                <w:szCs w:val="24"/>
              </w:rPr>
              <w:t>24</w:t>
            </w:r>
            <w:r>
              <w:rPr>
                <w:rFonts w:ascii="幼圆" w:eastAsia="幼圆" w:hAnsi="幼圆" w:cs="幼圆" w:hint="eastAsia"/>
                <w:b/>
                <w:kern w:val="0"/>
                <w:sz w:val="28"/>
                <w:szCs w:val="24"/>
              </w:rPr>
              <w:fldChar w:fldCharType="end"/>
            </w:r>
          </w:hyperlink>
        </w:p>
        <w:p>
          <w:pPr>
            <w:ind w:firstLine="0" w:firstLineChars="0"/>
            <w:rPr>
              <w:rFonts w:ascii="幼圆" w:eastAsia="幼圆" w:hAnsi="幼圆" w:cs="幼圆" w:hint="eastAsia"/>
              <w:kern w:val="0"/>
              <w:szCs w:val="24"/>
            </w:rPr>
            <w:sectPr>
              <w:headerReference w:type="default" r:id="rId10"/>
              <w:footerReference w:type="default" r:id="rId11"/>
              <w:footnotePr>
                <w:numFmt w:val="decimalEnclosedCircleChinese"/>
              </w:footnotePr>
              <w:type w:val="nextPage"/>
              <w:pgSz w:w="11906" w:h="16838"/>
              <w:pgMar w:top="2551" w:right="1417" w:bottom="2268" w:left="1984" w:header="907" w:footer="992" w:gutter="0"/>
              <w:pgNumType w:fmt="upperRoman" w:start="2"/>
              <w:cols w:num="1" w:space="720"/>
              <w:titlePg w:val="0"/>
              <w:docGrid w:type="lines" w:linePitch="316" w:charSpace="0"/>
            </w:sectPr>
          </w:pPr>
          <w:r>
            <w:rPr>
              <w:rFonts w:ascii="幼圆" w:eastAsia="幼圆" w:hAnsi="幼圆" w:cs="幼圆" w:hint="eastAsia"/>
              <w:kern w:val="0"/>
              <w:szCs w:val="24"/>
            </w:rPr>
            <w:fldChar w:fldCharType="end"/>
          </w:r>
        </w:p>
      </w:sdtContent>
    </w:sdt>
    <w:p>
      <w:pPr>
        <w:ind w:firstLine="480"/>
        <w:rPr>
          <w:rFonts w:ascii="幼圆" w:eastAsia="幼圆" w:hAnsi="幼圆" w:cs="幼圆" w:hint="eastAsia"/>
          <w:szCs w:val="24"/>
        </w:rPr>
      </w:pPr>
      <w:r>
        <w:rPr>
          <w:rFonts w:ascii="幼圆" w:eastAsia="幼圆" w:hAnsi="幼圆" w:cs="幼圆" w:hint="eastAsia"/>
          <w:kern w:val="0"/>
          <w:szCs w:val="24"/>
        </w:rPr>
        <w:t>随着在线付款的促进，中国电商显示出巨大的潜力，南极电商是一个较为成功的案例。然而，以往的价值评估方法没有考虑股权资金成本，因此其评估结果不能真实体现公司真正的创造了利润。但是EVA克服了传统评估理论的不足，将股权资本体现在资本成本中，还体现了公司一段时间内为股东缔造的价值。因此，使用EVA对南极电子商务公司的价值进行估值。</w:t>
      </w:r>
    </w:p>
    <w:p>
      <w:pPr>
        <w:pStyle w:val="Title"/>
        <w:spacing w:before="252" w:after="158" w:line="240" w:lineRule="auto"/>
        <w:rPr>
          <w:rFonts w:ascii="幼圆" w:eastAsia="幼圆" w:hAnsi="幼圆" w:cs="幼圆" w:hint="eastAsia"/>
        </w:rPr>
      </w:pPr>
      <w:bookmarkStart w:id="1" w:name="_Toc67928881"/>
      <w:bookmarkStart w:id="2" w:name="_Toc67584050"/>
      <w:bookmarkStart w:id="3" w:name="_Toc71564887"/>
      <w:bookmarkStart w:id="4" w:name="_Toc28003"/>
      <w:r>
        <w:rPr>
          <w:rFonts w:ascii="幼圆" w:eastAsia="幼圆" w:hAnsi="幼圆" w:cs="幼圆" w:hint="eastAsia"/>
        </w:rPr>
        <w:t>一、EVA价值评估理论及模型</w:t>
      </w:r>
      <w:bookmarkEnd w:id="1"/>
      <w:bookmarkEnd w:id="2"/>
      <w:bookmarkEnd w:id="3"/>
      <w:bookmarkEnd w:id="4"/>
    </w:p>
    <w:p>
      <w:pPr>
        <w:pStyle w:val="Subtitle"/>
        <w:spacing w:before="158" w:after="158" w:line="240" w:lineRule="auto"/>
        <w:rPr>
          <w:rFonts w:ascii="幼圆" w:eastAsia="幼圆" w:hAnsi="幼圆" w:cs="幼圆" w:hint="eastAsia"/>
        </w:rPr>
      </w:pPr>
      <w:bookmarkStart w:id="5" w:name="_Toc67928882"/>
      <w:bookmarkStart w:id="6" w:name="_Toc71564888"/>
      <w:bookmarkStart w:id="7" w:name="_Toc67584051"/>
      <w:bookmarkStart w:id="8" w:name="_Toc31565"/>
      <w:r>
        <w:rPr>
          <w:rFonts w:ascii="幼圆" w:eastAsia="幼圆" w:hAnsi="幼圆" w:cs="幼圆" w:hint="eastAsia"/>
        </w:rPr>
        <w:t>(一)EVA模型的理论</w:t>
      </w:r>
      <w:bookmarkEnd w:id="5"/>
      <w:bookmarkEnd w:id="6"/>
      <w:bookmarkEnd w:id="7"/>
      <w:bookmarkEnd w:id="8"/>
    </w:p>
    <w:p>
      <w:pPr>
        <w:ind w:firstLine="480"/>
        <w:rPr>
          <w:rFonts w:ascii="幼圆" w:eastAsia="幼圆" w:hAnsi="幼圆" w:cs="幼圆" w:hint="eastAsia"/>
          <w:kern w:val="0"/>
          <w:szCs w:val="24"/>
        </w:rPr>
      </w:pPr>
      <w:r>
        <w:rPr>
          <w:rFonts w:ascii="幼圆" w:eastAsia="幼圆" w:hAnsi="幼圆" w:cs="幼圆" w:hint="eastAsia"/>
          <w:kern w:val="0"/>
          <w:szCs w:val="24"/>
        </w:rPr>
        <w:t xml:space="preserve">EVA模型于20世纪90年代初来源于剩余价值理论，由美国的Sittens Financial Consulting Company提出。EVA是公司评估当年的价值增值。该指标是调整后的税后净利润与资本成本间的差额。 </w:t>
      </w:r>
    </w:p>
    <w:p>
      <w:pPr>
        <w:pStyle w:val="Subtitle"/>
        <w:spacing w:before="158" w:after="158" w:line="240" w:lineRule="auto"/>
        <w:rPr>
          <w:rFonts w:ascii="幼圆" w:eastAsia="幼圆" w:hAnsi="幼圆" w:cs="幼圆" w:hint="eastAsia"/>
        </w:rPr>
      </w:pPr>
      <w:bookmarkStart w:id="9" w:name="_Toc71564889"/>
      <w:bookmarkStart w:id="10" w:name="_Toc67584052"/>
      <w:bookmarkStart w:id="11" w:name="_Toc15628"/>
      <w:bookmarkStart w:id="12" w:name="_Toc67928883"/>
      <w:r>
        <w:rPr>
          <w:rFonts w:ascii="幼圆" w:eastAsia="幼圆" w:hAnsi="幼圆" w:cs="幼圆" w:hint="eastAsia"/>
        </w:rPr>
        <w:t>（二）EVA价值评估模型</w:t>
      </w:r>
      <w:bookmarkEnd w:id="9"/>
      <w:bookmarkEnd w:id="10"/>
      <w:bookmarkEnd w:id="11"/>
      <w:bookmarkEnd w:id="12"/>
      <w:bookmarkStart w:id="13" w:name="_Toc67928884"/>
      <w:bookmarkStart w:id="14" w:name="_Toc67584053"/>
    </w:p>
    <w:p>
      <w:pPr>
        <w:pStyle w:val="Heading3"/>
        <w:spacing w:before="158" w:beforeLines="50" w:after="158" w:afterLines="50" w:line="480" w:lineRule="auto"/>
        <w:ind w:firstLine="482"/>
        <w:rPr>
          <w:rFonts w:ascii="幼圆" w:eastAsia="幼圆" w:hAnsi="幼圆" w:cs="幼圆" w:hint="eastAsia"/>
          <w:sz w:val="24"/>
          <w:szCs w:val="28"/>
        </w:rPr>
      </w:pPr>
      <w:bookmarkStart w:id="15" w:name="_Toc30283"/>
      <w:bookmarkStart w:id="16" w:name="_Toc71564890"/>
      <w:r>
        <w:rPr>
          <w:rFonts w:ascii="幼圆" w:eastAsia="幼圆" w:hAnsi="幼圆" w:cs="幼圆" w:hint="eastAsia"/>
          <w:sz w:val="24"/>
        </w:rPr>
        <w:t>1.EVA的计算</w:t>
      </w:r>
      <w:bookmarkEnd w:id="13"/>
      <w:bookmarkEnd w:id="14"/>
      <w:bookmarkEnd w:id="15"/>
      <w:bookmarkEnd w:id="16"/>
    </w:p>
    <w:p>
      <w:pPr>
        <w:ind w:firstLine="480"/>
        <w:rPr>
          <w:rFonts w:ascii="幼圆" w:eastAsia="幼圆" w:hAnsi="幼圆" w:cs="幼圆" w:hint="eastAsia"/>
          <w:kern w:val="0"/>
          <w:szCs w:val="24"/>
        </w:rPr>
      </w:pPr>
      <w:r>
        <w:rPr>
          <w:rFonts w:ascii="幼圆" w:eastAsia="幼圆" w:hAnsi="幼圆" w:cs="幼圆" w:hint="eastAsia"/>
          <w:kern w:val="0"/>
          <w:szCs w:val="24"/>
        </w:rPr>
        <w:t>EVA=NOPAT(调整后的税后净营业利润)-TC(调整后的资产总额)*WACC（调整后的加权平均资本成本）</w:t>
      </w:r>
    </w:p>
    <w:p>
      <w:pPr>
        <w:ind w:firstLine="0" w:firstLineChars="0"/>
        <w:jc w:val="right"/>
        <w:rPr>
          <w:rFonts w:ascii="幼圆" w:eastAsia="幼圆" w:hAnsi="幼圆" w:cs="幼圆" w:hint="eastAsia"/>
          <w:b/>
          <w:sz w:val="21"/>
          <w:szCs w:val="24"/>
        </w:rPr>
      </w:pPr>
      <w:r>
        <w:rPr>
          <w:rFonts w:ascii="幼圆" w:eastAsia="幼圆" w:hAnsi="幼圆" w:cs="幼圆" w:hint="eastAsia"/>
          <w:b/>
          <w:sz w:val="21"/>
          <w:szCs w:val="24"/>
        </w:rPr>
        <w:t>（1）</w:t>
      </w:r>
    </w:p>
    <w:p>
      <w:pPr>
        <w:pStyle w:val="Heading3"/>
        <w:spacing w:before="158" w:beforeLines="50" w:after="158" w:afterLines="50" w:line="480" w:lineRule="auto"/>
        <w:ind w:firstLine="482"/>
        <w:rPr>
          <w:rFonts w:ascii="幼圆" w:eastAsia="幼圆" w:hAnsi="幼圆" w:cs="幼圆" w:hint="eastAsia"/>
          <w:sz w:val="24"/>
        </w:rPr>
      </w:pPr>
      <w:bookmarkStart w:id="17" w:name="_Toc67584054"/>
      <w:bookmarkStart w:id="18" w:name="_Toc19526"/>
      <w:bookmarkStart w:id="19" w:name="_Toc67928885"/>
      <w:bookmarkStart w:id="20" w:name="_Toc71564891"/>
      <w:r>
        <w:rPr>
          <w:rFonts w:ascii="幼圆" w:eastAsia="幼圆" w:hAnsi="幼圆" w:cs="幼圆" w:hint="eastAsia"/>
          <w:sz w:val="24"/>
        </w:rPr>
        <w:t>2.EVA评估模型</w:t>
      </w:r>
      <w:bookmarkEnd w:id="17"/>
      <w:bookmarkEnd w:id="18"/>
      <w:bookmarkEnd w:id="19"/>
      <w:bookmarkEnd w:id="20"/>
    </w:p>
    <w:p>
      <w:pPr>
        <w:ind w:firstLine="480"/>
        <w:rPr>
          <w:rFonts w:ascii="幼圆" w:eastAsia="幼圆" w:hAnsi="幼圆" w:cs="幼圆" w:hint="eastAsia"/>
          <w:kern w:val="0"/>
          <w:szCs w:val="24"/>
        </w:rPr>
        <w:sectPr>
          <w:headerReference w:type="default" r:id="rId12"/>
          <w:footerReference w:type="default" r:id="rId13"/>
          <w:footnotePr>
            <w:numFmt w:val="decimalEnclosedCircleChinese"/>
          </w:footnotePr>
          <w:pgSz w:w="11906" w:h="16838"/>
          <w:pgMar w:top="2551" w:right="1417" w:bottom="2268" w:left="1984" w:header="907" w:footer="992" w:gutter="0"/>
          <w:pgNumType w:start="1"/>
          <w:cols w:num="1" w:space="720"/>
          <w:docGrid w:type="lines" w:linePitch="316" w:charSpace="0"/>
        </w:sectPr>
      </w:pPr>
      <w:r>
        <w:rPr>
          <w:rFonts w:ascii="幼圆" w:eastAsia="幼圆" w:hAnsi="幼圆" w:cs="幼圆" w:hint="eastAsia"/>
          <w:kern w:val="0"/>
          <w:szCs w:val="24"/>
        </w:rPr>
        <w:t>使用EVA的前提为企业一直经营，宏观环境且公司经营结构不变。实际上，公司在经营过程中并不能保持稳定的增长。因此，单阶段评估模型对实际的电子商务公司价值估值并不适用。在两阶段估值模型中，企业前期处在高速增长期，后期是稳健增长期。结合自身状况以及宏观环境，南极电子商务使用 EVA两阶段模型。</w:t>
      </w:r>
    </w:p>
    <w:p>
      <w:pPr>
        <w:ind w:firstLine="480"/>
        <w:rPr>
          <w:rFonts w:ascii="幼圆" w:eastAsia="幼圆" w:hAnsi="幼圆" w:cs="幼圆" w:hint="eastAsia"/>
          <w:kern w:val="0"/>
          <w:szCs w:val="24"/>
        </w:rPr>
      </w:pPr>
      <w:r>
        <w:rPr>
          <w:rFonts w:ascii="幼圆" w:eastAsia="幼圆" w:hAnsi="幼圆" w:cs="幼圆" w:hint="eastAsia"/>
          <w:kern w:val="0"/>
          <w:szCs w:val="24"/>
        </w:rPr>
        <w:t>企业价值的计算公式：</w:t>
      </w:r>
    </w:p>
    <w:p>
      <w:pPr>
        <w:spacing w:line="240" w:lineRule="auto"/>
        <w:ind w:firstLine="480"/>
        <w:jc w:val="center"/>
        <w:rPr>
          <w:rFonts w:ascii="幼圆" w:eastAsia="幼圆" w:hAnsi="幼圆" w:cs="幼圆" w:hint="eastAsia"/>
          <w:szCs w:val="24"/>
        </w:rPr>
      </w:pPr>
      <w:r>
        <w:rPr>
          <w:rFonts w:ascii="幼圆" w:eastAsia="幼圆" w:hAnsi="幼圆" w:cs="幼圆" w:hint="eastAsia"/>
          <w:szCs w:val="24"/>
        </w:rPr>
        <w:t>V=TC+</w:t>
      </w:r>
      <m:oMath>
        <m:sSub>
          <m:sSubPr>
            <m:ctrlPr>
              <w:rPr>
                <w:rFonts w:ascii="Cambria Math" w:eastAsia="幼圆" w:hAnsi="Cambria Math" w:cs="幼圆" w:hint="eastAsia"/>
                <w:szCs w:val="24"/>
              </w:rPr>
            </m:ctrlPr>
          </m:sSubPr>
          <m:e>
            <m:ctrlPr>
              <w:rPr>
                <w:rFonts w:ascii="Cambria Math" w:eastAsia="幼圆" w:hAnsi="Cambria Math" w:cs="幼圆" w:hint="eastAsia"/>
                <w:szCs w:val="24"/>
              </w:rPr>
            </m:ctrlPr>
            <m:r>
              <w:rPr>
                <w:rFonts w:ascii="Cambria Math" w:eastAsia="幼圆" w:hAnsi="Cambria Math" w:cs="幼圆" w:hint="eastAsia"/>
                <w:szCs w:val="24"/>
              </w:rPr>
              <m:t>EVA</m:t>
            </m:r>
          </m:e>
          <m:sub>
            <m:ctrlPr>
              <w:rPr>
                <w:rFonts w:ascii="Cambria Math" w:eastAsia="幼圆" w:hAnsi="Cambria Math" w:cs="幼圆" w:hint="eastAsia"/>
                <w:szCs w:val="24"/>
              </w:rPr>
            </m:ctrlPr>
            <m:r>
              <w:rPr>
                <w:rFonts w:ascii="Cambria Math" w:eastAsia="幼圆" w:hAnsi="Cambria Math" w:cs="幼圆" w:hint="eastAsia"/>
                <w:szCs w:val="24"/>
              </w:rPr>
              <m:t>高速现值</m:t>
            </m:r>
          </m:sub>
        </m:sSub>
      </m:oMath>
      <w:r>
        <w:rPr>
          <w:rFonts w:ascii="幼圆" w:eastAsia="幼圆" w:hAnsi="幼圆" w:cs="幼圆" w:hint="eastAsia"/>
          <w:szCs w:val="24"/>
        </w:rPr>
        <w:t>+</w:t>
      </w:r>
      <m:oMath>
        <m:sSub>
          <m:sSubPr>
            <m:ctrlPr>
              <w:rPr>
                <w:rFonts w:ascii="Cambria Math" w:eastAsia="幼圆" w:hAnsi="Cambria Math" w:cs="幼圆" w:hint="eastAsia"/>
                <w:szCs w:val="24"/>
              </w:rPr>
            </m:ctrlPr>
          </m:sSubPr>
          <m:e>
            <m:ctrlPr>
              <w:rPr>
                <w:rFonts w:ascii="Cambria Math" w:eastAsia="幼圆" w:hAnsi="Cambria Math" w:cs="幼圆" w:hint="eastAsia"/>
                <w:szCs w:val="24"/>
              </w:rPr>
            </m:ctrlPr>
            <m:r>
              <w:rPr>
                <w:rFonts w:ascii="Cambria Math" w:eastAsia="幼圆" w:hAnsi="Cambria Math" w:cs="幼圆" w:hint="eastAsia"/>
                <w:szCs w:val="24"/>
              </w:rPr>
              <m:t>EVA</m:t>
            </m:r>
          </m:e>
          <m:sub>
            <m:ctrlPr>
              <w:rPr>
                <w:rFonts w:ascii="Cambria Math" w:eastAsia="幼圆" w:hAnsi="Cambria Math" w:cs="幼圆" w:hint="eastAsia"/>
                <w:szCs w:val="24"/>
              </w:rPr>
            </m:ctrlPr>
            <m:r>
              <w:rPr>
                <w:rFonts w:ascii="Cambria Math" w:eastAsia="幼圆" w:hAnsi="Cambria Math" w:cs="幼圆" w:hint="eastAsia"/>
                <w:szCs w:val="24"/>
              </w:rPr>
              <m:t>稳定现值</m:t>
            </m:r>
          </m:sub>
        </m:sSub>
      </m:oMath>
    </w:p>
    <w:p>
      <w:pPr>
        <w:spacing w:line="240" w:lineRule="auto"/>
        <w:ind w:firstLine="480"/>
        <w:jc w:val="center"/>
        <w:rPr>
          <w:rFonts w:ascii="幼圆" w:eastAsia="幼圆" w:hAnsi="幼圆" w:cs="幼圆" w:hint="eastAsia"/>
          <w:szCs w:val="24"/>
        </w:rPr>
      </w:pPr>
      <w:r>
        <w:rPr>
          <w:rFonts w:ascii="幼圆" w:eastAsia="幼圆" w:hAnsi="幼圆" w:cs="幼圆" w:hint="eastAsia"/>
          <w:szCs w:val="24"/>
        </w:rPr>
        <w:t>=TC+</w:t>
      </w:r>
      <m:oMath>
        <m:nary>
          <m:naryPr>
            <m:chr m:val="∑"/>
            <m:limLoc m:val="undOvr"/>
            <m:ctrlPr>
              <w:rPr>
                <w:rFonts w:ascii="Cambria Math" w:eastAsia="幼圆" w:hAnsi="Cambria Math" w:cs="幼圆" w:hint="eastAsia"/>
                <w:szCs w:val="24"/>
              </w:rPr>
            </m:ctrlPr>
          </m:naryPr>
          <m:sub>
            <m:ctrlPr>
              <w:rPr>
                <w:rFonts w:ascii="Cambria Math" w:eastAsia="幼圆" w:hAnsi="Cambria Math" w:cs="幼圆" w:hint="eastAsia"/>
                <w:szCs w:val="24"/>
              </w:rPr>
            </m:ctrlPr>
            <m:r>
              <w:rPr>
                <w:rFonts w:ascii="Cambria Math" w:eastAsia="幼圆" w:hAnsi="Cambria Math" w:cs="幼圆" w:hint="eastAsia"/>
                <w:szCs w:val="24"/>
              </w:rPr>
              <m:t>i=1</m:t>
            </m:r>
          </m:sub>
          <m:sup>
            <m:ctrlPr>
              <w:rPr>
                <w:rFonts w:ascii="Cambria Math" w:eastAsia="幼圆" w:hAnsi="Cambria Math" w:cs="幼圆" w:hint="eastAsia"/>
                <w:szCs w:val="24"/>
              </w:rPr>
            </m:ctrlPr>
            <m:r>
              <w:rPr>
                <w:rFonts w:ascii="Cambria Math" w:eastAsia="幼圆" w:hAnsi="Cambria Math" w:cs="幼圆" w:hint="eastAsia"/>
                <w:szCs w:val="24"/>
              </w:rPr>
              <m:t>∞</m:t>
            </m:r>
          </m:sup>
          <m:e>
            <m:ctrlPr>
              <w:rPr>
                <w:rFonts w:ascii="Cambria Math" w:eastAsia="幼圆" w:hAnsi="Cambria Math" w:cs="幼圆" w:hint="eastAsia"/>
                <w:szCs w:val="24"/>
              </w:rPr>
            </m:ctrlPr>
            <m:f>
              <m:fPr>
                <m:ctrlPr>
                  <w:rPr>
                    <w:rFonts w:ascii="Cambria Math" w:eastAsia="幼圆" w:hAnsi="Cambria Math" w:cs="幼圆" w:hint="eastAsia"/>
                    <w:i/>
                    <w:szCs w:val="24"/>
                  </w:rPr>
                </m:ctrlPr>
              </m:fPr>
              <m:num>
                <m:ctrlPr>
                  <w:rPr>
                    <w:rFonts w:ascii="Cambria Math" w:eastAsia="幼圆" w:hAnsi="Cambria Math" w:cs="幼圆" w:hint="eastAsia"/>
                    <w:i/>
                    <w:szCs w:val="24"/>
                  </w:rPr>
                </m:ctrlPr>
                <m:sSub>
                  <m:sSubPr>
                    <m:ctrlPr>
                      <w:rPr>
                        <w:rFonts w:ascii="Cambria Math" w:eastAsia="幼圆" w:hAnsi="Cambria Math" w:cs="幼圆" w:hint="eastAsia"/>
                        <w:i/>
                        <w:szCs w:val="24"/>
                      </w:rPr>
                    </m:ctrlPr>
                  </m:sSubPr>
                  <m:e>
                    <m:ctrlPr>
                      <w:rPr>
                        <w:rFonts w:ascii="Cambria Math" w:eastAsia="幼圆" w:hAnsi="Cambria Math" w:cs="幼圆" w:hint="eastAsia"/>
                        <w:i/>
                        <w:szCs w:val="24"/>
                      </w:rPr>
                    </m:ctrlPr>
                    <m:r>
                      <w:rPr>
                        <w:rFonts w:ascii="Cambria Math" w:eastAsia="幼圆" w:hAnsi="Cambria Math" w:cs="幼圆" w:hint="eastAsia"/>
                        <w:szCs w:val="24"/>
                      </w:rPr>
                      <m:t>EVA</m:t>
                    </m:r>
                  </m:e>
                  <m:sub>
                    <m:ctrlPr>
                      <w:rPr>
                        <w:rFonts w:ascii="Cambria Math" w:eastAsia="幼圆" w:hAnsi="Cambria Math" w:cs="幼圆" w:hint="eastAsia"/>
                        <w:i/>
                        <w:szCs w:val="24"/>
                      </w:rPr>
                    </m:ctrlPr>
                    <m:r>
                      <w:rPr>
                        <w:rFonts w:ascii="Cambria Math" w:eastAsia="幼圆" w:hAnsi="Cambria Math" w:cs="幼圆" w:hint="eastAsia"/>
                        <w:szCs w:val="24"/>
                      </w:rPr>
                      <m:t>i</m:t>
                    </m:r>
                  </m:sub>
                </m:sSub>
              </m:num>
              <m:den>
                <m:ctrlPr>
                  <w:rPr>
                    <w:rFonts w:ascii="Cambria Math" w:eastAsia="幼圆" w:hAnsi="Cambria Math" w:cs="幼圆" w:hint="eastAsia"/>
                    <w:i/>
                    <w:szCs w:val="24"/>
                  </w:rPr>
                </m:ctrlPr>
                <m:sSup>
                  <m:sSupPr>
                    <m:ctrlPr>
                      <w:rPr>
                        <w:rFonts w:ascii="Cambria Math" w:eastAsia="幼圆" w:hAnsi="Cambria Math" w:cs="幼圆" w:hint="eastAsia"/>
                        <w:i/>
                        <w:szCs w:val="24"/>
                      </w:rPr>
                    </m:ctrlPr>
                  </m:sSupPr>
                  <m:e>
                    <m:ctrlPr>
                      <w:rPr>
                        <w:rFonts w:ascii="Cambria Math" w:eastAsia="幼圆" w:hAnsi="Cambria Math" w:cs="幼圆" w:hint="eastAsia"/>
                        <w:i/>
                        <w:szCs w:val="24"/>
                      </w:rPr>
                    </m:ctrlPr>
                    <m:r>
                      <w:rPr>
                        <w:rFonts w:ascii="Cambria Math" w:eastAsia="幼圆" w:hAnsi="Cambria Math" w:cs="幼圆" w:hint="eastAsia"/>
                        <w:szCs w:val="24"/>
                      </w:rPr>
                      <m:t>(1+WACC)</m:t>
                    </m:r>
                  </m:e>
                  <m:sup>
                    <m:ctrlPr>
                      <w:rPr>
                        <w:rFonts w:ascii="Cambria Math" w:eastAsia="幼圆" w:hAnsi="Cambria Math" w:cs="幼圆" w:hint="eastAsia"/>
                        <w:i/>
                        <w:szCs w:val="24"/>
                      </w:rPr>
                    </m:ctrlPr>
                    <m:r>
                      <w:rPr>
                        <w:rFonts w:ascii="Cambria Math" w:eastAsia="幼圆" w:hAnsi="Cambria Math" w:cs="幼圆" w:hint="eastAsia"/>
                        <w:szCs w:val="24"/>
                      </w:rPr>
                      <m:t>i</m:t>
                    </m:r>
                  </m:sup>
                </m:sSup>
              </m:den>
            </m:f>
          </m:e>
        </m:nary>
      </m:oMath>
      <w:r>
        <w:rPr>
          <w:rFonts w:ascii="幼圆" w:eastAsia="幼圆" w:hAnsi="幼圆" w:cs="幼圆" w:hint="eastAsia"/>
          <w:szCs w:val="24"/>
        </w:rPr>
        <w:t>+</w:t>
      </w:r>
      <m:oMath>
        <m:f>
          <m:fPr>
            <m:ctrlPr>
              <w:rPr>
                <w:rFonts w:ascii="Cambria Math" w:eastAsia="幼圆" w:hAnsi="Cambria Math" w:cs="幼圆" w:hint="eastAsia"/>
                <w:szCs w:val="24"/>
              </w:rPr>
            </m:ctrlPr>
          </m:fPr>
          <m:num>
            <m:ctrlPr>
              <w:rPr>
                <w:rFonts w:ascii="Cambria Math" w:eastAsia="幼圆" w:hAnsi="Cambria Math" w:cs="幼圆" w:hint="eastAsia"/>
                <w:szCs w:val="24"/>
              </w:rPr>
            </m:ctrlPr>
            <m:sSub>
              <m:sSubPr>
                <m:ctrlPr>
                  <w:rPr>
                    <w:rFonts w:ascii="Cambria Math" w:eastAsia="幼圆" w:hAnsi="Cambria Math" w:cs="幼圆" w:hint="eastAsia"/>
                    <w:i/>
                    <w:szCs w:val="24"/>
                  </w:rPr>
                </m:ctrlPr>
              </m:sSubPr>
              <m:e>
                <m:ctrlPr>
                  <w:rPr>
                    <w:rFonts w:ascii="Cambria Math" w:eastAsia="幼圆" w:hAnsi="Cambria Math" w:cs="幼圆" w:hint="eastAsia"/>
                    <w:i/>
                    <w:szCs w:val="24"/>
                  </w:rPr>
                </m:ctrlPr>
                <m:r>
                  <w:rPr>
                    <w:rFonts w:ascii="Cambria Math" w:eastAsia="幼圆" w:hAnsi="Cambria Math" w:cs="幼圆" w:hint="eastAsia"/>
                    <w:szCs w:val="24"/>
                  </w:rPr>
                  <m:t>EVA</m:t>
                </m:r>
              </m:e>
              <m:sub>
                <m:ctrlPr>
                  <w:rPr>
                    <w:rFonts w:ascii="Cambria Math" w:eastAsia="幼圆" w:hAnsi="Cambria Math" w:cs="幼圆" w:hint="eastAsia"/>
                    <w:i/>
                    <w:szCs w:val="24"/>
                  </w:rPr>
                </m:ctrlPr>
                <m:r>
                  <w:rPr>
                    <w:rFonts w:ascii="Cambria Math" w:eastAsia="幼圆" w:hAnsi="Cambria Math" w:cs="幼圆" w:hint="eastAsia"/>
                    <w:szCs w:val="24"/>
                  </w:rPr>
                  <m:t>n+1</m:t>
                </m:r>
              </m:sub>
            </m:sSub>
          </m:num>
          <m:den>
            <m:ctrlPr>
              <w:rPr>
                <w:rFonts w:ascii="Cambria Math" w:eastAsia="幼圆" w:hAnsi="Cambria Math" w:cs="幼圆" w:hint="eastAsia"/>
                <w:szCs w:val="24"/>
              </w:rPr>
            </m:ctrlPr>
            <m:sSup>
              <m:sSupPr>
                <m:ctrlPr>
                  <w:rPr>
                    <w:rFonts w:ascii="Cambria Math" w:eastAsia="幼圆" w:hAnsi="Cambria Math" w:cs="幼圆" w:hint="eastAsia"/>
                    <w:i/>
                    <w:szCs w:val="24"/>
                  </w:rPr>
                </m:ctrlPr>
              </m:sSupPr>
              <m:e>
                <m:ctrlPr>
                  <w:rPr>
                    <w:rFonts w:ascii="Cambria Math" w:eastAsia="幼圆" w:hAnsi="Cambria Math" w:cs="幼圆" w:hint="eastAsia"/>
                    <w:i/>
                    <w:szCs w:val="24"/>
                  </w:rPr>
                </m:ctrlPr>
                <m:d>
                  <m:dPr>
                    <m:ctrlPr>
                      <w:rPr>
                        <w:rFonts w:ascii="Cambria Math" w:eastAsia="幼圆" w:hAnsi="Cambria Math" w:cs="幼圆" w:hint="eastAsia"/>
                        <w:i/>
                        <w:szCs w:val="24"/>
                      </w:rPr>
                    </m:ctrlPr>
                  </m:dPr>
                  <m:e>
                    <m:ctrlPr>
                      <w:rPr>
                        <w:rFonts w:ascii="Cambria Math" w:eastAsia="幼圆" w:hAnsi="Cambria Math" w:cs="幼圆" w:hint="eastAsia"/>
                        <w:i/>
                        <w:szCs w:val="24"/>
                      </w:rPr>
                    </m:ctrlPr>
                    <m:r>
                      <w:rPr>
                        <w:rFonts w:ascii="Cambria Math" w:eastAsia="幼圆" w:hAnsi="Cambria Math" w:cs="幼圆" w:hint="eastAsia"/>
                        <w:szCs w:val="24"/>
                      </w:rPr>
                      <m:t>1+WACC</m:t>
                    </m:r>
                  </m:e>
                </m:d>
              </m:e>
              <m:sup>
                <m:ctrlPr>
                  <w:rPr>
                    <w:rFonts w:ascii="Cambria Math" w:eastAsia="幼圆" w:hAnsi="Cambria Math" w:cs="幼圆" w:hint="eastAsia"/>
                    <w:i/>
                    <w:szCs w:val="24"/>
                  </w:rPr>
                </m:ctrlPr>
                <m:r>
                  <w:rPr>
                    <w:rFonts w:ascii="Cambria Math" w:eastAsia="幼圆" w:hAnsi="Cambria Math" w:cs="幼圆" w:hint="eastAsia"/>
                    <w:szCs w:val="24"/>
                  </w:rPr>
                  <m:t>n</m:t>
                </m:r>
              </m:sup>
            </m:sSup>
            <m:r>
              <w:rPr>
                <w:rFonts w:ascii="Cambria Math" w:eastAsia="幼圆" w:hAnsi="Cambria Math" w:cs="幼圆" w:hint="eastAsia"/>
                <w:szCs w:val="24"/>
              </w:rPr>
              <m:t>(WACC−g)</m:t>
            </m:r>
          </m:den>
        </m:f>
      </m:oMath>
    </w:p>
    <w:p>
      <w:pPr>
        <w:ind w:firstLine="0" w:firstLineChars="0"/>
        <w:jc w:val="right"/>
        <w:rPr>
          <w:rFonts w:ascii="幼圆" w:eastAsia="幼圆" w:hAnsi="幼圆" w:cs="幼圆" w:hint="eastAsia"/>
          <w:b/>
          <w:sz w:val="21"/>
          <w:szCs w:val="24"/>
        </w:rPr>
      </w:pPr>
      <w:r>
        <w:rPr>
          <w:rFonts w:ascii="幼圆" w:eastAsia="幼圆" w:hAnsi="幼圆" w:cs="幼圆" w:hint="eastAsia"/>
          <w:b/>
          <w:sz w:val="21"/>
          <w:szCs w:val="24"/>
        </w:rPr>
        <w:t>（2）</w:t>
      </w:r>
    </w:p>
    <w:p>
      <w:pPr>
        <w:pStyle w:val="Subtitle"/>
        <w:spacing w:before="158" w:after="158" w:line="240" w:lineRule="auto"/>
        <w:rPr>
          <w:rFonts w:ascii="幼圆" w:eastAsia="幼圆" w:hAnsi="幼圆" w:cs="幼圆" w:hint="eastAsia"/>
        </w:rPr>
      </w:pPr>
      <w:bookmarkStart w:id="21" w:name="_Toc71564892"/>
      <w:bookmarkStart w:id="22" w:name="_Toc67584055"/>
      <w:bookmarkStart w:id="23" w:name="_Toc3488"/>
      <w:bookmarkStart w:id="24" w:name="_Toc67928886"/>
      <w:r>
        <w:rPr>
          <w:rFonts w:ascii="幼圆" w:eastAsia="幼圆" w:hAnsi="幼圆" w:cs="幼圆" w:hint="eastAsia"/>
        </w:rPr>
        <w:t>（三）EVA模型会计指标的调整</w:t>
      </w:r>
      <w:bookmarkEnd w:id="21"/>
      <w:bookmarkEnd w:id="22"/>
      <w:bookmarkEnd w:id="23"/>
      <w:bookmarkEnd w:id="24"/>
    </w:p>
    <w:p>
      <w:pPr>
        <w:ind w:firstLine="480"/>
        <w:rPr>
          <w:rFonts w:ascii="幼圆" w:eastAsia="幼圆" w:hAnsi="幼圆" w:cs="幼圆" w:hint="eastAsia"/>
          <w:kern w:val="0"/>
          <w:szCs w:val="24"/>
        </w:rPr>
      </w:pPr>
      <w:r>
        <w:rPr>
          <w:rFonts w:ascii="幼圆" w:eastAsia="幼圆" w:hAnsi="幼圆" w:cs="幼圆" w:hint="eastAsia"/>
          <w:kern w:val="0"/>
          <w:szCs w:val="24"/>
        </w:rPr>
        <w:t>由上述公式</w:t>
      </w:r>
      <w:r>
        <w:rPr>
          <w:rFonts w:ascii="幼圆" w:eastAsia="幼圆" w:hAnsi="幼圆" w:cs="幼圆" w:hint="eastAsia"/>
          <w:kern w:val="0"/>
          <w:szCs w:val="24"/>
        </w:rPr>
        <w:t>（1）</w:t>
      </w:r>
      <w:r>
        <w:rPr>
          <w:rFonts w:ascii="幼圆" w:eastAsia="幼圆" w:hAnsi="幼圆" w:cs="幼圆" w:hint="eastAsia"/>
          <w:kern w:val="0"/>
          <w:szCs w:val="24"/>
        </w:rPr>
        <w:t>得到，调整后的税后净营业利润、调整后的加权平均资本成本和调整后的资产总额共同影响EVA，因此下文对公式中各项进行说明。</w:t>
      </w:r>
    </w:p>
    <w:p>
      <w:pPr>
        <w:pStyle w:val="Heading3"/>
        <w:spacing w:before="158" w:beforeLines="50" w:after="158" w:afterLines="50" w:line="480" w:lineRule="auto"/>
        <w:ind w:firstLine="482"/>
        <w:rPr>
          <w:rFonts w:ascii="幼圆" w:eastAsia="幼圆" w:hAnsi="幼圆" w:cs="幼圆" w:hint="eastAsia"/>
          <w:sz w:val="24"/>
        </w:rPr>
      </w:pPr>
      <w:bookmarkStart w:id="25" w:name="_Toc71564893"/>
      <w:bookmarkStart w:id="26" w:name="_Toc67584056"/>
      <w:bookmarkStart w:id="27" w:name="_Toc26212"/>
      <w:bookmarkStart w:id="28" w:name="_Toc67928887"/>
      <w:r>
        <w:rPr>
          <w:rFonts w:ascii="幼圆" w:eastAsia="幼圆" w:hAnsi="幼圆" w:cs="幼圆" w:hint="eastAsia"/>
          <w:sz w:val="24"/>
        </w:rPr>
        <w:t>1.税后净营业利润（NOPAT）的调整</w:t>
      </w:r>
      <w:bookmarkEnd w:id="25"/>
      <w:bookmarkEnd w:id="26"/>
      <w:bookmarkEnd w:id="27"/>
      <w:bookmarkEnd w:id="28"/>
    </w:p>
    <w:p>
      <w:pPr>
        <w:ind w:firstLine="0" w:firstLineChars="0"/>
        <w:jc w:val="center"/>
        <w:rPr>
          <w:rFonts w:ascii="幼圆" w:eastAsia="幼圆" w:hAnsi="幼圆" w:cs="幼圆" w:hint="eastAsia"/>
          <w:kern w:val="0"/>
          <w:szCs w:val="24"/>
        </w:rPr>
      </w:pPr>
      <w:r>
        <w:rPr>
          <w:rFonts w:ascii="幼圆" w:eastAsia="幼圆" w:hAnsi="幼圆" w:cs="幼圆" w:hint="eastAsia"/>
          <w:kern w:val="0"/>
          <w:szCs w:val="24"/>
        </w:rPr>
        <w:t>NOPAT=（净利润+所得税+利息）*（1-T）+研发费用资本化金额</w:t>
      </w:r>
    </w:p>
    <w:p>
      <w:pPr>
        <w:ind w:firstLine="0" w:firstLineChars="0"/>
        <w:jc w:val="center"/>
        <w:rPr>
          <w:rFonts w:ascii="幼圆" w:eastAsia="幼圆" w:hAnsi="幼圆" w:cs="幼圆" w:hint="eastAsia"/>
          <w:kern w:val="0"/>
          <w:szCs w:val="24"/>
        </w:rPr>
      </w:pPr>
      <w:r>
        <w:rPr>
          <w:rFonts w:ascii="幼圆" w:eastAsia="幼圆" w:hAnsi="幼圆" w:cs="幼圆" w:hint="eastAsia"/>
          <w:kern w:val="0"/>
          <w:szCs w:val="24"/>
        </w:rPr>
        <w:t>+少数股东权益-营业外收支*（1-T）+递延所得税贷方余额的增加</w:t>
      </w:r>
    </w:p>
    <w:p>
      <w:pPr>
        <w:ind w:firstLine="0" w:firstLineChars="0"/>
        <w:jc w:val="center"/>
        <w:rPr>
          <w:rFonts w:ascii="幼圆" w:eastAsia="幼圆" w:hAnsi="幼圆" w:cs="幼圆" w:hint="eastAsia"/>
          <w:kern w:val="0"/>
          <w:szCs w:val="24"/>
        </w:rPr>
      </w:pPr>
      <w:r>
        <w:rPr>
          <w:rFonts w:ascii="幼圆" w:eastAsia="幼圆" w:hAnsi="幼圆" w:cs="幼圆" w:hint="eastAsia"/>
          <w:kern w:val="0"/>
          <w:szCs w:val="24"/>
        </w:rPr>
        <w:t>-递延所得税借方余额的增加+本年计提的减值准备（或摊销）</w:t>
      </w:r>
    </w:p>
    <w:p>
      <w:pPr>
        <w:ind w:firstLine="0" w:firstLineChars="0"/>
        <w:jc w:val="center"/>
        <w:rPr>
          <w:rFonts w:ascii="幼圆" w:eastAsia="幼圆" w:hAnsi="幼圆" w:cs="幼圆" w:hint="eastAsia"/>
          <w:kern w:val="0"/>
          <w:szCs w:val="24"/>
        </w:rPr>
      </w:pPr>
      <w:r>
        <w:rPr>
          <w:rFonts w:ascii="幼圆" w:eastAsia="幼圆" w:hAnsi="幼圆" w:cs="幼圆" w:hint="eastAsia"/>
          <w:kern w:val="0"/>
          <w:szCs w:val="24"/>
        </w:rPr>
        <w:t>+本年新增的各项准备金</w:t>
      </w:r>
    </w:p>
    <w:p>
      <w:pPr>
        <w:ind w:firstLine="0" w:firstLineChars="0"/>
        <w:jc w:val="right"/>
        <w:rPr>
          <w:rFonts w:ascii="幼圆" w:eastAsia="幼圆" w:hAnsi="幼圆" w:cs="幼圆" w:hint="eastAsia"/>
          <w:b/>
          <w:sz w:val="21"/>
          <w:szCs w:val="24"/>
        </w:rPr>
      </w:pPr>
      <w:r>
        <w:rPr>
          <w:rFonts w:ascii="幼圆" w:eastAsia="幼圆" w:hAnsi="幼圆" w:cs="幼圆" w:hint="eastAsia"/>
          <w:b/>
          <w:sz w:val="21"/>
          <w:szCs w:val="24"/>
        </w:rPr>
        <w:t>（3）</w:t>
      </w:r>
    </w:p>
    <w:p>
      <w:pPr>
        <w:ind w:firstLine="480"/>
        <w:rPr>
          <w:rFonts w:ascii="幼圆" w:eastAsia="幼圆" w:hAnsi="幼圆" w:cs="幼圆" w:hint="eastAsia"/>
          <w:kern w:val="0"/>
          <w:szCs w:val="24"/>
        </w:rPr>
      </w:pPr>
      <w:r>
        <w:rPr>
          <w:rFonts w:ascii="幼圆" w:eastAsia="幼圆" w:hAnsi="幼圆" w:cs="幼圆" w:hint="eastAsia"/>
          <w:kern w:val="0"/>
          <w:szCs w:val="24"/>
        </w:rPr>
        <w:t>（1）研发费用的调整。一般来说，企业的研发支出不会在当期产生盈利，会在未来给公司价值增值。</w:t>
      </w:r>
    </w:p>
    <w:p>
      <w:pPr>
        <w:ind w:firstLine="480"/>
        <w:rPr>
          <w:rFonts w:ascii="幼圆" w:eastAsia="幼圆" w:hAnsi="幼圆" w:cs="幼圆" w:hint="eastAsia"/>
          <w:kern w:val="0"/>
          <w:szCs w:val="24"/>
        </w:rPr>
      </w:pPr>
      <w:r>
        <w:rPr>
          <w:rFonts w:ascii="幼圆" w:eastAsia="幼圆" w:hAnsi="幼圆" w:cs="幼圆" w:hint="eastAsia"/>
          <w:kern w:val="0"/>
          <w:szCs w:val="24"/>
        </w:rPr>
        <w:t>（2）营业外收入和支出。营业外收入和支出是偶然的，不会随着社会经济环境和企业经营调整发生较大变化。因此，EVA模型评估互联网+零售商的价值时，有必要对该科目进行调整。</w:t>
      </w:r>
    </w:p>
    <w:p>
      <w:pPr>
        <w:ind w:firstLine="480"/>
        <w:rPr>
          <w:rFonts w:ascii="幼圆" w:eastAsia="幼圆" w:hAnsi="幼圆" w:cs="幼圆" w:hint="eastAsia"/>
          <w:kern w:val="0"/>
          <w:szCs w:val="24"/>
        </w:rPr>
      </w:pPr>
      <w:r>
        <w:rPr>
          <w:rFonts w:ascii="幼圆" w:eastAsia="幼圆" w:hAnsi="幼圆" w:cs="幼圆" w:hint="eastAsia"/>
          <w:kern w:val="0"/>
          <w:szCs w:val="24"/>
        </w:rPr>
        <w:t xml:space="preserve">（3）递延所得税的处理与调整。在计算EVA时，认为企业的收入和支出由本期实际发生的税款决定，但是递延所得税实际并未发生，也不会影响公司的收入和支出。为了让评估更加精确，在计算 NOPAT调整此科目。 </w:t>
      </w:r>
    </w:p>
    <w:p>
      <w:pPr>
        <w:ind w:firstLine="480"/>
        <w:rPr>
          <w:rFonts w:ascii="幼圆" w:eastAsia="幼圆" w:hAnsi="幼圆" w:cs="幼圆" w:hint="eastAsia"/>
          <w:b/>
          <w:bCs/>
        </w:rPr>
        <w:sectPr>
          <w:headerReference w:type="default" r:id="rId14"/>
          <w:footerReference w:type="default" r:id="rId15"/>
          <w:footnotePr>
            <w:numFmt w:val="decimalEnclosedCircleChinese"/>
          </w:footnotePr>
          <w:type w:val="nextPage"/>
          <w:pgSz w:w="11906" w:h="16838"/>
          <w:pgMar w:top="2551" w:right="1417" w:bottom="2268" w:left="1984" w:header="907" w:footer="992" w:gutter="0"/>
          <w:pgNumType w:start="2"/>
          <w:cols w:num="1" w:space="720"/>
          <w:titlePg w:val="0"/>
          <w:docGrid w:type="lines" w:linePitch="316" w:charSpace="0"/>
        </w:sectPr>
      </w:pPr>
      <w:r>
        <w:rPr>
          <w:rFonts w:ascii="幼圆" w:eastAsia="幼圆" w:hAnsi="幼圆" w:cs="幼圆" w:hint="eastAsia"/>
          <w:kern w:val="0"/>
          <w:szCs w:val="24"/>
        </w:rPr>
        <w:t>（4）计提的各种减值准备。通常在公司正常运营中，会为公司的资产建立一定的减值准备，这部分准备可能不会发生。因此我们必须调整这部分值。</w:t>
      </w:r>
    </w:p>
    <w:p>
      <w:pPr>
        <w:pStyle w:val="Heading3"/>
        <w:spacing w:before="158" w:beforeLines="50" w:after="158" w:afterLines="50" w:line="480" w:lineRule="auto"/>
        <w:ind w:firstLine="482"/>
        <w:rPr>
          <w:rFonts w:ascii="幼圆" w:eastAsia="幼圆" w:hAnsi="幼圆" w:cs="幼圆" w:hint="eastAsia"/>
          <w:sz w:val="24"/>
        </w:rPr>
      </w:pPr>
      <w:bookmarkStart w:id="29" w:name="_Toc71564894"/>
      <w:bookmarkStart w:id="30" w:name="_Toc67584057"/>
      <w:bookmarkStart w:id="31" w:name="_Toc67928888"/>
      <w:bookmarkStart w:id="32" w:name="_Toc4498"/>
      <w:r>
        <w:rPr>
          <w:rFonts w:ascii="幼圆" w:eastAsia="幼圆" w:hAnsi="幼圆" w:cs="幼圆" w:hint="eastAsia"/>
          <w:sz w:val="24"/>
        </w:rPr>
        <w:t>2.资本总额（TC）的调整</w:t>
      </w:r>
      <w:bookmarkEnd w:id="29"/>
      <w:bookmarkEnd w:id="30"/>
      <w:bookmarkEnd w:id="31"/>
      <w:bookmarkEnd w:id="32"/>
    </w:p>
    <w:p>
      <w:pPr>
        <w:ind w:firstLine="0" w:firstLineChars="0"/>
        <w:jc w:val="center"/>
        <w:rPr>
          <w:rFonts w:ascii="幼圆" w:eastAsia="幼圆" w:hAnsi="幼圆" w:cs="幼圆" w:hint="eastAsia"/>
          <w:kern w:val="0"/>
          <w:szCs w:val="24"/>
        </w:rPr>
      </w:pPr>
      <w:r>
        <w:rPr>
          <w:rFonts w:ascii="幼圆" w:eastAsia="幼圆" w:hAnsi="幼圆" w:cs="幼圆" w:hint="eastAsia"/>
          <w:kern w:val="0"/>
          <w:szCs w:val="24"/>
        </w:rPr>
        <w:t>资本总额=一年内到期的长期借款+长期借款+短期借款+应付债券</w:t>
      </w:r>
    </w:p>
    <w:p>
      <w:pPr>
        <w:ind w:firstLine="0" w:firstLineChars="0"/>
        <w:jc w:val="center"/>
        <w:rPr>
          <w:rFonts w:ascii="幼圆" w:eastAsia="幼圆" w:hAnsi="幼圆" w:cs="幼圆" w:hint="eastAsia"/>
          <w:kern w:val="0"/>
          <w:szCs w:val="24"/>
        </w:rPr>
      </w:pPr>
      <w:r>
        <w:rPr>
          <w:rFonts w:ascii="幼圆" w:eastAsia="幼圆" w:hAnsi="幼圆" w:cs="幼圆" w:hint="eastAsia"/>
          <w:kern w:val="0"/>
          <w:szCs w:val="24"/>
        </w:rPr>
        <w:t>+研发费用资本化金额+各项减值（或摊销）+递延所得税贷方余额</w:t>
      </w:r>
    </w:p>
    <w:p>
      <w:pPr>
        <w:ind w:firstLine="0" w:firstLineChars="0"/>
        <w:jc w:val="center"/>
        <w:rPr>
          <w:rFonts w:ascii="幼圆" w:eastAsia="幼圆" w:hAnsi="幼圆" w:cs="幼圆" w:hint="eastAsia"/>
          <w:kern w:val="0"/>
          <w:szCs w:val="24"/>
        </w:rPr>
      </w:pPr>
      <w:r>
        <w:rPr>
          <w:rFonts w:ascii="幼圆" w:eastAsia="幼圆" w:hAnsi="幼圆" w:cs="幼圆" w:hint="eastAsia"/>
          <w:kern w:val="0"/>
          <w:szCs w:val="24"/>
        </w:rPr>
        <w:t>-递延所得税借方余额-营业外收支*（1-T）-在建工程净值</w:t>
      </w:r>
    </w:p>
    <w:p>
      <w:pPr>
        <w:ind w:firstLine="0" w:firstLineChars="0"/>
        <w:jc w:val="center"/>
        <w:rPr>
          <w:rFonts w:ascii="幼圆" w:eastAsia="幼圆" w:hAnsi="幼圆" w:cs="幼圆" w:hint="eastAsia"/>
          <w:kern w:val="0"/>
          <w:szCs w:val="24"/>
        </w:rPr>
      </w:pPr>
      <w:r>
        <w:rPr>
          <w:rFonts w:ascii="幼圆" w:eastAsia="幼圆" w:hAnsi="幼圆" w:cs="幼圆" w:hint="eastAsia"/>
          <w:kern w:val="0"/>
          <w:szCs w:val="24"/>
        </w:rPr>
        <w:t>+普通股权益+少数股东权益</w:t>
      </w:r>
    </w:p>
    <w:p>
      <w:pPr>
        <w:ind w:firstLine="0" w:firstLineChars="0"/>
        <w:jc w:val="right"/>
        <w:rPr>
          <w:rFonts w:ascii="幼圆" w:eastAsia="幼圆" w:hAnsi="幼圆" w:cs="幼圆" w:hint="eastAsia"/>
          <w:b/>
          <w:sz w:val="21"/>
          <w:szCs w:val="24"/>
        </w:rPr>
      </w:pPr>
      <w:r>
        <w:rPr>
          <w:rFonts w:ascii="幼圆" w:eastAsia="幼圆" w:hAnsi="幼圆" w:cs="幼圆" w:hint="eastAsia"/>
          <w:b/>
          <w:sz w:val="21"/>
          <w:szCs w:val="24"/>
        </w:rPr>
        <w:t>（4）</w:t>
      </w:r>
    </w:p>
    <w:p>
      <w:pPr>
        <w:ind w:firstLine="480"/>
        <w:rPr>
          <w:rFonts w:ascii="幼圆" w:eastAsia="幼圆" w:hAnsi="幼圆" w:cs="幼圆" w:hint="eastAsia"/>
          <w:kern w:val="0"/>
          <w:szCs w:val="24"/>
        </w:rPr>
      </w:pPr>
      <w:r>
        <w:rPr>
          <w:rFonts w:ascii="幼圆" w:eastAsia="幼圆" w:hAnsi="幼圆" w:cs="幼圆" w:hint="eastAsia"/>
          <w:kern w:val="0"/>
          <w:szCs w:val="24"/>
        </w:rPr>
        <w:t>（1）研发费用。会计报表计算中，一般情况本期的研发费用会被减掉。因此，电子商务公司用EVA进行评估，将研发费用资本化。</w:t>
      </w:r>
    </w:p>
    <w:p>
      <w:pPr>
        <w:ind w:firstLine="480"/>
        <w:rPr>
          <w:rFonts w:ascii="幼圆" w:eastAsia="幼圆" w:hAnsi="幼圆" w:cs="幼圆" w:hint="eastAsia"/>
          <w:kern w:val="0"/>
          <w:szCs w:val="24"/>
        </w:rPr>
      </w:pPr>
      <w:r>
        <w:rPr>
          <w:rFonts w:ascii="幼圆" w:eastAsia="幼圆" w:hAnsi="幼圆" w:cs="幼圆" w:hint="eastAsia"/>
          <w:kern w:val="0"/>
          <w:szCs w:val="24"/>
        </w:rPr>
        <w:t>（2）营业外收支。企业营业外收支具有非经常性，因此EVA估值模型测算出的最终价值不包括营业外收支，但会计处理中营业外收支包含在企业收入中，因此需要调整。</w:t>
      </w:r>
    </w:p>
    <w:p>
      <w:pPr>
        <w:pStyle w:val="Heading3"/>
        <w:spacing w:before="158" w:beforeLines="50" w:after="158" w:afterLines="50" w:line="480" w:lineRule="auto"/>
        <w:ind w:firstLine="482"/>
        <w:rPr>
          <w:rFonts w:ascii="幼圆" w:eastAsia="幼圆" w:hAnsi="幼圆" w:cs="幼圆" w:hint="eastAsia"/>
          <w:sz w:val="24"/>
        </w:rPr>
      </w:pPr>
      <w:bookmarkStart w:id="33" w:name="_Toc67928889"/>
      <w:bookmarkStart w:id="34" w:name="_Toc3019"/>
      <w:bookmarkStart w:id="35" w:name="_Toc71564895"/>
      <w:bookmarkStart w:id="36" w:name="_Toc67584058"/>
      <w:r>
        <w:rPr>
          <w:rFonts w:ascii="幼圆" w:eastAsia="幼圆" w:hAnsi="幼圆" w:cs="幼圆" w:hint="eastAsia"/>
          <w:sz w:val="24"/>
        </w:rPr>
        <w:t>3.加权平均资本成本（WACC）的调整</w:t>
      </w:r>
      <w:bookmarkEnd w:id="33"/>
      <w:bookmarkEnd w:id="34"/>
      <w:bookmarkEnd w:id="35"/>
      <w:bookmarkEnd w:id="36"/>
    </w:p>
    <w:p>
      <w:pPr>
        <w:ind w:firstLine="480"/>
        <w:rPr>
          <w:rFonts w:ascii="幼圆" w:eastAsia="幼圆" w:hAnsi="幼圆" w:cs="幼圆" w:hint="eastAsia"/>
          <w:kern w:val="0"/>
          <w:szCs w:val="24"/>
        </w:rPr>
      </w:pPr>
      <w:r>
        <w:rPr>
          <w:rFonts w:ascii="幼圆" w:eastAsia="幼圆" w:hAnsi="幼圆" w:cs="幼圆" w:hint="eastAsia"/>
          <w:kern w:val="0"/>
          <w:szCs w:val="24"/>
        </w:rPr>
        <w:t>（1）股权资本。使用资本资产定价模型并结合Internet+零售企业的行业特征和经营模式，计算公司的权益资本。</w:t>
      </w:r>
    </w:p>
    <w:p>
      <w:pPr>
        <w:ind w:firstLine="480"/>
        <w:jc w:val="center"/>
        <w:rPr>
          <w:rFonts w:ascii="幼圆" w:eastAsia="幼圆" w:hAnsi="幼圆" w:cs="幼圆" w:hint="eastAsia"/>
          <w:szCs w:val="24"/>
        </w:rPr>
      </w:pPr>
      <m:oMath>
        <m:sSub>
          <m:sSubPr>
            <m:ctrlPr>
              <w:rPr>
                <w:rFonts w:ascii="Cambria Math" w:eastAsia="幼圆" w:hAnsi="Cambria Math" w:cs="幼圆" w:hint="eastAsia"/>
                <w:szCs w:val="24"/>
              </w:rPr>
            </m:ctrlPr>
          </m:sSubPr>
          <m:e>
            <m:ctrlPr>
              <w:rPr>
                <w:rFonts w:ascii="Cambria Math" w:eastAsia="幼圆" w:hAnsi="Cambria Math" w:cs="幼圆" w:hint="eastAsia"/>
                <w:szCs w:val="24"/>
              </w:rPr>
            </m:ctrlPr>
            <m:r>
              <w:rPr>
                <w:rFonts w:ascii="Cambria Math" w:eastAsia="幼圆" w:hAnsi="Cambria Math" w:cs="幼圆" w:hint="eastAsia"/>
                <w:szCs w:val="24"/>
              </w:rPr>
              <m:t>K</m:t>
            </m:r>
          </m:e>
          <m:sub>
            <m:ctrlPr>
              <w:rPr>
                <w:rFonts w:ascii="Cambria Math" w:eastAsia="幼圆" w:hAnsi="Cambria Math" w:cs="幼圆" w:hint="eastAsia"/>
                <w:szCs w:val="24"/>
              </w:rPr>
            </m:ctrlPr>
            <m:r>
              <w:rPr>
                <w:rFonts w:ascii="Cambria Math" w:eastAsia="幼圆" w:hAnsi="Cambria Math" w:cs="幼圆" w:hint="eastAsia"/>
                <w:szCs w:val="24"/>
              </w:rPr>
              <m:t>e</m:t>
            </m:r>
          </m:sub>
        </m:sSub>
      </m:oMath>
      <w:r>
        <w:rPr>
          <w:rFonts w:ascii="幼圆" w:eastAsia="幼圆" w:hAnsi="幼圆" w:cs="幼圆" w:hint="eastAsia"/>
          <w:szCs w:val="24"/>
        </w:rPr>
        <w:t>=</w:t>
      </w:r>
      <m:oMath>
        <m:sSub>
          <m:sSubPr>
            <m:ctrlPr>
              <w:rPr>
                <w:rFonts w:ascii="Cambria Math" w:eastAsia="幼圆" w:hAnsi="Cambria Math" w:cs="幼圆" w:hint="eastAsia"/>
                <w:szCs w:val="24"/>
              </w:rPr>
            </m:ctrlPr>
          </m:sSubPr>
          <m:e>
            <m:ctrlPr>
              <w:rPr>
                <w:rFonts w:ascii="Cambria Math" w:eastAsia="幼圆" w:hAnsi="Cambria Math" w:cs="幼圆" w:hint="eastAsia"/>
                <w:szCs w:val="24"/>
              </w:rPr>
            </m:ctrlPr>
            <m:r>
              <w:rPr>
                <w:rFonts w:ascii="Cambria Math" w:eastAsia="幼圆" w:hAnsi="Cambria Math" w:cs="幼圆" w:hint="eastAsia"/>
                <w:szCs w:val="24"/>
              </w:rPr>
              <m:t>R</m:t>
            </m:r>
          </m:e>
          <m:sub>
            <m:ctrlPr>
              <w:rPr>
                <w:rFonts w:ascii="Cambria Math" w:eastAsia="幼圆" w:hAnsi="Cambria Math" w:cs="幼圆" w:hint="eastAsia"/>
                <w:szCs w:val="24"/>
              </w:rPr>
            </m:ctrlPr>
            <m:r>
              <w:rPr>
                <w:rFonts w:ascii="Cambria Math" w:eastAsia="幼圆" w:hAnsi="Cambria Math" w:cs="幼圆" w:hint="eastAsia"/>
                <w:szCs w:val="24"/>
              </w:rPr>
              <m:t>f</m:t>
            </m:r>
          </m:sub>
        </m:sSub>
      </m:oMath>
      <w:r>
        <w:rPr>
          <w:rFonts w:ascii="幼圆" w:eastAsia="幼圆" w:hAnsi="幼圆" w:cs="幼圆" w:hint="eastAsia"/>
          <w:szCs w:val="24"/>
        </w:rPr>
        <w:t>+</w:t>
      </w:r>
      <m:oMath>
        <m:r>
          <m:rPr>
            <m:sty m:val="p"/>
          </m:rPr>
          <w:rPr>
            <w:rFonts w:ascii="Cambria Math" w:eastAsia="幼圆" w:hAnsi="Cambria Math" w:cs="幼圆" w:hint="eastAsia"/>
            <w:szCs w:val="24"/>
          </w:rPr>
          <m:t>β</m:t>
        </m:r>
      </m:oMath>
      <w:r>
        <w:rPr>
          <w:rFonts w:ascii="幼圆" w:eastAsia="幼圆" w:hAnsi="幼圆" w:cs="幼圆" w:hint="eastAsia"/>
          <w:szCs w:val="24"/>
        </w:rPr>
        <w:t>(</w:t>
      </w:r>
      <m:oMath>
        <m:sSub>
          <m:sSubPr>
            <m:ctrlPr>
              <w:rPr>
                <w:rFonts w:ascii="Cambria Math" w:eastAsia="幼圆" w:hAnsi="Cambria Math" w:cs="幼圆" w:hint="eastAsia"/>
                <w:szCs w:val="24"/>
              </w:rPr>
            </m:ctrlPr>
          </m:sSubPr>
          <m:e>
            <m:ctrlPr>
              <w:rPr>
                <w:rFonts w:ascii="Cambria Math" w:eastAsia="幼圆" w:hAnsi="Cambria Math" w:cs="幼圆" w:hint="eastAsia"/>
                <w:szCs w:val="24"/>
              </w:rPr>
            </m:ctrlPr>
            <m:r>
              <w:rPr>
                <w:rFonts w:ascii="Cambria Math" w:eastAsia="幼圆" w:hAnsi="Cambria Math" w:cs="幼圆" w:hint="eastAsia"/>
                <w:szCs w:val="24"/>
              </w:rPr>
              <m:t>R</m:t>
            </m:r>
          </m:e>
          <m:sub>
            <m:ctrlPr>
              <w:rPr>
                <w:rFonts w:ascii="Cambria Math" w:eastAsia="幼圆" w:hAnsi="Cambria Math" w:cs="幼圆" w:hint="eastAsia"/>
                <w:szCs w:val="24"/>
              </w:rPr>
            </m:ctrlPr>
            <m:r>
              <w:rPr>
                <w:rFonts w:ascii="Cambria Math" w:eastAsia="幼圆" w:hAnsi="Cambria Math" w:cs="幼圆" w:hint="eastAsia"/>
                <w:szCs w:val="24"/>
              </w:rPr>
              <m:t>m</m:t>
            </m:r>
          </m:sub>
        </m:sSub>
      </m:oMath>
      <w:r>
        <w:rPr>
          <w:rFonts w:ascii="幼圆" w:eastAsia="幼圆" w:hAnsi="幼圆" w:cs="幼圆" w:hint="eastAsia"/>
          <w:szCs w:val="24"/>
        </w:rPr>
        <w:t>-</w:t>
      </w:r>
      <m:oMath>
        <m:sSub>
          <m:sSubPr>
            <m:ctrlPr>
              <w:rPr>
                <w:rFonts w:ascii="Cambria Math" w:eastAsia="幼圆" w:hAnsi="Cambria Math" w:cs="幼圆" w:hint="eastAsia"/>
                <w:szCs w:val="24"/>
              </w:rPr>
            </m:ctrlPr>
          </m:sSubPr>
          <m:e>
            <m:ctrlPr>
              <w:rPr>
                <w:rFonts w:ascii="Cambria Math" w:eastAsia="幼圆" w:hAnsi="Cambria Math" w:cs="幼圆" w:hint="eastAsia"/>
                <w:szCs w:val="24"/>
              </w:rPr>
            </m:ctrlPr>
            <m:r>
              <w:rPr>
                <w:rFonts w:ascii="Cambria Math" w:eastAsia="幼圆" w:hAnsi="Cambria Math" w:cs="幼圆" w:hint="eastAsia"/>
                <w:szCs w:val="24"/>
              </w:rPr>
              <m:t>R</m:t>
            </m:r>
          </m:e>
          <m:sub>
            <m:ctrlPr>
              <w:rPr>
                <w:rFonts w:ascii="Cambria Math" w:eastAsia="幼圆" w:hAnsi="Cambria Math" w:cs="幼圆" w:hint="eastAsia"/>
                <w:szCs w:val="24"/>
              </w:rPr>
            </m:ctrlPr>
            <m:r>
              <w:rPr>
                <w:rFonts w:ascii="Cambria Math" w:eastAsia="幼圆" w:hAnsi="Cambria Math" w:cs="幼圆" w:hint="eastAsia"/>
                <w:szCs w:val="24"/>
              </w:rPr>
              <m:t>f</m:t>
            </m:r>
          </m:sub>
        </m:sSub>
      </m:oMath>
      <w:r>
        <w:rPr>
          <w:rFonts w:ascii="幼圆" w:eastAsia="幼圆" w:hAnsi="幼圆" w:cs="幼圆" w:hint="eastAsia"/>
          <w:szCs w:val="24"/>
        </w:rPr>
        <w:t>)</w:t>
      </w:r>
    </w:p>
    <w:p>
      <w:pPr>
        <w:ind w:firstLine="0" w:firstLineChars="0"/>
        <w:jc w:val="right"/>
        <w:rPr>
          <w:rFonts w:ascii="幼圆" w:eastAsia="幼圆" w:hAnsi="幼圆" w:cs="幼圆" w:hint="eastAsia"/>
          <w:b/>
          <w:sz w:val="21"/>
          <w:szCs w:val="24"/>
        </w:rPr>
      </w:pPr>
      <w:r>
        <w:rPr>
          <w:rFonts w:ascii="幼圆" w:eastAsia="幼圆" w:hAnsi="幼圆" w:cs="幼圆" w:hint="eastAsia"/>
          <w:b/>
          <w:sz w:val="21"/>
          <w:szCs w:val="24"/>
        </w:rPr>
        <w:t>（5）</w:t>
      </w:r>
    </w:p>
    <w:p>
      <w:pPr>
        <w:ind w:firstLine="480"/>
        <w:rPr>
          <w:rFonts w:ascii="幼圆" w:eastAsia="幼圆" w:hAnsi="幼圆" w:cs="幼圆" w:hint="eastAsia"/>
          <w:szCs w:val="24"/>
        </w:rPr>
      </w:pPr>
      <w:r>
        <w:rPr>
          <w:rFonts w:ascii="幼圆" w:eastAsia="幼圆" w:hAnsi="幼圆" w:cs="幼圆" w:hint="eastAsia"/>
          <w:kern w:val="0"/>
          <w:szCs w:val="24"/>
        </w:rPr>
        <w:t>（2）债务资本。公司的债务分为计息债务和不计息债务,公司的不计息债务不要求企业支付利息。所以公司的债务成本是有息负债的成本。</w:t>
      </w:r>
    </w:p>
    <w:p>
      <w:pPr>
        <w:pStyle w:val="Title"/>
        <w:spacing w:before="252" w:after="158" w:line="240" w:lineRule="auto"/>
        <w:rPr>
          <w:rFonts w:ascii="幼圆" w:eastAsia="幼圆" w:hAnsi="幼圆" w:cs="幼圆" w:hint="eastAsia"/>
        </w:rPr>
      </w:pPr>
      <w:bookmarkStart w:id="37" w:name="_Toc71564896"/>
      <w:bookmarkStart w:id="38" w:name="_Toc5445"/>
      <w:bookmarkStart w:id="39" w:name="_Toc67584060"/>
      <w:bookmarkStart w:id="40" w:name="_Toc67928890"/>
      <w:r>
        <w:rPr>
          <w:rFonts w:ascii="幼圆" w:eastAsia="幼圆" w:hAnsi="幼圆" w:cs="幼圆" w:hint="eastAsia"/>
        </w:rPr>
        <w:t>二、电商企业的概念、特点与估值方法选择</w:t>
      </w:r>
      <w:bookmarkEnd w:id="37"/>
      <w:bookmarkEnd w:id="38"/>
      <w:bookmarkEnd w:id="39"/>
      <w:bookmarkEnd w:id="40"/>
    </w:p>
    <w:p>
      <w:pPr>
        <w:pStyle w:val="Subtitle"/>
        <w:spacing w:before="158" w:after="158" w:line="240" w:lineRule="auto"/>
        <w:rPr>
          <w:rFonts w:ascii="幼圆" w:eastAsia="幼圆" w:hAnsi="幼圆" w:cs="幼圆" w:hint="eastAsia"/>
        </w:rPr>
      </w:pPr>
      <w:bookmarkStart w:id="41" w:name="_Toc71564897"/>
      <w:bookmarkStart w:id="42" w:name="_Toc3611"/>
      <w:bookmarkStart w:id="43" w:name="_Toc67584061"/>
      <w:bookmarkStart w:id="44" w:name="_Toc67928891"/>
      <w:r>
        <w:rPr>
          <w:rFonts w:ascii="幼圆" w:eastAsia="幼圆" w:hAnsi="幼圆" w:cs="幼圆" w:hint="eastAsia"/>
        </w:rPr>
        <w:t>（一）电商企业的概念</w:t>
      </w:r>
      <w:bookmarkEnd w:id="41"/>
      <w:bookmarkEnd w:id="42"/>
      <w:bookmarkEnd w:id="43"/>
      <w:bookmarkEnd w:id="44"/>
    </w:p>
    <w:p>
      <w:pPr>
        <w:ind w:firstLine="480"/>
        <w:rPr>
          <w:rFonts w:ascii="幼圆" w:eastAsia="幼圆" w:hAnsi="幼圆" w:cs="幼圆" w:hint="eastAsia"/>
          <w:kern w:val="0"/>
          <w:szCs w:val="24"/>
        </w:rPr>
        <w:sectPr>
          <w:headerReference w:type="default" r:id="rId16"/>
          <w:footerReference w:type="default" r:id="rId17"/>
          <w:footnotePr>
            <w:numFmt w:val="decimalEnclosedCircleChinese"/>
          </w:footnotePr>
          <w:type w:val="nextPage"/>
          <w:pgSz w:w="11906" w:h="16838"/>
          <w:pgMar w:top="2551" w:right="1417" w:bottom="2268" w:left="1984" w:header="907" w:footer="992" w:gutter="0"/>
          <w:pgNumType w:start="3"/>
          <w:cols w:num="1" w:space="720"/>
          <w:titlePg w:val="0"/>
          <w:docGrid w:type="lines" w:linePitch="316" w:charSpace="0"/>
        </w:sectPr>
      </w:pPr>
      <w:r>
        <w:rPr>
          <w:rFonts w:ascii="幼圆" w:eastAsia="幼圆" w:hAnsi="幼圆" w:cs="幼圆" w:hint="eastAsia"/>
          <w:kern w:val="0"/>
          <w:szCs w:val="24"/>
        </w:rPr>
        <w:t>电商企业是以电商为载体的公司。电商，是运用Internet、Intranet和增值网以电商形式开展交易活动和相关服务活动。</w:t>
      </w:r>
    </w:p>
    <w:p>
      <w:pPr>
        <w:pStyle w:val="Subtitle"/>
        <w:spacing w:before="158" w:after="158" w:line="240" w:lineRule="auto"/>
        <w:rPr>
          <w:rFonts w:ascii="幼圆" w:eastAsia="幼圆" w:hAnsi="幼圆" w:cs="幼圆" w:hint="eastAsia"/>
        </w:rPr>
      </w:pPr>
      <w:bookmarkStart w:id="45" w:name="_Toc67584064"/>
      <w:bookmarkStart w:id="46" w:name="_Toc67928894"/>
      <w:bookmarkStart w:id="47" w:name="_Toc10937"/>
      <w:bookmarkStart w:id="48" w:name="_Toc71564898"/>
      <w:r>
        <w:rPr>
          <w:rFonts w:ascii="幼圆" w:eastAsia="幼圆" w:hAnsi="幼圆" w:cs="幼圆" w:hint="eastAsia"/>
        </w:rPr>
        <w:t>（二）</w:t>
      </w:r>
      <w:bookmarkEnd w:id="45"/>
      <w:bookmarkEnd w:id="46"/>
      <w:r>
        <w:rPr>
          <w:rFonts w:ascii="幼圆" w:eastAsia="幼圆" w:hAnsi="幼圆" w:cs="幼圆" w:hint="eastAsia"/>
        </w:rPr>
        <w:t>电商企业的特点</w:t>
      </w:r>
      <w:bookmarkEnd w:id="47"/>
      <w:bookmarkEnd w:id="48"/>
    </w:p>
    <w:p>
      <w:pPr>
        <w:ind w:firstLine="480"/>
        <w:rPr>
          <w:rFonts w:ascii="幼圆" w:eastAsia="幼圆" w:hAnsi="幼圆" w:cs="幼圆" w:hint="eastAsia"/>
          <w:kern w:val="0"/>
          <w:szCs w:val="24"/>
        </w:rPr>
      </w:pPr>
      <w:r>
        <w:rPr>
          <w:rFonts w:ascii="幼圆" w:eastAsia="幼圆" w:hAnsi="幼圆" w:cs="幼圆" w:hint="eastAsia"/>
          <w:kern w:val="0"/>
          <w:szCs w:val="24"/>
        </w:rPr>
        <w:t>电商企业的特点：方便性、普遍性、安全性。</w:t>
      </w:r>
    </w:p>
    <w:p>
      <w:pPr>
        <w:ind w:firstLine="480"/>
        <w:rPr>
          <w:rFonts w:ascii="幼圆" w:eastAsia="幼圆" w:hAnsi="幼圆" w:cs="幼圆" w:hint="eastAsia"/>
          <w:kern w:val="0"/>
          <w:szCs w:val="24"/>
        </w:rPr>
      </w:pPr>
      <w:r>
        <w:rPr>
          <w:rFonts w:ascii="幼圆" w:eastAsia="幼圆" w:hAnsi="幼圆" w:cs="幼圆" w:hint="eastAsia"/>
          <w:kern w:val="0"/>
          <w:szCs w:val="24"/>
        </w:rPr>
        <w:t>方便性:在电商环境中，人们不仅仅局限于地理区域，并且客户以十分容易的方式完成繁杂的业务。</w:t>
      </w:r>
    </w:p>
    <w:p>
      <w:pPr>
        <w:ind w:firstLine="480"/>
        <w:rPr>
          <w:rFonts w:ascii="幼圆" w:eastAsia="幼圆" w:hAnsi="幼圆" w:cs="幼圆" w:hint="eastAsia"/>
          <w:kern w:val="0"/>
          <w:szCs w:val="24"/>
        </w:rPr>
      </w:pPr>
      <w:r>
        <w:rPr>
          <w:rFonts w:ascii="幼圆" w:eastAsia="幼圆" w:hAnsi="幼圆" w:cs="幼圆" w:hint="eastAsia"/>
          <w:kern w:val="0"/>
          <w:szCs w:val="24"/>
        </w:rPr>
        <w:t>普遍性:电子商务作为新的交易方式，把制造商、分销商、消费者和政府引入了一个网络经济和数字生存的新世界。</w:t>
      </w:r>
    </w:p>
    <w:p>
      <w:pPr>
        <w:ind w:firstLine="480"/>
        <w:rPr>
          <w:rFonts w:ascii="幼圆" w:eastAsia="幼圆" w:hAnsi="幼圆" w:cs="幼圆" w:hint="eastAsia"/>
          <w:kern w:val="0"/>
          <w:szCs w:val="24"/>
        </w:rPr>
      </w:pPr>
      <w:r>
        <w:rPr>
          <w:rFonts w:ascii="幼圆" w:eastAsia="幼圆" w:hAnsi="幼圆" w:cs="幼圆" w:hint="eastAsia"/>
          <w:kern w:val="0"/>
          <w:szCs w:val="24"/>
        </w:rPr>
        <w:t>安全性:在电商中，安全是关键问题，网络需要供给端到端的解决方法。</w:t>
      </w:r>
    </w:p>
    <w:p>
      <w:pPr>
        <w:pStyle w:val="Subtitle"/>
        <w:spacing w:before="158" w:after="158" w:line="240" w:lineRule="auto"/>
        <w:rPr>
          <w:rFonts w:ascii="幼圆" w:eastAsia="幼圆" w:hAnsi="幼圆" w:cs="幼圆" w:hint="eastAsia"/>
        </w:rPr>
      </w:pPr>
      <w:bookmarkStart w:id="49" w:name="_Toc67584065"/>
      <w:bookmarkStart w:id="50" w:name="_Toc67928895"/>
      <w:bookmarkStart w:id="51" w:name="_Toc71564899"/>
      <w:bookmarkStart w:id="52" w:name="_Toc10924"/>
      <w:r>
        <w:rPr>
          <w:rFonts w:ascii="幼圆" w:eastAsia="幼圆" w:hAnsi="幼圆" w:cs="幼圆" w:hint="eastAsia"/>
        </w:rPr>
        <w:t>（三）电商企业的估值方法</w:t>
      </w:r>
      <w:bookmarkEnd w:id="49"/>
      <w:r>
        <w:rPr>
          <w:rFonts w:ascii="幼圆" w:eastAsia="幼圆" w:hAnsi="幼圆" w:cs="幼圆" w:hint="eastAsia"/>
        </w:rPr>
        <w:t>选择</w:t>
      </w:r>
      <w:bookmarkEnd w:id="50"/>
      <w:bookmarkEnd w:id="51"/>
      <w:bookmarkEnd w:id="52"/>
    </w:p>
    <w:p>
      <w:pPr>
        <w:pStyle w:val="Heading3"/>
        <w:spacing w:before="158" w:beforeLines="50" w:after="158" w:afterLines="50" w:line="480" w:lineRule="auto"/>
        <w:ind w:firstLine="482"/>
        <w:rPr>
          <w:rFonts w:ascii="幼圆" w:eastAsia="幼圆" w:hAnsi="幼圆" w:cs="幼圆" w:hint="eastAsia"/>
          <w:sz w:val="24"/>
        </w:rPr>
      </w:pPr>
      <w:bookmarkStart w:id="53" w:name="_Toc10205"/>
      <w:bookmarkStart w:id="54" w:name="_Toc67584066"/>
      <w:bookmarkStart w:id="55" w:name="_Toc71564900"/>
      <w:r>
        <w:rPr>
          <w:rFonts w:ascii="幼圆" w:eastAsia="幼圆" w:hAnsi="幼圆" w:cs="幼圆" w:hint="eastAsia"/>
          <w:sz w:val="24"/>
        </w:rPr>
        <w:t>1.EVA法与市盈率法</w:t>
      </w:r>
      <w:bookmarkEnd w:id="53"/>
      <w:bookmarkEnd w:id="54"/>
      <w:bookmarkEnd w:id="55"/>
    </w:p>
    <w:p>
      <w:pPr>
        <w:ind w:firstLine="480"/>
        <w:rPr>
          <w:rFonts w:ascii="幼圆" w:eastAsia="幼圆" w:hAnsi="幼圆" w:cs="幼圆" w:hint="eastAsia"/>
          <w:kern w:val="0"/>
          <w:szCs w:val="24"/>
        </w:rPr>
      </w:pPr>
      <w:r>
        <w:rPr>
          <w:rFonts w:ascii="幼圆" w:eastAsia="幼圆" w:hAnsi="幼圆" w:cs="幼圆" w:hint="eastAsia"/>
          <w:kern w:val="0"/>
          <w:szCs w:val="24"/>
        </w:rPr>
        <w:t>市盈率法是基础分析的指标，忽略了企业的未来成长，它应该考量证券市场的风险，选择市场上类似的公司进行比较。许多互联网企业发展中遭受了一段时间的亏损，可能导致公司损失。因此目前这类公司的主要关注点可能是继续补贴市场并迅速占领市场，或者在研发方面继续投资，并希望获得技术突破。现在用市盈率法，则公司价值为负。显然这与现实不符。截然不同的是，许多互联网公司在发展的后期慢慢盈利，所以互联网公司中市盈率法的评估准确性有待探讨。EVA更注重财务状况，数据的计算和处理基于财务报表。转型电子商务公司时期发展短，市场上同类公司较少。所以，评估该类型的公司，EVA法更为可行。</w:t>
      </w:r>
    </w:p>
    <w:p>
      <w:pPr>
        <w:pStyle w:val="Heading3"/>
        <w:spacing w:before="158" w:beforeLines="50" w:after="158" w:afterLines="50" w:line="480" w:lineRule="auto"/>
        <w:ind w:firstLine="482"/>
        <w:rPr>
          <w:rFonts w:ascii="幼圆" w:eastAsia="幼圆" w:hAnsi="幼圆" w:cs="幼圆" w:hint="eastAsia"/>
          <w:sz w:val="24"/>
        </w:rPr>
      </w:pPr>
      <w:bookmarkStart w:id="56" w:name="_Toc71564901"/>
      <w:bookmarkStart w:id="57" w:name="_Toc32223"/>
      <w:bookmarkStart w:id="58" w:name="_Toc67584067"/>
      <w:r>
        <w:rPr>
          <w:rFonts w:ascii="幼圆" w:eastAsia="幼圆" w:hAnsi="幼圆" w:cs="幼圆" w:hint="eastAsia"/>
          <w:sz w:val="24"/>
        </w:rPr>
        <w:t>2.EVA法与传统会计指标</w:t>
      </w:r>
      <w:bookmarkEnd w:id="56"/>
      <w:bookmarkEnd w:id="57"/>
      <w:bookmarkEnd w:id="58"/>
    </w:p>
    <w:p>
      <w:pPr>
        <w:ind w:firstLine="480"/>
        <w:rPr>
          <w:rFonts w:ascii="幼圆" w:eastAsia="幼圆" w:hAnsi="幼圆" w:cs="幼圆" w:hint="eastAsia"/>
          <w:kern w:val="0"/>
          <w:szCs w:val="24"/>
        </w:rPr>
        <w:sectPr>
          <w:headerReference w:type="default" r:id="rId18"/>
          <w:footerReference w:type="default" r:id="rId19"/>
          <w:footnotePr>
            <w:numFmt w:val="decimalEnclosedCircleChinese"/>
          </w:footnotePr>
          <w:type w:val="nextPage"/>
          <w:pgSz w:w="11906" w:h="16838"/>
          <w:pgMar w:top="2551" w:right="1417" w:bottom="2268" w:left="1984" w:header="907" w:footer="992" w:gutter="0"/>
          <w:pgNumType w:start="4"/>
          <w:cols w:num="1" w:space="720"/>
          <w:titlePg w:val="0"/>
          <w:docGrid w:type="lines" w:linePitch="316" w:charSpace="0"/>
        </w:sectPr>
      </w:pPr>
    </w:p>
    <w:p>
      <w:pPr>
        <w:ind w:firstLine="480"/>
        <w:rPr>
          <w:rFonts w:ascii="幼圆" w:eastAsia="幼圆" w:hAnsi="幼圆" w:cs="幼圆" w:hint="eastAsia"/>
          <w:kern w:val="0"/>
          <w:szCs w:val="24"/>
        </w:rPr>
      </w:pPr>
      <w:r>
        <w:rPr>
          <w:rFonts w:ascii="幼圆" w:eastAsia="幼圆" w:hAnsi="幼圆" w:cs="幼圆" w:hint="eastAsia"/>
          <w:kern w:val="0"/>
          <w:szCs w:val="24"/>
        </w:rPr>
        <w:t>利用传统的会计指标确定未来的业务决策，这些指标没有考虑公司发展业务未来的方向，EVA则考虑了公司未来的发展。EVA方法相对减少了公司会计数据的失真。当EVA模型对公司进行评估时，可以调整研发费用和其它业务要素。净利润是负数，EVA可能是正数，规避了会计指标的短期影响。所以，选用EVA法较为合适。</w:t>
      </w:r>
    </w:p>
    <w:p>
      <w:pPr>
        <w:ind w:firstLine="480"/>
        <w:rPr>
          <w:rFonts w:ascii="幼圆" w:eastAsia="幼圆" w:hAnsi="幼圆" w:cs="幼圆" w:hint="eastAsia"/>
          <w:kern w:val="0"/>
          <w:szCs w:val="24"/>
        </w:rPr>
      </w:pPr>
      <w:r>
        <w:rPr>
          <w:rFonts w:ascii="幼圆" w:eastAsia="幼圆" w:hAnsi="幼圆" w:cs="幼圆" w:hint="eastAsia"/>
          <w:kern w:val="0"/>
          <w:szCs w:val="24"/>
        </w:rPr>
        <w:t>本文的案例公司是一家新转型的电子商务公司，其股权资本占资本结构的大部分。面对市场风险和行业环境的不确定性，发展过程中互联网电子商务公司会不断调整其经营战略。在EVA法中，研发费用视作资本处理，考虑了互联网公司资本构造的特殊性；鉴于公司未来的发展潜力，管理人员能够根据自己情况做出最有利的经营决定。</w:t>
      </w:r>
    </w:p>
    <w:p>
      <w:pPr>
        <w:pStyle w:val="Title"/>
        <w:spacing w:before="252" w:after="158" w:line="240" w:lineRule="auto"/>
        <w:rPr>
          <w:rFonts w:ascii="幼圆" w:eastAsia="幼圆" w:hAnsi="幼圆" w:cs="幼圆" w:hint="eastAsia"/>
        </w:rPr>
      </w:pPr>
      <w:bookmarkStart w:id="59" w:name="_Toc67928896"/>
      <w:bookmarkStart w:id="60" w:name="_Toc1293"/>
      <w:bookmarkStart w:id="61" w:name="_Toc67584068"/>
      <w:bookmarkStart w:id="62" w:name="_Toc71564902"/>
      <w:r>
        <w:rPr>
          <w:rFonts w:ascii="幼圆" w:eastAsia="幼圆" w:hAnsi="幼圆" w:cs="幼圆" w:hint="eastAsia"/>
        </w:rPr>
        <w:t>三、基于EVA的南极电商企业价值评估分析</w:t>
      </w:r>
      <w:bookmarkEnd w:id="59"/>
      <w:bookmarkEnd w:id="60"/>
      <w:bookmarkEnd w:id="61"/>
      <w:bookmarkEnd w:id="62"/>
    </w:p>
    <w:p>
      <w:pPr>
        <w:pStyle w:val="Subtitle"/>
        <w:spacing w:before="158" w:after="158" w:line="240" w:lineRule="auto"/>
        <w:rPr>
          <w:rFonts w:ascii="幼圆" w:eastAsia="幼圆" w:hAnsi="幼圆" w:cs="幼圆" w:hint="eastAsia"/>
        </w:rPr>
      </w:pPr>
      <w:bookmarkStart w:id="63" w:name="_Toc71564903"/>
      <w:bookmarkStart w:id="64" w:name="_Toc15893"/>
      <w:bookmarkStart w:id="65" w:name="_Toc67584069"/>
      <w:bookmarkStart w:id="66" w:name="_Toc67928897"/>
      <w:r>
        <w:rPr>
          <w:rFonts w:ascii="幼圆" w:eastAsia="幼圆" w:hAnsi="幼圆" w:cs="幼圆" w:hint="eastAsia"/>
        </w:rPr>
        <w:t>（一）南极电商的简介</w:t>
      </w:r>
      <w:bookmarkEnd w:id="63"/>
      <w:bookmarkEnd w:id="64"/>
      <w:bookmarkEnd w:id="65"/>
      <w:bookmarkEnd w:id="66"/>
    </w:p>
    <w:p>
      <w:pPr>
        <w:ind w:firstLine="480"/>
        <w:rPr>
          <w:rFonts w:ascii="幼圆" w:eastAsia="幼圆" w:hAnsi="幼圆" w:cs="幼圆" w:hint="eastAsia"/>
          <w:b/>
          <w:bCs/>
          <w:sz w:val="28"/>
        </w:rPr>
      </w:pPr>
      <w:r>
        <w:rPr>
          <w:rFonts w:ascii="幼圆" w:eastAsia="幼圆" w:hAnsi="幼圆" w:cs="幼圆" w:hint="eastAsia"/>
          <w:kern w:val="0"/>
          <w:szCs w:val="24"/>
        </w:rPr>
        <w:t>南极电商股份有限公司成立于1999年7月12日，于2007年4月18日在深圳证券交易所上市，是一家转型的互联网电子商务公司。主要业务是向千万家小微电商及供应商提供品牌授权服务、移动互联网营销，并经营货品销售业务。</w:t>
      </w:r>
      <w:bookmarkStart w:id="67" w:name="_Toc67928898"/>
      <w:bookmarkStart w:id="68" w:name="_Toc67584070"/>
      <w:bookmarkStart w:id="69" w:name="_Toc71564904"/>
    </w:p>
    <w:p>
      <w:pPr>
        <w:pStyle w:val="Subtitle"/>
        <w:spacing w:before="158" w:after="158" w:line="240" w:lineRule="auto"/>
        <w:rPr>
          <w:rFonts w:ascii="幼圆" w:eastAsia="幼圆" w:hAnsi="幼圆" w:cs="幼圆" w:hint="eastAsia"/>
        </w:rPr>
      </w:pPr>
      <w:bookmarkStart w:id="70" w:name="_Toc10424"/>
      <w:r>
        <w:rPr>
          <w:rFonts w:ascii="幼圆" w:eastAsia="幼圆" w:hAnsi="幼圆" w:cs="幼圆" w:hint="eastAsia"/>
        </w:rPr>
        <w:t>（二）南极电商的财务状况</w:t>
      </w:r>
      <w:bookmarkEnd w:id="67"/>
      <w:bookmarkEnd w:id="68"/>
      <w:bookmarkEnd w:id="69"/>
      <w:bookmarkEnd w:id="70"/>
    </w:p>
    <w:p>
      <w:pPr>
        <w:pStyle w:val="Heading3"/>
        <w:spacing w:before="158" w:beforeLines="50" w:after="158" w:afterLines="50" w:line="480" w:lineRule="auto"/>
        <w:ind w:firstLine="482"/>
        <w:rPr>
          <w:rFonts w:ascii="幼圆" w:eastAsia="幼圆" w:hAnsi="幼圆" w:cs="幼圆" w:hint="eastAsia"/>
          <w:sz w:val="24"/>
        </w:rPr>
      </w:pPr>
      <w:bookmarkStart w:id="71" w:name="_Toc71564905"/>
      <w:bookmarkStart w:id="72" w:name="_Toc67584071"/>
      <w:bookmarkStart w:id="73" w:name="_Toc67928899"/>
      <w:bookmarkStart w:id="74" w:name="_Toc25421"/>
      <w:r>
        <w:rPr>
          <w:rFonts w:ascii="幼圆" w:eastAsia="幼圆" w:hAnsi="幼圆" w:cs="幼圆" w:hint="eastAsia"/>
          <w:sz w:val="24"/>
        </w:rPr>
        <w:t>1.盈利能力分析</w:t>
      </w:r>
      <w:bookmarkEnd w:id="71"/>
      <w:bookmarkEnd w:id="72"/>
      <w:bookmarkEnd w:id="73"/>
      <w:bookmarkEnd w:id="74"/>
    </w:p>
    <w:p>
      <w:pPr>
        <w:ind w:firstLine="0" w:firstLineChars="0"/>
        <w:jc w:val="center"/>
        <w:rPr>
          <w:rFonts w:ascii="幼圆" w:eastAsia="幼圆" w:hAnsi="幼圆" w:cs="幼圆" w:hint="eastAsia"/>
          <w:b/>
          <w:sz w:val="21"/>
          <w:szCs w:val="21"/>
        </w:rPr>
      </w:pPr>
      <w:r>
        <w:rPr>
          <w:rFonts w:ascii="幼圆" w:eastAsia="幼圆" w:hAnsi="幼圆" w:cs="幼圆" w:hint="eastAsia"/>
          <w:b/>
          <w:sz w:val="21"/>
          <w:szCs w:val="21"/>
        </w:rPr>
        <w:t>表一 2016年-2020年南极电子商务盈利能力分析</w:t>
      </w:r>
    </w:p>
    <w:p>
      <w:pPr>
        <w:ind w:firstLine="422"/>
        <w:jc w:val="left"/>
        <w:rPr>
          <w:rFonts w:ascii="幼圆" w:eastAsia="幼圆" w:hAnsi="幼圆" w:cs="幼圆" w:hint="eastAsia"/>
          <w:b/>
          <w:sz w:val="21"/>
          <w:szCs w:val="21"/>
        </w:rPr>
      </w:pPr>
    </w:p>
    <w:tbl>
      <w:tblPr>
        <w:tblStyle w:val="TableNormal"/>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377"/>
        <w:gridCol w:w="968"/>
        <w:gridCol w:w="1074"/>
        <w:gridCol w:w="1270"/>
        <w:gridCol w:w="1316"/>
        <w:gridCol w:w="1292"/>
      </w:tblGrid>
      <w:tr>
        <w:tblPrEx>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18"/>
          <w:jc w:val="center"/>
        </w:trPr>
        <w:tc>
          <w:tcPr>
            <w:tcW w:w="2377" w:type="dxa"/>
            <w:tcBorders>
              <w:top w:val="single" w:sz="12" w:space="0" w:color="auto"/>
              <w:bottom w:val="single" w:sz="4"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项目</w:t>
            </w:r>
          </w:p>
        </w:tc>
        <w:tc>
          <w:tcPr>
            <w:tcW w:w="968" w:type="dxa"/>
            <w:tcBorders>
              <w:top w:val="single" w:sz="12" w:space="0" w:color="auto"/>
              <w:bottom w:val="single" w:sz="4"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2020年</w:t>
            </w:r>
          </w:p>
        </w:tc>
        <w:tc>
          <w:tcPr>
            <w:tcW w:w="1074" w:type="dxa"/>
            <w:tcBorders>
              <w:top w:val="single" w:sz="12" w:space="0" w:color="auto"/>
              <w:bottom w:val="single" w:sz="4"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2019年</w:t>
            </w:r>
          </w:p>
        </w:tc>
        <w:tc>
          <w:tcPr>
            <w:tcW w:w="1270" w:type="dxa"/>
            <w:tcBorders>
              <w:top w:val="single" w:sz="12" w:space="0" w:color="auto"/>
              <w:bottom w:val="single" w:sz="4"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2018年</w:t>
            </w:r>
          </w:p>
        </w:tc>
        <w:tc>
          <w:tcPr>
            <w:tcW w:w="1316" w:type="dxa"/>
            <w:tcBorders>
              <w:top w:val="single" w:sz="12" w:space="0" w:color="auto"/>
              <w:bottom w:val="single" w:sz="4"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2017年</w:t>
            </w:r>
          </w:p>
        </w:tc>
        <w:tc>
          <w:tcPr>
            <w:tcW w:w="1292" w:type="dxa"/>
            <w:tcBorders>
              <w:top w:val="single" w:sz="12" w:space="0" w:color="auto"/>
              <w:bottom w:val="single" w:sz="4"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2016年</w:t>
            </w:r>
          </w:p>
        </w:tc>
      </w:tr>
      <w:tr>
        <w:tblPrEx>
          <w:tblW w:w="0" w:type="auto"/>
          <w:jc w:val="center"/>
          <w:tblCellMar>
            <w:top w:w="0" w:type="dxa"/>
            <w:left w:w="108" w:type="dxa"/>
            <w:bottom w:w="0" w:type="dxa"/>
            <w:right w:w="108" w:type="dxa"/>
          </w:tblCellMar>
        </w:tblPrEx>
        <w:trPr>
          <w:trHeight w:val="497"/>
          <w:jc w:val="center"/>
        </w:trPr>
        <w:tc>
          <w:tcPr>
            <w:tcW w:w="2377" w:type="dxa"/>
            <w:tcBorders>
              <w:top w:val="single" w:sz="4" w:space="0" w:color="auto"/>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营业毛利率</w:t>
            </w:r>
            <w:r>
              <w:rPr>
                <w:rFonts w:ascii="幼圆" w:eastAsia="幼圆" w:hAnsi="幼圆" w:cs="幼圆" w:hint="eastAsia"/>
                <w:sz w:val="21"/>
                <w:szCs w:val="21"/>
              </w:rPr>
              <w:t>（%）</w:t>
            </w:r>
          </w:p>
        </w:tc>
        <w:tc>
          <w:tcPr>
            <w:tcW w:w="968" w:type="dxa"/>
            <w:tcBorders>
              <w:top w:val="single" w:sz="4" w:space="0" w:color="auto"/>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23.44</w:t>
            </w:r>
          </w:p>
        </w:tc>
        <w:tc>
          <w:tcPr>
            <w:tcW w:w="1074" w:type="dxa"/>
            <w:tcBorders>
              <w:top w:val="single" w:sz="4" w:space="0" w:color="auto"/>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38.50</w:t>
            </w:r>
          </w:p>
        </w:tc>
        <w:tc>
          <w:tcPr>
            <w:tcW w:w="1270" w:type="dxa"/>
            <w:tcBorders>
              <w:top w:val="single" w:sz="4" w:space="0" w:color="auto"/>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34.47</w:t>
            </w:r>
          </w:p>
        </w:tc>
        <w:tc>
          <w:tcPr>
            <w:tcW w:w="1316" w:type="dxa"/>
            <w:tcBorders>
              <w:top w:val="single" w:sz="4" w:space="0" w:color="auto"/>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70.05</w:t>
            </w:r>
          </w:p>
        </w:tc>
        <w:tc>
          <w:tcPr>
            <w:tcW w:w="1292" w:type="dxa"/>
            <w:tcBorders>
              <w:top w:val="single" w:sz="4" w:space="0" w:color="auto"/>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87.23</w:t>
            </w:r>
          </w:p>
        </w:tc>
      </w:tr>
      <w:tr>
        <w:tblPrEx>
          <w:tblW w:w="0" w:type="auto"/>
          <w:jc w:val="center"/>
          <w:tblCellMar>
            <w:top w:w="0" w:type="dxa"/>
            <w:left w:w="108" w:type="dxa"/>
            <w:bottom w:w="0" w:type="dxa"/>
            <w:right w:w="108" w:type="dxa"/>
          </w:tblCellMar>
        </w:tblPrEx>
        <w:trPr>
          <w:trHeight w:val="487"/>
          <w:jc w:val="center"/>
        </w:trPr>
        <w:tc>
          <w:tcPr>
            <w:tcW w:w="2377"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营业净利率</w:t>
            </w:r>
            <w:r>
              <w:rPr>
                <w:rFonts w:ascii="幼圆" w:eastAsia="幼圆" w:hAnsi="幼圆" w:cs="幼圆" w:hint="eastAsia"/>
                <w:sz w:val="21"/>
                <w:szCs w:val="21"/>
              </w:rPr>
              <w:t>（%）</w:t>
            </w:r>
          </w:p>
        </w:tc>
        <w:tc>
          <w:tcPr>
            <w:tcW w:w="968"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16.39</w:t>
            </w:r>
          </w:p>
        </w:tc>
        <w:tc>
          <w:tcPr>
            <w:tcW w:w="1074"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30.87</w:t>
            </w:r>
          </w:p>
        </w:tc>
        <w:tc>
          <w:tcPr>
            <w:tcW w:w="1270"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26.46</w:t>
            </w:r>
          </w:p>
        </w:tc>
        <w:tc>
          <w:tcPr>
            <w:tcW w:w="1316"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54.33</w:t>
            </w:r>
          </w:p>
        </w:tc>
        <w:tc>
          <w:tcPr>
            <w:tcW w:w="1292"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58.17</w:t>
            </w:r>
          </w:p>
        </w:tc>
      </w:tr>
      <w:tr>
        <w:tblPrEx>
          <w:tblW w:w="0" w:type="auto"/>
          <w:jc w:val="center"/>
          <w:tblCellMar>
            <w:top w:w="0" w:type="dxa"/>
            <w:left w:w="108" w:type="dxa"/>
            <w:bottom w:w="0" w:type="dxa"/>
            <w:right w:w="108" w:type="dxa"/>
          </w:tblCellMar>
        </w:tblPrEx>
        <w:trPr>
          <w:trHeight w:val="487"/>
          <w:jc w:val="center"/>
        </w:trPr>
        <w:tc>
          <w:tcPr>
            <w:tcW w:w="2377"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成本费用利润率</w:t>
            </w:r>
            <w:r>
              <w:rPr>
                <w:rFonts w:ascii="幼圆" w:eastAsia="幼圆" w:hAnsi="幼圆" w:cs="幼圆" w:hint="eastAsia"/>
                <w:sz w:val="21"/>
                <w:szCs w:val="21"/>
              </w:rPr>
              <w:t>（%）</w:t>
            </w:r>
          </w:p>
        </w:tc>
        <w:tc>
          <w:tcPr>
            <w:tcW w:w="968"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43.40</w:t>
            </w:r>
          </w:p>
        </w:tc>
        <w:tc>
          <w:tcPr>
            <w:tcW w:w="1074"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48.94</w:t>
            </w:r>
          </w:p>
        </w:tc>
        <w:tc>
          <w:tcPr>
            <w:tcW w:w="1270"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40.46</w:t>
            </w:r>
          </w:p>
        </w:tc>
        <w:tc>
          <w:tcPr>
            <w:tcW w:w="1316"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163.19</w:t>
            </w:r>
          </w:p>
        </w:tc>
        <w:tc>
          <w:tcPr>
            <w:tcW w:w="1292"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276．44</w:t>
            </w:r>
          </w:p>
        </w:tc>
      </w:tr>
      <w:tr>
        <w:tblPrEx>
          <w:tblW w:w="0" w:type="auto"/>
          <w:jc w:val="center"/>
          <w:tblCellMar>
            <w:top w:w="0" w:type="dxa"/>
            <w:left w:w="108" w:type="dxa"/>
            <w:bottom w:w="0" w:type="dxa"/>
            <w:right w:w="108" w:type="dxa"/>
          </w:tblCellMar>
        </w:tblPrEx>
        <w:trPr>
          <w:trHeight w:val="487"/>
          <w:jc w:val="center"/>
        </w:trPr>
        <w:tc>
          <w:tcPr>
            <w:tcW w:w="2377"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净资产收益率</w:t>
            </w:r>
            <w:r>
              <w:rPr>
                <w:rFonts w:ascii="幼圆" w:eastAsia="幼圆" w:hAnsi="幼圆" w:cs="幼圆" w:hint="eastAsia"/>
                <w:sz w:val="21"/>
                <w:szCs w:val="21"/>
              </w:rPr>
              <w:t>ROE（%）</w:t>
            </w:r>
          </w:p>
        </w:tc>
        <w:tc>
          <w:tcPr>
            <w:tcW w:w="968"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20.50</w:t>
            </w:r>
          </w:p>
        </w:tc>
        <w:tc>
          <w:tcPr>
            <w:tcW w:w="1074"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24.82</w:t>
            </w:r>
          </w:p>
        </w:tc>
        <w:tc>
          <w:tcPr>
            <w:tcW w:w="1270"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23.57</w:t>
            </w:r>
          </w:p>
        </w:tc>
        <w:tc>
          <w:tcPr>
            <w:tcW w:w="1316"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17.56</w:t>
            </w:r>
          </w:p>
        </w:tc>
        <w:tc>
          <w:tcPr>
            <w:tcW w:w="1292" w:type="dxa"/>
            <w:tcBorders>
              <w:top w:val="nil"/>
              <w:bottom w:val="nil"/>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19.37</w:t>
            </w:r>
          </w:p>
        </w:tc>
      </w:tr>
      <w:tr>
        <w:tblPrEx>
          <w:tblW w:w="0" w:type="auto"/>
          <w:jc w:val="center"/>
          <w:tblCellMar>
            <w:top w:w="0" w:type="dxa"/>
            <w:left w:w="108" w:type="dxa"/>
            <w:bottom w:w="0" w:type="dxa"/>
            <w:right w:w="108" w:type="dxa"/>
          </w:tblCellMar>
        </w:tblPrEx>
        <w:trPr>
          <w:trHeight w:val="518"/>
          <w:jc w:val="center"/>
        </w:trPr>
        <w:tc>
          <w:tcPr>
            <w:tcW w:w="2377" w:type="dxa"/>
            <w:tcBorders>
              <w:top w:val="nil"/>
              <w:bottom w:val="single" w:sz="12"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总资产收益率</w:t>
            </w:r>
            <w:r>
              <w:rPr>
                <w:rFonts w:ascii="幼圆" w:eastAsia="幼圆" w:hAnsi="幼圆" w:cs="幼圆" w:hint="eastAsia"/>
                <w:sz w:val="21"/>
                <w:szCs w:val="21"/>
              </w:rPr>
              <w:t>ROA（%）</w:t>
            </w:r>
          </w:p>
        </w:tc>
        <w:tc>
          <w:tcPr>
            <w:tcW w:w="968" w:type="dxa"/>
            <w:tcBorders>
              <w:top w:val="nil"/>
              <w:bottom w:val="single" w:sz="12"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19.90</w:t>
            </w:r>
          </w:p>
        </w:tc>
        <w:tc>
          <w:tcPr>
            <w:tcW w:w="1074" w:type="dxa"/>
            <w:tcBorders>
              <w:top w:val="nil"/>
              <w:bottom w:val="single" w:sz="12"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25.26</w:t>
            </w:r>
          </w:p>
        </w:tc>
        <w:tc>
          <w:tcPr>
            <w:tcW w:w="1270" w:type="dxa"/>
            <w:tcBorders>
              <w:top w:val="nil"/>
              <w:bottom w:val="single" w:sz="12"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23.24</w:t>
            </w:r>
          </w:p>
        </w:tc>
        <w:tc>
          <w:tcPr>
            <w:tcW w:w="1316" w:type="dxa"/>
            <w:tcBorders>
              <w:top w:val="nil"/>
              <w:bottom w:val="single" w:sz="12"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21.01</w:t>
            </w:r>
          </w:p>
        </w:tc>
        <w:tc>
          <w:tcPr>
            <w:tcW w:w="1292" w:type="dxa"/>
            <w:tcBorders>
              <w:top w:val="nil"/>
              <w:bottom w:val="single" w:sz="12" w:space="0" w:color="auto"/>
            </w:tcBorders>
            <w:vAlign w:val="center"/>
          </w:tcPr>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20.11</w:t>
            </w:r>
          </w:p>
        </w:tc>
      </w:tr>
    </w:tbl>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https://d.book118.com/537065041151006034</w:t>
        </w:r>
      </w:hyperlink>
    </w:p>
    <w:p/>
    <w:sectPr>
      <w:headerReference w:type="default" r:id="rId21"/>
      <w:footerReference w:type="default" r:id="rId22"/>
      <w:footnotePr>
        <w:numFmt w:val="decimalEnclosedCircleChinese"/>
      </w:footnotePr>
      <w:type w:val="nextPage"/>
      <w:pgSz w:w="11906" w:h="16838"/>
      <w:pgMar w:top="2551" w:right="1417" w:bottom="2268" w:left="1984" w:header="907" w:footer="992" w:gutter="0"/>
      <w:pgNumType w:start="5"/>
      <w:cols w:num="1" w:space="720"/>
      <w:titlePg w:val="0"/>
      <w:docGrid w:type="lines" w:linePitch="31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p>
  </w:endnote>
  <w:endnote w:type="continuationSeparator" w:id="1">
    <w:p>
      <w:pPr>
        <w:spacing w:line="240" w:lineRule="auto"/>
        <w:ind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MS Mincho">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rPr>
        <w:color w:val="FF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rPr>
        <w:color w:val="FF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rPr>
        <w:color w:val="FF000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w:t>
                          </w:r>
                          <w:r>
                            <w:rPr>
                              <w:rFonts w:ascii="Times New Roman" w:hAnsi="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w:t>
                    </w:r>
                    <w:r>
                      <w:rPr>
                        <w:rFonts w:ascii="Times New Roman" w:hAnsi="Times New Roman"/>
                        <w:sz w:val="21"/>
                        <w:szCs w:val="21"/>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rPr>
        <w:color w:val="FF0000"/>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989189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2</w:t>
                          </w:r>
                          <w:r>
                            <w:rPr>
                              <w:rFonts w:ascii="Times New Roman" w:hAnsi="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2</w:t>
                    </w:r>
                    <w:r>
                      <w:rPr>
                        <w:rFonts w:ascii="Times New Roman" w:hAnsi="Times New Roman"/>
                        <w:sz w:val="21"/>
                        <w:szCs w:val="21"/>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rPr>
        <w:color w:val="FF0000"/>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7364999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3</w:t>
                          </w:r>
                          <w:r>
                            <w:rPr>
                              <w:rFonts w:ascii="Times New Roman" w:hAnsi="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3</w:t>
                    </w:r>
                    <w:r>
                      <w:rPr>
                        <w:rFonts w:ascii="Times New Roman" w:hAnsi="Times New Roman"/>
                        <w:sz w:val="21"/>
                        <w:szCs w:val="21"/>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rPr>
        <w:color w:val="FF0000"/>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701391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4</w:t>
                          </w:r>
                          <w:r>
                            <w:rPr>
                              <w:rFonts w:ascii="Times New Roman" w:hAnsi="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4</w:t>
                    </w:r>
                    <w:r>
                      <w:rPr>
                        <w:rFonts w:ascii="Times New Roman" w:hAnsi="Times New Roman"/>
                        <w:sz w:val="21"/>
                        <w:szCs w:val="21"/>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rPr>
        <w:color w:val="FF0000"/>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16030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6</w:t>
                          </w:r>
                          <w:r>
                            <w:rPr>
                              <w:rFonts w:ascii="Times New Roman" w:hAnsi="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ind w:firstLine="420"/>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6</w:t>
                    </w:r>
                    <w:r>
                      <w:rPr>
                        <w:rFonts w:ascii="Times New Roman" w:hAnsi="Times New Roman"/>
                        <w:sz w:val="21"/>
                        <w:szCs w:val="21"/>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p>
  </w:footnote>
  <w:footnote w:type="continuationSeparator" w:id="1">
    <w:p>
      <w:pPr>
        <w:spacing w:line="240" w:lineRule="auto"/>
        <w:ind w:firstLine="48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right w:val="none" w:sz="0" w:space="0" w:color="auto"/>
      </w:pBdr>
      <w:spacing w:line="240" w:lineRule="auto"/>
      <w:ind w:firstLine="0" w:firstLineChars="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right w:val="none" w:sz="0" w:space="0" w:color="auto"/>
      </w:pBdr>
      <w:spacing w:line="240" w:lineRule="auto"/>
      <w:ind w:firstLine="0" w:firstLineChars="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right w:val="none" w:sz="0" w:space="0" w:color="auto"/>
      </w:pBdr>
      <w:spacing w:line="240" w:lineRule="auto"/>
      <w:ind w:firstLine="0" w:firstLineChars="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right w:val="none" w:sz="0" w:space="0" w:color="auto"/>
      </w:pBdr>
      <w:spacing w:line="240" w:lineRule="auto"/>
      <w:ind w:firstLine="0" w:firstLineChars="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right w:val="none" w:sz="0" w:space="0" w:color="auto"/>
      </w:pBdr>
      <w:spacing w:line="240" w:lineRule="auto"/>
      <w:ind w:firstLine="0" w:firstLineChars="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right w:val="none" w:sz="0" w:space="0" w:color="auto"/>
      </w:pBdr>
      <w:spacing w:line="240" w:lineRule="auto"/>
      <w:ind w:firstLine="0" w:firstLineChars="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right w:val="none" w:sz="0" w:space="0" w:color="auto"/>
      </w:pBdr>
      <w:spacing w:line="240" w:lineRule="auto"/>
      <w:ind w:firstLine="0" w:firstLineChars="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8"/>
  <w:displayHorizontalDrawingGridEvery w:val="0"/>
  <w:displayVerticalDrawingGridEvery w:val="2"/>
  <w:characterSpacingControl w:val="compressPunctuation"/>
  <w:doNotValidateAgainstSchema/>
  <w:doNotDemarcateInvalidXml/>
  <w:footnotePr>
    <w:numFmt w:val="decimalEnclosedCircleChines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D6A"/>
    <w:rsid w:val="000035D4"/>
    <w:rsid w:val="00004F89"/>
    <w:rsid w:val="0000592B"/>
    <w:rsid w:val="0000721D"/>
    <w:rsid w:val="00016F93"/>
    <w:rsid w:val="00021118"/>
    <w:rsid w:val="00021537"/>
    <w:rsid w:val="0002195F"/>
    <w:rsid w:val="00026BC7"/>
    <w:rsid w:val="00027176"/>
    <w:rsid w:val="00040A54"/>
    <w:rsid w:val="000443CF"/>
    <w:rsid w:val="00047614"/>
    <w:rsid w:val="00050D3E"/>
    <w:rsid w:val="00057303"/>
    <w:rsid w:val="00061165"/>
    <w:rsid w:val="00067C64"/>
    <w:rsid w:val="0007586B"/>
    <w:rsid w:val="00081801"/>
    <w:rsid w:val="00081F12"/>
    <w:rsid w:val="00083747"/>
    <w:rsid w:val="00086094"/>
    <w:rsid w:val="00091A72"/>
    <w:rsid w:val="00091A9E"/>
    <w:rsid w:val="000955A0"/>
    <w:rsid w:val="000B2788"/>
    <w:rsid w:val="000B681B"/>
    <w:rsid w:val="000C032B"/>
    <w:rsid w:val="000C0771"/>
    <w:rsid w:val="000C0B7C"/>
    <w:rsid w:val="000C1939"/>
    <w:rsid w:val="000C50F9"/>
    <w:rsid w:val="000C55AF"/>
    <w:rsid w:val="000C5B3C"/>
    <w:rsid w:val="000C7633"/>
    <w:rsid w:val="000D4704"/>
    <w:rsid w:val="000D5A3B"/>
    <w:rsid w:val="000E24FB"/>
    <w:rsid w:val="000F228B"/>
    <w:rsid w:val="00105D27"/>
    <w:rsid w:val="00113383"/>
    <w:rsid w:val="00116FB7"/>
    <w:rsid w:val="001219DE"/>
    <w:rsid w:val="001425DB"/>
    <w:rsid w:val="00143757"/>
    <w:rsid w:val="001461D7"/>
    <w:rsid w:val="00146328"/>
    <w:rsid w:val="001552BD"/>
    <w:rsid w:val="001555B8"/>
    <w:rsid w:val="00156D99"/>
    <w:rsid w:val="001600B0"/>
    <w:rsid w:val="00160545"/>
    <w:rsid w:val="00167F84"/>
    <w:rsid w:val="00173D6A"/>
    <w:rsid w:val="0018453D"/>
    <w:rsid w:val="00191706"/>
    <w:rsid w:val="00194FA7"/>
    <w:rsid w:val="001A174E"/>
    <w:rsid w:val="001A22A7"/>
    <w:rsid w:val="001B702D"/>
    <w:rsid w:val="001D64D2"/>
    <w:rsid w:val="001E4A12"/>
    <w:rsid w:val="001F3116"/>
    <w:rsid w:val="00200D89"/>
    <w:rsid w:val="00201BF7"/>
    <w:rsid w:val="00202370"/>
    <w:rsid w:val="00207F93"/>
    <w:rsid w:val="002126B7"/>
    <w:rsid w:val="00213EF0"/>
    <w:rsid w:val="00214050"/>
    <w:rsid w:val="002140E6"/>
    <w:rsid w:val="00217D12"/>
    <w:rsid w:val="00222E9E"/>
    <w:rsid w:val="00227B18"/>
    <w:rsid w:val="00231610"/>
    <w:rsid w:val="002324AC"/>
    <w:rsid w:val="002368E5"/>
    <w:rsid w:val="00247957"/>
    <w:rsid w:val="002529DE"/>
    <w:rsid w:val="00252C41"/>
    <w:rsid w:val="00260D03"/>
    <w:rsid w:val="0027687E"/>
    <w:rsid w:val="00285B76"/>
    <w:rsid w:val="002A4CCE"/>
    <w:rsid w:val="002A4F96"/>
    <w:rsid w:val="002B1945"/>
    <w:rsid w:val="002B4287"/>
    <w:rsid w:val="002C23EC"/>
    <w:rsid w:val="002C2DC9"/>
    <w:rsid w:val="002C539C"/>
    <w:rsid w:val="002C54B4"/>
    <w:rsid w:val="002C5572"/>
    <w:rsid w:val="002E35D8"/>
    <w:rsid w:val="002E5BF0"/>
    <w:rsid w:val="002E5E46"/>
    <w:rsid w:val="002E7C91"/>
    <w:rsid w:val="002F1D05"/>
    <w:rsid w:val="002F30A5"/>
    <w:rsid w:val="00301580"/>
    <w:rsid w:val="00320B22"/>
    <w:rsid w:val="00324D8D"/>
    <w:rsid w:val="00327306"/>
    <w:rsid w:val="00336B3F"/>
    <w:rsid w:val="00344643"/>
    <w:rsid w:val="003536F9"/>
    <w:rsid w:val="00353A64"/>
    <w:rsid w:val="00354B6B"/>
    <w:rsid w:val="00376E47"/>
    <w:rsid w:val="00377E1D"/>
    <w:rsid w:val="00381165"/>
    <w:rsid w:val="003836F5"/>
    <w:rsid w:val="003907BD"/>
    <w:rsid w:val="003912F2"/>
    <w:rsid w:val="00393D46"/>
    <w:rsid w:val="003943AC"/>
    <w:rsid w:val="00396D8F"/>
    <w:rsid w:val="003A03F8"/>
    <w:rsid w:val="003A44DF"/>
    <w:rsid w:val="003A6C83"/>
    <w:rsid w:val="003A7D6A"/>
    <w:rsid w:val="003B24F2"/>
    <w:rsid w:val="003C1010"/>
    <w:rsid w:val="003C6DD8"/>
    <w:rsid w:val="003C77AA"/>
    <w:rsid w:val="003D56BC"/>
    <w:rsid w:val="003D670B"/>
    <w:rsid w:val="003E12AD"/>
    <w:rsid w:val="003E3D19"/>
    <w:rsid w:val="003E579B"/>
    <w:rsid w:val="003E6E8C"/>
    <w:rsid w:val="003F1A77"/>
    <w:rsid w:val="003F34C2"/>
    <w:rsid w:val="003F5974"/>
    <w:rsid w:val="003F5E63"/>
    <w:rsid w:val="003F78DF"/>
    <w:rsid w:val="00400489"/>
    <w:rsid w:val="00401364"/>
    <w:rsid w:val="00404C36"/>
    <w:rsid w:val="00410BB3"/>
    <w:rsid w:val="00414DEA"/>
    <w:rsid w:val="004216AE"/>
    <w:rsid w:val="00421A04"/>
    <w:rsid w:val="00422ACE"/>
    <w:rsid w:val="0042325C"/>
    <w:rsid w:val="0042348A"/>
    <w:rsid w:val="00430B5D"/>
    <w:rsid w:val="0043309D"/>
    <w:rsid w:val="00433101"/>
    <w:rsid w:val="004334A7"/>
    <w:rsid w:val="00434044"/>
    <w:rsid w:val="00443B91"/>
    <w:rsid w:val="00443DFA"/>
    <w:rsid w:val="004504E0"/>
    <w:rsid w:val="00450F3B"/>
    <w:rsid w:val="004519B3"/>
    <w:rsid w:val="00452F17"/>
    <w:rsid w:val="00465920"/>
    <w:rsid w:val="00466C33"/>
    <w:rsid w:val="00472648"/>
    <w:rsid w:val="00472739"/>
    <w:rsid w:val="00473758"/>
    <w:rsid w:val="00473D6B"/>
    <w:rsid w:val="00474265"/>
    <w:rsid w:val="00480D3B"/>
    <w:rsid w:val="00487724"/>
    <w:rsid w:val="0049779C"/>
    <w:rsid w:val="004A250C"/>
    <w:rsid w:val="004A4EF7"/>
    <w:rsid w:val="004A6D8D"/>
    <w:rsid w:val="004A7A50"/>
    <w:rsid w:val="004B352C"/>
    <w:rsid w:val="004B56AD"/>
    <w:rsid w:val="0050016B"/>
    <w:rsid w:val="00500BE9"/>
    <w:rsid w:val="00501380"/>
    <w:rsid w:val="00501B0F"/>
    <w:rsid w:val="005120DB"/>
    <w:rsid w:val="00517F43"/>
    <w:rsid w:val="00521ED5"/>
    <w:rsid w:val="00525AC2"/>
    <w:rsid w:val="00540600"/>
    <w:rsid w:val="00545652"/>
    <w:rsid w:val="00546297"/>
    <w:rsid w:val="00552448"/>
    <w:rsid w:val="00556104"/>
    <w:rsid w:val="0055636A"/>
    <w:rsid w:val="00557BC5"/>
    <w:rsid w:val="00570B4D"/>
    <w:rsid w:val="005738B4"/>
    <w:rsid w:val="00576CF6"/>
    <w:rsid w:val="005776C9"/>
    <w:rsid w:val="005809B4"/>
    <w:rsid w:val="00585A23"/>
    <w:rsid w:val="005871C6"/>
    <w:rsid w:val="005942EA"/>
    <w:rsid w:val="005A4D4E"/>
    <w:rsid w:val="005B287B"/>
    <w:rsid w:val="005B7586"/>
    <w:rsid w:val="005C2935"/>
    <w:rsid w:val="005D16E0"/>
    <w:rsid w:val="005D4C2D"/>
    <w:rsid w:val="005E087D"/>
    <w:rsid w:val="005E35D2"/>
    <w:rsid w:val="005F052B"/>
    <w:rsid w:val="005F34A6"/>
    <w:rsid w:val="005F5887"/>
    <w:rsid w:val="005F6EA2"/>
    <w:rsid w:val="00605CDB"/>
    <w:rsid w:val="006105F6"/>
    <w:rsid w:val="00623490"/>
    <w:rsid w:val="00624F40"/>
    <w:rsid w:val="00634C1D"/>
    <w:rsid w:val="00640A9C"/>
    <w:rsid w:val="00646FF6"/>
    <w:rsid w:val="00655F59"/>
    <w:rsid w:val="006607B1"/>
    <w:rsid w:val="00662389"/>
    <w:rsid w:val="0066431D"/>
    <w:rsid w:val="00665BA3"/>
    <w:rsid w:val="00666C96"/>
    <w:rsid w:val="006758DE"/>
    <w:rsid w:val="006829F0"/>
    <w:rsid w:val="0068356A"/>
    <w:rsid w:val="00685B7B"/>
    <w:rsid w:val="00690C42"/>
    <w:rsid w:val="006934DF"/>
    <w:rsid w:val="0069495C"/>
    <w:rsid w:val="00694EE9"/>
    <w:rsid w:val="006A2A31"/>
    <w:rsid w:val="006A49ED"/>
    <w:rsid w:val="006A5CEB"/>
    <w:rsid w:val="006A7CBB"/>
    <w:rsid w:val="006B2575"/>
    <w:rsid w:val="006C0063"/>
    <w:rsid w:val="006D2FB0"/>
    <w:rsid w:val="006D3BE5"/>
    <w:rsid w:val="006E62D8"/>
    <w:rsid w:val="006F0692"/>
    <w:rsid w:val="006F5008"/>
    <w:rsid w:val="006F743C"/>
    <w:rsid w:val="007076F4"/>
    <w:rsid w:val="00712825"/>
    <w:rsid w:val="00716B38"/>
    <w:rsid w:val="0072022B"/>
    <w:rsid w:val="0072482C"/>
    <w:rsid w:val="00725203"/>
    <w:rsid w:val="00730766"/>
    <w:rsid w:val="007341FF"/>
    <w:rsid w:val="00757C28"/>
    <w:rsid w:val="00762FDA"/>
    <w:rsid w:val="00767E34"/>
    <w:rsid w:val="00776156"/>
    <w:rsid w:val="00783281"/>
    <w:rsid w:val="00783740"/>
    <w:rsid w:val="007859C8"/>
    <w:rsid w:val="00793FF3"/>
    <w:rsid w:val="007B4DCC"/>
    <w:rsid w:val="007B4FB2"/>
    <w:rsid w:val="007B6BA3"/>
    <w:rsid w:val="007B6DB6"/>
    <w:rsid w:val="007C0845"/>
    <w:rsid w:val="007C26A9"/>
    <w:rsid w:val="007C55A3"/>
    <w:rsid w:val="007C5A4B"/>
    <w:rsid w:val="007D0024"/>
    <w:rsid w:val="007D592D"/>
    <w:rsid w:val="007E5B5E"/>
    <w:rsid w:val="007F061F"/>
    <w:rsid w:val="007F0D29"/>
    <w:rsid w:val="007F57C8"/>
    <w:rsid w:val="0080164C"/>
    <w:rsid w:val="00802362"/>
    <w:rsid w:val="00812DA0"/>
    <w:rsid w:val="0081650A"/>
    <w:rsid w:val="00817DD4"/>
    <w:rsid w:val="00824503"/>
    <w:rsid w:val="0083100B"/>
    <w:rsid w:val="00833DE3"/>
    <w:rsid w:val="008368B0"/>
    <w:rsid w:val="00842013"/>
    <w:rsid w:val="0084430E"/>
    <w:rsid w:val="008609C6"/>
    <w:rsid w:val="008640CE"/>
    <w:rsid w:val="00865184"/>
    <w:rsid w:val="00865566"/>
    <w:rsid w:val="00865D4E"/>
    <w:rsid w:val="00870820"/>
    <w:rsid w:val="008818C8"/>
    <w:rsid w:val="00887BCC"/>
    <w:rsid w:val="00890AE7"/>
    <w:rsid w:val="008919DA"/>
    <w:rsid w:val="008A1990"/>
    <w:rsid w:val="008A1C63"/>
    <w:rsid w:val="008A55D6"/>
    <w:rsid w:val="008A7506"/>
    <w:rsid w:val="008B0FA5"/>
    <w:rsid w:val="008B2EC7"/>
    <w:rsid w:val="008C2C7D"/>
    <w:rsid w:val="008C31C2"/>
    <w:rsid w:val="008D25D2"/>
    <w:rsid w:val="008D4141"/>
    <w:rsid w:val="008E677B"/>
    <w:rsid w:val="008F1027"/>
    <w:rsid w:val="008F1D9C"/>
    <w:rsid w:val="008F2435"/>
    <w:rsid w:val="00902819"/>
    <w:rsid w:val="0090420C"/>
    <w:rsid w:val="00904BDE"/>
    <w:rsid w:val="009070B5"/>
    <w:rsid w:val="00911343"/>
    <w:rsid w:val="00933EF0"/>
    <w:rsid w:val="009477A2"/>
    <w:rsid w:val="00966F76"/>
    <w:rsid w:val="00973344"/>
    <w:rsid w:val="00975F86"/>
    <w:rsid w:val="00982E53"/>
    <w:rsid w:val="00985044"/>
    <w:rsid w:val="00986745"/>
    <w:rsid w:val="00991504"/>
    <w:rsid w:val="00994A66"/>
    <w:rsid w:val="0099754D"/>
    <w:rsid w:val="009A5AF8"/>
    <w:rsid w:val="009B3264"/>
    <w:rsid w:val="009C60F8"/>
    <w:rsid w:val="009C775C"/>
    <w:rsid w:val="009D038F"/>
    <w:rsid w:val="009D1D87"/>
    <w:rsid w:val="009D3481"/>
    <w:rsid w:val="009F5495"/>
    <w:rsid w:val="009F5D57"/>
    <w:rsid w:val="009F665D"/>
    <w:rsid w:val="00A028C0"/>
    <w:rsid w:val="00A02CF4"/>
    <w:rsid w:val="00A118C0"/>
    <w:rsid w:val="00A15ECF"/>
    <w:rsid w:val="00A171D1"/>
    <w:rsid w:val="00A27EBE"/>
    <w:rsid w:val="00A30568"/>
    <w:rsid w:val="00A348EA"/>
    <w:rsid w:val="00A36D75"/>
    <w:rsid w:val="00A439A6"/>
    <w:rsid w:val="00A465A1"/>
    <w:rsid w:val="00A52A2E"/>
    <w:rsid w:val="00A578FE"/>
    <w:rsid w:val="00A618A8"/>
    <w:rsid w:val="00A652AE"/>
    <w:rsid w:val="00A66713"/>
    <w:rsid w:val="00A702A4"/>
    <w:rsid w:val="00A7398F"/>
    <w:rsid w:val="00A74A67"/>
    <w:rsid w:val="00A83A83"/>
    <w:rsid w:val="00A84444"/>
    <w:rsid w:val="00A85C08"/>
    <w:rsid w:val="00AA024C"/>
    <w:rsid w:val="00AA23B2"/>
    <w:rsid w:val="00AA30B4"/>
    <w:rsid w:val="00AA3412"/>
    <w:rsid w:val="00AA5E50"/>
    <w:rsid w:val="00AC2660"/>
    <w:rsid w:val="00AD19C7"/>
    <w:rsid w:val="00AD268D"/>
    <w:rsid w:val="00AD29F8"/>
    <w:rsid w:val="00AD59D0"/>
    <w:rsid w:val="00AE0D25"/>
    <w:rsid w:val="00AE1322"/>
    <w:rsid w:val="00AE321F"/>
    <w:rsid w:val="00AE4FD9"/>
    <w:rsid w:val="00AE556D"/>
    <w:rsid w:val="00AF0D05"/>
    <w:rsid w:val="00B171FD"/>
    <w:rsid w:val="00B23C82"/>
    <w:rsid w:val="00B26149"/>
    <w:rsid w:val="00B31A66"/>
    <w:rsid w:val="00B3406C"/>
    <w:rsid w:val="00B47383"/>
    <w:rsid w:val="00B60F80"/>
    <w:rsid w:val="00B71A02"/>
    <w:rsid w:val="00B731BD"/>
    <w:rsid w:val="00B745E9"/>
    <w:rsid w:val="00B7462D"/>
    <w:rsid w:val="00B7696C"/>
    <w:rsid w:val="00B77456"/>
    <w:rsid w:val="00B81ECF"/>
    <w:rsid w:val="00B87D13"/>
    <w:rsid w:val="00BB1FF8"/>
    <w:rsid w:val="00BB3C46"/>
    <w:rsid w:val="00BC2F5D"/>
    <w:rsid w:val="00BC4DC2"/>
    <w:rsid w:val="00BC663C"/>
    <w:rsid w:val="00BC7C4B"/>
    <w:rsid w:val="00BD05C6"/>
    <w:rsid w:val="00BE1E5F"/>
    <w:rsid w:val="00BF4663"/>
    <w:rsid w:val="00BF4E4C"/>
    <w:rsid w:val="00BF72A1"/>
    <w:rsid w:val="00C01F47"/>
    <w:rsid w:val="00C03F33"/>
    <w:rsid w:val="00C04AAD"/>
    <w:rsid w:val="00C05285"/>
    <w:rsid w:val="00C06048"/>
    <w:rsid w:val="00C0626B"/>
    <w:rsid w:val="00C1177F"/>
    <w:rsid w:val="00C22101"/>
    <w:rsid w:val="00C24E7B"/>
    <w:rsid w:val="00C34932"/>
    <w:rsid w:val="00C43EC1"/>
    <w:rsid w:val="00C505CB"/>
    <w:rsid w:val="00C52802"/>
    <w:rsid w:val="00C67682"/>
    <w:rsid w:val="00C7283E"/>
    <w:rsid w:val="00C734B5"/>
    <w:rsid w:val="00C744AC"/>
    <w:rsid w:val="00C80B97"/>
    <w:rsid w:val="00C81A20"/>
    <w:rsid w:val="00C82331"/>
    <w:rsid w:val="00C867CC"/>
    <w:rsid w:val="00CB7693"/>
    <w:rsid w:val="00CE09FD"/>
    <w:rsid w:val="00CE17E6"/>
    <w:rsid w:val="00CE5CBF"/>
    <w:rsid w:val="00CF4056"/>
    <w:rsid w:val="00D06426"/>
    <w:rsid w:val="00D10C89"/>
    <w:rsid w:val="00D12EFD"/>
    <w:rsid w:val="00D14684"/>
    <w:rsid w:val="00D15201"/>
    <w:rsid w:val="00D20262"/>
    <w:rsid w:val="00D238C5"/>
    <w:rsid w:val="00D25B50"/>
    <w:rsid w:val="00D4028A"/>
    <w:rsid w:val="00D539E5"/>
    <w:rsid w:val="00D57860"/>
    <w:rsid w:val="00D646F9"/>
    <w:rsid w:val="00D71CAF"/>
    <w:rsid w:val="00D76E01"/>
    <w:rsid w:val="00D80538"/>
    <w:rsid w:val="00D80BFC"/>
    <w:rsid w:val="00D8241F"/>
    <w:rsid w:val="00D83A77"/>
    <w:rsid w:val="00D841C5"/>
    <w:rsid w:val="00D84A87"/>
    <w:rsid w:val="00D87EC9"/>
    <w:rsid w:val="00DA1F15"/>
    <w:rsid w:val="00DB19B2"/>
    <w:rsid w:val="00DC03CD"/>
    <w:rsid w:val="00DC1083"/>
    <w:rsid w:val="00DD4BE7"/>
    <w:rsid w:val="00DE0F48"/>
    <w:rsid w:val="00DE5D94"/>
    <w:rsid w:val="00DF5BCD"/>
    <w:rsid w:val="00E063A2"/>
    <w:rsid w:val="00E11E9B"/>
    <w:rsid w:val="00E12BC2"/>
    <w:rsid w:val="00E15F36"/>
    <w:rsid w:val="00E17D5F"/>
    <w:rsid w:val="00E345CB"/>
    <w:rsid w:val="00E3466B"/>
    <w:rsid w:val="00E432C7"/>
    <w:rsid w:val="00E55D80"/>
    <w:rsid w:val="00E613BE"/>
    <w:rsid w:val="00E61D4C"/>
    <w:rsid w:val="00E64FE0"/>
    <w:rsid w:val="00E6685B"/>
    <w:rsid w:val="00E7286A"/>
    <w:rsid w:val="00E73172"/>
    <w:rsid w:val="00E7454A"/>
    <w:rsid w:val="00E82CE7"/>
    <w:rsid w:val="00E95B24"/>
    <w:rsid w:val="00E978CF"/>
    <w:rsid w:val="00EB0FDD"/>
    <w:rsid w:val="00EC2513"/>
    <w:rsid w:val="00EC6D11"/>
    <w:rsid w:val="00EC71E3"/>
    <w:rsid w:val="00ED1BF4"/>
    <w:rsid w:val="00ED3915"/>
    <w:rsid w:val="00ED3AA0"/>
    <w:rsid w:val="00ED6B64"/>
    <w:rsid w:val="00ED7BDE"/>
    <w:rsid w:val="00EF3453"/>
    <w:rsid w:val="00F11E37"/>
    <w:rsid w:val="00F157DC"/>
    <w:rsid w:val="00F201BA"/>
    <w:rsid w:val="00F259FD"/>
    <w:rsid w:val="00F3263A"/>
    <w:rsid w:val="00F33978"/>
    <w:rsid w:val="00F33DA1"/>
    <w:rsid w:val="00F42302"/>
    <w:rsid w:val="00F42F87"/>
    <w:rsid w:val="00F46EBF"/>
    <w:rsid w:val="00F46FA1"/>
    <w:rsid w:val="00F56749"/>
    <w:rsid w:val="00F5710A"/>
    <w:rsid w:val="00F65695"/>
    <w:rsid w:val="00F70250"/>
    <w:rsid w:val="00F82735"/>
    <w:rsid w:val="00F907E7"/>
    <w:rsid w:val="00F93217"/>
    <w:rsid w:val="00FB593E"/>
    <w:rsid w:val="00FC74C0"/>
    <w:rsid w:val="00FD42BA"/>
    <w:rsid w:val="00FD7D99"/>
    <w:rsid w:val="00FE37B1"/>
    <w:rsid w:val="00FE7708"/>
    <w:rsid w:val="00FF4A35"/>
    <w:rsid w:val="01B81CE2"/>
    <w:rsid w:val="033D1ADE"/>
    <w:rsid w:val="035D7E14"/>
    <w:rsid w:val="040C73CB"/>
    <w:rsid w:val="045839DA"/>
    <w:rsid w:val="04DB5D4A"/>
    <w:rsid w:val="04DF2EFF"/>
    <w:rsid w:val="05D639A0"/>
    <w:rsid w:val="063F594E"/>
    <w:rsid w:val="064871FF"/>
    <w:rsid w:val="064C0A5C"/>
    <w:rsid w:val="068F0BD1"/>
    <w:rsid w:val="06C70D2A"/>
    <w:rsid w:val="0C504349"/>
    <w:rsid w:val="0D6772EA"/>
    <w:rsid w:val="103551A4"/>
    <w:rsid w:val="113B40CD"/>
    <w:rsid w:val="11471B69"/>
    <w:rsid w:val="12520CC5"/>
    <w:rsid w:val="14A46FED"/>
    <w:rsid w:val="14BB33D5"/>
    <w:rsid w:val="150C2D10"/>
    <w:rsid w:val="1635647F"/>
    <w:rsid w:val="16431529"/>
    <w:rsid w:val="174A7487"/>
    <w:rsid w:val="17D55785"/>
    <w:rsid w:val="19484788"/>
    <w:rsid w:val="1ABB0DE6"/>
    <w:rsid w:val="1B554868"/>
    <w:rsid w:val="1D035828"/>
    <w:rsid w:val="1DFE0F43"/>
    <w:rsid w:val="1E9217B7"/>
    <w:rsid w:val="1EE47F3C"/>
    <w:rsid w:val="1F8232BD"/>
    <w:rsid w:val="1F9B4FC1"/>
    <w:rsid w:val="223072DB"/>
    <w:rsid w:val="22EA6D49"/>
    <w:rsid w:val="238A69DF"/>
    <w:rsid w:val="25656861"/>
    <w:rsid w:val="277E48B8"/>
    <w:rsid w:val="27C24AC7"/>
    <w:rsid w:val="286D07E3"/>
    <w:rsid w:val="298320FC"/>
    <w:rsid w:val="29DE6022"/>
    <w:rsid w:val="2AC245A4"/>
    <w:rsid w:val="2CDC0FA6"/>
    <w:rsid w:val="2D6A329F"/>
    <w:rsid w:val="2E863561"/>
    <w:rsid w:val="2E8B2616"/>
    <w:rsid w:val="32C96AE2"/>
    <w:rsid w:val="353311E0"/>
    <w:rsid w:val="35B6712B"/>
    <w:rsid w:val="386F1751"/>
    <w:rsid w:val="388727CC"/>
    <w:rsid w:val="3A386910"/>
    <w:rsid w:val="3A985990"/>
    <w:rsid w:val="3AA12ABC"/>
    <w:rsid w:val="3AA17B8A"/>
    <w:rsid w:val="3C790619"/>
    <w:rsid w:val="40AE3B64"/>
    <w:rsid w:val="421538F8"/>
    <w:rsid w:val="44C766E4"/>
    <w:rsid w:val="467B6139"/>
    <w:rsid w:val="4A416461"/>
    <w:rsid w:val="4A865BC2"/>
    <w:rsid w:val="4B5814AC"/>
    <w:rsid w:val="4BFE27C7"/>
    <w:rsid w:val="4E2D55D0"/>
    <w:rsid w:val="523320E9"/>
    <w:rsid w:val="525C0D2F"/>
    <w:rsid w:val="52B626C2"/>
    <w:rsid w:val="53D5765E"/>
    <w:rsid w:val="56571534"/>
    <w:rsid w:val="56EE2D2C"/>
    <w:rsid w:val="588B5A36"/>
    <w:rsid w:val="5E660CF1"/>
    <w:rsid w:val="617C17FC"/>
    <w:rsid w:val="61AF0D51"/>
    <w:rsid w:val="61D9062B"/>
    <w:rsid w:val="6206395E"/>
    <w:rsid w:val="630B320C"/>
    <w:rsid w:val="65565350"/>
    <w:rsid w:val="65886E23"/>
    <w:rsid w:val="65E14B8C"/>
    <w:rsid w:val="66290A3A"/>
    <w:rsid w:val="66375CC2"/>
    <w:rsid w:val="66E32558"/>
    <w:rsid w:val="67B87994"/>
    <w:rsid w:val="67E74384"/>
    <w:rsid w:val="68A55A3C"/>
    <w:rsid w:val="68A66B57"/>
    <w:rsid w:val="68C208A9"/>
    <w:rsid w:val="69303421"/>
    <w:rsid w:val="6936532B"/>
    <w:rsid w:val="6C4576D1"/>
    <w:rsid w:val="6D2B014C"/>
    <w:rsid w:val="706C682A"/>
    <w:rsid w:val="7167651A"/>
    <w:rsid w:val="739F47C1"/>
    <w:rsid w:val="74703F13"/>
    <w:rsid w:val="76203C5A"/>
    <w:rsid w:val="78715728"/>
    <w:rsid w:val="7A373D8F"/>
    <w:rsid w:val="7AC22EC9"/>
    <w:rsid w:val="7B870239"/>
    <w:rsid w:val="7BE965F6"/>
    <w:rsid w:val="7C1D452E"/>
    <w:rsid w:val="7C594D62"/>
    <w:rsid w:val="7D5C5EC3"/>
    <w:rsid w:val="7DF42531"/>
    <w:rsid w:val="7E395114"/>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uiPriority="0" w:unhideWhenUsed="0" w:qFormat="1"/>
    <w:lsdException w:name="annotation text" w:semiHidden="0" w:uiPriority="0" w:unhideWhenUsed="0" w:qFormat="1"/>
    <w:lsdException w:name="header" w:semiHidden="0" w:uiPriority="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qFormat="1"/>
    <w:lsdException w:name="Table Grid" w:semiHidden="0" w:uiPriority="59" w:unhideWhenUsed="0" w:qFormat="1"/>
    <w:lsdException w:name="Table Theme" w:semiHidden="0" w:uiPriority="0"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60" w:lineRule="exact"/>
      <w:ind w:firstLine="200" w:firstLineChars="200"/>
      <w:jc w:val="both"/>
    </w:pPr>
    <w:rPr>
      <w:rFonts w:ascii="Calibri" w:eastAsia="宋体" w:hAnsi="Calibri" w:cs="Times New Roman"/>
      <w:kern w:val="2"/>
      <w:sz w:val="24"/>
      <w:lang w:val="en-US" w:eastAsia="zh-CN" w:bidi="ar-SA"/>
    </w:rPr>
  </w:style>
  <w:style w:type="paragraph" w:styleId="Heading1">
    <w:name w:val="heading 1"/>
    <w:basedOn w:val="Normal"/>
    <w:next w:val="Normal"/>
    <w:link w:val="1Char"/>
    <w:autoRedefine/>
    <w:uiPriority w:val="9"/>
    <w:qFormat/>
    <w:pPr>
      <w:keepNext/>
      <w:keepLines/>
      <w:spacing w:before="50" w:beforeLines="50" w:after="50" w:afterLines="50"/>
      <w:outlineLvl w:val="0"/>
    </w:pPr>
    <w:rPr>
      <w:rFonts w:eastAsia="黑体"/>
      <w:b/>
      <w:bCs/>
      <w:kern w:val="44"/>
      <w:szCs w:val="44"/>
    </w:rPr>
  </w:style>
  <w:style w:type="paragraph" w:styleId="Heading2">
    <w:name w:val="heading 2"/>
    <w:basedOn w:val="Normal"/>
    <w:next w:val="Normal"/>
    <w:link w:val="2Char"/>
    <w:autoRedefine/>
    <w:uiPriority w:val="9"/>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autoRedefine/>
    <w:uiPriority w:val="9"/>
    <w:qFormat/>
    <w:pPr>
      <w:keepNext/>
      <w:keepLines/>
      <w:spacing w:before="260" w:after="260" w:line="416" w:lineRule="auto"/>
      <w:outlineLvl w:val="2"/>
    </w:pPr>
    <w:rPr>
      <w:b/>
      <w:bCs/>
      <w:sz w:val="32"/>
      <w:szCs w:val="32"/>
    </w:rPr>
  </w:style>
  <w:style w:type="paragraph" w:styleId="Heading4">
    <w:name w:val="heading 4"/>
    <w:basedOn w:val="Normal"/>
    <w:next w:val="Normal"/>
    <w:link w:val="4Char"/>
    <w:autoRedefine/>
    <w:uiPriority w:val="9"/>
    <w:qFormat/>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autoRedefine/>
    <w:qFormat/>
    <w:pPr>
      <w:jc w:val="left"/>
    </w:pPr>
  </w:style>
  <w:style w:type="paragraph" w:styleId="BodyTextIndent">
    <w:name w:val="Body Text Indent"/>
    <w:basedOn w:val="Normal"/>
    <w:autoRedefine/>
    <w:qFormat/>
    <w:pPr>
      <w:wordWrap w:val="0"/>
      <w:overflowPunct w:val="0"/>
      <w:autoSpaceDE w:val="0"/>
      <w:autoSpaceDN w:val="0"/>
      <w:adjustRightInd w:val="0"/>
      <w:spacing w:line="440" w:lineRule="exact"/>
      <w:ind w:firstLine="480"/>
      <w:jc w:val="left"/>
    </w:pPr>
    <w:rPr>
      <w:rFonts w:ascii="宋体"/>
      <w:snapToGrid w:val="0"/>
      <w:color w:val="000000"/>
      <w:kern w:val="0"/>
    </w:rPr>
  </w:style>
  <w:style w:type="paragraph" w:styleId="TOC3">
    <w:name w:val="toc 3"/>
    <w:basedOn w:val="Normal"/>
    <w:next w:val="Normal"/>
    <w:autoRedefine/>
    <w:uiPriority w:val="39"/>
    <w:qFormat/>
    <w:pPr>
      <w:ind w:left="840" w:leftChars="400"/>
    </w:pPr>
  </w:style>
  <w:style w:type="paragraph" w:styleId="Date">
    <w:name w:val="Date"/>
    <w:basedOn w:val="Normal"/>
    <w:next w:val="Normal"/>
    <w:link w:val="Char0"/>
    <w:autoRedefine/>
    <w:uiPriority w:val="99"/>
    <w:unhideWhenUsed/>
    <w:qFormat/>
    <w:pPr>
      <w:ind w:left="100" w:leftChars="2500"/>
    </w:pPr>
    <w:rPr>
      <w:szCs w:val="22"/>
    </w:rPr>
  </w:style>
  <w:style w:type="paragraph" w:styleId="EndnoteText">
    <w:name w:val="endnote text"/>
    <w:basedOn w:val="Normal"/>
    <w:link w:val="Char5"/>
    <w:autoRedefine/>
    <w:qFormat/>
    <w:pPr>
      <w:snapToGrid w:val="0"/>
      <w:jc w:val="left"/>
    </w:pPr>
  </w:style>
  <w:style w:type="paragraph" w:styleId="BalloonText">
    <w:name w:val="Balloon Text"/>
    <w:basedOn w:val="Normal"/>
    <w:link w:val="Char1"/>
    <w:autoRedefine/>
    <w:uiPriority w:val="99"/>
    <w:unhideWhenUsed/>
    <w:qFormat/>
    <w:rPr>
      <w:sz w:val="18"/>
      <w:szCs w:val="18"/>
    </w:rPr>
  </w:style>
  <w:style w:type="paragraph" w:styleId="Footer">
    <w:name w:val="footer"/>
    <w:basedOn w:val="Normal"/>
    <w:link w:val="Char"/>
    <w:autoRedefine/>
    <w:uiPriority w:val="99"/>
    <w:unhideWhenUsed/>
    <w:qFormat/>
    <w:pPr>
      <w:tabs>
        <w:tab w:val="center" w:pos="4153"/>
        <w:tab w:val="right" w:pos="8306"/>
      </w:tabs>
      <w:snapToGrid w:val="0"/>
      <w:jc w:val="left"/>
    </w:pPr>
    <w:rPr>
      <w:sz w:val="18"/>
    </w:rPr>
  </w:style>
  <w:style w:type="paragraph" w:styleId="Header">
    <w:name w:val="header"/>
    <w:basedOn w:val="Normal"/>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autoRedefine/>
    <w:uiPriority w:val="39"/>
    <w:qFormat/>
  </w:style>
  <w:style w:type="paragraph" w:styleId="Subtitle">
    <w:name w:val="Subtitle"/>
    <w:basedOn w:val="Normal"/>
    <w:next w:val="Normal"/>
    <w:link w:val="Char3"/>
    <w:autoRedefine/>
    <w:qFormat/>
    <w:pPr>
      <w:spacing w:before="50" w:beforeLines="50" w:after="50" w:afterLines="50"/>
      <w:ind w:firstLine="0" w:firstLineChars="0"/>
      <w:jc w:val="left"/>
      <w:outlineLvl w:val="1"/>
    </w:pPr>
    <w:rPr>
      <w:rFonts w:eastAsia="黑体" w:asciiTheme="majorHAnsi" w:hAnsiTheme="majorHAnsi" w:cstheme="majorBidi"/>
      <w:b/>
      <w:bCs/>
      <w:kern w:val="28"/>
      <w:sz w:val="28"/>
      <w:szCs w:val="32"/>
    </w:rPr>
  </w:style>
  <w:style w:type="paragraph" w:styleId="FootnoteText">
    <w:name w:val="footnote text"/>
    <w:basedOn w:val="Normal"/>
    <w:autoRedefine/>
    <w:semiHidden/>
    <w:qFormat/>
    <w:pPr>
      <w:snapToGrid w:val="0"/>
      <w:jc w:val="left"/>
    </w:pPr>
    <w:rPr>
      <w:sz w:val="18"/>
      <w:szCs w:val="18"/>
    </w:rPr>
  </w:style>
  <w:style w:type="paragraph" w:styleId="TOC2">
    <w:name w:val="toc 2"/>
    <w:basedOn w:val="Normal"/>
    <w:next w:val="Normal"/>
    <w:autoRedefine/>
    <w:uiPriority w:val="39"/>
    <w:qFormat/>
    <w:pPr>
      <w:ind w:left="420" w:leftChars="200"/>
    </w:pPr>
  </w:style>
  <w:style w:type="paragraph" w:styleId="NormalWeb">
    <w:name w:val="Normal (Web)"/>
    <w:basedOn w:val="Normal"/>
    <w:autoRedefine/>
    <w:qFormat/>
    <w:pPr>
      <w:widowControl/>
      <w:spacing w:before="100" w:beforeAutospacing="1" w:after="100" w:afterAutospacing="1"/>
      <w:jc w:val="left"/>
    </w:pPr>
    <w:rPr>
      <w:rFonts w:ascii="宋体" w:hAnsi="宋体" w:cs="宋体"/>
      <w:kern w:val="0"/>
      <w:szCs w:val="24"/>
    </w:rPr>
  </w:style>
  <w:style w:type="paragraph" w:styleId="Title">
    <w:name w:val="Title"/>
    <w:basedOn w:val="Normal"/>
    <w:next w:val="Normal"/>
    <w:link w:val="Char2"/>
    <w:autoRedefine/>
    <w:qFormat/>
    <w:pPr>
      <w:spacing w:before="80" w:beforeLines="80" w:after="50" w:afterLines="50"/>
      <w:ind w:firstLine="0" w:firstLineChars="0"/>
      <w:jc w:val="left"/>
      <w:outlineLvl w:val="0"/>
    </w:pPr>
    <w:rPr>
      <w:rFonts w:eastAsia="黑体" w:asciiTheme="majorHAnsi" w:hAnsiTheme="majorHAnsi" w:cstheme="majorBidi"/>
      <w:b/>
      <w:bCs/>
      <w:sz w:val="36"/>
      <w:szCs w:val="32"/>
    </w:rPr>
  </w:style>
  <w:style w:type="table" w:styleId="TableGrid">
    <w:name w:val="Table Grid"/>
    <w:basedOn w:val="TableNormal"/>
    <w:autoRedefine/>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basedOn w:val="DefaultParagraphFont"/>
    <w:autoRedefine/>
    <w:qFormat/>
    <w:rPr>
      <w:vertAlign w:val="superscript"/>
    </w:rPr>
  </w:style>
  <w:style w:type="character" w:styleId="PageNumber">
    <w:name w:val="page number"/>
    <w:basedOn w:val="DefaultParagraphFont"/>
    <w:autoRedefine/>
    <w:qFormat/>
  </w:style>
  <w:style w:type="character" w:styleId="Hyperlink">
    <w:name w:val="Hyperlink"/>
    <w:autoRedefine/>
    <w:uiPriority w:val="99"/>
    <w:qFormat/>
    <w:rPr>
      <w:color w:val="0000FF"/>
      <w:u w:val="single"/>
    </w:rPr>
  </w:style>
  <w:style w:type="character" w:styleId="CommentReference">
    <w:name w:val="annotation reference"/>
    <w:basedOn w:val="DefaultParagraphFont"/>
    <w:autoRedefine/>
    <w:qFormat/>
    <w:rPr>
      <w:sz w:val="21"/>
      <w:szCs w:val="21"/>
    </w:rPr>
  </w:style>
  <w:style w:type="character" w:styleId="FootnoteReference">
    <w:name w:val="footnote reference"/>
    <w:autoRedefine/>
    <w:semiHidden/>
    <w:qFormat/>
    <w:rPr>
      <w:vertAlign w:val="superscript"/>
    </w:rPr>
  </w:style>
  <w:style w:type="character" w:customStyle="1" w:styleId="2Char">
    <w:name w:val="标题 2 Char"/>
    <w:link w:val="Heading2"/>
    <w:autoRedefine/>
    <w:uiPriority w:val="9"/>
    <w:qFormat/>
    <w:rPr>
      <w:rFonts w:ascii="Arial" w:eastAsia="黑体" w:hAnsi="Arial"/>
      <w:b/>
      <w:bCs/>
      <w:kern w:val="2"/>
      <w:sz w:val="32"/>
      <w:szCs w:val="32"/>
      <w:lang w:val="en-US" w:eastAsia="zh-CN" w:bidi="ar-SA"/>
    </w:rPr>
  </w:style>
  <w:style w:type="character" w:customStyle="1" w:styleId="Char">
    <w:name w:val="页脚 Char"/>
    <w:link w:val="Footer"/>
    <w:autoRedefine/>
    <w:uiPriority w:val="99"/>
    <w:qFormat/>
    <w:rPr>
      <w:rFonts w:eastAsia="宋体"/>
      <w:kern w:val="2"/>
      <w:sz w:val="18"/>
      <w:lang w:bidi="ar-SA"/>
    </w:rPr>
  </w:style>
  <w:style w:type="character" w:customStyle="1" w:styleId="1Char">
    <w:name w:val="标题 1 Char"/>
    <w:link w:val="Heading1"/>
    <w:autoRedefine/>
    <w:uiPriority w:val="9"/>
    <w:qFormat/>
    <w:rPr>
      <w:rFonts w:eastAsia="黑体"/>
      <w:b/>
      <w:bCs/>
      <w:kern w:val="44"/>
      <w:sz w:val="24"/>
      <w:szCs w:val="44"/>
    </w:rPr>
  </w:style>
  <w:style w:type="character" w:customStyle="1" w:styleId="Char0">
    <w:name w:val="日期 Char"/>
    <w:link w:val="Date"/>
    <w:autoRedefine/>
    <w:uiPriority w:val="99"/>
    <w:qFormat/>
    <w:rPr>
      <w:kern w:val="2"/>
      <w:sz w:val="21"/>
      <w:szCs w:val="22"/>
    </w:rPr>
  </w:style>
  <w:style w:type="character" w:customStyle="1" w:styleId="Char1">
    <w:name w:val="批注框文本 Char"/>
    <w:link w:val="BalloonText"/>
    <w:autoRedefine/>
    <w:uiPriority w:val="99"/>
    <w:qFormat/>
    <w:rPr>
      <w:kern w:val="2"/>
      <w:sz w:val="18"/>
      <w:szCs w:val="18"/>
    </w:rPr>
  </w:style>
  <w:style w:type="character" w:customStyle="1" w:styleId="4Char">
    <w:name w:val="标题 4 Char"/>
    <w:link w:val="Heading4"/>
    <w:autoRedefine/>
    <w:uiPriority w:val="9"/>
    <w:qFormat/>
    <w:rPr>
      <w:rFonts w:ascii="Arial" w:eastAsia="黑体" w:hAnsi="Arial"/>
      <w:b/>
      <w:bCs/>
      <w:kern w:val="2"/>
      <w:sz w:val="28"/>
      <w:szCs w:val="28"/>
      <w:lang w:val="en-US" w:eastAsia="zh-CN" w:bidi="ar-SA"/>
    </w:rPr>
  </w:style>
  <w:style w:type="character" w:styleId="PlaceholderText">
    <w:name w:val="Placeholder Text"/>
    <w:autoRedefine/>
    <w:uiPriority w:val="99"/>
    <w:semiHidden/>
    <w:qFormat/>
    <w:rPr>
      <w:color w:val="808080"/>
    </w:rPr>
  </w:style>
  <w:style w:type="character" w:customStyle="1" w:styleId="3Char">
    <w:name w:val="标题 3 Char"/>
    <w:link w:val="Heading3"/>
    <w:autoRedefine/>
    <w:uiPriority w:val="9"/>
    <w:qFormat/>
    <w:rPr>
      <w:rFonts w:eastAsia="宋体"/>
      <w:b/>
      <w:bCs/>
      <w:kern w:val="2"/>
      <w:sz w:val="32"/>
      <w:szCs w:val="32"/>
      <w:lang w:val="en-US" w:eastAsia="zh-CN" w:bidi="ar-SA"/>
    </w:rPr>
  </w:style>
  <w:style w:type="paragraph" w:styleId="NoSpacing">
    <w:name w:val="No Spacing"/>
    <w:autoRedefine/>
    <w:uiPriority w:val="1"/>
    <w:qFormat/>
    <w:pPr>
      <w:widowControl w:val="0"/>
      <w:jc w:val="both"/>
    </w:pPr>
    <w:rPr>
      <w:rFonts w:ascii="Calibri" w:eastAsia="宋体" w:hAnsi="Calibri" w:cs="Times New Roman"/>
      <w:kern w:val="2"/>
      <w:sz w:val="21"/>
      <w:szCs w:val="22"/>
      <w:lang w:val="en-US" w:eastAsia="zh-CN" w:bidi="ar-SA"/>
    </w:rPr>
  </w:style>
  <w:style w:type="paragraph" w:styleId="ListParagraph">
    <w:name w:val="List Paragraph"/>
    <w:basedOn w:val="Normal"/>
    <w:autoRedefine/>
    <w:uiPriority w:val="34"/>
    <w:qFormat/>
    <w:pPr>
      <w:ind w:firstLine="420"/>
    </w:pPr>
    <w:rPr>
      <w:szCs w:val="22"/>
    </w:rPr>
  </w:style>
  <w:style w:type="character" w:customStyle="1" w:styleId="Char2">
    <w:name w:val="标题 Char"/>
    <w:basedOn w:val="DefaultParagraphFont"/>
    <w:link w:val="Title"/>
    <w:autoRedefine/>
    <w:qFormat/>
    <w:rPr>
      <w:rFonts w:eastAsia="黑体" w:asciiTheme="majorHAnsi" w:hAnsiTheme="majorHAnsi" w:cstheme="majorBidi"/>
      <w:b/>
      <w:bCs/>
      <w:kern w:val="2"/>
      <w:sz w:val="36"/>
      <w:szCs w:val="32"/>
    </w:rPr>
  </w:style>
  <w:style w:type="character" w:customStyle="1" w:styleId="Char3">
    <w:name w:val="副标题 Char"/>
    <w:basedOn w:val="DefaultParagraphFont"/>
    <w:link w:val="Subtitle"/>
    <w:autoRedefine/>
    <w:qFormat/>
    <w:rPr>
      <w:rFonts w:eastAsia="黑体" w:asciiTheme="majorHAnsi" w:hAnsiTheme="majorHAnsi" w:cstheme="majorBidi"/>
      <w:b/>
      <w:bCs/>
      <w:kern w:val="28"/>
      <w:sz w:val="28"/>
      <w:szCs w:val="32"/>
    </w:rPr>
  </w:style>
  <w:style w:type="paragraph" w:customStyle="1" w:styleId="a">
    <w:name w:val="四级标题"/>
    <w:basedOn w:val="Normal"/>
    <w:link w:val="Char4"/>
    <w:autoRedefine/>
    <w:qFormat/>
    <w:pPr>
      <w:spacing w:before="50" w:beforeLines="50" w:after="50" w:afterLines="50"/>
      <w:jc w:val="left"/>
    </w:pPr>
    <w:rPr>
      <w:rFonts w:ascii="黑体" w:eastAsia="黑体" w:hAnsi="黑体"/>
      <w:bCs/>
      <w:szCs w:val="24"/>
    </w:rPr>
  </w:style>
  <w:style w:type="paragraph" w:customStyle="1" w:styleId="TOC10">
    <w:name w:val="TOC 标题1"/>
    <w:basedOn w:val="Heading1"/>
    <w:next w:val="Normal"/>
    <w:autoRedefine/>
    <w:uiPriority w:val="39"/>
    <w:semiHidden/>
    <w:unhideWhenUsed/>
    <w:qFormat/>
    <w:pPr>
      <w:widowControl/>
      <w:spacing w:before="480" w:beforeLines="0" w:after="0" w:afterLines="0" w:line="276" w:lineRule="auto"/>
      <w:ind w:firstLine="0" w:firstLineChars="0"/>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Char4">
    <w:name w:val="四级标题 Char"/>
    <w:basedOn w:val="DefaultParagraphFont"/>
    <w:link w:val="a"/>
    <w:autoRedefine/>
    <w:qFormat/>
    <w:rPr>
      <w:rFonts w:ascii="黑体" w:eastAsia="黑体" w:hAnsi="黑体"/>
      <w:bCs/>
      <w:kern w:val="2"/>
      <w:sz w:val="24"/>
      <w:szCs w:val="24"/>
    </w:rPr>
  </w:style>
  <w:style w:type="character" w:customStyle="1" w:styleId="Char5">
    <w:name w:val="尾注文本 Char"/>
    <w:basedOn w:val="DefaultParagraphFont"/>
    <w:link w:val="EndnoteText"/>
    <w:autoRedefine/>
    <w:qFormat/>
    <w:rPr>
      <w:kern w:val="2"/>
      <w:sz w:val="24"/>
    </w:rPr>
  </w:style>
  <w:style w:type="paragraph" w:customStyle="1" w:styleId="TOC20">
    <w:name w:val="TOC 标题2"/>
    <w:basedOn w:val="Heading1"/>
    <w:next w:val="Normal"/>
    <w:autoRedefine/>
    <w:uiPriority w:val="39"/>
    <w:semiHidden/>
    <w:unhideWhenUsed/>
    <w:qFormat/>
    <w:pPr>
      <w:widowControl/>
      <w:spacing w:before="480" w:beforeLines="0" w:after="0" w:afterLines="0" w:line="276" w:lineRule="auto"/>
      <w:ind w:firstLine="0" w:firstLineChars="0"/>
      <w:jc w:val="left"/>
      <w:outlineLvl w:val="9"/>
    </w:pPr>
    <w:rPr>
      <w:rFonts w:asciiTheme="majorHAnsi" w:eastAsiaTheme="majorEastAsia" w:hAnsiTheme="majorHAnsi" w:cstheme="majorBidi"/>
      <w:color w:val="376092"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yperlink" Target="https://d.book118.com/537065041151006034" TargetMode="Externa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61C846-054A-4C0C-8B32-6D0FB2FD4FB5}">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3131</Words>
  <Characters>17848</Characters>
  <Application>Microsoft Office Word</Application>
  <DocSecurity>0</DocSecurity>
  <Lines>148</Lines>
  <Paragraphs>41</Paragraphs>
  <ScaleCrop>false</ScaleCrop>
  <Company/>
  <LinksUpToDate>false</LinksUpToDate>
  <CharactersWithSpaces>20938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山西农业大学信息学院</dc:title>
  <dc:creator>erbao</dc:creator>
  <cp:lastModifiedBy>ABEEL</cp:lastModifiedBy>
  <cp:revision>2</cp:revision>
  <cp:lastPrinted>2017-05-31T08:53:00Z</cp:lastPrinted>
  <dcterms:created xsi:type="dcterms:W3CDTF">2021-05-11T02:21:00Z</dcterms:created>
  <dcterms:modified xsi:type="dcterms:W3CDTF">2024-01-26T14:06:04Z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81285A64928E4FA9B3D2F5EF5BB39CFB_13</vt:lpwstr>
  </property>
  <property fmtid="{D5CDD505-2E9C-101B-9397-08002B2CF9AE}" pid="3" name="KSOProductBuildVer">
    <vt:lpwstr>2052-12.1.0.16120</vt:lpwstr>
  </property>
</Properties>
</file>