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09" w:line="289" w:lineRule="auto"/>
        <w:ind w:left="44" w:right="7361" w:hanging="4"/>
        <w:outlineLvl w:val="0"/>
        <w:rPr>
          <w:sz w:val="31"/>
          <w:szCs w:val="31"/>
        </w:rPr>
      </w:pPr>
      <w:r>
        <w:rPr>
          <w:rFonts w:ascii="SimHei" w:eastAsia="SimHei" w:hAnsi="SimHei" w:cs="SimHei"/>
          <w:position w:val="-7"/>
          <w:sz w:val="48"/>
          <w:szCs w:val="48"/>
        </w:rPr>
        <w:drawing>
          <wp:inline distT="0" distB="0" distL="0" distR="0">
            <wp:extent cx="698504" cy="342937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8504" cy="3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72"/>
          <w:sz w:val="48"/>
          <w:szCs w:val="48"/>
        </w:rPr>
        <w:t xml:space="preserve"> </w:t>
      </w:r>
      <w:r>
        <w:rPr>
          <w:rFonts w:ascii="SimHei" w:eastAsia="SimHei" w:hAnsi="SimHei" w:cs="SimHei"/>
          <w:b/>
          <w:bCs/>
          <w:spacing w:val="2"/>
          <w:sz w:val="48"/>
          <w:szCs w:val="48"/>
        </w:rPr>
        <w:t>西部证券</w:t>
      </w:r>
      <w:r>
        <w:rPr>
          <w:rFonts w:ascii="SimHei" w:eastAsia="SimHei" w:hAnsi="SimHei" w:cs="SimHei"/>
          <w:sz w:val="48"/>
          <w:szCs w:val="48"/>
        </w:rPr>
        <w:t xml:space="preserve"> </w:t>
      </w:r>
      <w:r>
        <w:rPr>
          <w:b/>
          <w:bCs/>
          <w:sz w:val="31"/>
          <w:szCs w:val="31"/>
        </w:rPr>
        <w:t>策略专题报告</w:t>
      </w:r>
    </w:p>
    <w:p>
      <w:pPr>
        <w:spacing w:before="17"/>
      </w:pPr>
    </w:p>
    <w:p>
      <w:pPr>
        <w:spacing w:before="17"/>
      </w:pPr>
    </w:p>
    <w:p>
      <w:pPr>
        <w:spacing w:before="16"/>
      </w:pPr>
    </w:p>
    <w:p>
      <w:pPr>
        <w:sectPr>
          <w:pgSz w:w="11910" w:h="16840"/>
          <w:pgMar w:top="471" w:right="679" w:bottom="0" w:left="610" w:header="0" w:footer="0" w:gutter="0"/>
          <w:cols w:num="1" w:space="708" w:equalWidth="0">
            <w:col w:w="10621" w:space="0"/>
          </w:cols>
        </w:sectPr>
      </w:pPr>
    </w:p>
    <w:p>
      <w:pPr>
        <w:spacing w:line="57" w:lineRule="exact"/>
      </w:pPr>
    </w:p>
    <w:tbl>
      <w:tblPr>
        <w:tblStyle w:val="TableNormal"/>
        <w:tblW w:w="697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79"/>
      </w:tblGrid>
      <w:tr>
        <w:tblPrEx>
          <w:tblW w:w="697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944"/>
        </w:trPr>
        <w:tc>
          <w:tcPr>
            <w:tcW w:w="6979" w:type="dxa"/>
            <w:tcBorders>
              <w:bottom w:val="single" w:sz="4" w:space="0" w:color="000000"/>
            </w:tcBorders>
            <w:vAlign w:val="top"/>
          </w:tcPr>
          <w:p>
            <w:pPr>
              <w:pStyle w:val="TableText"/>
              <w:spacing w:line="220" w:lineRule="auto"/>
              <w:ind w:left="40"/>
              <w:rPr>
                <w:sz w:val="35"/>
                <w:szCs w:val="35"/>
              </w:rPr>
            </w:pPr>
            <w:r>
              <w:rPr>
                <w:color w:val="C3000C"/>
                <w:spacing w:val="5"/>
                <w:sz w:val="35"/>
                <w:szCs w:val="35"/>
              </w:rPr>
              <w:t>外资回流拐点确立，市场资金面持续改善</w:t>
            </w:r>
          </w:p>
          <w:p>
            <w:pPr>
              <w:pStyle w:val="TableText"/>
              <w:spacing w:before="140" w:line="225" w:lineRule="auto"/>
              <w:ind w:left="20"/>
              <w:rPr>
                <w:sz w:val="27"/>
                <w:szCs w:val="27"/>
              </w:rPr>
            </w:pPr>
            <w:r>
              <w:rPr>
                <w:spacing w:val="25"/>
                <w:sz w:val="27"/>
                <w:szCs w:val="27"/>
              </w:rPr>
              <w:t>2024年2月股市流动性观察</w:t>
            </w:r>
          </w:p>
        </w:tc>
      </w:tr>
      <w:tr>
        <w:tblPrEx>
          <w:tblW w:w="6979" w:type="dxa"/>
          <w:tblInd w:w="0" w:type="dxa"/>
          <w:tblLayout w:type="fixed"/>
        </w:tblPrEx>
        <w:trPr>
          <w:trHeight w:val="420"/>
        </w:trPr>
        <w:tc>
          <w:tcPr>
            <w:tcW w:w="6979" w:type="dxa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4" w:line="230" w:lineRule="auto"/>
              <w:ind w:left="42"/>
            </w:pPr>
            <w:r>
              <w:rPr>
                <w:b/>
                <w:bCs/>
                <w:color w:val="C3000C"/>
                <w:spacing w:val="-15"/>
                <w:w w:val="96"/>
              </w:rPr>
              <w:t>●核心结论</w:t>
            </w:r>
          </w:p>
        </w:tc>
      </w:tr>
      <w:tr>
        <w:tblPrEx>
          <w:tblW w:w="6979" w:type="dxa"/>
          <w:tblInd w:w="0" w:type="dxa"/>
          <w:tblLayout w:type="fixed"/>
        </w:tblPrEx>
        <w:trPr>
          <w:trHeight w:val="3308"/>
        </w:trPr>
        <w:tc>
          <w:tcPr>
            <w:tcW w:w="6979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113" w:line="280" w:lineRule="auto"/>
              <w:ind w:left="40" w:firstLine="2"/>
              <w:jc w:val="both"/>
            </w:pPr>
            <w:r>
              <w:rPr>
                <w:b/>
                <w:bCs/>
                <w:spacing w:val="-3"/>
              </w:rPr>
              <w:t>2月市场资金面显著改善，前期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ETF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3"/>
              </w:rPr>
              <w:t xml:space="preserve"> </w:t>
            </w:r>
            <w:r>
              <w:rPr>
                <w:b/>
                <w:bCs/>
                <w:spacing w:val="-3"/>
              </w:rPr>
              <w:t>基金规模逆势强劲增</w:t>
            </w:r>
            <w:r>
              <w:rPr>
                <w:b/>
                <w:bCs/>
                <w:spacing w:val="-4"/>
              </w:rPr>
              <w:t>长，后续外资、杠</w:t>
            </w:r>
            <w:r>
              <w:t xml:space="preserve">  </w:t>
            </w:r>
            <w:r>
              <w:rPr>
                <w:b/>
                <w:bCs/>
                <w:spacing w:val="-3"/>
              </w:rPr>
              <w:t>杆持续接力。</w:t>
            </w:r>
            <w:r>
              <w:rPr>
                <w:spacing w:val="-3"/>
              </w:rPr>
              <w:t>从股市资金层面来看，节前汇金扩大</w:t>
            </w:r>
            <w:r>
              <w:rPr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ETF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 </w:t>
            </w:r>
            <w:r>
              <w:rPr>
                <w:spacing w:val="-3"/>
              </w:rPr>
              <w:t>增持范围，为市场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注入强大资金动力，</w:t>
            </w:r>
            <w:r>
              <w:rPr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ETF  </w:t>
            </w:r>
            <w:r>
              <w:rPr>
                <w:spacing w:val="-6"/>
              </w:rPr>
              <w:t>基金规模持续逆势增长，节前一周</w:t>
            </w:r>
            <w:r>
              <w:rPr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ETF  </w:t>
            </w:r>
            <w:r>
              <w:rPr>
                <w:spacing w:val="-6"/>
              </w:rPr>
              <w:t>基金规模</w:t>
            </w:r>
            <w:r>
              <w:t xml:space="preserve">  </w:t>
            </w:r>
            <w:r>
              <w:rPr>
                <w:spacing w:val="6"/>
              </w:rPr>
              <w:t>大幅提升1410亿元，增持幅度达历史极值。而节后外资进一步接力，2月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单月外资净流入超600亿元，结束过去6月净流出，其中</w:t>
            </w:r>
            <w:r>
              <w:rPr>
                <w:spacing w:val="3"/>
              </w:rPr>
              <w:t>配置型资金稳步增</w:t>
            </w:r>
            <w:r>
              <w:t xml:space="preserve">  </w:t>
            </w:r>
            <w:r>
              <w:rPr>
                <w:spacing w:val="3"/>
              </w:rPr>
              <w:t>持，连续12个交易日净流入。而随着市场情绪逐步回温叠加资管产品“爆</w:t>
            </w:r>
            <w:r>
              <w:rPr>
                <w:spacing w:val="8"/>
              </w:rPr>
              <w:t xml:space="preserve">  </w:t>
            </w:r>
            <w:r>
              <w:rPr>
                <w:spacing w:val="-6"/>
              </w:rPr>
              <w:t>仓”风险逐步出清，杠杆资金开始大幅回流，连续两周净流入额达历史高位。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1"/>
              </w:rPr>
              <w:t>市场融资进一步缩量，2月公司回购量创新高。</w:t>
            </w:r>
            <w:r>
              <w:rPr>
                <w:spacing w:val="-1"/>
              </w:rPr>
              <w:t>从产业资本角度看，随着相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关政策收紧2月一级市场融资进一步缩量，市场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IPO </w:t>
            </w:r>
            <w:r>
              <w:rPr>
                <w:spacing w:val="-1"/>
              </w:rPr>
              <w:t>和再融</w:t>
            </w:r>
            <w:r>
              <w:rPr>
                <w:spacing w:val="-2"/>
              </w:rPr>
              <w:t>资规模均达历史</w:t>
            </w:r>
            <w:r>
              <w:t xml:space="preserve">  </w:t>
            </w:r>
            <w:r>
              <w:t>低位。另一方面，随着市场逐步探底上市公司也迎来回购热潮，2月上市公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" w:line="223" w:lineRule="auto"/>
        <w:ind w:right="27"/>
        <w:jc w:val="right"/>
      </w:pPr>
      <w:r>
        <w:rPr>
          <w:b/>
          <w:bCs/>
          <w:color w:val="C3000C"/>
          <w:spacing w:val="-9"/>
        </w:rPr>
        <w:t>证券研究报告</w:t>
      </w:r>
    </w:p>
    <w:p>
      <w:pPr>
        <w:pStyle w:val="BodyText"/>
        <w:spacing w:before="145" w:line="225" w:lineRule="auto"/>
        <w:ind w:right="4"/>
        <w:jc w:val="right"/>
        <w:rPr>
          <w:sz w:val="15"/>
          <w:szCs w:val="15"/>
        </w:rPr>
      </w:pPr>
      <w:r>
        <w:rPr>
          <w:spacing w:val="-5"/>
          <w:sz w:val="15"/>
          <w:szCs w:val="15"/>
        </w:rPr>
        <w:t>2</w:t>
      </w:r>
      <w:r>
        <w:rPr>
          <w:spacing w:val="-36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0</w:t>
      </w:r>
      <w:r>
        <w:rPr>
          <w:spacing w:val="-35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2</w:t>
      </w:r>
      <w:r>
        <w:rPr>
          <w:spacing w:val="-38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4</w:t>
      </w:r>
      <w:r>
        <w:rPr>
          <w:spacing w:val="-33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年</w:t>
      </w:r>
      <w:r>
        <w:rPr>
          <w:spacing w:val="-35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0</w:t>
      </w:r>
      <w:r>
        <w:rPr>
          <w:spacing w:val="-34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3</w:t>
      </w:r>
      <w:r>
        <w:rPr>
          <w:spacing w:val="-27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月</w:t>
      </w:r>
      <w:r>
        <w:rPr>
          <w:spacing w:val="-35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0</w:t>
      </w:r>
      <w:r>
        <w:rPr>
          <w:spacing w:val="-33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7</w:t>
      </w:r>
      <w:r>
        <w:rPr>
          <w:spacing w:val="-5"/>
          <w:sz w:val="15"/>
          <w:szCs w:val="15"/>
        </w:rPr>
        <w:t xml:space="preserve"> </w:t>
      </w:r>
      <w:r>
        <w:rPr>
          <w:spacing w:val="-5"/>
          <w:sz w:val="15"/>
          <w:szCs w:val="15"/>
        </w:rPr>
        <w:t>日</w:t>
      </w:r>
    </w:p>
    <w:p>
      <w:pPr>
        <w:spacing w:before="13"/>
      </w:pPr>
    </w:p>
    <w:p>
      <w:pPr>
        <w:spacing w:before="13"/>
      </w:pPr>
    </w:p>
    <w:p>
      <w:pPr>
        <w:spacing w:before="12"/>
      </w:pPr>
    </w:p>
    <w:tbl>
      <w:tblPr>
        <w:tblStyle w:val="TableNormal"/>
        <w:tblW w:w="33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00"/>
      </w:tblGrid>
      <w:tr>
        <w:tblPrEx>
          <w:tblW w:w="330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49"/>
        </w:trPr>
        <w:tc>
          <w:tcPr>
            <w:tcW w:w="330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16" w:line="222" w:lineRule="auto"/>
              <w:ind w:left="72"/>
              <w:rPr>
                <w:rFonts w:ascii="FangSong" w:eastAsia="FangSong" w:hAnsi="FangSong" w:cs="FangSong"/>
                <w:sz w:val="15"/>
                <w:szCs w:val="15"/>
              </w:rPr>
            </w:pPr>
            <w:r>
              <w:rPr>
                <w:rFonts w:ascii="FangSong" w:eastAsia="FangSong" w:hAnsi="FangSong" w:cs="FangSong"/>
                <w:b/>
                <w:bCs/>
                <w:spacing w:val="6"/>
                <w:sz w:val="15"/>
                <w:szCs w:val="15"/>
              </w:rPr>
              <w:t>分析师</w:t>
            </w:r>
          </w:p>
        </w:tc>
      </w:tr>
      <w:tr>
        <w:tblPrEx>
          <w:tblW w:w="3300" w:type="dxa"/>
          <w:tblInd w:w="0" w:type="dxa"/>
          <w:tblLayout w:type="fixed"/>
        </w:tblPrEx>
        <w:trPr>
          <w:trHeight w:val="983"/>
        </w:trPr>
        <w:tc>
          <w:tcPr>
            <w:tcW w:w="330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28" w:line="213" w:lineRule="auto"/>
              <w:ind w:left="69"/>
              <w:rPr>
                <w:sz w:val="15"/>
                <w:szCs w:val="15"/>
              </w:rPr>
            </w:pPr>
            <w:r>
              <w:rPr>
                <w:rFonts w:ascii="SimSun" w:eastAsia="SimSun" w:hAnsi="SimSun" w:cs="SimSun"/>
                <w:position w:val="4"/>
                <w:sz w:val="27"/>
                <w:szCs w:val="27"/>
              </w:rPr>
              <w:t xml:space="preserve">⑧ </w:t>
            </w:r>
            <w:r>
              <w:rPr>
                <w:b/>
                <w:bCs/>
                <w:position w:val="-1"/>
                <w:sz w:val="15"/>
                <w:szCs w:val="15"/>
              </w:rPr>
              <w:t>慈藏薇</w:t>
            </w:r>
            <w:r>
              <w:rPr>
                <w:position w:val="-1"/>
                <w:sz w:val="15"/>
                <w:szCs w:val="15"/>
              </w:rPr>
              <w:t xml:space="preserve">  </w:t>
            </w:r>
            <w:r>
              <w:rPr>
                <w:b/>
                <w:bCs/>
                <w:position w:val="-1"/>
                <w:sz w:val="15"/>
                <w:szCs w:val="15"/>
              </w:rPr>
              <w:t>S0800523050004</w:t>
            </w:r>
          </w:p>
          <w:p>
            <w:pPr>
              <w:pStyle w:val="TableText"/>
              <w:spacing w:before="1" w:line="187" w:lineRule="auto"/>
              <w:ind w:left="69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spacing w:val="-4"/>
                <w:position w:val="3"/>
                <w:sz w:val="27"/>
                <w:szCs w:val="27"/>
              </w:rPr>
              <w:t>窗</w:t>
            </w:r>
            <w:r>
              <w:rPr>
                <w:spacing w:val="16"/>
                <w:position w:val="3"/>
                <w:sz w:val="27"/>
                <w:szCs w:val="27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position w:val="-2"/>
                <w:sz w:val="15"/>
                <w:szCs w:val="15"/>
              </w:rPr>
              <w:t>13916466506</w:t>
            </w:r>
          </w:p>
          <w:p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position w:val="-4"/>
                <w:sz w:val="15"/>
                <w:szCs w:val="15"/>
              </w:rPr>
              <w:drawing>
                <wp:inline distT="0" distB="0" distL="0" distR="0">
                  <wp:extent cx="253960" cy="208071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60" cy="20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pacing w:val="17"/>
                <w:sz w:val="15"/>
                <w:szCs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ciweiwei@research.xbma</w:t>
            </w:r>
            <w:r>
              <w:rPr>
                <w:rFonts w:ascii="Times New Roman" w:eastAsia="Times New Roman" w:hAnsi="Times New Roman" w:cs="Times New Roman"/>
                <w:spacing w:val="-1"/>
                <w:sz w:val="15"/>
                <w:szCs w:val="15"/>
              </w:rPr>
              <w:t>il.com.cn</w:t>
            </w:r>
          </w:p>
        </w:tc>
      </w:tr>
      <w:tr>
        <w:tblPrEx>
          <w:tblW w:w="3300" w:type="dxa"/>
          <w:tblInd w:w="0" w:type="dxa"/>
          <w:tblLayout w:type="fixed"/>
        </w:tblPrEx>
        <w:trPr>
          <w:trHeight w:val="367"/>
        </w:trPr>
        <w:tc>
          <w:tcPr>
            <w:tcW w:w="330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3" w:line="223" w:lineRule="auto"/>
              <w:ind w:left="72"/>
            </w:pPr>
            <w:r>
              <w:rPr>
                <w:b/>
                <w:bCs/>
                <w:spacing w:val="-23"/>
                <w:w w:val="96"/>
              </w:rPr>
              <w:t>联系人</w:t>
            </w:r>
          </w:p>
        </w:tc>
      </w:tr>
    </w:tbl>
    <w:p>
      <w:pPr>
        <w:pStyle w:val="BodyText"/>
        <w:spacing w:before="27" w:line="225" w:lineRule="auto"/>
        <w:ind w:left="69"/>
        <w:rPr>
          <w:sz w:val="15"/>
          <w:szCs w:val="15"/>
        </w:rPr>
      </w:pPr>
      <w:r>
        <w:rPr>
          <w:rFonts w:ascii="SimSun" w:eastAsia="SimSun" w:hAnsi="SimSun" w:cs="SimSun"/>
          <w:spacing w:val="7"/>
          <w:position w:val="1"/>
          <w:sz w:val="27"/>
          <w:szCs w:val="27"/>
        </w:rPr>
        <w:t>⑧</w:t>
      </w:r>
      <w:r>
        <w:rPr>
          <w:rFonts w:ascii="SimSun" w:eastAsia="SimSun" w:hAnsi="SimSun" w:cs="SimSun"/>
          <w:spacing w:val="-3"/>
          <w:position w:val="1"/>
          <w:sz w:val="27"/>
          <w:szCs w:val="27"/>
        </w:rPr>
        <w:t xml:space="preserve"> </w:t>
      </w:r>
      <w:r>
        <w:rPr>
          <w:b/>
          <w:bCs/>
          <w:spacing w:val="7"/>
          <w:position w:val="-1"/>
          <w:sz w:val="15"/>
          <w:szCs w:val="15"/>
        </w:rPr>
        <w:t>张泽恩</w:t>
      </w:r>
    </w:p>
    <w:p>
      <w:pPr>
        <w:spacing w:before="33" w:line="303" w:lineRule="exact"/>
        <w:ind w:left="79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position w:val="-3"/>
          <w:sz w:val="15"/>
          <w:szCs w:val="15"/>
        </w:rPr>
        <w:drawing>
          <wp:inline distT="0" distB="0" distL="0" distR="0">
            <wp:extent cx="165097" cy="158796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097" cy="15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50"/>
          <w:position w:val="-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2"/>
          <w:position w:val="-3"/>
          <w:sz w:val="15"/>
          <w:szCs w:val="15"/>
        </w:rPr>
        <w:t>15927409308</w:t>
      </w:r>
    </w:p>
    <w:p>
      <w:pPr>
        <w:spacing w:before="27" w:line="297" w:lineRule="exact"/>
        <w:ind w:left="7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position w:val="-2"/>
          <w:sz w:val="15"/>
          <w:szCs w:val="15"/>
        </w:rPr>
        <w:drawing>
          <wp:inline distT="0" distB="0" distL="0" distR="0">
            <wp:extent cx="165097" cy="15238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097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pacing w:val="18"/>
          <w:w w:val="101"/>
          <w:position w:val="-2"/>
          <w:sz w:val="15"/>
          <w:szCs w:val="15"/>
        </w:rPr>
        <w:t xml:space="preserve">  </w:t>
      </w:r>
      <w:r>
        <w:rPr>
          <w:rFonts w:ascii="Arial" w:eastAsia="Arial" w:hAnsi="Arial" w:cs="Arial"/>
          <w:spacing w:val="-5"/>
          <w:position w:val="-2"/>
          <w:sz w:val="15"/>
          <w:szCs w:val="15"/>
        </w:rPr>
        <w:t>zhangzeen @research.</w:t>
      </w:r>
      <w:r>
        <w:rPr>
          <w:rFonts w:ascii="Arial" w:eastAsia="Arial" w:hAnsi="Arial" w:cs="Arial"/>
          <w:spacing w:val="-6"/>
          <w:position w:val="-2"/>
          <w:sz w:val="15"/>
          <w:szCs w:val="15"/>
        </w:rPr>
        <w:t>xbmail.com.cn</w:t>
      </w:r>
    </w:p>
    <w:p>
      <w:pPr>
        <w:spacing w:line="297" w:lineRule="exact"/>
        <w:rPr>
          <w:rFonts w:ascii="Arial" w:eastAsia="Arial" w:hAnsi="Arial" w:cs="Arial"/>
          <w:sz w:val="15"/>
          <w:szCs w:val="15"/>
        </w:rPr>
        <w:sectPr>
          <w:type w:val="continuous"/>
          <w:pgSz w:w="11910" w:h="16840"/>
          <w:pgMar w:top="471" w:right="679" w:bottom="0" w:left="610" w:header="0" w:footer="0" w:gutter="0"/>
          <w:pgNumType w:start="2"/>
          <w:cols w:num="2" w:space="708" w:equalWidth="0">
            <w:col w:w="7221" w:space="100"/>
            <w:col w:w="3301" w:space="0"/>
          </w:cols>
        </w:sectPr>
      </w:pPr>
    </w:p>
    <w:p>
      <w:pPr>
        <w:pStyle w:val="BodyText"/>
        <w:spacing w:before="181" w:line="320" w:lineRule="exact"/>
        <w:ind w:left="40"/>
      </w:pPr>
      <w:r>
        <w:rPr>
          <w:spacing w:val="8"/>
          <w:position w:val="8"/>
        </w:rPr>
        <w:t>司回购265.01</w:t>
      </w:r>
      <w:r>
        <w:rPr>
          <w:spacing w:val="-57"/>
          <w:position w:val="8"/>
        </w:rPr>
        <w:t xml:space="preserve"> </w:t>
      </w:r>
      <w:r>
        <w:rPr>
          <w:spacing w:val="8"/>
          <w:position w:val="8"/>
        </w:rPr>
        <w:t>亿元创历史新高，此外2月</w:t>
      </w:r>
      <w:r>
        <w:rPr>
          <w:spacing w:val="7"/>
          <w:position w:val="8"/>
        </w:rPr>
        <w:t>产业资本继1月后继续净增持，</w:t>
      </w:r>
    </w:p>
    <w:p>
      <w:pPr>
        <w:pStyle w:val="BodyText"/>
        <w:spacing w:line="220" w:lineRule="auto"/>
        <w:ind w:left="40"/>
      </w:pPr>
      <w:r>
        <w:rPr>
          <w:spacing w:val="8"/>
        </w:rPr>
        <w:t>而上次连续两月产业资本净增持需要追溯到17年6月，资金需求端的持续</w:t>
      </w:r>
    </w:p>
    <w:p>
      <w:pPr>
        <w:pStyle w:val="BodyText"/>
        <w:spacing w:before="76" w:line="226" w:lineRule="auto"/>
        <w:ind w:left="40"/>
      </w:pPr>
      <w:r>
        <w:rPr>
          <w:spacing w:val="4"/>
        </w:rPr>
        <w:t>收缩也为2月市场资金面修复提供较大支撑。</w:t>
      </w:r>
    </w:p>
    <w:p>
      <w:pPr>
        <w:pStyle w:val="BodyText"/>
        <w:spacing w:before="156" w:line="320" w:lineRule="exact"/>
        <w:ind w:left="43"/>
      </w:pPr>
      <w:r>
        <w:rPr>
          <w:b/>
          <w:bCs/>
          <w:spacing w:val="5"/>
          <w:position w:val="7"/>
        </w:rPr>
        <w:t>外资和杠杆资金或推动3</w:t>
      </w:r>
      <w:r>
        <w:rPr>
          <w:spacing w:val="5"/>
          <w:position w:val="7"/>
        </w:rPr>
        <w:t xml:space="preserve"> </w:t>
      </w:r>
      <w:r>
        <w:rPr>
          <w:b/>
          <w:bCs/>
          <w:spacing w:val="5"/>
          <w:position w:val="7"/>
        </w:rPr>
        <w:t>月流动性进一步改</w:t>
      </w:r>
      <w:r>
        <w:rPr>
          <w:b/>
          <w:bCs/>
          <w:spacing w:val="4"/>
          <w:position w:val="7"/>
        </w:rPr>
        <w:t>善。</w:t>
      </w:r>
      <w:r>
        <w:rPr>
          <w:spacing w:val="4"/>
          <w:position w:val="7"/>
        </w:rPr>
        <w:t>展望3月，随着两会召开</w:t>
      </w:r>
    </w:p>
    <w:p>
      <w:pPr>
        <w:pStyle w:val="BodyText"/>
        <w:spacing w:line="220" w:lineRule="auto"/>
        <w:ind w:left="40"/>
      </w:pPr>
      <w:r>
        <w:rPr>
          <w:spacing w:val="-3"/>
        </w:rPr>
        <w:t>后当年经济目标制定，市场有望迎来新一轮政策窗口</w:t>
      </w:r>
      <w:r>
        <w:rPr>
          <w:spacing w:val="-4"/>
        </w:rPr>
        <w:t>期，推动险资、社保资</w:t>
      </w:r>
    </w:p>
    <w:p>
      <w:pPr>
        <w:pStyle w:val="BodyText"/>
        <w:spacing w:before="70" w:line="220" w:lineRule="auto"/>
        <w:ind w:left="40"/>
      </w:pPr>
      <w:r>
        <w:rPr>
          <w:spacing w:val="6"/>
        </w:rPr>
        <w:t>金等长期资金入市。而在国内经济基本面温和修复背景下，外资流入在2</w:t>
      </w:r>
    </w:p>
    <w:p>
      <w:pPr>
        <w:pStyle w:val="BodyText"/>
        <w:spacing w:before="69" w:line="220" w:lineRule="auto"/>
        <w:ind w:left="40"/>
      </w:pPr>
      <w:r>
        <w:rPr>
          <w:spacing w:val="-3"/>
        </w:rPr>
        <w:t>月迎来拐点后或持续回流。此外，随着市场情绪逐步修复，杠杆资金也</w:t>
      </w:r>
      <w:r>
        <w:rPr>
          <w:spacing w:val="-4"/>
        </w:rPr>
        <w:t>有望</w:t>
      </w:r>
    </w:p>
    <w:p>
      <w:pPr>
        <w:pStyle w:val="BodyText"/>
        <w:spacing w:before="70" w:line="220" w:lineRule="auto"/>
        <w:ind w:left="40"/>
      </w:pPr>
      <w:r>
        <w:rPr>
          <w:spacing w:val="-1"/>
        </w:rPr>
        <w:t>触底反弹。我们认为3月市场流动性有望进一步改善，而外资和杠杆资金或</w:t>
      </w:r>
    </w:p>
    <w:p>
      <w:pPr>
        <w:pStyle w:val="BodyText"/>
        <w:spacing w:before="77" w:line="227" w:lineRule="auto"/>
        <w:ind w:left="40"/>
      </w:pPr>
      <w:r>
        <w:rPr>
          <w:spacing w:val="-5"/>
        </w:rPr>
        <w:t>为主要推动力量。</w:t>
      </w:r>
    </w:p>
    <w:p>
      <w:pPr>
        <w:pStyle w:val="BodyText"/>
        <w:spacing w:before="198" w:line="225" w:lineRule="auto"/>
        <w:ind w:left="43"/>
      </w:pPr>
      <w:r>
        <w:rPr>
          <w:b/>
          <w:bCs/>
          <w:color w:val="C00000"/>
          <w:spacing w:val="-9"/>
        </w:rPr>
        <w:t>本月资金面亮点：</w:t>
      </w:r>
    </w:p>
    <w:p>
      <w:pPr>
        <w:pStyle w:val="BodyText"/>
        <w:spacing w:before="161" w:line="330" w:lineRule="exact"/>
        <w:ind w:left="40"/>
      </w:pPr>
      <w:r>
        <w:rPr>
          <w:rFonts w:ascii="Times New Roman" w:eastAsia="Times New Roman" w:hAnsi="Times New Roman" w:cs="Times New Roman"/>
          <w:b/>
          <w:bCs/>
          <w:position w:val="8"/>
        </w:rPr>
        <w:t>ETF</w:t>
      </w:r>
      <w:r>
        <w:rPr>
          <w:rFonts w:ascii="Times New Roman" w:eastAsia="Times New Roman" w:hAnsi="Times New Roman" w:cs="Times New Roman"/>
          <w:b/>
          <w:bCs/>
          <w:spacing w:val="-23"/>
          <w:position w:val="8"/>
        </w:rPr>
        <w:t xml:space="preserve"> </w:t>
      </w:r>
      <w:r>
        <w:rPr>
          <w:rFonts w:ascii="SimSun" w:eastAsia="SimSun" w:hAnsi="SimSun" w:cs="SimSun"/>
          <w:b/>
          <w:bCs/>
          <w:spacing w:val="5"/>
          <w:position w:val="8"/>
        </w:rPr>
        <w:t>基</w:t>
      </w:r>
      <w:r>
        <w:rPr>
          <w:b/>
          <w:bCs/>
          <w:spacing w:val="5"/>
          <w:position w:val="8"/>
        </w:rPr>
        <w:t>金：</w:t>
      </w:r>
      <w:r>
        <w:rPr>
          <w:spacing w:val="-27"/>
          <w:position w:val="8"/>
        </w:rPr>
        <w:t xml:space="preserve"> </w:t>
      </w:r>
      <w:r>
        <w:rPr>
          <w:spacing w:val="5"/>
          <w:position w:val="8"/>
        </w:rPr>
        <w:t>2月股票型</w:t>
      </w:r>
      <w:r>
        <w:rPr>
          <w:spacing w:val="-21"/>
          <w:position w:val="8"/>
        </w:rPr>
        <w:t xml:space="preserve"> </w:t>
      </w:r>
      <w:r>
        <w:rPr>
          <w:rFonts w:ascii="Times New Roman" w:eastAsia="Times New Roman" w:hAnsi="Times New Roman" w:cs="Times New Roman"/>
          <w:position w:val="8"/>
        </w:rPr>
        <w:t>ETF</w:t>
      </w:r>
      <w:r>
        <w:rPr>
          <w:rFonts w:ascii="Times New Roman" w:eastAsia="Times New Roman" w:hAnsi="Times New Roman" w:cs="Times New Roman"/>
          <w:spacing w:val="39"/>
          <w:position w:val="8"/>
        </w:rPr>
        <w:t xml:space="preserve"> </w:t>
      </w:r>
      <w:r>
        <w:rPr>
          <w:spacing w:val="5"/>
          <w:position w:val="8"/>
        </w:rPr>
        <w:t>基金继续净流入492.52亿</w:t>
      </w:r>
      <w:r>
        <w:rPr>
          <w:spacing w:val="4"/>
          <w:position w:val="8"/>
        </w:rPr>
        <w:t>份，其中宽基</w:t>
      </w:r>
      <w:r>
        <w:rPr>
          <w:spacing w:val="-28"/>
          <w:position w:val="8"/>
        </w:rPr>
        <w:t xml:space="preserve"> </w:t>
      </w:r>
      <w:r>
        <w:rPr>
          <w:position w:val="8"/>
        </w:rPr>
        <w:t>ETF</w:t>
      </w:r>
    </w:p>
    <w:p>
      <w:pPr>
        <w:pStyle w:val="BodyText"/>
        <w:spacing w:line="220" w:lineRule="auto"/>
        <w:ind w:left="40"/>
      </w:pPr>
      <w:r>
        <w:rPr>
          <w:spacing w:val="10"/>
        </w:rPr>
        <w:t>净流入761.7亿份，沪深300</w:t>
      </w:r>
      <w:r>
        <w:rPr>
          <w:rFonts w:ascii="Arial" w:eastAsia="Arial" w:hAnsi="Arial" w:cs="Arial"/>
        </w:rPr>
        <w:t>ETF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spacing w:val="10"/>
        </w:rPr>
        <w:t>在2月净流入份额达391.09亿份，占所</w:t>
      </w:r>
    </w:p>
    <w:p>
      <w:pPr>
        <w:pStyle w:val="BodyText"/>
        <w:spacing w:before="105" w:line="225" w:lineRule="auto"/>
        <w:ind w:left="40"/>
      </w:pPr>
      <w:r>
        <w:rPr>
          <w:spacing w:val="1"/>
        </w:rPr>
        <w:t>有宽基</w:t>
      </w:r>
      <w:r>
        <w:rPr>
          <w:spacing w:val="-17"/>
        </w:rPr>
        <w:t xml:space="preserve"> </w:t>
      </w:r>
      <w:r>
        <w:rPr>
          <w:rFonts w:ascii="SimSun" w:eastAsia="SimSun" w:hAnsi="SimSun" w:cs="SimSun"/>
        </w:rPr>
        <w:t>ETF</w:t>
      </w:r>
      <w:r>
        <w:rPr>
          <w:rFonts w:ascii="SimSun" w:eastAsia="SimSun" w:hAnsi="SimSun" w:cs="SimSun"/>
          <w:spacing w:val="45"/>
        </w:rPr>
        <w:t xml:space="preserve"> </w:t>
      </w:r>
      <w:r>
        <w:rPr>
          <w:spacing w:val="1"/>
        </w:rPr>
        <w:t>净流入份额的51.4%。</w:t>
      </w:r>
    </w:p>
    <w:p>
      <w:pPr>
        <w:pStyle w:val="BodyText"/>
        <w:spacing w:before="118" w:line="366" w:lineRule="exact"/>
        <w:ind w:left="43"/>
      </w:pPr>
      <w:r>
        <w:rPr>
          <w:b/>
          <w:bCs/>
          <w:spacing w:val="5"/>
          <w:position w:val="11"/>
        </w:rPr>
        <w:t>外资：</w:t>
      </w:r>
      <w:r>
        <w:rPr>
          <w:spacing w:val="-57"/>
          <w:position w:val="11"/>
        </w:rPr>
        <w:t xml:space="preserve"> </w:t>
      </w:r>
      <w:r>
        <w:rPr>
          <w:spacing w:val="5"/>
          <w:position w:val="11"/>
        </w:rPr>
        <w:t>2月北向资金累计净流入607.44亿元</w:t>
      </w:r>
      <w:r>
        <w:rPr>
          <w:spacing w:val="4"/>
          <w:position w:val="11"/>
        </w:rPr>
        <w:t>，结束连续6月的净流出进程，</w:t>
      </w:r>
    </w:p>
    <w:p>
      <w:pPr>
        <w:pStyle w:val="BodyText"/>
        <w:spacing w:line="225" w:lineRule="auto"/>
        <w:ind w:left="40"/>
      </w:pPr>
      <w:r>
        <w:rPr>
          <w:spacing w:val="-2"/>
        </w:rPr>
        <w:t>主要增持银行、食品饮料和电子等外资传统重仓行业。</w:t>
      </w:r>
    </w:p>
    <w:p>
      <w:pPr>
        <w:pStyle w:val="BodyText"/>
        <w:spacing w:before="128" w:line="351" w:lineRule="exact"/>
        <w:ind w:left="43"/>
      </w:pPr>
      <w:r>
        <w:rPr>
          <w:b/>
          <w:bCs/>
          <w:spacing w:val="-1"/>
          <w:position w:val="10"/>
        </w:rPr>
        <w:t>产业资本变动：</w:t>
      </w:r>
      <w:r>
        <w:rPr>
          <w:spacing w:val="-1"/>
          <w:position w:val="10"/>
        </w:rPr>
        <w:t xml:space="preserve"> </w:t>
      </w:r>
      <w:r>
        <w:rPr>
          <w:spacing w:val="-1"/>
          <w:position w:val="10"/>
        </w:rPr>
        <w:t>2月产业资本继一月后继续净增持，且净增持规模达46.68</w:t>
      </w:r>
    </w:p>
    <w:p>
      <w:pPr>
        <w:pStyle w:val="BodyText"/>
        <w:spacing w:line="220" w:lineRule="auto"/>
        <w:ind w:left="40"/>
        <w:sectPr>
          <w:type w:val="continuous"/>
          <w:pgSz w:w="11910" w:h="16840"/>
          <w:pgMar w:top="471" w:right="679" w:bottom="0" w:left="610" w:header="0" w:footer="0" w:gutter="0"/>
          <w:pgNumType w:start="3"/>
          <w:cols w:num="1" w:space="708" w:equalWidth="0">
            <w:col w:w="10621" w:space="0"/>
          </w:cols>
        </w:sectPr>
      </w:pPr>
      <w:r>
        <w:rPr>
          <w:spacing w:val="7"/>
        </w:rPr>
        <w:t>亿元，而上次连续两月产业资本净增持需要追溯到17年6月。</w:t>
      </w:r>
    </w:p>
    <w:p>
      <w:pPr>
        <w:pStyle w:val="BodyText"/>
        <w:spacing w:before="189" w:line="316" w:lineRule="exact"/>
        <w:ind w:left="43"/>
      </w:pPr>
      <w:r>
        <w:rPr>
          <w:b/>
          <w:bCs/>
          <w:spacing w:val="5"/>
          <w:position w:val="7"/>
        </w:rPr>
        <w:t>上市公司回购：2</w:t>
      </w:r>
      <w:r>
        <w:rPr>
          <w:spacing w:val="5"/>
          <w:position w:val="7"/>
        </w:rPr>
        <w:t xml:space="preserve"> </w:t>
      </w:r>
      <w:r>
        <w:rPr>
          <w:spacing w:val="5"/>
          <w:position w:val="7"/>
        </w:rPr>
        <w:t>月上市公司回购规模高达265.0</w:t>
      </w:r>
      <w:r>
        <w:rPr>
          <w:spacing w:val="4"/>
          <w:position w:val="7"/>
        </w:rPr>
        <w:t>1</w:t>
      </w:r>
      <w:r>
        <w:rPr>
          <w:spacing w:val="4"/>
          <w:position w:val="7"/>
        </w:rPr>
        <w:t xml:space="preserve"> </w:t>
      </w:r>
      <w:r>
        <w:rPr>
          <w:spacing w:val="4"/>
          <w:position w:val="7"/>
        </w:rPr>
        <w:t>亿元，环比大幅提升</w:t>
      </w:r>
    </w:p>
    <w:p>
      <w:pPr>
        <w:pStyle w:val="BodyText"/>
        <w:spacing w:line="225" w:lineRule="auto"/>
        <w:ind w:left="40"/>
      </w:pPr>
      <w:r>
        <w:t>113.79亿元创历史新高。</w:t>
      </w:r>
    </w:p>
    <w:p>
      <w:pPr>
        <w:pStyle w:val="BodyText"/>
        <w:spacing w:before="158" w:line="320" w:lineRule="exact"/>
        <w:ind w:left="43"/>
      </w:pPr>
      <w:r>
        <w:rPr>
          <w:b/>
          <w:bCs/>
          <w:spacing w:val="8"/>
          <w:position w:val="8"/>
        </w:rPr>
        <w:t>股权融资：</w:t>
      </w:r>
      <w:r>
        <w:rPr>
          <w:spacing w:val="8"/>
          <w:position w:val="8"/>
        </w:rPr>
        <w:t>2024年2月新增股权融资总额112.90亿元，环比1月</w:t>
      </w:r>
      <w:r>
        <w:rPr>
          <w:spacing w:val="7"/>
          <w:position w:val="8"/>
        </w:rPr>
        <w:t>再次下降</w:t>
      </w:r>
    </w:p>
    <w:p>
      <w:pPr>
        <w:pStyle w:val="BodyText"/>
        <w:spacing w:line="220" w:lineRule="auto"/>
        <w:ind w:left="40"/>
      </w:pPr>
      <w:r>
        <w:rPr>
          <w:spacing w:val="14"/>
        </w:rPr>
        <w:t>515.26亿元，创2013年10月以来新低。</w:t>
      </w:r>
    </w:p>
    <w:p>
      <w:pPr>
        <w:pStyle w:val="BodyText"/>
        <w:spacing w:before="170" w:line="220" w:lineRule="auto"/>
        <w:ind w:left="40"/>
      </w:pPr>
      <w:r>
        <w:rPr>
          <w:spacing w:val="-1"/>
        </w:rPr>
        <w:t>风险提示：数据样本选择带来结果差异，资本市场</w:t>
      </w:r>
      <w:r>
        <w:rPr>
          <w:spacing w:val="-2"/>
        </w:rPr>
        <w:t>波动风险。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50" w:line="192" w:lineRule="auto"/>
        <w:ind w:left="40"/>
        <w:rPr>
          <w:sz w:val="15"/>
          <w:szCs w:val="15"/>
        </w:rPr>
      </w:pPr>
      <w:r>
        <w:rPr>
          <w:color w:val="CA6500"/>
          <w:spacing w:val="11"/>
          <w:sz w:val="15"/>
          <w:szCs w:val="15"/>
        </w:rPr>
        <w:t>1</w:t>
      </w:r>
      <w:r>
        <w:rPr>
          <w:color w:val="CA6500"/>
          <w:spacing w:val="11"/>
          <w:sz w:val="15"/>
          <w:szCs w:val="15"/>
        </w:rPr>
        <w:t xml:space="preserve"> </w:t>
      </w:r>
      <w:r>
        <w:rPr>
          <w:spacing w:val="11"/>
          <w:sz w:val="15"/>
          <w:szCs w:val="15"/>
        </w:rPr>
        <w:t>|请务必仔细阅读报告尾部的投资评级说明</w:t>
      </w:r>
      <w:r>
        <w:rPr>
          <w:spacing w:val="10"/>
          <w:sz w:val="15"/>
          <w:szCs w:val="15"/>
        </w:rPr>
        <w:t>和声明</w:t>
      </w:r>
    </w:p>
    <w:p>
      <w:pPr>
        <w:spacing w:line="192" w:lineRule="auto"/>
        <w:rPr>
          <w:sz w:val="15"/>
          <w:szCs w:val="15"/>
        </w:rPr>
        <w:sectPr>
          <w:type w:val="nextPage"/>
          <w:pgSz w:w="11910" w:h="16840"/>
          <w:pgMar w:top="471" w:right="679" w:bottom="0" w:left="610" w:header="0" w:footer="0" w:gutter="0"/>
          <w:pgNumType w:start="4"/>
          <w:cols w:num="1" w:space="708" w:equalWidth="0">
            <w:col w:w="10621" w:space="0"/>
          </w:cols>
          <w:titlePg w:val="0"/>
        </w:sectPr>
      </w:pPr>
    </w:p>
    <w:p>
      <w:pPr>
        <w:pStyle w:val="BodyText"/>
        <w:spacing w:before="228" w:line="211" w:lineRule="auto"/>
        <w:ind w:left="39"/>
        <w:rPr>
          <w:sz w:val="19"/>
          <w:szCs w:val="19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419132</wp:posOffset>
            </wp:positionH>
            <wp:positionV relativeFrom="page">
              <wp:posOffset>1289088</wp:posOffset>
            </wp:positionV>
            <wp:extent cx="6730937" cy="12617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0937" cy="12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3"/>
          <w:sz w:val="19"/>
          <w:szCs w:val="19"/>
        </w:rPr>
        <w:t>策略专题报告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8" w:line="202" w:lineRule="auto"/>
        <w:ind w:left="767"/>
        <w:rPr>
          <w:sz w:val="19"/>
          <w:szCs w:val="19"/>
        </w:rPr>
      </w:pPr>
      <w:r>
        <w:rPr>
          <w:spacing w:val="-16"/>
          <w:w w:val="97"/>
          <w:sz w:val="19"/>
          <w:szCs w:val="19"/>
        </w:rPr>
        <w:t>西部证券</w:t>
      </w:r>
    </w:p>
    <w:p>
      <w:pPr>
        <w:pStyle w:val="BodyText"/>
        <w:spacing w:line="192" w:lineRule="auto"/>
        <w:rPr>
          <w:sz w:val="19"/>
          <w:szCs w:val="19"/>
        </w:rPr>
      </w:pPr>
      <w:r>
        <w:rPr>
          <w:b/>
          <w:bCs/>
          <w:spacing w:val="4"/>
          <w:sz w:val="19"/>
          <w:szCs w:val="19"/>
        </w:rPr>
        <w:t>2024年03月07日</w:t>
      </w:r>
    </w:p>
    <w:p>
      <w:pPr>
        <w:spacing w:line="192" w:lineRule="auto"/>
        <w:rPr>
          <w:sz w:val="19"/>
          <w:szCs w:val="19"/>
        </w:rPr>
        <w:sectPr>
          <w:pgSz w:w="11910" w:h="16840"/>
          <w:pgMar w:top="755" w:right="620" w:bottom="0" w:left="660" w:header="0" w:footer="0" w:gutter="0"/>
          <w:pgNumType w:start="5"/>
          <w:cols w:num="2" w:space="708" w:equalWidth="0">
            <w:col w:w="9023" w:space="100"/>
            <w:col w:w="1508" w:space="0"/>
          </w:cols>
        </w:sectPr>
      </w:pPr>
    </w:p>
    <w:p>
      <w:pPr>
        <w:spacing w:line="333" w:lineRule="auto"/>
        <w:rPr>
          <w:rFonts w:ascii="Arial"/>
          <w:sz w:val="21"/>
        </w:rPr>
      </w:pPr>
    </w:p>
    <w:p>
      <w:pPr>
        <w:pStyle w:val="BodyText"/>
        <w:spacing w:before="85" w:line="224" w:lineRule="auto"/>
        <w:ind w:left="253"/>
        <w:rPr>
          <w:sz w:val="26"/>
          <w:szCs w:val="26"/>
        </w:rPr>
      </w:pPr>
      <w:r>
        <w:rPr>
          <w:b/>
          <w:bCs/>
          <w:spacing w:val="-18"/>
          <w:sz w:val="26"/>
          <w:szCs w:val="26"/>
        </w:rPr>
        <w:t>索</w:t>
      </w:r>
      <w:r>
        <w:rPr>
          <w:spacing w:val="43"/>
          <w:sz w:val="26"/>
          <w:szCs w:val="26"/>
        </w:rPr>
        <w:t xml:space="preserve"> </w:t>
      </w:r>
      <w:r>
        <w:rPr>
          <w:b/>
          <w:bCs/>
          <w:spacing w:val="-18"/>
          <w:sz w:val="26"/>
          <w:szCs w:val="26"/>
        </w:rPr>
        <w:t>引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84" w:line="225" w:lineRule="auto"/>
        <w:ind w:left="2473"/>
        <w:rPr>
          <w:sz w:val="26"/>
          <w:szCs w:val="26"/>
        </w:rPr>
      </w:pPr>
      <w:r>
        <w:rPr>
          <w:b/>
          <w:bCs/>
          <w:spacing w:val="-33"/>
          <w:sz w:val="26"/>
          <w:szCs w:val="26"/>
        </w:rPr>
        <w:t>内</w:t>
      </w:r>
      <w:r>
        <w:rPr>
          <w:spacing w:val="-57"/>
          <w:sz w:val="26"/>
          <w:szCs w:val="26"/>
        </w:rPr>
        <w:t xml:space="preserve"> </w:t>
      </w:r>
      <w:r>
        <w:rPr>
          <w:b/>
          <w:bCs/>
          <w:spacing w:val="-33"/>
          <w:sz w:val="26"/>
          <w:szCs w:val="26"/>
        </w:rPr>
        <w:t>容</w:t>
      </w:r>
      <w:r>
        <w:rPr>
          <w:spacing w:val="1"/>
          <w:sz w:val="26"/>
          <w:szCs w:val="26"/>
        </w:rPr>
        <w:t xml:space="preserve"> </w:t>
      </w:r>
      <w:r>
        <w:rPr>
          <w:b/>
          <w:bCs/>
          <w:spacing w:val="-33"/>
          <w:sz w:val="26"/>
          <w:szCs w:val="26"/>
        </w:rPr>
        <w:t>目</w:t>
      </w:r>
      <w:r>
        <w:rPr>
          <w:spacing w:val="-36"/>
          <w:sz w:val="26"/>
          <w:szCs w:val="26"/>
        </w:rPr>
        <w:t xml:space="preserve"> </w:t>
      </w:r>
      <w:r>
        <w:rPr>
          <w:b/>
          <w:bCs/>
          <w:spacing w:val="-33"/>
          <w:sz w:val="26"/>
          <w:szCs w:val="26"/>
        </w:rPr>
        <w:t>录</w:t>
      </w:r>
    </w:p>
    <w:sdt>
      <w:sdtPr>
        <w:rPr>
          <w:rFonts w:ascii="KaiTi" w:eastAsia="KaiTi" w:hAnsi="KaiTi" w:cs="KaiTi"/>
          <w:sz w:val="19"/>
          <w:szCs w:val="19"/>
        </w:rPr>
        <w:id w:val="99175130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450"/>
            </w:tabs>
            <w:spacing w:before="222" w:line="224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一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、</w:t>
          </w:r>
          <w:r>
            <w:rPr>
              <w:spacing w:val="62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2024年2月股市资金回顾与展望</w:t>
          </w:r>
          <w:r>
            <w:rPr>
              <w:spacing w:val="-8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</w:rPr>
              <w:t>4</w:t>
            </w:r>
          </w:hyperlink>
        </w:p>
        <w:p>
          <w:pPr>
            <w:pStyle w:val="BodyText"/>
            <w:tabs>
              <w:tab w:val="right" w:leader="dot" w:pos="10475"/>
            </w:tabs>
            <w:spacing w:before="142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二</w:t>
          </w:r>
          <w:r>
            <w:rPr>
              <w:spacing w:val="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、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资金供给核心指标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475"/>
            </w:tabs>
            <w:spacing w:before="140" w:line="228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 xml:space="preserve">2.1   </w:t>
          </w:r>
          <w:r>
            <w:rPr>
              <w:spacing w:val="5"/>
              <w:sz w:val="19"/>
              <w:szCs w:val="19"/>
            </w:rPr>
            <w:t>公募基金</w:t>
          </w:r>
          <w:r>
            <w:rPr>
              <w:spacing w:val="-5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64"/>
              <w:sz w:val="19"/>
              <w:szCs w:val="19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130" w:line="232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-2"/>
              <w:sz w:val="19"/>
              <w:szCs w:val="19"/>
            </w:rPr>
            <w:t>2.2</w:t>
          </w:r>
          <w:r>
            <w:rPr>
              <w:rFonts w:ascii="Times New Roman" w:eastAsia="Times New Roman" w:hAnsi="Times New Roman" w:cs="Times New Roman"/>
              <w:spacing w:val="12"/>
              <w:sz w:val="19"/>
              <w:szCs w:val="19"/>
            </w:rPr>
            <w:t xml:space="preserve">  </w:t>
          </w:r>
          <w:r>
            <w:rPr>
              <w:rFonts w:ascii="Times New Roman" w:eastAsia="Times New Roman" w:hAnsi="Times New Roman" w:cs="Times New Roman"/>
              <w:spacing w:val="-2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29"/>
              <w:w w:val="101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基金</w:t>
          </w:r>
          <w:r>
            <w:rPr>
              <w:spacing w:val="1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54" w:line="226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-9"/>
              <w:sz w:val="19"/>
              <w:szCs w:val="19"/>
            </w:rPr>
            <w:t>2.3</w:t>
          </w:r>
          <w:r>
            <w:rPr>
              <w:rFonts w:ascii="Times New Roman" w:eastAsia="Times New Roman" w:hAnsi="Times New Roman" w:cs="Times New Roman"/>
              <w:spacing w:val="2"/>
              <w:sz w:val="19"/>
              <w:szCs w:val="19"/>
            </w:rPr>
            <w:t xml:space="preserve">   </w:t>
          </w:r>
          <w:r>
            <w:rPr>
              <w:spacing w:val="-9"/>
              <w:sz w:val="19"/>
              <w:szCs w:val="19"/>
            </w:rPr>
            <w:t>北</w:t>
          </w:r>
          <w:r>
            <w:rPr>
              <w:spacing w:val="-25"/>
              <w:sz w:val="19"/>
              <w:szCs w:val="19"/>
            </w:rPr>
            <w:t xml:space="preserve"> </w:t>
          </w:r>
          <w:r>
            <w:rPr>
              <w:spacing w:val="-9"/>
              <w:sz w:val="19"/>
              <w:szCs w:val="19"/>
            </w:rPr>
            <w:t>向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-9"/>
              <w:sz w:val="19"/>
              <w:szCs w:val="19"/>
            </w:rPr>
            <w:t>资</w:t>
          </w:r>
          <w:r>
            <w:rPr>
              <w:spacing w:val="-50"/>
              <w:sz w:val="19"/>
              <w:szCs w:val="19"/>
            </w:rPr>
            <w:t xml:space="preserve"> </w:t>
          </w:r>
          <w:r>
            <w:rPr>
              <w:spacing w:val="-9"/>
              <w:sz w:val="19"/>
              <w:szCs w:val="19"/>
            </w:rPr>
            <w:t>金</w:t>
          </w:r>
          <w:r>
            <w:rPr>
              <w:spacing w:val="-6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4"/>
              <w:sz w:val="19"/>
              <w:szCs w:val="19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57" w:line="225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18"/>
              <w:sz w:val="19"/>
              <w:szCs w:val="19"/>
            </w:rPr>
            <w:t>2.4</w:t>
          </w: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 xml:space="preserve">   </w:t>
          </w:r>
          <w:r>
            <w:rPr>
              <w:spacing w:val="18"/>
              <w:sz w:val="19"/>
              <w:szCs w:val="19"/>
            </w:rPr>
            <w:t>私募基金(证券)</w:t>
          </w:r>
          <w:r>
            <w:rPr>
              <w:sz w:val="19"/>
              <w:szCs w:val="19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29" w:line="226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16"/>
              <w:sz w:val="19"/>
              <w:szCs w:val="19"/>
            </w:rPr>
            <w:t>2.5</w:t>
          </w:r>
          <w:r>
            <w:rPr>
              <w:rFonts w:ascii="Times New Roman" w:eastAsia="Times New Roman" w:hAnsi="Times New Roman" w:cs="Times New Roman"/>
              <w:spacing w:val="2"/>
              <w:sz w:val="19"/>
              <w:szCs w:val="19"/>
            </w:rPr>
            <w:t xml:space="preserve">   </w:t>
          </w:r>
          <w:r>
            <w:rPr>
              <w:spacing w:val="16"/>
              <w:sz w:val="19"/>
              <w:szCs w:val="19"/>
            </w:rPr>
            <w:t>保险资金</w:t>
          </w:r>
          <w:r>
            <w:rPr>
              <w:spacing w:val="-6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4"/>
              <w:sz w:val="19"/>
              <w:szCs w:val="19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17" w:line="226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>2.6</w:t>
          </w:r>
          <w:r>
            <w:rPr>
              <w:rFonts w:ascii="Times New Roman" w:eastAsia="Times New Roman" w:hAnsi="Times New Roman" w:cs="Times New Roman"/>
              <w:spacing w:val="11"/>
              <w:sz w:val="19"/>
              <w:szCs w:val="19"/>
            </w:rPr>
            <w:t xml:space="preserve">   </w:t>
          </w:r>
          <w:r>
            <w:rPr>
              <w:spacing w:val="5"/>
              <w:sz w:val="19"/>
              <w:szCs w:val="19"/>
            </w:rPr>
            <w:t>两融资金</w:t>
          </w:r>
          <w:r>
            <w:rPr>
              <w:spacing w:val="-6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62" w:line="229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4"/>
              <w:sz w:val="19"/>
              <w:szCs w:val="19"/>
            </w:rPr>
            <w:t xml:space="preserve">2.7   </w:t>
          </w:r>
          <w:r>
            <w:rPr>
              <w:spacing w:val="4"/>
              <w:sz w:val="19"/>
              <w:szCs w:val="19"/>
            </w:rPr>
            <w:t>银行理财</w:t>
          </w:r>
          <w:r>
            <w:rPr>
              <w:spacing w:val="-6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149" w:line="224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-1"/>
              <w:sz w:val="19"/>
              <w:szCs w:val="19"/>
            </w:rPr>
            <w:t xml:space="preserve">2.8   </w:t>
          </w:r>
          <w:r>
            <w:rPr>
              <w:spacing w:val="-1"/>
              <w:sz w:val="19"/>
              <w:szCs w:val="19"/>
            </w:rPr>
            <w:t>个人投资者</w:t>
          </w:r>
          <w:r>
            <w:rPr>
              <w:spacing w:val="5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4"/>
              <w:sz w:val="19"/>
              <w:szCs w:val="19"/>
            </w:rPr>
            <w:t xml:space="preserve"> </w:t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38" w:line="224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>三、</w:t>
          </w:r>
          <w:r>
            <w:rPr>
              <w:spacing w:val="93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资金需求核心指标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4"/>
              <w:sz w:val="19"/>
              <w:szCs w:val="19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42" w:line="226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8"/>
              <w:sz w:val="19"/>
              <w:szCs w:val="19"/>
            </w:rPr>
            <w:t>3.1</w:t>
          </w:r>
          <w:r>
            <w:rPr>
              <w:rFonts w:ascii="Times New Roman" w:eastAsia="Times New Roman" w:hAnsi="Times New Roman" w:cs="Times New Roman"/>
              <w:spacing w:val="3"/>
              <w:sz w:val="19"/>
              <w:szCs w:val="19"/>
            </w:rPr>
            <w:t xml:space="preserve">   </w:t>
          </w:r>
          <w:r>
            <w:rPr>
              <w:spacing w:val="8"/>
              <w:sz w:val="19"/>
              <w:szCs w:val="19"/>
            </w:rPr>
            <w:t>股权融资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34" w:line="223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2"/>
              <w:sz w:val="19"/>
              <w:szCs w:val="19"/>
            </w:rPr>
            <w:t xml:space="preserve">3.2   </w:t>
          </w:r>
          <w:r>
            <w:rPr>
              <w:spacing w:val="2"/>
              <w:sz w:val="19"/>
              <w:szCs w:val="19"/>
            </w:rPr>
            <w:t>产业资本持股变动</w:t>
          </w:r>
          <w:r>
            <w:rPr>
              <w:spacing w:val="45"/>
              <w:w w:val="10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425"/>
            </w:tabs>
            <w:spacing w:before="134" w:line="227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6"/>
              <w:sz w:val="19"/>
              <w:szCs w:val="19"/>
            </w:rPr>
            <w:t xml:space="preserve">3.3   </w:t>
          </w:r>
          <w:r>
            <w:rPr>
              <w:spacing w:val="6"/>
              <w:sz w:val="19"/>
              <w:szCs w:val="19"/>
            </w:rPr>
            <w:t>上市公司回购</w:t>
          </w:r>
          <w:r>
            <w:rPr>
              <w:spacing w:val="-7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24"/>
              <w:sz w:val="19"/>
              <w:szCs w:val="19"/>
            </w:rPr>
            <w:t xml:space="preserve"> </w:t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20</w:t>
            </w:r>
          </w:hyperlink>
        </w:p>
        <w:p>
          <w:pPr>
            <w:pStyle w:val="BodyText"/>
            <w:tabs>
              <w:tab w:val="right" w:leader="dot" w:pos="10485"/>
            </w:tabs>
            <w:spacing w:before="156" w:line="225" w:lineRule="auto"/>
            <w:ind w:left="268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4"/>
              <w:sz w:val="19"/>
              <w:szCs w:val="19"/>
            </w:rPr>
            <w:t>3.4</w:t>
          </w:r>
          <w:r>
            <w:rPr>
              <w:rFonts w:ascii="Times New Roman" w:eastAsia="Times New Roman" w:hAnsi="Times New Roman" w:cs="Times New Roman"/>
              <w:spacing w:val="13"/>
              <w:w w:val="101"/>
              <w:sz w:val="19"/>
              <w:szCs w:val="19"/>
            </w:rPr>
            <w:t xml:space="preserve">   </w:t>
          </w:r>
          <w:r>
            <w:rPr>
              <w:spacing w:val="4"/>
              <w:sz w:val="19"/>
              <w:szCs w:val="19"/>
            </w:rPr>
            <w:t>交易费用</w:t>
          </w:r>
          <w:r>
            <w:rPr>
              <w:sz w:val="19"/>
              <w:szCs w:val="19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21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153" w:line="230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-4"/>
              <w:sz w:val="19"/>
              <w:szCs w:val="19"/>
            </w:rPr>
            <w:t>四、</w:t>
          </w:r>
          <w:r>
            <w:rPr>
              <w:spacing w:val="88"/>
              <w:sz w:val="19"/>
              <w:szCs w:val="19"/>
            </w:rPr>
            <w:t xml:space="preserve"> </w:t>
          </w:r>
          <w:r>
            <w:rPr>
              <w:spacing w:val="-4"/>
              <w:sz w:val="19"/>
              <w:szCs w:val="19"/>
            </w:rPr>
            <w:t>风险提示</w:t>
          </w:r>
          <w:r>
            <w:rPr>
              <w:spacing w:val="-7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21</w:t>
            </w:r>
          </w:hyperlink>
        </w:p>
      </w:sdtContent>
    </w:sdt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5"/>
          <w:szCs w:val="25"/>
        </w:rPr>
        <w:id w:val="894141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spacing w:before="82" w:line="227" w:lineRule="auto"/>
            <w:ind w:left="2473"/>
            <w:rPr>
              <w:sz w:val="25"/>
              <w:szCs w:val="25"/>
            </w:rPr>
          </w:pPr>
          <w:r>
            <w:rPr>
              <w:b/>
              <w:bCs/>
              <w:spacing w:val="-30"/>
              <w:sz w:val="25"/>
              <w:szCs w:val="25"/>
            </w:rPr>
            <w:t>图</w:t>
          </w:r>
          <w:r>
            <w:rPr>
              <w:spacing w:val="-45"/>
              <w:sz w:val="25"/>
              <w:szCs w:val="25"/>
            </w:rPr>
            <w:t xml:space="preserve"> </w:t>
          </w:r>
          <w:r>
            <w:rPr>
              <w:b/>
              <w:bCs/>
              <w:spacing w:val="-30"/>
              <w:sz w:val="25"/>
              <w:szCs w:val="25"/>
            </w:rPr>
            <w:t>表</w:t>
          </w:r>
          <w:r>
            <w:rPr>
              <w:spacing w:val="16"/>
              <w:sz w:val="25"/>
              <w:szCs w:val="25"/>
            </w:rPr>
            <w:t xml:space="preserve"> </w:t>
          </w:r>
          <w:r>
            <w:rPr>
              <w:b/>
              <w:bCs/>
              <w:spacing w:val="-30"/>
              <w:sz w:val="25"/>
              <w:szCs w:val="25"/>
            </w:rPr>
            <w:t>目</w:t>
          </w:r>
          <w:r>
            <w:rPr>
              <w:spacing w:val="-21"/>
              <w:sz w:val="25"/>
              <w:szCs w:val="25"/>
            </w:rPr>
            <w:t xml:space="preserve"> </w:t>
          </w:r>
          <w:r>
            <w:rPr>
              <w:b/>
              <w:bCs/>
              <w:spacing w:val="-30"/>
              <w:sz w:val="25"/>
              <w:szCs w:val="25"/>
            </w:rPr>
            <w:t>录</w:t>
          </w:r>
        </w:p>
        <w:p>
          <w:pPr>
            <w:pStyle w:val="BodyText"/>
            <w:tabs>
              <w:tab w:val="right" w:leader="dot" w:pos="10445"/>
            </w:tabs>
            <w:spacing w:before="202" w:line="224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图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1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: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2月偏股基金发行规模仍处于历史底部</w:t>
          </w:r>
          <w:r>
            <w:rPr>
              <w:spacing w:val="-6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7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445"/>
            </w:tabs>
            <w:spacing w:before="141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76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2:2月已发行基金继续净申购</w:t>
          </w:r>
          <w:r>
            <w:rPr>
              <w:spacing w:val="-8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445"/>
            </w:tabs>
            <w:spacing w:before="159" w:line="228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3: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主要偏股型基金估算权益仓位</w:t>
          </w:r>
          <w:r>
            <w:rPr>
              <w:spacing w:val="4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" w:history="1"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123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11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4:</w:t>
          </w:r>
          <w:r>
            <w:rPr>
              <w:spacing w:val="-2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月度</w:t>
          </w:r>
          <w:r>
            <w:rPr>
              <w:spacing w:val="11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39"/>
              <w:w w:val="101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净流入规模(亿份)</w:t>
          </w:r>
          <w:r>
            <w:rPr>
              <w:sz w:val="19"/>
              <w:szCs w:val="19"/>
            </w:rPr>
            <w:tab/>
          </w:r>
          <w:r>
            <w:rPr>
              <w:spacing w:val="-14"/>
              <w:sz w:val="19"/>
              <w:szCs w:val="19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58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-1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5</w:t>
          </w:r>
          <w:r>
            <w:rPr>
              <w:spacing w:val="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:</w:t>
          </w:r>
          <w:r>
            <w:rPr>
              <w:spacing w:val="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月度</w:t>
          </w:r>
          <w:r>
            <w:rPr>
              <w:spacing w:val="-46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1"/>
              <w:sz w:val="19"/>
              <w:szCs w:val="19"/>
            </w:rPr>
            <w:t xml:space="preserve">  </w:t>
          </w:r>
          <w:r>
            <w:rPr>
              <w:spacing w:val="9"/>
              <w:sz w:val="19"/>
              <w:szCs w:val="19"/>
            </w:rPr>
            <w:t>净流入金额(亿元)</w:t>
          </w:r>
          <w:r>
            <w:rPr>
              <w:sz w:val="19"/>
              <w:szCs w:val="19"/>
            </w:rPr>
            <w:tab/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127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4"/>
              <w:sz w:val="19"/>
              <w:szCs w:val="19"/>
            </w:rPr>
            <w:t>图</w:t>
          </w:r>
          <w:r>
            <w:rPr>
              <w:spacing w:val="92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6:2月各类型</w:t>
          </w:r>
          <w:r>
            <w:rPr>
              <w:spacing w:val="14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1"/>
              <w:sz w:val="19"/>
              <w:szCs w:val="19"/>
            </w:rPr>
            <w:t xml:space="preserve">  </w:t>
          </w:r>
          <w:r>
            <w:rPr>
              <w:spacing w:val="14"/>
              <w:sz w:val="19"/>
              <w:szCs w:val="19"/>
            </w:rPr>
            <w:t>净流入份额(亿份)</w:t>
          </w:r>
          <w:r>
            <w:rPr>
              <w:sz w:val="19"/>
              <w:szCs w:val="19"/>
            </w:rPr>
            <w:tab/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148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图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7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: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2月各类型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4"/>
              <w:sz w:val="19"/>
              <w:szCs w:val="19"/>
            </w:rPr>
            <w:t xml:space="preserve">  </w:t>
          </w:r>
          <w:r>
            <w:rPr>
              <w:spacing w:val="7"/>
              <w:sz w:val="19"/>
              <w:szCs w:val="19"/>
            </w:rPr>
            <w:t>净流入金额(亿元)</w:t>
          </w:r>
          <w:r>
            <w:rPr>
              <w:sz w:val="19"/>
              <w:szCs w:val="19"/>
            </w:rP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473"/>
            </w:tabs>
            <w:spacing w:before="154" w:line="223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-5"/>
              <w:sz w:val="19"/>
              <w:szCs w:val="19"/>
            </w:rPr>
            <w:t>图</w:t>
          </w:r>
          <w:r>
            <w:rPr>
              <w:spacing w:val="-9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8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: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宽基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39"/>
              <w:w w:val="101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产品单位净值相较行业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29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更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高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(</w:t>
          </w:r>
          <w:r>
            <w:rPr>
              <w:spacing w:val="-30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元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-5"/>
              <w:sz w:val="19"/>
              <w:szCs w:val="19"/>
            </w:rPr>
            <w:t>)</w:t>
          </w:r>
          <w:r>
            <w:rPr>
              <w:sz w:val="19"/>
              <w:szCs w:val="19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hyperlink>
        </w:p>
        <w:p>
          <w:pPr>
            <w:pStyle w:val="BodyText"/>
            <w:tabs>
              <w:tab w:val="right" w:leader="dot" w:pos="10443"/>
            </w:tabs>
            <w:spacing w:before="133" w:line="225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7"/>
              <w:sz w:val="19"/>
              <w:szCs w:val="19"/>
            </w:rPr>
            <w:t>图</w:t>
          </w:r>
          <w:r>
            <w:rPr>
              <w:spacing w:val="81"/>
              <w:sz w:val="19"/>
              <w:szCs w:val="19"/>
            </w:rPr>
            <w:t xml:space="preserve"> </w:t>
          </w:r>
          <w:r>
            <w:rPr>
              <w:spacing w:val="17"/>
              <w:sz w:val="19"/>
              <w:szCs w:val="19"/>
            </w:rPr>
            <w:t>9:2024年2</w:t>
          </w:r>
          <w:r>
            <w:rPr>
              <w:spacing w:val="-47"/>
              <w:sz w:val="19"/>
              <w:szCs w:val="19"/>
            </w:rPr>
            <w:t xml:space="preserve"> </w:t>
          </w:r>
          <w:r>
            <w:rPr>
              <w:spacing w:val="17"/>
              <w:sz w:val="19"/>
              <w:szCs w:val="19"/>
            </w:rPr>
            <w:t>月各类细分宽基</w:t>
          </w:r>
          <w:r>
            <w:rPr>
              <w:spacing w:val="17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29"/>
              <w:w w:val="101"/>
              <w:sz w:val="19"/>
              <w:szCs w:val="19"/>
            </w:rPr>
            <w:t xml:space="preserve"> </w:t>
          </w:r>
          <w:r>
            <w:rPr>
              <w:spacing w:val="17"/>
              <w:sz w:val="19"/>
              <w:szCs w:val="19"/>
            </w:rPr>
            <w:t>份额变化(亿份)</w:t>
          </w:r>
          <w:r>
            <w:rPr>
              <w:sz w:val="19"/>
              <w:szCs w:val="19"/>
            </w:rPr>
            <w:tab/>
          </w:r>
          <w:hyperlink w:anchor="bookmark22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138" w:line="225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-31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1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0</w:t>
          </w:r>
          <w:r>
            <w:rPr>
              <w:spacing w:val="-1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: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0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4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年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2月各类细分宽基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29"/>
              <w:w w:val="101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金额变化(</w:t>
          </w:r>
          <w:r>
            <w:rPr>
              <w:spacing w:val="5"/>
              <w:sz w:val="19"/>
              <w:szCs w:val="19"/>
            </w:rPr>
            <w:t>亿元)</w:t>
          </w:r>
          <w:r>
            <w:rPr>
              <w:sz w:val="19"/>
              <w:szCs w:val="19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446"/>
            </w:tabs>
            <w:spacing w:before="209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z w:val="19"/>
              <w:szCs w:val="19"/>
            </w:rPr>
            <w:t>图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1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1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: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2月北向资金转出为入</w:t>
          </w:r>
          <w:r>
            <w:rPr>
              <w:spacing w:val="-6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436"/>
            </w:tabs>
            <w:spacing w:before="100" w:line="227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  <w:sectPr>
              <w:type w:val="continuous"/>
              <w:pgSz w:w="11910" w:h="16840"/>
              <w:pgMar w:top="755" w:right="620" w:bottom="0" w:left="660" w:header="0" w:footer="0" w:gutter="0"/>
              <w:pgNumType w:start="6"/>
              <w:cols w:num="1" w:space="708" w:equalWidth="0">
                <w:col w:w="10630" w:space="0"/>
              </w:cols>
            </w:sect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37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12: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北向交易占成交比重维持高位</w:t>
          </w:r>
          <w:r>
            <w:rPr>
              <w:spacing w:val="4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10</w:t>
            </w:r>
          </w:hyperlink>
        </w:p>
      </w:sdtContent>
    </w:sdt>
    <w:sdt>
      <w:sdtPr>
        <w:rPr>
          <w:rFonts w:ascii="KaiTi" w:eastAsia="KaiTi" w:hAnsi="KaiTi" w:cs="KaiTi"/>
          <w:sz w:val="25"/>
          <w:szCs w:val="25"/>
        </w:rPr>
        <w:id w:val="122065489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436"/>
            </w:tabs>
            <w:spacing w:before="144" w:line="226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-1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1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3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: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2月各申万行业北向净流入情况(采用月均价估算)</w:t>
          </w:r>
          <w:r>
            <w:rPr>
              <w:sz w:val="19"/>
              <w:szCs w:val="19"/>
            </w:rPr>
            <w:tab/>
          </w:r>
          <w:r>
            <w:rPr>
              <w:spacing w:val="-14"/>
              <w:sz w:val="19"/>
              <w:szCs w:val="19"/>
            </w:rPr>
            <w:t xml:space="preserve"> </w:t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516"/>
            </w:tabs>
            <w:spacing w:before="117" w:line="225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-5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1</w:t>
          </w:r>
          <w:r>
            <w:rPr>
              <w:spacing w:val="-3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4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: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2月各类型外资流入趋势(亿元)</w:t>
          </w:r>
          <w:r>
            <w:rPr>
              <w:sz w:val="19"/>
              <w:szCs w:val="19"/>
            </w:rPr>
            <w:tab/>
          </w:r>
          <w:r>
            <w:rPr>
              <w:spacing w:val="-34"/>
              <w:sz w:val="19"/>
              <w:szCs w:val="19"/>
            </w:rPr>
            <w:t xml:space="preserve"> </w:t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11</w:t>
            </w:r>
          </w:hyperlink>
        </w:p>
        <w:p>
          <w:pPr>
            <w:pStyle w:val="BodyText"/>
            <w:tabs>
              <w:tab w:val="right" w:leader="dot" w:pos="10486"/>
            </w:tabs>
            <w:spacing w:before="169" w:line="225" w:lineRule="auto"/>
            <w:ind w:left="239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-29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1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5</w:t>
          </w:r>
          <w:r>
            <w:rPr>
              <w:spacing w:val="-14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: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各类型外资近两月流入情况(亿元)</w:t>
          </w:r>
          <w:r>
            <w:rPr>
              <w:sz w:val="19"/>
              <w:szCs w:val="19"/>
            </w:rP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11</w:t>
            </w:r>
          </w:hyperlink>
        </w:p>
      </w:sdtContent>
    </w:sdt>
    <w:p>
      <w:pPr>
        <w:pStyle w:val="BodyText"/>
        <w:spacing w:before="22"/>
        <w:jc w:val="right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-18"/>
          <w:w w:val="95"/>
          <w:sz w:val="19"/>
          <w:szCs w:val="19"/>
        </w:rPr>
        <w:t xml:space="preserve">2|   </w:t>
      </w:r>
      <w:r>
        <w:rPr>
          <w:b/>
          <w:bCs/>
          <w:spacing w:val="-18"/>
          <w:w w:val="95"/>
          <w:sz w:val="19"/>
          <w:szCs w:val="19"/>
        </w:rPr>
        <w:t>请务必仔细阅读报告尾部的投资评级说明和声明</w:t>
      </w:r>
      <w:r>
        <w:rPr>
          <w:spacing w:val="1"/>
          <w:sz w:val="19"/>
          <w:szCs w:val="19"/>
        </w:rPr>
        <w:t xml:space="preserve">                                           </w:t>
      </w:r>
      <w:r>
        <w:rPr>
          <w:sz w:val="19"/>
          <w:szCs w:val="19"/>
        </w:rPr>
        <w:t xml:space="preserve">      </w:t>
      </w:r>
      <w:r>
        <w:rPr>
          <w:position w:val="-18"/>
          <w:sz w:val="19"/>
          <w:szCs w:val="19"/>
        </w:rPr>
        <w:drawing>
          <wp:inline distT="0" distB="0" distL="0" distR="0">
            <wp:extent cx="1460462" cy="28572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0462" cy="28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19"/>
          <w:szCs w:val="19"/>
        </w:rPr>
        <w:sectPr>
          <w:type w:val="nextPage"/>
          <w:pgSz w:w="11910" w:h="16840"/>
          <w:pgMar w:top="755" w:right="620" w:bottom="0" w:left="660" w:header="0" w:footer="0" w:gutter="0"/>
          <w:pgNumType w:start="7"/>
          <w:cols w:num="1" w:space="708" w:equalWidth="0">
            <w:col w:w="10630" w:space="0"/>
          </w:cols>
          <w:titlePg w:val="0"/>
        </w:sectPr>
      </w:pPr>
    </w:p>
    <w:p>
      <w:pPr>
        <w:pStyle w:val="BodyText"/>
        <w:spacing w:before="229" w:line="213" w:lineRule="auto"/>
        <w:ind w:left="49"/>
        <w:rPr>
          <w:sz w:val="19"/>
          <w:szCs w:val="19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5727724</wp:posOffset>
            </wp:positionH>
            <wp:positionV relativeFrom="page">
              <wp:posOffset>10045700</wp:posOffset>
            </wp:positionV>
            <wp:extent cx="1447756" cy="292143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7756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3"/>
          <w:sz w:val="19"/>
          <w:szCs w:val="19"/>
        </w:rPr>
        <w:t>策略专题报告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7" w:line="199" w:lineRule="auto"/>
        <w:ind w:right="116" w:firstLine="769"/>
        <w:rPr>
          <w:sz w:val="19"/>
          <w:szCs w:val="19"/>
        </w:rPr>
      </w:pPr>
      <w:r>
        <w:rPr>
          <w:spacing w:val="-15"/>
          <w:w w:val="91"/>
          <w:sz w:val="19"/>
          <w:szCs w:val="19"/>
        </w:rPr>
        <w:t>西部证券</w:t>
      </w:r>
      <w:r>
        <w:rPr>
          <w:spacing w:val="1"/>
          <w:sz w:val="19"/>
          <w:szCs w:val="19"/>
        </w:rPr>
        <w:t xml:space="preserve"> </w:t>
      </w:r>
      <w:r>
        <w:rPr>
          <w:spacing w:val="6"/>
          <w:sz w:val="19"/>
          <w:szCs w:val="19"/>
        </w:rPr>
        <w:t>2024年03月07日</w:t>
      </w:r>
    </w:p>
    <w:p>
      <w:pPr>
        <w:spacing w:line="199" w:lineRule="auto"/>
        <w:rPr>
          <w:sz w:val="19"/>
          <w:szCs w:val="19"/>
        </w:rPr>
        <w:sectPr>
          <w:pgSz w:w="11910" w:h="16840"/>
          <w:pgMar w:top="755" w:right="610" w:bottom="0" w:left="650" w:header="0" w:footer="0" w:gutter="0"/>
          <w:pgNumType w:start="8"/>
          <w:cols w:num="2" w:space="708" w:equalWidth="0">
            <w:col w:w="9030" w:space="100"/>
            <w:col w:w="1520" w:space="0"/>
          </w:cols>
        </w:sectPr>
      </w:pPr>
    </w:p>
    <w:p>
      <w:pPr>
        <w:spacing w:line="266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19"/>
          <w:szCs w:val="19"/>
        </w:rPr>
        <w:id w:val="137633914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466"/>
            </w:tabs>
            <w:spacing w:before="62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图16:</w:t>
          </w:r>
          <w:r>
            <w:rPr>
              <w:spacing w:val="-22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私募基金管理规模(证券)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386"/>
            </w:tabs>
            <w:spacing w:before="130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图</w:t>
          </w:r>
          <w:r>
            <w:rPr>
              <w:spacing w:val="38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17: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私募证券基金管理人数量进一步下滑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40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-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1</w:t>
          </w:r>
          <w:r>
            <w:rPr>
              <w:spacing w:val="-26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8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: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2月新备案私募证券产品数量进一步下滑(支)</w:t>
          </w:r>
          <w:r>
            <w:rPr>
              <w:spacing w:val="5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50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79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19:2月新备案私募证券产品规模提升</w:t>
          </w:r>
          <w:r>
            <w:rPr>
              <w:spacing w:val="-8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486"/>
            </w:tabs>
            <w:spacing w:before="140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>图</w:t>
          </w:r>
          <w:r>
            <w:rPr>
              <w:spacing w:val="-18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2</w:t>
          </w:r>
          <w:r>
            <w:rPr>
              <w:spacing w:val="-24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0</w:t>
          </w:r>
          <w:r>
            <w:rPr>
              <w:spacing w:val="2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:</w:t>
          </w:r>
          <w:r>
            <w:rPr>
              <w:spacing w:val="2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1月私募基金权益仓位大幅下滑</w:t>
          </w:r>
          <w:r>
            <w:rPr>
              <w:spacing w:val="-8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49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21:</w:t>
          </w:r>
          <w:r>
            <w:rPr>
              <w:spacing w:val="-11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保险资金运用余额中股票和证券投资规模与占比</w:t>
          </w:r>
          <w:r>
            <w:rPr>
              <w:spacing w:val="4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3"/>
              <w:sz w:val="19"/>
              <w:szCs w:val="19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41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22:</w:t>
          </w:r>
          <w:r>
            <w:rPr>
              <w:spacing w:val="-11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保险资金运用余额中股票和证券投资规模与占比</w:t>
          </w:r>
          <w:r>
            <w:rPr>
              <w:spacing w:val="4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3"/>
              <w:sz w:val="19"/>
              <w:szCs w:val="19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31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55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23:两融余额环比变动</w:t>
          </w:r>
          <w:r>
            <w:rPr>
              <w:spacing w:val="-8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39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66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24:2月两融余额仍小幅下行</w:t>
          </w:r>
          <w:r>
            <w:rPr>
              <w:spacing w:val="37"/>
              <w:w w:val="10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52" w:line="226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55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25:融资净买入额月度变动</w:t>
          </w:r>
          <w:r>
            <w:rPr>
              <w:spacing w:val="-8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40" w:line="228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6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26:两融交易量占比</w:t>
          </w:r>
          <w:r>
            <w:rPr>
              <w:spacing w:val="-7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62" w:line="225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11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22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7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2月通信、计算机、煤炭等行业获大幅融资净买入</w:t>
          </w:r>
          <w:r>
            <w:rPr>
              <w:spacing w:val="-6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486"/>
            </w:tabs>
            <w:spacing w:before="126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图</w:t>
          </w:r>
          <w:r>
            <w:rPr>
              <w:spacing w:val="-20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2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8</w:t>
          </w:r>
          <w:r>
            <w:rPr>
              <w:spacing w:val="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:</w:t>
          </w:r>
          <w:r>
            <w:rPr>
              <w:spacing w:val="-26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2月理财产品发行-到期数量有所下滑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61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29:</w:t>
          </w:r>
          <w:r>
            <w:rPr>
              <w:spacing w:val="-4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权益型银行理财产品数量占比维持高位</w:t>
          </w:r>
          <w:r>
            <w:rPr>
              <w:spacing w:val="-7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22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66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30:2月上交所个人投资者开户数量小幅下降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60" w:line="225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图</w:t>
          </w:r>
          <w:r>
            <w:rPr>
              <w:spacing w:val="-2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3</w:t>
          </w:r>
          <w:r>
            <w:rPr>
              <w:spacing w:val="-20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1</w:t>
          </w:r>
          <w:r>
            <w:rPr>
              <w:spacing w:val="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:</w:t>
          </w:r>
          <w:r>
            <w:rPr>
              <w:spacing w:val="-3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2月小单资金净流入额大幅下降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29" w:line="226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32:月度</w:t>
          </w:r>
          <w:r>
            <w:rPr>
              <w:spacing w:val="-56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IPO</w:t>
          </w:r>
          <w:r>
            <w:rPr>
              <w:rFonts w:ascii="Times New Roman" w:eastAsia="Times New Roman" w:hAnsi="Times New Roman" w:cs="Times New Roman"/>
              <w:spacing w:val="41"/>
              <w:w w:val="101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规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模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58" w:line="226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</w:t>
          </w:r>
          <w:r>
            <w:rPr>
              <w:spacing w:val="13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33:</w:t>
          </w:r>
          <w:r>
            <w:rPr>
              <w:spacing w:val="-13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月度再融资规模(增发、配股、可转债等)</w:t>
          </w:r>
          <w:r>
            <w:rPr>
              <w:sz w:val="19"/>
              <w:szCs w:val="19"/>
            </w:rPr>
            <w:tab/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24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68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34:2月大股东产业资本净增持规模提升</w:t>
          </w:r>
          <w:r>
            <w:rPr>
              <w:spacing w:val="-8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46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486"/>
            </w:tabs>
            <w:spacing w:before="171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4"/>
              <w:sz w:val="19"/>
              <w:szCs w:val="19"/>
            </w:rPr>
            <w:t>图</w:t>
          </w:r>
          <w:r>
            <w:rPr>
              <w:spacing w:val="-10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3</w:t>
          </w:r>
          <w:r>
            <w:rPr>
              <w:spacing w:val="-29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5</w:t>
          </w:r>
          <w:r>
            <w:rPr>
              <w:spacing w:val="4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:</w:t>
          </w:r>
          <w:r>
            <w:rPr>
              <w:spacing w:val="-26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2月各行业产业资本持股规模变动</w:t>
          </w:r>
          <w:r>
            <w:rPr>
              <w:spacing w:val="-8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7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22" w:line="225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73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36:20年至今月频限售股解禁规模和数量变化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466"/>
            </w:tabs>
            <w:spacing w:before="147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图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3</w:t>
          </w:r>
          <w:r>
            <w:rPr>
              <w:spacing w:val="-4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7</w:t>
          </w:r>
          <w:r>
            <w:rPr>
              <w:spacing w:val="-17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: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2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0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2</w:t>
          </w:r>
          <w:r>
            <w:rPr>
              <w:spacing w:val="-47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4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年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3</w:t>
          </w:r>
          <w:r>
            <w:rPr>
              <w:spacing w:val="-54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月至年末各行业将解</w:t>
          </w:r>
          <w:r>
            <w:rPr>
              <w:spacing w:val="2"/>
              <w:sz w:val="19"/>
              <w:szCs w:val="19"/>
            </w:rPr>
            <w:t>禁股票规模和公司数量</w:t>
          </w:r>
          <w:r>
            <w:rPr>
              <w:spacing w:val="-7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43"/>
              <w:sz w:val="19"/>
              <w:szCs w:val="19"/>
            </w:rPr>
            <w:t xml:space="preserve"> </w:t>
          </w:r>
          <w:hyperlink w:anchor="bookmark49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415"/>
            </w:tabs>
            <w:spacing w:before="162" w:line="225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78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38:2月上市公司回购规模创历史新高</w:t>
          </w:r>
          <w:r>
            <w:rPr>
              <w:spacing w:val="-8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64"/>
              <w:sz w:val="19"/>
              <w:szCs w:val="19"/>
            </w:rPr>
            <w:t xml:space="preserve"> </w:t>
          </w:r>
          <w:hyperlink w:anchor="bookmark50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20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159" w:line="226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3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9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-33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2月至各行业回购金额与公司数量</w:t>
          </w:r>
          <w:r>
            <w:rPr>
              <w:spacing w:val="-7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4"/>
              <w:sz w:val="19"/>
              <w:szCs w:val="19"/>
            </w:rPr>
            <w:t xml:space="preserve"> </w:t>
          </w:r>
          <w:hyperlink w:anchor="bookmark51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20</w:t>
            </w:r>
          </w:hyperlink>
        </w:p>
        <w:p>
          <w:pPr>
            <w:pStyle w:val="BodyText"/>
            <w:tabs>
              <w:tab w:val="right" w:leader="dot" w:pos="10495"/>
            </w:tabs>
            <w:spacing w:before="127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64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40:18年以来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10"/>
              <w:sz w:val="19"/>
              <w:szCs w:val="19"/>
            </w:rPr>
            <w:t>A</w:t>
          </w:r>
          <w:r>
            <w:rPr>
              <w:rFonts w:ascii="Times New Roman" w:eastAsia="Times New Roman" w:hAnsi="Times New Roman" w:cs="Times New Roman"/>
              <w:spacing w:val="-1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股交易费用变化情况</w:t>
          </w:r>
          <w:r>
            <w:rPr>
              <w:spacing w:val="-7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2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21</w:t>
            </w:r>
          </w:hyperlink>
        </w:p>
        <w:p>
          <w:pPr>
            <w:spacing w:line="386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10475"/>
            </w:tabs>
            <w:spacing w:before="62" w:line="227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5"/>
              <w:sz w:val="19"/>
              <w:szCs w:val="19"/>
            </w:rPr>
            <w:t>表</w:t>
          </w:r>
          <w:r>
            <w:rPr>
              <w:spacing w:val="53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1:A股市场流动性统计</w:t>
          </w:r>
          <w:r>
            <w:rPr>
              <w:spacing w:val="-8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3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10476"/>
            </w:tabs>
            <w:spacing w:before="143" w:line="223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表</w:t>
          </w:r>
          <w:r>
            <w:rPr>
              <w:spacing w:val="69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2:2月已通过审核待发行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39"/>
              <w:w w:val="101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基金</w:t>
          </w:r>
          <w:r>
            <w:rPr>
              <w:spacing w:val="-6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4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506"/>
            </w:tabs>
            <w:spacing w:before="163" w:line="224" w:lineRule="auto"/>
            <w:ind w:left="2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表</w:t>
          </w:r>
          <w:r>
            <w:rPr>
              <w:spacing w:val="66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3:2月北向资金主要增持个股</w:t>
          </w:r>
          <w:r>
            <w:rPr>
              <w:spacing w:val="-6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44"/>
              <w:sz w:val="19"/>
              <w:szCs w:val="19"/>
            </w:rPr>
            <w:t xml:space="preserve"> </w:t>
          </w:r>
          <w:hyperlink w:anchor="bookmark5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11</w:t>
            </w:r>
          </w:hyperlink>
        </w:p>
      </w:sdtContent>
    </w:sdt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type w:val="continuous"/>
          <w:pgSz w:w="11910" w:h="16840"/>
          <w:pgMar w:top="755" w:right="610" w:bottom="0" w:left="650" w:header="0" w:footer="0" w:gutter="0"/>
          <w:pgNumType w:start="9"/>
          <w:cols w:num="1" w:space="708" w:equalWidth="0">
            <w:col w:w="10650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2" w:line="198" w:lineRule="auto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-15"/>
          <w:w w:val="93"/>
          <w:sz w:val="19"/>
          <w:szCs w:val="19"/>
        </w:rPr>
        <w:t>3|</w:t>
      </w:r>
      <w:r>
        <w:rPr>
          <w:rFonts w:ascii="Times New Roman" w:eastAsia="Times New Roman" w:hAnsi="Times New Roman" w:cs="Times New Roman"/>
          <w:b/>
          <w:bCs/>
          <w:spacing w:val="5"/>
          <w:sz w:val="19"/>
          <w:szCs w:val="19"/>
        </w:rPr>
        <w:t xml:space="preserve">   </w:t>
      </w:r>
      <w:r>
        <w:rPr>
          <w:b/>
          <w:bCs/>
          <w:spacing w:val="-15"/>
          <w:w w:val="93"/>
          <w:sz w:val="19"/>
          <w:szCs w:val="19"/>
        </w:rPr>
        <w:t>请务必仔细阅读报告尾部的投资评级说明和声明</w:t>
      </w:r>
    </w:p>
    <w:p>
      <w:pPr>
        <w:spacing w:line="198" w:lineRule="auto"/>
        <w:rPr>
          <w:sz w:val="19"/>
          <w:szCs w:val="19"/>
        </w:rPr>
        <w:sectPr>
          <w:type w:val="nextPage"/>
          <w:pgSz w:w="11910" w:h="16840"/>
          <w:pgMar w:top="755" w:right="610" w:bottom="0" w:left="650" w:header="0" w:footer="0" w:gutter="0"/>
          <w:pgNumType w:start="10"/>
          <w:cols w:num="1" w:space="708" w:equalWidth="0">
            <w:col w:w="10650" w:space="0"/>
          </w:cols>
          <w:titlePg w:val="0"/>
        </w:sectPr>
      </w:pPr>
    </w:p>
    <w:p>
      <w:pPr>
        <w:pStyle w:val="BodyText"/>
        <w:spacing w:before="184" w:line="208" w:lineRule="auto"/>
        <w:ind w:left="20"/>
      </w:pPr>
      <w:r>
        <w:rPr>
          <w:spacing w:val="23"/>
        </w:rPr>
        <w:t>策略专题报告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218" w:lineRule="auto"/>
        <w:ind w:right="44" w:firstLine="769"/>
        <w:rPr>
          <w:sz w:val="16"/>
          <w:szCs w:val="16"/>
        </w:rPr>
      </w:pPr>
      <w:r>
        <w:rPr>
          <w:sz w:val="16"/>
          <w:szCs w:val="16"/>
        </w:rPr>
        <w:t>西部证券</w:t>
      </w:r>
      <w:r>
        <w:rPr>
          <w:spacing w:val="2"/>
          <w:sz w:val="16"/>
          <w:szCs w:val="16"/>
        </w:rPr>
        <w:t xml:space="preserve"> </w:t>
      </w:r>
      <w:r>
        <w:rPr>
          <w:spacing w:val="18"/>
          <w:w w:val="110"/>
          <w:sz w:val="16"/>
          <w:szCs w:val="16"/>
        </w:rPr>
        <w:t>2024年03月07日</w:t>
      </w:r>
    </w:p>
    <w:p>
      <w:pPr>
        <w:spacing w:line="218" w:lineRule="auto"/>
        <w:rPr>
          <w:sz w:val="16"/>
          <w:szCs w:val="16"/>
        </w:rPr>
        <w:sectPr>
          <w:pgSz w:w="11910" w:h="16840"/>
          <w:pgMar w:top="780" w:right="655" w:bottom="0" w:left="679" w:header="0" w:footer="0" w:gutter="0"/>
          <w:pgNumType w:start="11"/>
          <w:cols w:num="2" w:space="708" w:equalWidth="0">
            <w:col w:w="9001" w:space="100"/>
            <w:col w:w="1475" w:space="0"/>
          </w:cols>
        </w:sect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01" w:line="224" w:lineRule="auto"/>
        <w:ind w:left="2394"/>
        <w:outlineLvl w:val="0"/>
        <w:rPr>
          <w:sz w:val="31"/>
          <w:szCs w:val="31"/>
        </w:rPr>
      </w:pPr>
      <w:bookmarkStart w:id="0" w:name="bookmark1"/>
      <w:bookmarkEnd w:id="0"/>
      <w:r>
        <w:rPr>
          <w:b/>
          <w:bCs/>
          <w:color w:val="C3000C"/>
          <w:spacing w:val="8"/>
          <w:sz w:val="31"/>
          <w:szCs w:val="31"/>
        </w:rPr>
        <w:t>一、2024年2月股市资金回顾与展望</w:t>
      </w:r>
    </w:p>
    <w:p>
      <w:pPr>
        <w:pStyle w:val="BodyText"/>
        <w:spacing w:before="154" w:line="271" w:lineRule="auto"/>
        <w:ind w:left="2390" w:right="72" w:firstLine="3"/>
        <w:jc w:val="both"/>
      </w:pPr>
      <w:r>
        <w:rPr>
          <w:b/>
          <w:bCs/>
          <w:spacing w:val="-1"/>
        </w:rPr>
        <w:t>2</w:t>
      </w:r>
      <w:r>
        <w:rPr>
          <w:spacing w:val="-1"/>
        </w:rPr>
        <w:t xml:space="preserve"> </w:t>
      </w:r>
      <w:r>
        <w:rPr>
          <w:b/>
          <w:bCs/>
          <w:spacing w:val="-1"/>
        </w:rPr>
        <w:t>月市场转暖背后资金面显著改善。2</w:t>
      </w:r>
      <w:r>
        <w:rPr>
          <w:spacing w:val="-1"/>
        </w:rPr>
        <w:t xml:space="preserve"> </w:t>
      </w:r>
      <w:r>
        <w:rPr>
          <w:spacing w:val="-1"/>
        </w:rPr>
        <w:t>月</w:t>
      </w:r>
      <w:r>
        <w:rPr>
          <w:spacing w:val="-2"/>
        </w:rPr>
        <w:t>市场整体呈现典型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“V”   </w:t>
      </w:r>
      <w:r>
        <w:rPr>
          <w:spacing w:val="-2"/>
        </w:rPr>
        <w:t>性行情，月初投资者仍</w:t>
      </w:r>
      <w:r>
        <w:t xml:space="preserve"> </w:t>
      </w:r>
      <w:r>
        <w:rPr>
          <w:spacing w:val="1"/>
        </w:rPr>
        <w:t>受市场各类风险事件影响，情绪持续探底，指数也仍维持</w:t>
      </w:r>
      <w:r>
        <w:t>1月末的下跌走势。而随着春节</w:t>
      </w:r>
      <w:r>
        <w:t xml:space="preserve"> </w:t>
      </w:r>
      <w:r>
        <w:rPr>
          <w:spacing w:val="-2"/>
        </w:rPr>
        <w:t>后监管层高频发言和推出相关政策大幅提振市场信心，叠加海外科技迎来标志性突破</w:t>
      </w:r>
      <w:r>
        <w:rPr>
          <w:spacing w:val="-3"/>
        </w:rPr>
        <w:t>催化</w:t>
      </w:r>
      <w:r>
        <w:t xml:space="preserve"> </w:t>
      </w:r>
      <w:r>
        <w:rPr>
          <w:spacing w:val="3"/>
        </w:rPr>
        <w:t>国内出现新的主题行情，市场迎来8连阳。而在市场表现转暖的背后，2月资金面也出现</w:t>
      </w:r>
      <w:r>
        <w:rPr>
          <w:spacing w:val="10"/>
        </w:rPr>
        <w:t xml:space="preserve"> </w:t>
      </w:r>
      <w:r>
        <w:rPr>
          <w:spacing w:val="-15"/>
        </w:rPr>
        <w:t>了显著改善。</w:t>
      </w:r>
    </w:p>
    <w:p>
      <w:pPr>
        <w:pStyle w:val="BodyText"/>
        <w:spacing w:before="232" w:line="279" w:lineRule="auto"/>
        <w:ind w:left="2390" w:firstLine="3"/>
      </w:pPr>
      <w:r>
        <w:rPr>
          <w:b/>
          <w:bCs/>
          <w:spacing w:val="-2"/>
        </w:rPr>
        <w:t>前期</w:t>
      </w:r>
      <w:r>
        <w:rPr>
          <w:spacing w:val="-2"/>
        </w:rPr>
        <w:t xml:space="preserve"> </w:t>
      </w:r>
      <w:r>
        <w:rPr>
          <w:rFonts w:ascii="SimSun" w:eastAsia="SimSun" w:hAnsi="SimSun" w:cs="SimSun"/>
          <w:b/>
          <w:bCs/>
          <w:spacing w:val="-2"/>
        </w:rPr>
        <w:t>ETF</w:t>
      </w:r>
      <w:r>
        <w:rPr>
          <w:rFonts w:ascii="SimSun" w:eastAsia="SimSun" w:hAnsi="SimSun" w:cs="SimSun"/>
          <w:spacing w:val="55"/>
        </w:rPr>
        <w:t xml:space="preserve"> </w:t>
      </w:r>
      <w:r>
        <w:rPr>
          <w:b/>
          <w:bCs/>
          <w:spacing w:val="-2"/>
        </w:rPr>
        <w:t>基金规模逆势强劲增长，后续外资、杠杆持续接力。</w:t>
      </w:r>
      <w:r>
        <w:rPr>
          <w:spacing w:val="-2"/>
        </w:rPr>
        <w:t>从股市资金层面来</w:t>
      </w:r>
      <w:r>
        <w:rPr>
          <w:spacing w:val="-3"/>
        </w:rPr>
        <w:t>看，节</w:t>
      </w:r>
      <w:r>
        <w:t xml:space="preserve">  </w:t>
      </w:r>
      <w:r>
        <w:rPr>
          <w:spacing w:val="-6"/>
        </w:rPr>
        <w:t>前汇金扩大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-6"/>
        </w:rPr>
        <w:t>ETF</w:t>
      </w:r>
      <w:r>
        <w:rPr>
          <w:rFonts w:ascii="SimSun" w:eastAsia="SimSun" w:hAnsi="SimSun" w:cs="SimSun"/>
          <w:spacing w:val="68"/>
        </w:rPr>
        <w:t xml:space="preserve"> </w:t>
      </w:r>
      <w:r>
        <w:rPr>
          <w:spacing w:val="-6"/>
        </w:rPr>
        <w:t>增持范围，为市场注入强大资金动力，</w:t>
      </w:r>
      <w:r>
        <w:rPr>
          <w:spacing w:val="45"/>
        </w:rPr>
        <w:t xml:space="preserve"> </w:t>
      </w:r>
      <w:r>
        <w:rPr>
          <w:rFonts w:ascii="SimSun" w:eastAsia="SimSun" w:hAnsi="SimSun" w:cs="SimSun"/>
          <w:spacing w:val="-6"/>
        </w:rPr>
        <w:t>ETF</w:t>
      </w:r>
      <w:r>
        <w:rPr>
          <w:rFonts w:ascii="SimSun" w:eastAsia="SimSun" w:hAnsi="SimSun" w:cs="SimSun"/>
          <w:spacing w:val="66"/>
        </w:rPr>
        <w:t xml:space="preserve"> </w:t>
      </w:r>
      <w:r>
        <w:rPr>
          <w:spacing w:val="-6"/>
        </w:rPr>
        <w:t>基金规模持续逆势增长，节</w:t>
      </w:r>
      <w:r>
        <w:t xml:space="preserve"> </w:t>
      </w:r>
      <w:r>
        <w:rPr>
          <w:spacing w:val="1"/>
        </w:rPr>
        <w:t>前一周</w:t>
      </w:r>
      <w:r>
        <w:rPr>
          <w:spacing w:val="-27"/>
        </w:rPr>
        <w:t xml:space="preserve"> </w:t>
      </w:r>
      <w:r>
        <w:rPr>
          <w:rFonts w:ascii="SimSun" w:eastAsia="SimSun" w:hAnsi="SimSun" w:cs="SimSun"/>
        </w:rPr>
        <w:t>ETF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基金规模大幅提升1410亿元，增持幅度达历史极值。而节后外资则进一步接</w:t>
      </w:r>
      <w:r>
        <w:rPr>
          <w:spacing w:val="1"/>
        </w:rPr>
        <w:t xml:space="preserve"> </w:t>
      </w:r>
      <w:r>
        <w:rPr>
          <w:spacing w:val="8"/>
        </w:rPr>
        <w:t>力，2月单月外资净流入超600亿元，结束过去6月净流出，</w:t>
      </w:r>
      <w:r>
        <w:rPr>
          <w:spacing w:val="7"/>
        </w:rPr>
        <w:t>其中配置型资金稳步增持，</w:t>
      </w:r>
      <w:r>
        <w:t xml:space="preserve"> </w:t>
      </w:r>
      <w:r>
        <w:rPr>
          <w:spacing w:val="-3"/>
        </w:rPr>
        <w:t>连续12个交易日净流入。而随着市场情绪逐步回温叠加资管产品“爆仓”风险逐步出清，</w:t>
      </w:r>
      <w:r>
        <w:rPr>
          <w:spacing w:val="6"/>
        </w:rPr>
        <w:t xml:space="preserve">  </w:t>
      </w:r>
      <w:r>
        <w:rPr>
          <w:spacing w:val="-2"/>
        </w:rPr>
        <w:t>杠杆资金也开始大幅回流，连续两周净流入额达历史高</w:t>
      </w:r>
      <w:r>
        <w:rPr>
          <w:spacing w:val="-3"/>
        </w:rPr>
        <w:t>位。</w:t>
      </w:r>
    </w:p>
    <w:p>
      <w:pPr>
        <w:pStyle w:val="BodyText"/>
        <w:spacing w:before="215" w:line="281" w:lineRule="auto"/>
        <w:ind w:left="2390" w:firstLine="3"/>
        <w:jc w:val="both"/>
      </w:pPr>
      <w:r>
        <w:rPr>
          <w:b/>
          <w:bCs/>
          <w:spacing w:val="2"/>
        </w:rPr>
        <w:t>市场融资进一步缩量，2月公司回购量创新高。</w:t>
      </w:r>
      <w:r>
        <w:rPr>
          <w:spacing w:val="2"/>
        </w:rPr>
        <w:t>从产业资本角度看，随着相关政策收紧2</w:t>
      </w:r>
      <w:r>
        <w:rPr>
          <w:spacing w:val="2"/>
        </w:rPr>
        <w:t xml:space="preserve"> </w:t>
      </w:r>
      <w:r>
        <w:rPr>
          <w:spacing w:val="-3"/>
        </w:rPr>
        <w:t>月一级市场融资进一步缩量，市场</w:t>
      </w:r>
      <w:r>
        <w:rPr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IPO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spacing w:val="-3"/>
        </w:rPr>
        <w:t>和再融资规模</w:t>
      </w:r>
      <w:r>
        <w:rPr>
          <w:spacing w:val="-4"/>
        </w:rPr>
        <w:t>均达历史低位。另一方面，随着市场</w:t>
      </w:r>
      <w:r>
        <w:rPr>
          <w:spacing w:val="-4"/>
        </w:rPr>
        <w:t xml:space="preserve"> </w:t>
      </w:r>
      <w:r>
        <w:t>逐步探底上市公司也迎来回购热潮，2月上市公司回购265.01亿元，环比大幅提升113.79</w:t>
      </w:r>
      <w:r>
        <w:t xml:space="preserve"> </w:t>
      </w:r>
      <w:r>
        <w:rPr>
          <w:spacing w:val="8"/>
        </w:rPr>
        <w:t>亿元创历史新高，此外2月产业资本继1月后继</w:t>
      </w:r>
      <w:r>
        <w:rPr>
          <w:spacing w:val="7"/>
        </w:rPr>
        <w:t>续净增持，且净增持规模达46.68亿元，</w:t>
      </w:r>
      <w:r>
        <w:t xml:space="preserve"> </w:t>
      </w:r>
      <w:r>
        <w:rPr>
          <w:spacing w:val="7"/>
        </w:rPr>
        <w:t>较上月提升46.21</w:t>
      </w:r>
      <w:r>
        <w:rPr>
          <w:spacing w:val="-46"/>
        </w:rPr>
        <w:t xml:space="preserve"> </w:t>
      </w:r>
      <w:r>
        <w:rPr>
          <w:spacing w:val="7"/>
        </w:rPr>
        <w:t>亿元，而上次连续两月产业资本净增持需要追溯到17年6月，资金需</w:t>
      </w:r>
      <w:r>
        <w:t xml:space="preserve"> </w:t>
      </w:r>
      <w:r>
        <w:rPr>
          <w:spacing w:val="2"/>
        </w:rPr>
        <w:t>求端的持续收缩也为2月市场资金面修复提供较大支</w:t>
      </w:r>
      <w:r>
        <w:rPr>
          <w:spacing w:val="1"/>
        </w:rPr>
        <w:t>撑。</w:t>
      </w:r>
    </w:p>
    <w:p>
      <w:pPr>
        <w:pStyle w:val="BodyText"/>
        <w:spacing w:before="217" w:line="273" w:lineRule="auto"/>
        <w:ind w:left="2390" w:right="56" w:firstLine="3"/>
        <w:jc w:val="both"/>
      </w:pPr>
      <w:r>
        <w:rPr>
          <w:b/>
          <w:bCs/>
          <w:spacing w:val="2"/>
        </w:rPr>
        <w:t>3月流动性有望进一步改善。</w:t>
      </w:r>
      <w:r>
        <w:rPr>
          <w:spacing w:val="2"/>
        </w:rPr>
        <w:t>展望3月，随着两会召开后当年经济目标制定，市场有望迎</w:t>
      </w:r>
      <w:r>
        <w:rPr>
          <w:spacing w:val="14"/>
        </w:rPr>
        <w:t xml:space="preserve"> </w:t>
      </w:r>
      <w:r>
        <w:rPr>
          <w:spacing w:val="-2"/>
        </w:rPr>
        <w:t>来新一轮政策窗口期，推动险资、社保长期资金入市。而在国内经济基本面温和修复背景</w:t>
      </w:r>
      <w:r>
        <w:t xml:space="preserve"> </w:t>
      </w:r>
      <w:r>
        <w:rPr>
          <w:spacing w:val="1"/>
        </w:rPr>
        <w:t>下，外资流入在2月迎来拐点后或持续回流。此外，随着市场情绪逐步修复，杠杆资金也</w:t>
      </w:r>
      <w:r>
        <w:rPr>
          <w:spacing w:val="3"/>
        </w:rPr>
        <w:t xml:space="preserve"> </w:t>
      </w:r>
      <w:r>
        <w:rPr>
          <w:spacing w:val="1"/>
        </w:rPr>
        <w:t>有望触底反弹。我们认为3月市场流动性有</w:t>
      </w:r>
      <w:r>
        <w:t>望进一步改善，而外资和杠杆资金或为主要推</w:t>
      </w:r>
      <w:r>
        <w:t xml:space="preserve"> </w:t>
      </w:r>
      <w:r>
        <w:rPr>
          <w:spacing w:val="-7"/>
        </w:rPr>
        <w:t>动力量。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type w:val="continuous"/>
          <w:pgSz w:w="11910" w:h="16840"/>
          <w:pgMar w:top="780" w:right="655" w:bottom="0" w:left="679" w:header="0" w:footer="0" w:gutter="0"/>
          <w:pgNumType w:start="12"/>
          <w:cols w:num="1" w:space="708" w:equalWidth="0">
            <w:col w:w="10575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104" w:line="185" w:lineRule="auto"/>
        <w:rPr>
          <w:rFonts w:ascii="STHupo" w:eastAsia="STHupo" w:hAnsi="STHupo" w:cs="STHupo"/>
          <w:sz w:val="31"/>
          <w:szCs w:val="31"/>
        </w:rPr>
      </w:pPr>
      <w:r>
        <w:rPr>
          <w:color w:val="CA6500"/>
          <w:spacing w:val="-2"/>
          <w:position w:val="3"/>
          <w:sz w:val="16"/>
          <w:szCs w:val="16"/>
        </w:rPr>
        <w:t>4</w:t>
      </w:r>
      <w:r>
        <w:rPr>
          <w:color w:val="CA6500"/>
          <w:spacing w:val="-18"/>
          <w:position w:val="3"/>
          <w:sz w:val="16"/>
          <w:szCs w:val="16"/>
        </w:rPr>
        <w:t xml:space="preserve"> </w:t>
      </w:r>
      <w:r>
        <w:rPr>
          <w:spacing w:val="-2"/>
          <w:position w:val="3"/>
          <w:sz w:val="16"/>
          <w:szCs w:val="16"/>
        </w:rPr>
        <w:t>|请务必仔细阅读报告尾部的投资评级说明和声明</w:t>
      </w:r>
      <w:r>
        <w:rPr>
          <w:spacing w:val="-2"/>
          <w:position w:val="3"/>
          <w:sz w:val="16"/>
          <w:szCs w:val="16"/>
        </w:rPr>
        <w:t xml:space="preserve">           </w:t>
      </w:r>
      <w:r>
        <w:rPr>
          <w:spacing w:val="-3"/>
          <w:position w:val="3"/>
          <w:sz w:val="16"/>
          <w:szCs w:val="16"/>
        </w:rPr>
        <w:t xml:space="preserve">                                                  </w:t>
      </w:r>
      <w:r>
        <w:rPr>
          <w:rFonts w:ascii="SimSun" w:eastAsia="SimSun" w:hAnsi="SimSun" w:cs="SimSun"/>
          <w:spacing w:val="-3"/>
          <w:position w:val="-2"/>
          <w:sz w:val="31"/>
          <w:szCs w:val="31"/>
        </w:rPr>
        <w:t>west..</w:t>
      </w:r>
      <w:r>
        <w:rPr>
          <w:rFonts w:ascii="SimSun" w:eastAsia="SimSun" w:hAnsi="SimSun" w:cs="SimSun"/>
          <w:spacing w:val="-60"/>
          <w:position w:val="-2"/>
          <w:sz w:val="31"/>
          <w:szCs w:val="31"/>
        </w:rPr>
        <w:t xml:space="preserve"> </w:t>
      </w:r>
      <w:r>
        <w:rPr>
          <w:rFonts w:ascii="STHupo" w:eastAsia="STHupo" w:hAnsi="STHupo" w:cs="STHupo"/>
          <w:b/>
          <w:bCs/>
          <w:color w:val="FC0000"/>
          <w:spacing w:val="-3"/>
          <w:position w:val="-2"/>
          <w:sz w:val="31"/>
          <w:szCs w:val="31"/>
        </w:rPr>
        <w:t>西部证券</w:t>
      </w:r>
    </w:p>
    <w:p>
      <w:pPr>
        <w:spacing w:line="185" w:lineRule="auto"/>
        <w:rPr>
          <w:rFonts w:ascii="STHupo" w:eastAsia="STHupo" w:hAnsi="STHupo" w:cs="STHupo"/>
          <w:sz w:val="31"/>
          <w:szCs w:val="31"/>
        </w:rPr>
        <w:sectPr>
          <w:type w:val="nextPage"/>
          <w:pgSz w:w="11910" w:h="16840"/>
          <w:pgMar w:top="780" w:right="655" w:bottom="0" w:left="679" w:header="0" w:footer="0" w:gutter="0"/>
          <w:pgNumType w:start="13"/>
          <w:cols w:num="1" w:space="708" w:equalWidth="0">
            <w:col w:w="10575" w:space="0"/>
          </w:cols>
          <w:titlePg w:val="0"/>
        </w:sectPr>
      </w:pPr>
    </w:p>
    <w:p>
      <w:pPr>
        <w:pStyle w:val="BodyText"/>
        <w:spacing w:before="170" w:line="224" w:lineRule="auto"/>
        <w:ind w:left="35"/>
        <w:rPr>
          <w:sz w:val="23"/>
          <w:szCs w:val="23"/>
        </w:rPr>
      </w:pPr>
      <w:bookmarkStart w:id="1" w:name="bookmark53"/>
      <w:bookmarkEnd w:id="1"/>
      <w:r>
        <w:rPr>
          <w:spacing w:val="3"/>
          <w:sz w:val="23"/>
          <w:szCs w:val="23"/>
        </w:rPr>
        <w:t>策略专题报告</w:t>
      </w:r>
    </w:p>
    <w:p>
      <w:pPr>
        <w:pStyle w:val="BodyText"/>
        <w:spacing w:before="274" w:line="192" w:lineRule="auto"/>
        <w:ind w:left="35"/>
        <w:rPr>
          <w:sz w:val="20"/>
          <w:szCs w:val="20"/>
        </w:rPr>
      </w:pPr>
      <w:r>
        <w:rPr>
          <w:spacing w:val="-6"/>
          <w:sz w:val="20"/>
          <w:szCs w:val="20"/>
        </w:rPr>
        <w:t>表</w:t>
      </w:r>
      <w:r>
        <w:rPr>
          <w:spacing w:val="-6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1</w:t>
      </w:r>
      <w:r>
        <w:rPr>
          <w:spacing w:val="-6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股市场流动性统计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7" w:line="251" w:lineRule="auto"/>
        <w:ind w:right="27" w:firstLine="759"/>
        <w:rPr>
          <w:sz w:val="16"/>
          <w:szCs w:val="16"/>
        </w:rPr>
      </w:pPr>
      <w:r>
        <w:rPr>
          <w:b/>
          <w:bCs/>
          <w:sz w:val="16"/>
          <w:szCs w:val="16"/>
        </w:rPr>
        <w:t>西部证券</w:t>
      </w:r>
      <w:r>
        <w:rPr>
          <w:spacing w:val="1"/>
          <w:sz w:val="16"/>
          <w:szCs w:val="16"/>
        </w:rPr>
        <w:t xml:space="preserve"> </w:t>
      </w:r>
      <w:r>
        <w:rPr>
          <w:b/>
          <w:bCs/>
          <w:spacing w:val="18"/>
          <w:w w:val="107"/>
          <w:sz w:val="16"/>
          <w:szCs w:val="16"/>
        </w:rPr>
        <w:t>2024年03月07日</w:t>
      </w:r>
    </w:p>
    <w:p>
      <w:pPr>
        <w:spacing w:line="251" w:lineRule="auto"/>
        <w:rPr>
          <w:sz w:val="16"/>
          <w:szCs w:val="16"/>
        </w:rPr>
        <w:sectPr>
          <w:pgSz w:w="11910" w:h="16840"/>
          <w:pgMar w:top="773" w:right="665" w:bottom="0" w:left="635" w:header="0" w:footer="0" w:gutter="0"/>
          <w:pgNumType w:start="14"/>
          <w:cols w:num="2" w:space="708" w:equalWidth="0">
            <w:col w:w="9058" w:space="100"/>
            <w:col w:w="1453" w:space="0"/>
          </w:cols>
        </w:sectPr>
      </w:pPr>
    </w:p>
    <w:p>
      <w:pPr>
        <w:spacing w:line="159" w:lineRule="exact"/>
      </w:pPr>
    </w:p>
    <w:tbl>
      <w:tblPr>
        <w:tblStyle w:val="TableNormal0"/>
        <w:tblW w:w="10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413"/>
        <w:gridCol w:w="941"/>
        <w:gridCol w:w="1047"/>
        <w:gridCol w:w="1149"/>
        <w:gridCol w:w="1079"/>
        <w:gridCol w:w="1049"/>
        <w:gridCol w:w="1089"/>
        <w:gridCol w:w="1159"/>
        <w:gridCol w:w="779"/>
        <w:gridCol w:w="894"/>
      </w:tblGrid>
      <w:tr>
        <w:tblPrEx>
          <w:tblW w:w="105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44"/>
        </w:trPr>
        <w:tc>
          <w:tcPr>
            <w:tcW w:w="10599" w:type="dxa"/>
            <w:gridSpan w:val="10"/>
            <w:shd w:val="clear" w:color="auto" w:fill="C00000"/>
            <w:vAlign w:val="top"/>
          </w:tcPr>
          <w:p>
            <w:pPr>
              <w:spacing w:line="205" w:lineRule="auto"/>
              <w:ind w:left="46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1"/>
                <w:sz w:val="21"/>
                <w:szCs w:val="21"/>
              </w:rPr>
              <w:t>资金流入流出情况(亿元)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160"/>
        </w:trPr>
        <w:tc>
          <w:tcPr>
            <w:tcW w:w="10599" w:type="dxa"/>
            <w:gridSpan w:val="10"/>
            <w:shd w:val="clear" w:color="auto" w:fill="DBDADA"/>
            <w:vAlign w:val="top"/>
          </w:tcPr>
          <w:p>
            <w:pPr>
              <w:spacing w:before="14" w:line="193" w:lineRule="auto"/>
              <w:ind w:left="56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类别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        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责金集道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   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2023年10月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2023年11月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2023年12月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2024年1月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2024年2月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    </w:t>
            </w: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2024年</w:t>
            </w:r>
            <w:r>
              <w:rPr>
                <w:rFonts w:ascii="SimSun" w:eastAsia="SimSun" w:hAnsi="SimSun" w:cs="SimSun"/>
                <w:spacing w:val="8"/>
                <w:sz w:val="13"/>
                <w:szCs w:val="13"/>
              </w:rPr>
              <w:t xml:space="preserve">   </w:t>
            </w:r>
            <w:r>
              <w:rPr>
                <w:rFonts w:ascii="SimSun" w:eastAsia="SimSun" w:hAnsi="SimSun" w:cs="SimSun"/>
                <w:color w:val="0048C4"/>
                <w:spacing w:val="1"/>
                <w:sz w:val="13"/>
                <w:szCs w:val="13"/>
              </w:rPr>
              <w:t>数指无前全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00"/>
        </w:trPr>
        <w:tc>
          <w:tcPr>
            <w:tcW w:w="10599" w:type="dxa"/>
            <w:gridSpan w:val="10"/>
            <w:shd w:val="clear" w:color="auto" w:fill="FCE4D6"/>
            <w:vAlign w:val="top"/>
          </w:tcPr>
          <w:p>
            <w:pPr>
              <w:spacing w:before="34" w:line="220" w:lineRule="auto"/>
              <w:ind w:left="21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资</w:t>
            </w:r>
            <w:r>
              <w:rPr>
                <w:rFonts w:ascii="SimSun" w:eastAsia="SimSun" w:hAnsi="SimSun" w:cs="SimSun"/>
                <w:color w:val="131110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金</w:t>
            </w:r>
            <w:r>
              <w:rPr>
                <w:rFonts w:ascii="SimSun" w:eastAsia="SimSun" w:hAnsi="SimSun" w:cs="SimSun"/>
                <w:color w:val="131110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流</w:t>
            </w:r>
            <w:r>
              <w:rPr>
                <w:rFonts w:ascii="SimSun" w:eastAsia="SimSun" w:hAnsi="SimSun" w:cs="SimSun"/>
                <w:color w:val="131110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入</w:t>
            </w:r>
            <w:r>
              <w:rPr>
                <w:rFonts w:ascii="SimSun" w:eastAsia="SimSun" w:hAnsi="SimSun" w:cs="SimSun"/>
                <w:color w:val="131110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项</w:t>
            </w:r>
            <w:r>
              <w:rPr>
                <w:rFonts w:ascii="SimSun" w:eastAsia="SimSun" w:hAnsi="SimSun" w:cs="SimSun"/>
                <w:color w:val="131110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131110"/>
                <w:spacing w:val="-6"/>
                <w:sz w:val="13"/>
                <w:szCs w:val="13"/>
              </w:rPr>
              <w:t>：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649"/>
        </w:trPr>
        <w:tc>
          <w:tcPr>
            <w:tcW w:w="1413" w:type="dxa"/>
            <w:tcBorders>
              <w:right w:val="nil"/>
            </w:tcBorders>
            <w:vAlign w:val="top"/>
          </w:tcPr>
          <w:p>
            <w:pPr>
              <w:spacing w:before="255" w:line="221" w:lineRule="auto"/>
              <w:ind w:left="4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3"/>
                <w:szCs w:val="13"/>
              </w:rPr>
              <w:t>公募基金</w:t>
            </w:r>
          </w:p>
        </w:tc>
        <w:tc>
          <w:tcPr>
            <w:tcW w:w="1988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56" w:line="240" w:lineRule="exact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8"/>
                <w:sz w:val="13"/>
                <w:szCs w:val="13"/>
              </w:rPr>
              <w:t>偏股基金新发行规模</w:t>
            </w:r>
          </w:p>
          <w:p>
            <w:pPr>
              <w:spacing w:line="219" w:lineRule="auto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偏股基金净流入份额</w:t>
            </w:r>
          </w:p>
          <w:p>
            <w:pPr>
              <w:spacing w:before="55" w:line="189" w:lineRule="auto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股票型ETF净流入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19" w:line="184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109</w:t>
            </w:r>
          </w:p>
          <w:p>
            <w:pPr>
              <w:spacing w:before="90" w:line="184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191</w:t>
            </w:r>
          </w:p>
          <w:p>
            <w:pPr>
              <w:spacing w:before="71" w:line="99" w:lineRule="exact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-23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19" w:line="183" w:lineRule="auto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258</w:t>
            </w:r>
          </w:p>
          <w:p>
            <w:pPr>
              <w:spacing w:before="91" w:line="183" w:lineRule="auto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368</w:t>
            </w:r>
          </w:p>
          <w:p>
            <w:pPr>
              <w:spacing w:before="71" w:line="99" w:lineRule="exact"/>
              <w:ind w:left="7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3"/>
                <w:szCs w:val="13"/>
              </w:rPr>
              <w:t>79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19" w:line="183" w:lineRule="auto"/>
              <w:ind w:left="61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307</w:t>
            </w:r>
          </w:p>
          <w:p>
            <w:pPr>
              <w:spacing w:before="90" w:line="184" w:lineRule="auto"/>
              <w:ind w:left="5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sz w:val="13"/>
                <w:szCs w:val="13"/>
              </w:rPr>
              <w:t>1008</w:t>
            </w:r>
          </w:p>
          <w:p>
            <w:pPr>
              <w:spacing w:before="70" w:line="100" w:lineRule="exact"/>
              <w:ind w:left="5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3"/>
                <w:szCs w:val="13"/>
              </w:rPr>
              <w:t>1268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19" w:line="184" w:lineRule="auto"/>
              <w:ind w:left="63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130</w:t>
            </w:r>
          </w:p>
          <w:p>
            <w:pPr>
              <w:spacing w:before="90" w:line="184" w:lineRule="auto"/>
              <w:ind w:left="55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-415</w:t>
            </w:r>
          </w:p>
          <w:p>
            <w:pPr>
              <w:spacing w:before="70" w:line="100" w:lineRule="exact"/>
              <w:ind w:left="55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3"/>
                <w:szCs w:val="13"/>
              </w:rPr>
              <w:t>1524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99" w:line="184" w:lineRule="auto"/>
              <w:ind w:left="48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100</w:t>
            </w:r>
          </w:p>
          <w:p>
            <w:pPr>
              <w:spacing w:before="110" w:line="184" w:lineRule="auto"/>
              <w:ind w:left="48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521</w:t>
            </w:r>
          </w:p>
          <w:p>
            <w:pPr>
              <w:spacing w:before="70" w:line="100" w:lineRule="exact"/>
              <w:ind w:left="45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3"/>
                <w:szCs w:val="13"/>
              </w:rPr>
              <w:t>1270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before="139" w:line="183" w:lineRule="auto"/>
              <w:ind w:left="49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230</w:t>
            </w:r>
          </w:p>
          <w:p>
            <w:pPr>
              <w:spacing w:before="90" w:line="184" w:lineRule="auto"/>
              <w:ind w:left="49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105</w:t>
            </w:r>
          </w:p>
          <w:p>
            <w:pPr>
              <w:spacing w:before="51" w:line="99" w:lineRule="exact"/>
              <w:ind w:left="43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2795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46" w:line="21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E0"/>
                <w:spacing w:val="7"/>
                <w:sz w:val="13"/>
                <w:szCs w:val="13"/>
              </w:rPr>
              <w:t>藏至2月</w:t>
            </w:r>
          </w:p>
          <w:p>
            <w:pPr>
              <w:spacing w:before="95" w:line="21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3E3"/>
                <w:spacing w:val="7"/>
                <w:sz w:val="13"/>
                <w:szCs w:val="13"/>
              </w:rPr>
              <w:t>截至2月</w:t>
            </w:r>
          </w:p>
          <w:p>
            <w:pPr>
              <w:spacing w:before="55" w:line="18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DF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20"/>
        </w:trPr>
        <w:tc>
          <w:tcPr>
            <w:tcW w:w="1413" w:type="dxa"/>
            <w:tcBorders>
              <w:right w:val="nil"/>
            </w:tcBorders>
            <w:vAlign w:val="top"/>
          </w:tcPr>
          <w:p>
            <w:pPr>
              <w:spacing w:before="15" w:line="219" w:lineRule="auto"/>
              <w:ind w:left="28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上</w:t>
            </w:r>
            <w:r>
              <w:rPr>
                <w:rFonts w:ascii="SimSun" w:eastAsia="SimSun" w:hAnsi="SimSun" w:cs="SimSun"/>
                <w:spacing w:val="-10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市</w:t>
            </w:r>
            <w:r>
              <w:rPr>
                <w:rFonts w:ascii="SimSun" w:eastAsia="SimSun" w:hAnsi="SimSun" w:cs="SimSun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公</w:t>
            </w:r>
            <w:r>
              <w:rPr>
                <w:rFonts w:ascii="SimSun" w:eastAsia="SimSun" w:hAnsi="SimSun" w:cs="SimSun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司</w:t>
            </w:r>
            <w:r>
              <w:rPr>
                <w:rFonts w:ascii="SimSun" w:eastAsia="SimSun" w:hAnsi="SimSun" w:cs="SimSun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回</w:t>
            </w:r>
            <w:r>
              <w:rPr>
                <w:rFonts w:ascii="SimSun" w:eastAsia="SimSun" w:hAnsi="SimSun" w:cs="SimSun"/>
                <w:spacing w:val="-15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购</w:t>
            </w:r>
          </w:p>
        </w:tc>
        <w:tc>
          <w:tcPr>
            <w:tcW w:w="1988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57" w:line="217" w:lineRule="auto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上市公司回购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169" w:lineRule="auto"/>
              <w:ind w:left="82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97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170" w:lineRule="auto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690065"/>
                <w:spacing w:val="-4"/>
                <w:sz w:val="13"/>
                <w:szCs w:val="13"/>
              </w:rPr>
              <w:t>117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10" w:line="100" w:lineRule="exact"/>
              <w:ind w:left="62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3"/>
                <w:szCs w:val="13"/>
              </w:rPr>
              <w:t>129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170" w:lineRule="auto"/>
              <w:ind w:left="61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151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169" w:lineRule="auto"/>
              <w:ind w:left="48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265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before="110" w:line="100" w:lineRule="exact"/>
              <w:ind w:left="49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416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76" w:line="18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DF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199"/>
        </w:trPr>
        <w:tc>
          <w:tcPr>
            <w:tcW w:w="1413" w:type="dxa"/>
            <w:tcBorders>
              <w:right w:val="nil"/>
            </w:tcBorders>
            <w:vAlign w:val="top"/>
          </w:tcPr>
          <w:p>
            <w:pPr>
              <w:spacing w:before="34" w:line="219" w:lineRule="auto"/>
              <w:ind w:left="4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产业资本</w:t>
            </w:r>
          </w:p>
        </w:tc>
        <w:tc>
          <w:tcPr>
            <w:tcW w:w="1988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56" w:line="188" w:lineRule="auto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产业资本增减持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69" w:line="169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-81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99" w:lineRule="exact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-15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89" w:line="100" w:lineRule="exact"/>
              <w:ind w:left="62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-29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70" w:line="168" w:lineRule="auto"/>
              <w:ind w:left="74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z w:val="13"/>
                <w:szCs w:val="13"/>
              </w:rPr>
              <w:t>0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89" w:line="100" w:lineRule="exact"/>
              <w:ind w:left="65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47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99" w:lineRule="exact"/>
              <w:ind w:left="56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47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57" w:line="187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3E2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19"/>
        </w:trPr>
        <w:tc>
          <w:tcPr>
            <w:tcW w:w="10599" w:type="dxa"/>
            <w:gridSpan w:val="10"/>
            <w:shd w:val="clear" w:color="auto" w:fill="E2EFDA"/>
            <w:vAlign w:val="top"/>
          </w:tcPr>
          <w:p>
            <w:pPr>
              <w:spacing w:before="56" w:line="216" w:lineRule="auto"/>
              <w:ind w:left="25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资</w:t>
            </w:r>
            <w:r>
              <w:rPr>
                <w:rFonts w:ascii="SimSun" w:eastAsia="SimSun" w:hAnsi="SimSun" w:cs="SimSun"/>
                <w:spacing w:val="-19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金</w:t>
            </w:r>
            <w:r>
              <w:rPr>
                <w:rFonts w:ascii="SimSun" w:eastAsia="SimSun" w:hAnsi="SimSun" w:cs="SimSun"/>
                <w:spacing w:val="-19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流</w:t>
            </w:r>
            <w:r>
              <w:rPr>
                <w:rFonts w:ascii="SimSun" w:eastAsia="SimSun" w:hAnsi="SimSun" w:cs="SimSun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出</w:t>
            </w:r>
            <w:r>
              <w:rPr>
                <w:rFonts w:ascii="SimSun" w:eastAsia="SimSun" w:hAnsi="SimSun" w:cs="SimSun"/>
                <w:spacing w:val="-18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项</w:t>
            </w:r>
            <w:r>
              <w:rPr>
                <w:rFonts w:ascii="SimSun" w:eastAsia="SimSun" w:hAnsi="SimSun" w:cs="SimSun"/>
                <w:spacing w:val="-25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9"/>
                <w:sz w:val="13"/>
                <w:szCs w:val="13"/>
              </w:rPr>
              <w:t>：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10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line="200" w:lineRule="exact"/>
              <w:ind w:firstLine="1404"/>
            </w:pPr>
            <w:r>
              <w:rPr>
                <w:position w:val="-5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i1025" type="#_x0000_t202" style="width:99.55pt;height:11.05pt;mso-position-horizontal-relative:char;mso-position-vertical-relative:line" filled="t" fillcolor="#ecedeb" stroked="f">
                  <o:lock v:ext="edit" aspectratio="f"/>
                  <v:textbox inset="0,0,0,0">
                    <w:txbxContent>
                      <w:p>
                        <w:pPr>
                          <w:spacing w:before="54" w:line="221" w:lineRule="auto"/>
                          <w:ind w:left="141"/>
                          <w:rPr>
                            <w:rFonts w:ascii="SimSun" w:eastAsia="SimSun" w:hAnsi="SimSun" w:cs="SimSu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SimSun" w:eastAsia="SimSun" w:hAnsi="SimSun" w:cs="SimSun"/>
                            <w:b/>
                            <w:bCs/>
                            <w:spacing w:val="-3"/>
                            <w:sz w:val="13"/>
                            <w:szCs w:val="13"/>
                          </w:rPr>
                          <w:t>合计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149" w:type="dxa"/>
            <w:tcBorders>
              <w:left w:val="nil"/>
              <w:right w:val="nil"/>
            </w:tcBorders>
            <w:shd w:val="clear" w:color="auto" w:fill="EBEDEB"/>
            <w:vAlign w:val="top"/>
          </w:tcPr>
          <w:p>
            <w:pPr>
              <w:spacing w:before="102" w:line="98" w:lineRule="exact"/>
              <w:ind w:left="69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-404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EDEDED"/>
            <w:vAlign w:val="top"/>
          </w:tcPr>
          <w:p>
            <w:pPr>
              <w:spacing w:before="102" w:line="98" w:lineRule="exact"/>
              <w:ind w:left="58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-291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EDEDED"/>
            <w:vAlign w:val="top"/>
          </w:tcPr>
          <w:p>
            <w:pPr>
              <w:spacing w:before="101" w:line="98" w:lineRule="exact"/>
              <w:ind w:left="5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-408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EDEDED"/>
            <w:vAlign w:val="top"/>
          </w:tcPr>
          <w:p>
            <w:pPr>
              <w:spacing w:before="81" w:line="168" w:lineRule="auto"/>
              <w:ind w:left="55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-510</w:t>
            </w:r>
          </w:p>
        </w:tc>
        <w:tc>
          <w:tcPr>
            <w:tcW w:w="1159" w:type="dxa"/>
            <w:tcBorders>
              <w:left w:val="nil"/>
              <w:right w:val="nil"/>
            </w:tcBorders>
            <w:shd w:val="clear" w:color="auto" w:fill="EDEDED"/>
            <w:vAlign w:val="top"/>
          </w:tcPr>
          <w:p>
            <w:pPr>
              <w:spacing w:before="102" w:line="98" w:lineRule="exact"/>
              <w:ind w:left="45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-113</w:t>
            </w:r>
          </w:p>
        </w:tc>
        <w:tc>
          <w:tcPr>
            <w:tcW w:w="779" w:type="dxa"/>
            <w:tcBorders>
              <w:left w:val="nil"/>
              <w:right w:val="nil"/>
            </w:tcBorders>
            <w:shd w:val="clear" w:color="auto" w:fill="EDEDED"/>
            <w:vAlign w:val="top"/>
          </w:tcPr>
          <w:p>
            <w:pPr>
              <w:spacing w:before="102" w:line="98" w:lineRule="exact"/>
              <w:ind w:left="43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-623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69" w:line="186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49DC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878"/>
        </w:trPr>
        <w:tc>
          <w:tcPr>
            <w:tcW w:w="2354" w:type="dxa"/>
            <w:gridSpan w:val="2"/>
            <w:tcBorders>
              <w:right w:val="nil"/>
            </w:tcBorders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42" w:line="219" w:lineRule="auto"/>
              <w:ind w:left="4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股权融青</w:t>
            </w:r>
          </w:p>
          <w:p>
            <w:pPr>
              <w:spacing w:before="9" w:line="220" w:lineRule="auto"/>
              <w:ind w:left="184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其中</w:t>
            </w:r>
          </w:p>
        </w:tc>
        <w:tc>
          <w:tcPr>
            <w:tcW w:w="1047" w:type="dxa"/>
            <w:tcBorders>
              <w:left w:val="nil"/>
              <w:right w:val="nil"/>
            </w:tcBorders>
            <w:vAlign w:val="top"/>
          </w:tcPr>
          <w:p>
            <w:pPr>
              <w:spacing w:before="60" w:line="239" w:lineRule="exact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8"/>
                <w:sz w:val="13"/>
                <w:szCs w:val="13"/>
              </w:rPr>
              <w:t>IPO募资</w:t>
            </w:r>
          </w:p>
          <w:p>
            <w:pPr>
              <w:spacing w:line="220" w:lineRule="auto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增发</w:t>
            </w:r>
          </w:p>
          <w:p>
            <w:pPr>
              <w:spacing w:before="86" w:line="221" w:lineRule="auto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配股</w:t>
            </w:r>
          </w:p>
          <w:p>
            <w:pPr>
              <w:spacing w:before="42" w:line="183" w:lineRule="auto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优先股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02" w:line="183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-85</w:t>
            </w:r>
          </w:p>
          <w:p>
            <w:pPr>
              <w:spacing w:before="101" w:line="183" w:lineRule="auto"/>
              <w:ind w:left="69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-264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32" w:line="183" w:lineRule="auto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-72</w:t>
            </w:r>
          </w:p>
          <w:p>
            <w:pPr>
              <w:spacing w:before="90" w:line="184" w:lineRule="auto"/>
              <w:ind w:left="58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-157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92" w:line="184" w:lineRule="auto"/>
              <w:ind w:left="52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-137</w:t>
            </w:r>
          </w:p>
          <w:p>
            <w:pPr>
              <w:spacing w:before="131" w:line="183" w:lineRule="auto"/>
              <w:ind w:left="5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-237</w:t>
            </w:r>
          </w:p>
          <w:p>
            <w:pPr>
              <w:spacing w:before="110" w:line="184" w:lineRule="auto"/>
              <w:ind w:left="69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18</w:t>
            </w:r>
          </w:p>
          <w:p>
            <w:pPr>
              <w:spacing w:before="51" w:line="95" w:lineRule="exact"/>
              <w:ind w:left="70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20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32" w:line="184" w:lineRule="auto"/>
              <w:ind w:left="55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-119</w:t>
            </w:r>
          </w:p>
          <w:p>
            <w:pPr>
              <w:spacing w:before="91" w:line="183" w:lineRule="auto"/>
              <w:ind w:left="58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-385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112" w:line="183" w:lineRule="auto"/>
              <w:ind w:left="51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58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before="43" w:line="184" w:lineRule="auto"/>
              <w:ind w:left="43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-413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99" w:line="21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49DA"/>
                <w:spacing w:val="7"/>
                <w:sz w:val="13"/>
                <w:szCs w:val="13"/>
              </w:rPr>
              <w:t>截至2月</w:t>
            </w:r>
          </w:p>
          <w:p>
            <w:pPr>
              <w:spacing w:before="65" w:line="21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E0"/>
                <w:spacing w:val="7"/>
                <w:sz w:val="13"/>
                <w:szCs w:val="13"/>
              </w:rPr>
              <w:t>截至2月</w:t>
            </w:r>
          </w:p>
          <w:p>
            <w:pPr>
              <w:spacing w:before="65" w:line="219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E1"/>
                <w:spacing w:val="7"/>
                <w:sz w:val="13"/>
                <w:szCs w:val="13"/>
              </w:rPr>
              <w:t>截至2月</w:t>
            </w:r>
          </w:p>
          <w:p>
            <w:pPr>
              <w:spacing w:before="45" w:line="183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DF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199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41" w:line="210" w:lineRule="auto"/>
              <w:ind w:left="260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可转债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74" w:line="162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-42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95" w:line="94" w:lineRule="exact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-57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94" w:line="95" w:lineRule="exact"/>
              <w:ind w:left="5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-2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60" w:line="182" w:lineRule="auto"/>
              <w:ind w:left="9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DF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20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81" w:line="182" w:lineRule="auto"/>
              <w:ind w:left="260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可交换债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15" w:line="95" w:lineRule="exact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-13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16" w:line="93" w:lineRule="exact"/>
              <w:ind w:left="7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position w:val="-2"/>
                <w:sz w:val="13"/>
                <w:szCs w:val="13"/>
              </w:rPr>
              <w:t>5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15" w:line="95" w:lineRule="exact"/>
              <w:ind w:left="67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52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15" w:line="95" w:lineRule="exact"/>
              <w:ind w:left="72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position w:val="-2"/>
                <w:sz w:val="13"/>
                <w:szCs w:val="13"/>
              </w:rPr>
              <w:t>6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81" w:line="182" w:lineRule="auto"/>
              <w:ind w:left="9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52E0"/>
                <w:spacing w:val="7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09"/>
        </w:trPr>
        <w:tc>
          <w:tcPr>
            <w:tcW w:w="1413" w:type="dxa"/>
            <w:tcBorders>
              <w:right w:val="nil"/>
            </w:tcBorders>
            <w:vAlign w:val="top"/>
          </w:tcPr>
          <w:p>
            <w:pPr>
              <w:spacing w:before="30" w:line="220" w:lineRule="auto"/>
              <w:ind w:left="56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3"/>
                <w:szCs w:val="13"/>
              </w:rPr>
              <w:t>外资</w:t>
            </w:r>
          </w:p>
        </w:tc>
        <w:tc>
          <w:tcPr>
            <w:tcW w:w="1988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72" w:line="180" w:lineRule="auto"/>
              <w:ind w:left="1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北上资金净流入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04" w:line="95" w:lineRule="exact"/>
              <w:ind w:left="70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-448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04" w:line="95" w:lineRule="exact"/>
              <w:ind w:left="65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-18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04" w:line="95" w:lineRule="exact"/>
              <w:ind w:left="5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-129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04" w:line="95" w:lineRule="exact"/>
              <w:ind w:left="55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-145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104" w:line="95" w:lineRule="exact"/>
              <w:ind w:left="48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607</w:t>
            </w: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72" w:line="180" w:lineRule="auto"/>
              <w:ind w:left="49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color w:val="001D7B"/>
                <w:spacing w:val="3"/>
                <w:sz w:val="13"/>
                <w:szCs w:val="13"/>
              </w:rPr>
              <w:t>462</w:t>
            </w:r>
            <w:r>
              <w:rPr>
                <w:rFonts w:ascii="SimSun" w:eastAsia="SimSun" w:hAnsi="SimSun" w:cs="SimSun"/>
                <w:color w:val="001D7B"/>
                <w:spacing w:val="12"/>
                <w:sz w:val="13"/>
                <w:szCs w:val="13"/>
              </w:rPr>
              <w:t xml:space="preserve">    </w:t>
            </w:r>
            <w:r>
              <w:rPr>
                <w:rFonts w:ascii="SimSun" w:eastAsia="SimSun" w:hAnsi="SimSun" w:cs="SimSun"/>
                <w:color w:val="0052E0"/>
                <w:spacing w:val="3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10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51" w:line="211" w:lineRule="auto"/>
              <w:ind w:left="4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1"/>
                <w:sz w:val="13"/>
                <w:szCs w:val="13"/>
              </w:rPr>
              <w:t>私募基金</w:t>
            </w: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 xml:space="preserve">         私募基金证券管理规模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06" w:line="93" w:lineRule="exact"/>
              <w:ind w:left="62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-1648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06" w:line="93" w:lineRule="exact"/>
              <w:ind w:left="7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47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06" w:line="93" w:lineRule="exact"/>
              <w:ind w:left="63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-9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05" w:line="95" w:lineRule="exact"/>
              <w:ind w:left="49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-2013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43" w:line="180" w:lineRule="auto"/>
              <w:ind w:left="3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2"/>
                <w:position w:val="-2"/>
                <w:sz w:val="13"/>
                <w:szCs w:val="13"/>
              </w:rPr>
              <w:t>-2013</w:t>
            </w:r>
            <w:r>
              <w:rPr>
                <w:rFonts w:ascii="SimSun" w:eastAsia="SimSun" w:hAnsi="SimSun" w:cs="SimSun"/>
                <w:spacing w:val="9"/>
                <w:position w:val="-2"/>
                <w:sz w:val="13"/>
                <w:szCs w:val="13"/>
              </w:rPr>
              <w:t xml:space="preserve">    </w:t>
            </w:r>
            <w:r>
              <w:rPr>
                <w:rFonts w:ascii="SimSun" w:eastAsia="SimSun" w:hAnsi="SimSun" w:cs="SimSun"/>
                <w:color w:val="0052E1"/>
                <w:spacing w:val="2"/>
                <w:position w:val="1"/>
                <w:sz w:val="13"/>
                <w:szCs w:val="13"/>
              </w:rPr>
              <w:t>能至1月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09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50" w:line="196" w:lineRule="auto"/>
              <w:ind w:left="43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1"/>
                <w:position w:val="1"/>
                <w:sz w:val="13"/>
                <w:szCs w:val="13"/>
              </w:rPr>
              <w:t>杠杆资金</w:t>
            </w:r>
            <w:r>
              <w:rPr>
                <w:rFonts w:ascii="SimSun" w:eastAsia="SimSun" w:hAnsi="SimSun" w:cs="SimSun"/>
                <w:spacing w:val="-1"/>
                <w:position w:val="1"/>
                <w:sz w:val="13"/>
                <w:szCs w:val="13"/>
              </w:rPr>
              <w:t xml:space="preserve">         </w:t>
            </w: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融资净流入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06" w:line="93" w:lineRule="exact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398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06" w:line="93" w:lineRule="exact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430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05" w:line="94" w:lineRule="exact"/>
              <w:ind w:left="52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-132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05" w:line="94" w:lineRule="exact"/>
              <w:ind w:left="55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-788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85" w:line="161" w:lineRule="auto"/>
              <w:ind w:left="45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-596</w:t>
            </w: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72" w:line="179" w:lineRule="auto"/>
              <w:ind w:left="36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2"/>
                <w:sz w:val="13"/>
                <w:szCs w:val="13"/>
              </w:rPr>
              <w:t>-1382</w:t>
            </w:r>
            <w:r>
              <w:rPr>
                <w:rFonts w:ascii="SimSun" w:eastAsia="SimSun" w:hAnsi="SimSun" w:cs="SimSun"/>
                <w:spacing w:val="12"/>
                <w:sz w:val="13"/>
                <w:szCs w:val="13"/>
              </w:rPr>
              <w:t xml:space="preserve">    </w:t>
            </w:r>
            <w:r>
              <w:rPr>
                <w:rFonts w:ascii="SimSun" w:eastAsia="SimSun" w:hAnsi="SimSun" w:cs="SimSun"/>
                <w:color w:val="0049DC"/>
                <w:spacing w:val="2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00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42" w:line="209" w:lineRule="auto"/>
              <w:ind w:left="56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z w:val="13"/>
                <w:szCs w:val="13"/>
              </w:rPr>
              <w:t>保险</w:t>
            </w:r>
            <w:r>
              <w:rPr>
                <w:rFonts w:ascii="SimSun" w:eastAsia="SimSun" w:hAnsi="SimSun" w:cs="SimSun"/>
                <w:sz w:val="13"/>
                <w:szCs w:val="13"/>
              </w:rPr>
              <w:t xml:space="preserve">           保险运用余额</w:t>
            </w: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：股票和基金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97" w:line="93" w:lineRule="exact"/>
              <w:ind w:left="62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-1012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97" w:line="93" w:lineRule="exact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-70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96" w:line="93" w:lineRule="exact"/>
              <w:ind w:left="5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-489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63" w:line="179" w:lineRule="auto"/>
              <w:ind w:left="64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4ADE"/>
                <w:spacing w:val="3"/>
                <w:sz w:val="13"/>
                <w:szCs w:val="13"/>
              </w:rPr>
              <w:t>截至23年12月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229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73" w:line="206" w:lineRule="auto"/>
              <w:ind w:left="154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2"/>
                <w:sz w:val="13"/>
                <w:szCs w:val="13"/>
              </w:rPr>
              <w:t>交易佣金(万分之二)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07" w:line="158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-26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27" w:line="92" w:lineRule="exact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-36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26" w:line="93" w:lineRule="exact"/>
              <w:ind w:left="61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3"/>
                <w:szCs w:val="13"/>
              </w:rPr>
              <w:t>-30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07" w:line="159" w:lineRule="auto"/>
              <w:ind w:left="60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-30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107" w:line="158" w:lineRule="auto"/>
              <w:ind w:left="49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-27</w:t>
            </w:r>
          </w:p>
        </w:tc>
        <w:tc>
          <w:tcPr>
            <w:tcW w:w="1673" w:type="dxa"/>
            <w:gridSpan w:val="2"/>
            <w:tcBorders>
              <w:left w:val="nil"/>
            </w:tcBorders>
            <w:vAlign w:val="top"/>
          </w:tcPr>
          <w:p>
            <w:pPr>
              <w:spacing w:before="73" w:line="206" w:lineRule="auto"/>
              <w:ind w:left="49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3"/>
                <w:sz w:val="13"/>
                <w:szCs w:val="13"/>
              </w:rPr>
              <w:t>-57</w:t>
            </w:r>
            <w:r>
              <w:rPr>
                <w:rFonts w:ascii="SimSun" w:eastAsia="SimSun" w:hAnsi="SimSun" w:cs="SimSun"/>
                <w:spacing w:val="14"/>
                <w:sz w:val="13"/>
                <w:szCs w:val="13"/>
              </w:rPr>
              <w:t xml:space="preserve">    </w:t>
            </w:r>
            <w:r>
              <w:rPr>
                <w:rFonts w:ascii="SimSun" w:eastAsia="SimSun" w:hAnsi="SimSun" w:cs="SimSun"/>
                <w:color w:val="0053E2"/>
                <w:spacing w:val="3"/>
                <w:sz w:val="13"/>
                <w:szCs w:val="13"/>
              </w:rPr>
              <w:t>截至2月</w:t>
            </w:r>
          </w:p>
        </w:tc>
      </w:tr>
      <w:tr>
        <w:tblPrEx>
          <w:tblW w:w="10599" w:type="dxa"/>
          <w:tblInd w:w="5" w:type="dxa"/>
          <w:tblLayout w:type="fixed"/>
        </w:tblPrEx>
        <w:trPr>
          <w:trHeight w:val="634"/>
        </w:trPr>
        <w:tc>
          <w:tcPr>
            <w:tcW w:w="3401" w:type="dxa"/>
            <w:gridSpan w:val="3"/>
            <w:tcBorders>
              <w:right w:val="nil"/>
            </w:tcBorders>
            <w:vAlign w:val="top"/>
          </w:tcPr>
          <w:p>
            <w:pPr>
              <w:spacing w:before="63" w:line="220" w:lineRule="auto"/>
              <w:ind w:left="46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8"/>
                <w:sz w:val="13"/>
                <w:szCs w:val="13"/>
              </w:rPr>
              <w:t>交</w:t>
            </w:r>
            <w:r>
              <w:rPr>
                <w:rFonts w:ascii="SimSun" w:eastAsia="SimSun" w:hAnsi="SimSun" w:cs="SimSun"/>
                <w:spacing w:val="-8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8"/>
                <w:sz w:val="13"/>
                <w:szCs w:val="13"/>
              </w:rPr>
              <w:t>易</w:t>
            </w:r>
            <w:r>
              <w:rPr>
                <w:rFonts w:ascii="SimSun" w:eastAsia="SimSun" w:hAnsi="SimSun" w:cs="SimSun"/>
                <w:spacing w:val="-8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8"/>
                <w:sz w:val="13"/>
                <w:szCs w:val="13"/>
              </w:rPr>
              <w:t>费</w:t>
            </w:r>
            <w:r>
              <w:rPr>
                <w:rFonts w:ascii="SimSun" w:eastAsia="SimSun" w:hAnsi="SimSun" w:cs="SimSun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8"/>
                <w:sz w:val="13"/>
                <w:szCs w:val="13"/>
              </w:rPr>
              <w:t>用</w:t>
            </w: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-8"/>
                <w:sz w:val="13"/>
                <w:szCs w:val="13"/>
              </w:rPr>
              <w:t>过户费</w:t>
            </w:r>
          </w:p>
          <w:p>
            <w:pPr>
              <w:spacing w:before="64" w:line="242" w:lineRule="auto"/>
              <w:ind w:left="26" w:right="663" w:firstLine="148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1"/>
                <w:sz w:val="13"/>
                <w:szCs w:val="13"/>
              </w:rPr>
              <w:t>印花税(税务局口径)</w:t>
            </w:r>
            <w:r>
              <w:rPr>
                <w:rFonts w:ascii="SimSun" w:eastAsia="SimSun" w:hAnsi="SimSun" w:cs="SimSun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注：“+”号代表净流入，“-”号代表净流出。</w:t>
            </w:r>
          </w:p>
        </w:tc>
        <w:tc>
          <w:tcPr>
            <w:tcW w:w="1149" w:type="dxa"/>
            <w:tcBorders>
              <w:left w:val="nil"/>
              <w:right w:val="nil"/>
            </w:tcBorders>
            <w:vAlign w:val="top"/>
          </w:tcPr>
          <w:p>
            <w:pPr>
              <w:spacing w:before="139" w:line="182" w:lineRule="auto"/>
              <w:ind w:left="82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-5</w:t>
            </w:r>
          </w:p>
          <w:p>
            <w:pPr>
              <w:spacing w:before="60" w:line="184" w:lineRule="auto"/>
              <w:ind w:left="75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-61</w:t>
            </w:r>
          </w:p>
        </w:tc>
        <w:tc>
          <w:tcPr>
            <w:tcW w:w="1079" w:type="dxa"/>
            <w:tcBorders>
              <w:left w:val="nil"/>
              <w:right w:val="nil"/>
            </w:tcBorders>
            <w:vAlign w:val="top"/>
          </w:tcPr>
          <w:p>
            <w:pPr>
              <w:spacing w:before="138" w:line="183" w:lineRule="auto"/>
              <w:ind w:left="7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-6</w:t>
            </w:r>
          </w:p>
          <w:p>
            <w:pPr>
              <w:spacing w:before="80" w:line="184" w:lineRule="auto"/>
              <w:ind w:left="6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-81</w:t>
            </w:r>
          </w:p>
        </w:tc>
        <w:tc>
          <w:tcPr>
            <w:tcW w:w="1049" w:type="dxa"/>
            <w:tcBorders>
              <w:left w:val="nil"/>
              <w:right w:val="nil"/>
            </w:tcBorders>
            <w:vAlign w:val="top"/>
          </w:tcPr>
          <w:p>
            <w:pPr>
              <w:spacing w:before="137" w:line="183" w:lineRule="auto"/>
              <w:ind w:left="68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-6</w:t>
            </w:r>
          </w:p>
          <w:p>
            <w:pPr>
              <w:spacing w:before="90" w:line="184" w:lineRule="auto"/>
              <w:ind w:left="5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-104</w:t>
            </w:r>
          </w:p>
        </w:tc>
        <w:tc>
          <w:tcPr>
            <w:tcW w:w="1089" w:type="dxa"/>
            <w:tcBorders>
              <w:left w:val="nil"/>
              <w:right w:val="nil"/>
            </w:tcBorders>
            <w:vAlign w:val="top"/>
          </w:tcPr>
          <w:p>
            <w:pPr>
              <w:spacing w:before="138" w:line="182" w:lineRule="auto"/>
              <w:ind w:left="67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-7</w:t>
            </w:r>
          </w:p>
          <w:p>
            <w:pPr>
              <w:spacing w:before="61" w:line="183" w:lineRule="auto"/>
              <w:ind w:left="60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-80</w:t>
            </w:r>
          </w:p>
        </w:tc>
        <w:tc>
          <w:tcPr>
            <w:tcW w:w="1159" w:type="dxa"/>
            <w:tcBorders>
              <w:left w:val="nil"/>
              <w:right w:val="nil"/>
            </w:tcBorders>
            <w:vAlign w:val="top"/>
          </w:tcPr>
          <w:p>
            <w:pPr>
              <w:spacing w:before="138" w:line="183" w:lineRule="auto"/>
              <w:ind w:left="52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-6</w:t>
            </w:r>
          </w:p>
          <w:p>
            <w:pPr>
              <w:spacing w:before="90" w:line="183" w:lineRule="auto"/>
              <w:ind w:left="49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-62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before="137" w:line="184" w:lineRule="auto"/>
              <w:ind w:left="49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-13</w:t>
            </w:r>
          </w:p>
          <w:p>
            <w:pPr>
              <w:spacing w:before="71" w:line="184" w:lineRule="auto"/>
              <w:ind w:left="43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3"/>
                <w:szCs w:val="13"/>
              </w:rPr>
              <w:t>-142</w:t>
            </w:r>
          </w:p>
        </w:tc>
        <w:tc>
          <w:tcPr>
            <w:tcW w:w="894" w:type="dxa"/>
            <w:tcBorders>
              <w:left w:val="nil"/>
            </w:tcBorders>
            <w:vAlign w:val="top"/>
          </w:tcPr>
          <w:p>
            <w:pPr>
              <w:spacing w:before="65" w:line="219" w:lineRule="auto"/>
              <w:ind w:left="2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4BE0"/>
                <w:spacing w:val="7"/>
                <w:sz w:val="13"/>
                <w:szCs w:val="13"/>
              </w:rPr>
              <w:t>截至2月</w:t>
            </w:r>
          </w:p>
          <w:p>
            <w:pPr>
              <w:spacing w:before="65" w:line="219" w:lineRule="auto"/>
              <w:ind w:left="2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4BE1"/>
                <w:spacing w:val="7"/>
                <w:sz w:val="13"/>
                <w:szCs w:val="13"/>
              </w:rPr>
              <w:t>截至2月</w:t>
            </w:r>
          </w:p>
        </w:tc>
      </w:tr>
    </w:tbl>
    <w:p>
      <w:pPr>
        <w:pStyle w:val="BodyText"/>
        <w:spacing w:before="229" w:line="224" w:lineRule="auto"/>
        <w:ind w:left="35"/>
        <w:rPr>
          <w:sz w:val="16"/>
          <w:szCs w:val="16"/>
        </w:rPr>
      </w:pPr>
      <w:r>
        <w:rPr>
          <w:spacing w:val="-8"/>
          <w:sz w:val="16"/>
          <w:szCs w:val="16"/>
        </w:rPr>
        <w:t>资料来源：</w:t>
      </w:r>
      <w:r>
        <w:rPr>
          <w:rFonts w:ascii="SimSun" w:eastAsia="SimSun" w:hAnsi="SimSun" w:cs="SimSun"/>
          <w:spacing w:val="-8"/>
          <w:sz w:val="16"/>
          <w:szCs w:val="16"/>
        </w:rPr>
        <w:t>Wind,</w:t>
      </w:r>
      <w:r>
        <w:rPr>
          <w:rFonts w:ascii="SimSun" w:eastAsia="SimSun" w:hAnsi="SimSun" w:cs="SimSun"/>
          <w:spacing w:val="36"/>
          <w:sz w:val="16"/>
          <w:szCs w:val="16"/>
        </w:rPr>
        <w:t xml:space="preserve"> </w:t>
      </w:r>
      <w:r>
        <w:rPr>
          <w:spacing w:val="-8"/>
          <w:sz w:val="16"/>
          <w:szCs w:val="16"/>
        </w:rPr>
        <w:t>西部证券研发中心</w:t>
      </w:r>
    </w:p>
    <w:p>
      <w:pPr>
        <w:pStyle w:val="BodyText"/>
        <w:spacing w:before="121" w:line="220" w:lineRule="auto"/>
        <w:ind w:left="35"/>
        <w:rPr>
          <w:sz w:val="16"/>
          <w:szCs w:val="16"/>
        </w:rPr>
      </w:pPr>
      <w:r>
        <w:rPr>
          <w:spacing w:val="-16"/>
          <w:sz w:val="16"/>
          <w:szCs w:val="16"/>
        </w:rPr>
        <w:t>注：“+”号代表净流入，“-”号代表净流出</w:t>
      </w: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  <w:sectPr>
          <w:type w:val="continuous"/>
          <w:pgSz w:w="11910" w:h="16840"/>
          <w:pgMar w:top="773" w:right="665" w:bottom="0" w:left="635" w:header="0" w:footer="0" w:gutter="0"/>
          <w:pgNumType w:start="15"/>
          <w:cols w:num="1" w:space="708" w:equalWidth="0">
            <w:col w:w="10610" w:space="0"/>
          </w:cols>
        </w:sectPr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ectPr>
          <w:type w:val="nextPage"/>
          <w:pgSz w:w="11910" w:h="16840"/>
          <w:pgMar w:top="773" w:right="665" w:bottom="0" w:left="635" w:header="0" w:footer="0" w:gutter="0"/>
          <w:pgNumType w:start="16"/>
          <w:cols w:num="1" w:space="708" w:equalWidth="0">
            <w:col w:w="10610" w:space="0"/>
          </w:cols>
          <w:titlePg w:val="0"/>
        </w:sectPr>
      </w:pPr>
    </w:p>
    <w:p>
      <w:pPr>
        <w:pStyle w:val="BodyText"/>
        <w:spacing w:before="151" w:line="222" w:lineRule="auto"/>
        <w:ind w:left="37"/>
        <w:rPr>
          <w:sz w:val="16"/>
          <w:szCs w:val="16"/>
        </w:rPr>
      </w:pPr>
      <w:r>
        <w:rPr>
          <w:b/>
          <w:bCs/>
          <w:color w:val="C30D19"/>
          <w:spacing w:val="2"/>
          <w:sz w:val="16"/>
          <w:szCs w:val="16"/>
        </w:rPr>
        <w:t>5</w:t>
      </w:r>
      <w:r>
        <w:rPr>
          <w:color w:val="C30D19"/>
          <w:spacing w:val="-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|请务必仔细阅读报告尾部的投资评级说</w:t>
      </w:r>
      <w:r>
        <w:rPr>
          <w:spacing w:val="1"/>
          <w:sz w:val="16"/>
          <w:szCs w:val="16"/>
        </w:rPr>
        <w:t>明和声明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6" w:line="198" w:lineRule="auto"/>
        <w:rPr>
          <w:rFonts w:ascii="SimHei" w:eastAsia="SimHei" w:hAnsi="SimHei" w:cs="SimHei"/>
          <w:sz w:val="31"/>
          <w:szCs w:val="31"/>
        </w:rPr>
      </w:pP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 xml:space="preserve">wehg.  </w:t>
      </w:r>
      <w:r>
        <w:rPr>
          <w:rFonts w:ascii="SimHei" w:eastAsia="SimHei" w:hAnsi="SimHei" w:cs="SimHei"/>
          <w:b/>
          <w:bCs/>
          <w:color w:val="FC0000"/>
          <w:spacing w:val="-8"/>
          <w:sz w:val="31"/>
          <w:szCs w:val="31"/>
        </w:rPr>
        <w:t>西部证券</w:t>
      </w:r>
    </w:p>
    <w:p>
      <w:pPr>
        <w:spacing w:line="198" w:lineRule="auto"/>
        <w:rPr>
          <w:rFonts w:ascii="SimHei" w:eastAsia="SimHei" w:hAnsi="SimHei" w:cs="SimHei"/>
          <w:sz w:val="31"/>
          <w:szCs w:val="31"/>
        </w:rPr>
        <w:sectPr>
          <w:type w:val="continuous"/>
          <w:pgSz w:w="11910" w:h="16840"/>
          <w:pgMar w:top="773" w:right="665" w:bottom="0" w:left="635" w:header="0" w:footer="0" w:gutter="0"/>
          <w:pgNumType w:start="17"/>
          <w:cols w:num="2" w:space="708" w:equalWidth="0">
            <w:col w:w="8375" w:space="100"/>
            <w:col w:w="2135" w:space="0"/>
          </w:cols>
        </w:sectPr>
      </w:pPr>
    </w:p>
    <w:p>
      <w:pPr>
        <w:spacing w:line="357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1993869</wp:posOffset>
            </wp:positionH>
            <wp:positionV relativeFrom="page">
              <wp:posOffset>7226279</wp:posOffset>
            </wp:positionV>
            <wp:extent cx="5067336" cy="2305069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7336" cy="2305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5" w:line="243" w:lineRule="auto"/>
        <w:ind w:left="9169" w:right="127" w:firstLine="759"/>
        <w:rPr>
          <w:sz w:val="17"/>
          <w:szCs w:val="17"/>
        </w:rPr>
      </w:pPr>
      <w:r>
        <w:pict>
          <v:shape id="_x0000_s1026" type="#_x0000_t202" style="width:71.95pt;height:14.75pt;margin-top:9.29pt;margin-left:0.5pt;position:absolute;z-index:2516613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4" w:lineRule="auto"/>
                    <w:ind w:left="20"/>
                  </w:pPr>
                  <w:r>
                    <w:rPr>
                      <w:spacing w:val="23"/>
                    </w:rPr>
                    <w:t>策略专题报告</w:t>
                  </w:r>
                </w:p>
              </w:txbxContent>
            </v:textbox>
          </v:shape>
        </w:pict>
      </w:r>
      <w:r>
        <w:rPr>
          <w:spacing w:val="-5"/>
          <w:sz w:val="17"/>
          <w:szCs w:val="17"/>
        </w:rPr>
        <w:t>西部证券</w:t>
      </w:r>
      <w:r>
        <w:rPr>
          <w:spacing w:val="1"/>
          <w:sz w:val="17"/>
          <w:szCs w:val="17"/>
        </w:rPr>
        <w:t xml:space="preserve"> </w:t>
      </w:r>
      <w:r>
        <w:rPr>
          <w:spacing w:val="21"/>
          <w:sz w:val="17"/>
          <w:szCs w:val="17"/>
        </w:rPr>
        <w:t>2024年03月07日</w:t>
      </w:r>
    </w:p>
    <w:p>
      <w:pPr>
        <w:pStyle w:val="BodyText"/>
        <w:spacing w:before="333" w:line="550" w:lineRule="exact"/>
        <w:ind w:left="2444"/>
        <w:rPr>
          <w:sz w:val="31"/>
          <w:szCs w:val="31"/>
        </w:rPr>
      </w:pPr>
      <w:bookmarkStart w:id="2" w:name="bookmark17"/>
      <w:bookmarkEnd w:id="2"/>
      <w:bookmarkStart w:id="3" w:name="bookmark2"/>
      <w:bookmarkEnd w:id="3"/>
      <w:bookmarkStart w:id="4" w:name="bookmark3"/>
      <w:bookmarkEnd w:id="4"/>
      <w:r>
        <w:rPr>
          <w:b/>
          <w:bCs/>
          <w:color w:val="C3000C"/>
          <w:spacing w:val="-7"/>
          <w:position w:val="17"/>
          <w:sz w:val="31"/>
          <w:szCs w:val="31"/>
        </w:rPr>
        <w:t>二</w:t>
      </w:r>
      <w:r>
        <w:rPr>
          <w:color w:val="C3000C"/>
          <w:spacing w:val="-41"/>
          <w:position w:val="17"/>
          <w:sz w:val="31"/>
          <w:szCs w:val="31"/>
        </w:rPr>
        <w:t xml:space="preserve"> </w:t>
      </w:r>
      <w:r>
        <w:rPr>
          <w:b/>
          <w:bCs/>
          <w:color w:val="C3000C"/>
          <w:spacing w:val="-7"/>
          <w:position w:val="17"/>
          <w:sz w:val="31"/>
          <w:szCs w:val="31"/>
        </w:rPr>
        <w:t>、资金供给核心指标</w:t>
      </w:r>
    </w:p>
    <w:p>
      <w:pPr>
        <w:pStyle w:val="BodyText"/>
        <w:spacing w:before="1" w:line="227" w:lineRule="auto"/>
        <w:ind w:left="2443"/>
      </w:pPr>
      <w:r>
        <w:rPr>
          <w:b/>
          <w:bCs/>
          <w:color w:val="C3000C"/>
          <w:spacing w:val="11"/>
        </w:rPr>
        <w:t>2.1</w:t>
      </w:r>
      <w:r>
        <w:rPr>
          <w:color w:val="C3000C"/>
          <w:spacing w:val="-10"/>
        </w:rPr>
        <w:t xml:space="preserve"> </w:t>
      </w:r>
      <w:r>
        <w:rPr>
          <w:b/>
          <w:bCs/>
          <w:color w:val="C3000C"/>
          <w:spacing w:val="11"/>
        </w:rPr>
        <w:t>公募基金</w:t>
      </w:r>
    </w:p>
    <w:p>
      <w:pPr>
        <w:pStyle w:val="BodyText"/>
        <w:spacing w:before="189" w:line="274" w:lineRule="auto"/>
        <w:ind w:left="2440" w:right="154" w:firstLine="3"/>
      </w:pPr>
      <w:r>
        <w:rPr>
          <w:b/>
          <w:bCs/>
          <w:spacing w:val="7"/>
        </w:rPr>
        <w:t>2月偏股基金发行规模维持底部，基金净申购回升为市场贡献增量资金。2</w:t>
      </w:r>
      <w:r>
        <w:rPr>
          <w:spacing w:val="7"/>
        </w:rPr>
        <w:t>024年2</w:t>
      </w:r>
      <w:r>
        <w:rPr>
          <w:spacing w:val="6"/>
        </w:rPr>
        <w:t>月偏</w:t>
      </w:r>
      <w:r>
        <w:t xml:space="preserve"> </w:t>
      </w:r>
      <w:r>
        <w:rPr>
          <w:spacing w:val="8"/>
        </w:rPr>
        <w:t>股基金(股票型+混合型)发行仍然遇冷，单月发行规模仅100亿份，环比下降3</w:t>
      </w:r>
      <w:r>
        <w:rPr>
          <w:spacing w:val="7"/>
        </w:rPr>
        <w:t>0亿份，</w:t>
      </w:r>
      <w:r>
        <w:t xml:space="preserve"> </w:t>
      </w:r>
      <w:r>
        <w:rPr>
          <w:spacing w:val="5"/>
        </w:rPr>
        <w:t>较去年同期大幅下降238亿份，发行规模仍处于2020年以来底部水平(历史分位1.9%)。</w:t>
      </w:r>
    </w:p>
    <w:p>
      <w:pPr>
        <w:pStyle w:val="BodyText"/>
        <w:spacing w:before="229" w:line="268" w:lineRule="auto"/>
        <w:ind w:left="2440" w:right="164"/>
        <w:jc w:val="both"/>
      </w:pPr>
      <w:r>
        <w:rPr>
          <w:spacing w:val="7"/>
        </w:rPr>
        <w:t>从公募基金存量规模来看，截至2月末偏股基金规模约为6.94万亿份，较24年1</w:t>
      </w:r>
      <w:r>
        <w:rPr>
          <w:spacing w:val="-52"/>
        </w:rPr>
        <w:t xml:space="preserve"> </w:t>
      </w:r>
      <w:r>
        <w:rPr>
          <w:spacing w:val="7"/>
        </w:rPr>
        <w:t>月较大</w:t>
      </w:r>
      <w:r>
        <w:t xml:space="preserve"> </w:t>
      </w:r>
      <w:r>
        <w:rPr>
          <w:spacing w:val="9"/>
        </w:rPr>
        <w:t>幅回升562亿份，通过月均净值折算约净流入521</w:t>
      </w:r>
      <w:r>
        <w:rPr>
          <w:spacing w:val="8"/>
        </w:rPr>
        <w:t>亿元。考虑到月度发行份额，可以得</w:t>
      </w:r>
      <w:r>
        <w:t xml:space="preserve"> </w:t>
      </w:r>
      <w:r>
        <w:rPr>
          <w:spacing w:val="3"/>
        </w:rPr>
        <w:t>出2月单月已发行基金净申购规模约420亿元。我们认为年后市场表现走强后动投资者情</w:t>
      </w:r>
      <w:r>
        <w:t xml:space="preserve"> </w:t>
      </w:r>
      <w:r>
        <w:rPr>
          <w:spacing w:val="-3"/>
        </w:rPr>
        <w:t>绪回升是基金出现净申购的核心因素。</w:t>
      </w:r>
    </w:p>
    <w:p>
      <w:pPr>
        <w:spacing w:before="9"/>
      </w:pPr>
    </w:p>
    <w:p>
      <w:pPr>
        <w:sectPr>
          <w:headerReference w:type="default" r:id="rId12"/>
          <w:pgSz w:w="11910" w:h="16840"/>
          <w:pgMar w:top="400" w:right="570" w:bottom="0" w:left="620" w:header="0" w:footer="0" w:gutter="0"/>
          <w:pgNumType w:start="18"/>
          <w:cols w:num="1" w:space="708" w:equalWidth="0">
            <w:col w:w="10720" w:space="0"/>
          </w:cols>
        </w:sectPr>
      </w:pPr>
    </w:p>
    <w:p>
      <w:pPr>
        <w:pStyle w:val="BodyText"/>
        <w:spacing w:before="35" w:line="192" w:lineRule="auto"/>
        <w:ind w:left="30"/>
        <w:rPr>
          <w:sz w:val="17"/>
          <w:szCs w:val="17"/>
        </w:rPr>
      </w:pPr>
      <w:r>
        <w:rPr>
          <w:spacing w:val="18"/>
          <w:sz w:val="17"/>
          <w:szCs w:val="17"/>
        </w:rPr>
        <w:t>图1:2月偏股基金发行规模仍处于历史底部</w:t>
      </w:r>
    </w:p>
    <w:p>
      <w:pPr>
        <w:spacing w:line="3379" w:lineRule="exact"/>
      </w:pPr>
      <w:r>
        <w:rPr>
          <w:position w:val="-67"/>
        </w:rPr>
        <w:drawing>
          <wp:inline distT="0" distB="0" distL="0" distR="0">
            <wp:extent cx="3352762" cy="214581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2762" cy="214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4" w:line="192" w:lineRule="auto"/>
        <w:ind w:left="30"/>
        <w:rPr>
          <w:sz w:val="17"/>
          <w:szCs w:val="17"/>
        </w:rPr>
      </w:pPr>
      <w:r>
        <w:rPr>
          <w:spacing w:val="-14"/>
          <w:sz w:val="17"/>
          <w:szCs w:val="17"/>
        </w:rPr>
        <w:t>资料来源：</w:t>
      </w:r>
      <w:r>
        <w:rPr>
          <w:rFonts w:ascii="SimSun" w:eastAsia="SimSun" w:hAnsi="SimSun" w:cs="SimSun"/>
          <w:spacing w:val="-14"/>
          <w:sz w:val="17"/>
          <w:szCs w:val="17"/>
        </w:rPr>
        <w:t xml:space="preserve">Wind, </w:t>
      </w:r>
      <w:r>
        <w:rPr>
          <w:spacing w:val="-14"/>
          <w:sz w:val="17"/>
          <w:szCs w:val="17"/>
        </w:rPr>
        <w:t>西部证券研发中心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5" w:line="226" w:lineRule="auto"/>
        <w:rPr>
          <w:sz w:val="17"/>
          <w:szCs w:val="17"/>
        </w:rPr>
      </w:pPr>
      <w:r>
        <w:rPr>
          <w:spacing w:val="22"/>
          <w:sz w:val="17"/>
          <w:szCs w:val="17"/>
        </w:rPr>
        <w:t>图2:2月已发行基金继续净申购</w:t>
      </w:r>
    </w:p>
    <w:p>
      <w:pPr>
        <w:spacing w:before="26" w:line="3260" w:lineRule="exact"/>
      </w:pPr>
      <w:r>
        <w:rPr>
          <w:position w:val="-65"/>
        </w:rPr>
        <w:drawing>
          <wp:inline distT="0" distB="0" distL="0" distR="0">
            <wp:extent cx="3219429" cy="207013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9429" cy="207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0" w:line="220" w:lineRule="auto"/>
        <w:rPr>
          <w:sz w:val="17"/>
          <w:szCs w:val="17"/>
        </w:rPr>
      </w:pPr>
      <w:r>
        <w:rPr>
          <w:spacing w:val="-18"/>
          <w:sz w:val="17"/>
          <w:szCs w:val="17"/>
        </w:rPr>
        <w:t>资料来源：</w:t>
      </w:r>
      <w:r>
        <w:rPr>
          <w:spacing w:val="-3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18"/>
          <w:sz w:val="17"/>
          <w:szCs w:val="17"/>
        </w:rPr>
        <w:t>Wind,</w:t>
      </w:r>
      <w:r>
        <w:rPr>
          <w:rFonts w:ascii="Arial" w:eastAsia="Arial" w:hAnsi="Arial" w:cs="Arial"/>
          <w:spacing w:val="21"/>
          <w:w w:val="101"/>
          <w:sz w:val="17"/>
          <w:szCs w:val="17"/>
        </w:rPr>
        <w:t xml:space="preserve"> </w:t>
      </w:r>
      <w:r>
        <w:rPr>
          <w:spacing w:val="-18"/>
          <w:sz w:val="17"/>
          <w:szCs w:val="17"/>
        </w:rPr>
        <w:t>西部证券研发中心</w:t>
      </w:r>
    </w:p>
    <w:p>
      <w:pPr>
        <w:spacing w:line="220" w:lineRule="auto"/>
        <w:rPr>
          <w:sz w:val="17"/>
          <w:szCs w:val="17"/>
        </w:rPr>
        <w:sectPr>
          <w:headerReference w:type="default" r:id="rId15"/>
          <w:type w:val="continuous"/>
          <w:pgSz w:w="11910" w:h="16840"/>
          <w:pgMar w:top="400" w:right="570" w:bottom="0" w:left="620" w:header="0" w:footer="0" w:gutter="0"/>
          <w:pgNumType w:start="19"/>
          <w:cols w:num="2" w:space="708" w:equalWidth="0">
            <w:col w:w="5361" w:space="100"/>
            <w:col w:w="5260" w:space="0"/>
          </w:cols>
        </w:sectPr>
      </w:pPr>
    </w:p>
    <w:p>
      <w:pPr>
        <w:pStyle w:val="BodyText"/>
        <w:spacing w:before="77" w:line="286" w:lineRule="auto"/>
        <w:ind w:left="2440" w:right="160" w:firstLine="3"/>
        <w:jc w:val="both"/>
        <w:rPr>
          <w:sz w:val="17"/>
          <w:szCs w:val="17"/>
        </w:rPr>
      </w:pPr>
      <w:r>
        <w:rPr>
          <w:b/>
          <w:bCs/>
          <w:spacing w:val="-1"/>
        </w:rPr>
        <w:t>2月权益基金权益仓位均下行，各类型权益基金仓位均处于历史中</w:t>
      </w:r>
      <w:r>
        <w:rPr>
          <w:b/>
          <w:bCs/>
          <w:spacing w:val="-2"/>
        </w:rPr>
        <w:t>等水平。</w:t>
      </w:r>
      <w:r>
        <w:rPr>
          <w:spacing w:val="-2"/>
        </w:rPr>
        <w:t>从持仓情况来</w:t>
      </w:r>
      <w:r>
        <w:t xml:space="preserve"> </w:t>
      </w:r>
      <w:r>
        <w:rPr>
          <w:spacing w:val="1"/>
        </w:rPr>
        <w:t>看，截至2月最后一个交易日，偏股混合型基金、灵活配置型基金和普通股</w:t>
      </w:r>
      <w:r>
        <w:t>票型基金的估</w:t>
      </w:r>
      <w:r>
        <w:t xml:space="preserve"> </w:t>
      </w:r>
      <w:r>
        <w:rPr>
          <w:spacing w:val="15"/>
        </w:rPr>
        <w:t>算权益仓位分别为79.58%,64.84%和86.81%,分别较去年末同比下降0.08%、0.78%</w:t>
      </w:r>
      <w:r>
        <w:rPr>
          <w:spacing w:val="15"/>
        </w:rPr>
        <w:t xml:space="preserve"> </w:t>
      </w:r>
      <w:r>
        <w:rPr>
          <w:spacing w:val="7"/>
        </w:rPr>
        <w:t>和1.12%。从2010年以来历史分位来看，当前偏股混合基金(47.9%)仓位处于历史中等</w:t>
      </w:r>
      <w:r>
        <w:rPr>
          <w:spacing w:val="18"/>
        </w:rPr>
        <w:t xml:space="preserve"> </w:t>
      </w:r>
      <w:r>
        <w:rPr>
          <w:spacing w:val="-9"/>
          <w:sz w:val="17"/>
          <w:szCs w:val="17"/>
        </w:rPr>
        <w:t>水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平</w:t>
      </w:r>
      <w:r>
        <w:rPr>
          <w:spacing w:val="-25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，</w:t>
      </w:r>
      <w:r>
        <w:rPr>
          <w:spacing w:val="-36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灵</w:t>
      </w:r>
      <w:r>
        <w:rPr>
          <w:spacing w:val="-21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活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配</w:t>
      </w:r>
      <w:r>
        <w:rPr>
          <w:spacing w:val="-30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置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型</w:t>
      </w:r>
      <w:r>
        <w:rPr>
          <w:spacing w:val="-38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基</w:t>
      </w:r>
      <w:r>
        <w:rPr>
          <w:spacing w:val="-4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金</w:t>
      </w:r>
      <w:r>
        <w:rPr>
          <w:spacing w:val="-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(</w:t>
      </w:r>
      <w:r>
        <w:rPr>
          <w:spacing w:val="-3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6</w:t>
      </w:r>
      <w:r>
        <w:rPr>
          <w:spacing w:val="-36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3</w:t>
      </w:r>
      <w:r>
        <w:rPr>
          <w:spacing w:val="-31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.</w:t>
      </w:r>
      <w:r>
        <w:rPr>
          <w:spacing w:val="-3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0</w:t>
      </w:r>
      <w:r>
        <w:rPr>
          <w:spacing w:val="-3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%</w:t>
      </w:r>
      <w:r>
        <w:rPr>
          <w:spacing w:val="-3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)</w:t>
      </w:r>
      <w:r>
        <w:rPr>
          <w:spacing w:val="-38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和</w:t>
      </w:r>
      <w:r>
        <w:rPr>
          <w:spacing w:val="-31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普</w:t>
      </w:r>
      <w:r>
        <w:rPr>
          <w:spacing w:val="-34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通</w:t>
      </w:r>
      <w:r>
        <w:rPr>
          <w:spacing w:val="-40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股</w:t>
      </w:r>
      <w:r>
        <w:rPr>
          <w:spacing w:val="-2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票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型</w:t>
      </w:r>
      <w:r>
        <w:rPr>
          <w:spacing w:val="-38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基</w:t>
      </w:r>
      <w:r>
        <w:rPr>
          <w:spacing w:val="-4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金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(</w:t>
      </w:r>
      <w:r>
        <w:rPr>
          <w:spacing w:val="-37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6</w:t>
      </w:r>
      <w:r>
        <w:rPr>
          <w:spacing w:val="-37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0</w:t>
      </w:r>
      <w:r>
        <w:rPr>
          <w:spacing w:val="-31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.</w:t>
      </w:r>
      <w:r>
        <w:rPr>
          <w:spacing w:val="-36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3</w:t>
      </w:r>
      <w:r>
        <w:rPr>
          <w:spacing w:val="-39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%</w:t>
      </w:r>
      <w:r>
        <w:rPr>
          <w:spacing w:val="-39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)</w:t>
      </w:r>
      <w:r>
        <w:rPr>
          <w:spacing w:val="-39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仓</w:t>
      </w:r>
      <w:r>
        <w:rPr>
          <w:spacing w:val="-4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位</w:t>
      </w:r>
      <w:r>
        <w:rPr>
          <w:spacing w:val="-32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则</w:t>
      </w:r>
      <w:r>
        <w:rPr>
          <w:spacing w:val="-36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处</w:t>
      </w:r>
      <w:r>
        <w:rPr>
          <w:spacing w:val="-28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于</w:t>
      </w:r>
      <w:r>
        <w:rPr>
          <w:spacing w:val="-41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历</w:t>
      </w:r>
      <w:r>
        <w:rPr>
          <w:spacing w:val="-33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史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中</w:t>
      </w:r>
      <w:r>
        <w:rPr>
          <w:spacing w:val="-35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上</w:t>
      </w:r>
      <w:r>
        <w:rPr>
          <w:spacing w:val="-32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水</w:t>
      </w:r>
      <w:r>
        <w:rPr>
          <w:spacing w:val="-33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平</w:t>
      </w:r>
      <w:r>
        <w:rPr>
          <w:spacing w:val="-43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。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56" w:line="228" w:lineRule="auto"/>
        <w:ind w:left="2440"/>
        <w:rPr>
          <w:sz w:val="17"/>
          <w:szCs w:val="17"/>
        </w:rPr>
      </w:pPr>
      <w:r>
        <w:rPr>
          <w:spacing w:val="17"/>
          <w:sz w:val="17"/>
          <w:szCs w:val="17"/>
        </w:rPr>
        <w:t>图3:主要偏股型基金估算权益仓位</w:t>
      </w:r>
    </w:p>
    <w:p>
      <w:pPr>
        <w:spacing w:before="13" w:line="3920" w:lineRule="exact"/>
        <w:ind w:firstLine="2440"/>
        <w:sectPr>
          <w:headerReference w:type="default" r:id="rId16"/>
          <w:type w:val="continuous"/>
          <w:pgSz w:w="11910" w:h="16840"/>
          <w:pgMar w:top="400" w:right="570" w:bottom="0" w:left="620" w:header="0" w:footer="0" w:gutter="0"/>
          <w:pgNumType w:start="20"/>
          <w:cols w:num="1" w:space="708" w:equalWidth="0">
            <w:col w:w="10720" w:space="0"/>
          </w:cols>
        </w:sectPr>
      </w:pPr>
      <w:r>
        <w:rPr>
          <w:position w:val="-78"/>
        </w:rPr>
        <w:drawing>
          <wp:inline distT="0" distB="0" distL="0" distR="0">
            <wp:extent cx="5257769" cy="248920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769" cy="248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4" w:line="224" w:lineRule="auto"/>
        <w:ind w:left="2440"/>
        <w:rPr>
          <w:sz w:val="17"/>
          <w:szCs w:val="17"/>
        </w:rPr>
      </w:pPr>
      <w:r>
        <w:rPr>
          <w:spacing w:val="-17"/>
          <w:sz w:val="17"/>
          <w:szCs w:val="17"/>
        </w:rPr>
        <w:t>资料来源：</w:t>
      </w:r>
      <w:r>
        <w:rPr>
          <w:spacing w:val="-3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7"/>
          <w:sz w:val="17"/>
          <w:szCs w:val="17"/>
        </w:rPr>
        <w:t xml:space="preserve">Wind, </w:t>
      </w:r>
      <w:r>
        <w:rPr>
          <w:spacing w:val="-17"/>
          <w:sz w:val="17"/>
          <w:szCs w:val="17"/>
        </w:rPr>
        <w:t>西部证券研发中心</w:t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105" w:line="185" w:lineRule="auto"/>
        <w:ind w:left="32"/>
        <w:rPr>
          <w:rFonts w:ascii="STHupo" w:eastAsia="STHupo" w:hAnsi="STHupo" w:cs="STHupo"/>
          <w:sz w:val="31"/>
          <w:szCs w:val="31"/>
        </w:rPr>
      </w:pPr>
      <w:r>
        <w:rPr>
          <w:b/>
          <w:bCs/>
          <w:spacing w:val="-3"/>
          <w:position w:val="2"/>
          <w:sz w:val="17"/>
          <w:szCs w:val="17"/>
        </w:rPr>
        <w:t>6</w:t>
      </w:r>
      <w:r>
        <w:rPr>
          <w:spacing w:val="-3"/>
          <w:position w:val="2"/>
          <w:sz w:val="17"/>
          <w:szCs w:val="17"/>
        </w:rPr>
        <w:t xml:space="preserve"> </w:t>
      </w:r>
      <w:r>
        <w:rPr>
          <w:spacing w:val="-3"/>
          <w:position w:val="2"/>
          <w:sz w:val="17"/>
          <w:szCs w:val="17"/>
        </w:rPr>
        <w:t>|请务必仔细阅读报告尾部的投资评级说明</w:t>
      </w:r>
      <w:r>
        <w:rPr>
          <w:spacing w:val="-4"/>
          <w:position w:val="2"/>
          <w:sz w:val="17"/>
          <w:szCs w:val="17"/>
        </w:rPr>
        <w:t>和声明</w:t>
      </w:r>
      <w:r>
        <w:rPr>
          <w:spacing w:val="-4"/>
          <w:position w:val="2"/>
          <w:sz w:val="17"/>
          <w:szCs w:val="17"/>
        </w:rPr>
        <w:t xml:space="preserve">                                                          </w:t>
      </w:r>
      <w:r>
        <w:rPr>
          <w:rFonts w:ascii="SimSun" w:eastAsia="SimSun" w:hAnsi="SimSun" w:cs="SimSun"/>
          <w:b/>
          <w:bCs/>
          <w:spacing w:val="-24"/>
          <w:position w:val="-2"/>
          <w:sz w:val="31"/>
          <w:szCs w:val="31"/>
        </w:rPr>
        <w:t>west..</w:t>
      </w:r>
      <w:r>
        <w:rPr>
          <w:rFonts w:ascii="SimSun" w:eastAsia="SimSun" w:hAnsi="SimSun" w:cs="SimSun"/>
          <w:spacing w:val="-48"/>
          <w:position w:val="-2"/>
          <w:sz w:val="31"/>
          <w:szCs w:val="31"/>
        </w:rPr>
        <w:t xml:space="preserve"> </w:t>
      </w:r>
      <w:r>
        <w:rPr>
          <w:rFonts w:ascii="STHupo" w:eastAsia="STHupo" w:hAnsi="STHupo" w:cs="STHupo"/>
          <w:b/>
          <w:bCs/>
          <w:color w:val="FC0000"/>
          <w:spacing w:val="-24"/>
          <w:position w:val="-2"/>
          <w:sz w:val="31"/>
          <w:szCs w:val="31"/>
        </w:rPr>
        <w:t>西部证券</w:t>
      </w:r>
    </w:p>
    <w:p>
      <w:pPr>
        <w:spacing w:line="185" w:lineRule="auto"/>
        <w:rPr>
          <w:rFonts w:ascii="STHupo" w:eastAsia="STHupo" w:hAnsi="STHupo" w:cs="STHupo"/>
          <w:sz w:val="31"/>
          <w:szCs w:val="31"/>
        </w:rPr>
        <w:sectPr>
          <w:headerReference w:type="default" r:id="rId18"/>
          <w:type w:val="nextPage"/>
          <w:pgSz w:w="11910" w:h="16840"/>
          <w:pgMar w:top="400" w:right="570" w:bottom="0" w:left="620" w:header="0" w:footer="0" w:gutter="0"/>
          <w:pgNumType w:start="21"/>
          <w:cols w:num="1" w:space="708" w:equalWidth="0">
            <w:col w:w="10720" w:space="0"/>
          </w:cols>
          <w:titlePg w:val="0"/>
        </w:sectPr>
      </w:pPr>
    </w:p>
    <w:p>
      <w:pPr>
        <w:spacing w:line="370" w:lineRule="auto"/>
        <w:rPr>
          <w:rFonts w:ascii="Arial"/>
          <w:sz w:val="21"/>
        </w:rPr>
      </w:pPr>
      <w:r>
        <w:pict>
          <v:rect id="_x0000_s1027" style="width:260.5pt;height:0.5pt;margin-top:389pt;margin-left:32pt;mso-position-horizontal-relative:page;mso-position-vertical-relative:page;position:absolute;z-index:251666432" o:allowincell="f" filled="t" fillcolor="black" stroked="f"/>
        </w:pict>
      </w:r>
      <w:r>
        <w:pict>
          <v:rect id="_x0000_s1028" style="width:261pt;height:0.5pt;margin-top:703pt;margin-left:32.5pt;mso-position-horizontal-relative:page;mso-position-vertical-relative:page;position:absolute;z-index:251664384" o:allowincell="f" filled="t" fillcolor="black" stroked="f"/>
        </w:pict>
      </w:r>
      <w:r>
        <w:pict>
          <v:rect id="_x0000_s1029" style="width:260.5pt;height:0.5pt;margin-top:703pt;margin-left:301.5pt;mso-position-horizontal-relative:page;mso-position-vertical-relative:page;position:absolute;z-index:251665408" o:allowincell="f" filled="t" fillcolor="black" stroked="f"/>
        </w:pict>
      </w: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3898875</wp:posOffset>
            </wp:positionH>
            <wp:positionV relativeFrom="page">
              <wp:posOffset>2800387</wp:posOffset>
            </wp:positionV>
            <wp:extent cx="3200447" cy="2076444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47" cy="207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2" w:line="251" w:lineRule="auto"/>
        <w:ind w:left="9153" w:right="29" w:firstLine="759"/>
        <w:rPr>
          <w:sz w:val="16"/>
          <w:szCs w:val="16"/>
        </w:rPr>
      </w:pPr>
      <w:r>
        <w:pict>
          <v:shape id="_x0000_s1030" type="#_x0000_t202" style="width:71.95pt;height:14.75pt;margin-top:8.65pt;margin-left:0.68pt;position:absolute;z-index:251663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4" w:lineRule="auto"/>
                    <w:ind w:left="20"/>
                  </w:pPr>
                  <w:r>
                    <w:rPr>
                      <w:spacing w:val="23"/>
                    </w:rPr>
                    <w:t>策略专题报告</w:t>
                  </w:r>
                </w:p>
              </w:txbxContent>
            </v:textbox>
          </v:shape>
        </w:pict>
      </w:r>
      <w:r>
        <w:rPr>
          <w:spacing w:val="-5"/>
          <w:sz w:val="16"/>
          <w:szCs w:val="16"/>
        </w:rPr>
        <w:t>西部证券</w:t>
      </w:r>
      <w:r>
        <w:rPr>
          <w:spacing w:val="2"/>
          <w:sz w:val="16"/>
          <w:szCs w:val="16"/>
        </w:rPr>
        <w:t xml:space="preserve"> </w:t>
      </w:r>
      <w:r>
        <w:rPr>
          <w:spacing w:val="18"/>
          <w:w w:val="110"/>
          <w:sz w:val="16"/>
          <w:szCs w:val="16"/>
        </w:rPr>
        <w:t>2024年03月07日</w:t>
      </w:r>
    </w:p>
    <w:p>
      <w:pPr>
        <w:pStyle w:val="BodyText"/>
        <w:spacing w:before="251" w:line="232" w:lineRule="auto"/>
        <w:ind w:left="2433"/>
        <w:outlineLvl w:val="1"/>
      </w:pPr>
      <w:bookmarkStart w:id="5" w:name="bookmark4"/>
      <w:bookmarkEnd w:id="5"/>
      <w:bookmarkStart w:id="6" w:name="bookmark18"/>
      <w:bookmarkEnd w:id="6"/>
      <w:bookmarkStart w:id="7" w:name="bookmark19"/>
      <w:bookmarkEnd w:id="7"/>
      <w:bookmarkStart w:id="8" w:name="bookmark20"/>
      <w:bookmarkEnd w:id="8"/>
      <w:r>
        <w:rPr>
          <w:rFonts w:ascii="Times New Roman" w:eastAsia="Times New Roman" w:hAnsi="Times New Roman" w:cs="Times New Roman"/>
          <w:b/>
          <w:bCs/>
          <w:color w:val="C3000C"/>
          <w:spacing w:val="-2"/>
        </w:rPr>
        <w:t>2.2</w:t>
      </w:r>
      <w:r>
        <w:rPr>
          <w:rFonts w:ascii="Times New Roman" w:eastAsia="Times New Roman" w:hAnsi="Times New Roman" w:cs="Times New Roman"/>
          <w:b/>
          <w:bCs/>
          <w:color w:val="C3000C"/>
          <w:spacing w:val="1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C3000C"/>
          <w:spacing w:val="-2"/>
        </w:rPr>
        <w:t>ETF</w:t>
      </w:r>
      <w:r>
        <w:rPr>
          <w:b/>
          <w:bCs/>
          <w:color w:val="C3000C"/>
          <w:spacing w:val="-2"/>
        </w:rPr>
        <w:t>基</w:t>
      </w:r>
      <w:r>
        <w:rPr>
          <w:color w:val="C3000C"/>
          <w:spacing w:val="-46"/>
        </w:rPr>
        <w:t xml:space="preserve"> </w:t>
      </w:r>
      <w:r>
        <w:rPr>
          <w:b/>
          <w:bCs/>
          <w:color w:val="C3000C"/>
          <w:spacing w:val="-2"/>
        </w:rPr>
        <w:t>金</w:t>
      </w:r>
    </w:p>
    <w:p>
      <w:pPr>
        <w:pStyle w:val="BodyText"/>
        <w:spacing w:before="173" w:line="275" w:lineRule="auto"/>
        <w:ind w:left="2433" w:right="53" w:firstLine="3"/>
        <w:jc w:val="both"/>
      </w:pPr>
      <w:r>
        <w:rPr>
          <w:b/>
          <w:bCs/>
          <w:spacing w:val="6"/>
        </w:rPr>
        <w:t>2月股票型</w:t>
      </w:r>
      <w:r>
        <w:rPr>
          <w:spacing w:val="-9"/>
        </w:rPr>
        <w:t xml:space="preserve"> </w:t>
      </w:r>
      <w:r>
        <w:rPr>
          <w:rFonts w:ascii="SimSun" w:eastAsia="SimSun" w:hAnsi="SimSun" w:cs="SimSun"/>
          <w:b/>
          <w:bCs/>
        </w:rPr>
        <w:t>ETF</w:t>
      </w:r>
      <w:r>
        <w:rPr>
          <w:rFonts w:ascii="SimSun" w:eastAsia="SimSun" w:hAnsi="SimSun" w:cs="SimSun"/>
          <w:spacing w:val="56"/>
        </w:rPr>
        <w:t xml:space="preserve"> </w:t>
      </w:r>
      <w:r>
        <w:rPr>
          <w:b/>
          <w:bCs/>
          <w:spacing w:val="6"/>
        </w:rPr>
        <w:t>净流入幅度减少，宽基沪深300</w:t>
      </w:r>
      <w:r>
        <w:rPr>
          <w:spacing w:val="-29"/>
        </w:rPr>
        <w:t xml:space="preserve"> </w:t>
      </w:r>
      <w:r>
        <w:rPr>
          <w:b/>
          <w:bCs/>
          <w:spacing w:val="6"/>
        </w:rPr>
        <w:t>主题</w:t>
      </w:r>
      <w:r>
        <w:rPr>
          <w:spacing w:val="-23"/>
        </w:rPr>
        <w:t xml:space="preserve"> </w:t>
      </w:r>
      <w:r>
        <w:rPr>
          <w:rFonts w:ascii="SimSun" w:eastAsia="SimSun" w:hAnsi="SimSun" w:cs="SimSun"/>
          <w:b/>
          <w:bCs/>
        </w:rPr>
        <w:t>ETF</w:t>
      </w:r>
      <w:r>
        <w:rPr>
          <w:rFonts w:ascii="SimSun" w:eastAsia="SimSun" w:hAnsi="SimSun" w:cs="SimSun"/>
          <w:spacing w:val="66"/>
        </w:rPr>
        <w:t xml:space="preserve"> </w:t>
      </w:r>
      <w:r>
        <w:rPr>
          <w:b/>
          <w:bCs/>
          <w:spacing w:val="6"/>
        </w:rPr>
        <w:t>申购最多。2</w:t>
      </w:r>
      <w:r>
        <w:rPr>
          <w:spacing w:val="6"/>
        </w:rPr>
        <w:t>024年2月股票</w:t>
      </w:r>
      <w:r>
        <w:t xml:space="preserve"> </w:t>
      </w:r>
      <w:r>
        <w:rPr>
          <w:spacing w:val="13"/>
        </w:rPr>
        <w:t>型</w:t>
      </w:r>
      <w:r>
        <w:rPr>
          <w:rFonts w:ascii="Times New Roman" w:eastAsia="Times New Roman" w:hAnsi="Times New Roman" w:cs="Times New Roman"/>
        </w:rPr>
        <w:t>ETF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13"/>
        </w:rPr>
        <w:t>基金净流入份额492.52亿份，虽较2024年</w:t>
      </w:r>
      <w:r>
        <w:rPr>
          <w:spacing w:val="12"/>
        </w:rPr>
        <w:t>1月环比减少291.6亿份但流入规模</w:t>
      </w:r>
      <w:r>
        <w:t xml:space="preserve"> </w:t>
      </w:r>
      <w:r>
        <w:rPr>
          <w:spacing w:val="3"/>
        </w:rPr>
        <w:t>仍处于历史高位。从金额口径来看，根据月频交易均价测</w:t>
      </w:r>
      <w:r>
        <w:rPr>
          <w:spacing w:val="2"/>
        </w:rPr>
        <w:t>算2月股票型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</w:rPr>
        <w:t>ETF</w:t>
      </w:r>
      <w:r>
        <w:rPr>
          <w:rFonts w:ascii="SimSun" w:eastAsia="SimSun" w:hAnsi="SimSun" w:cs="SimSun"/>
          <w:spacing w:val="55"/>
        </w:rPr>
        <w:t xml:space="preserve"> </w:t>
      </w:r>
      <w:r>
        <w:rPr>
          <w:spacing w:val="2"/>
        </w:rPr>
        <w:t>净流入金额</w:t>
      </w:r>
      <w:r>
        <w:t xml:space="preserve"> </w:t>
      </w:r>
      <w:r>
        <w:rPr>
          <w:spacing w:val="12"/>
        </w:rPr>
        <w:t>约为1857.03亿元，相较1月环比反增326亿元。</w:t>
      </w:r>
    </w:p>
    <w:p>
      <w:pPr>
        <w:spacing w:before="105"/>
      </w:pPr>
    </w:p>
    <w:p>
      <w:pPr>
        <w:spacing w:before="104"/>
      </w:pPr>
    </w:p>
    <w:p>
      <w:pPr>
        <w:sectPr>
          <w:headerReference w:type="default" r:id="rId20"/>
          <w:pgSz w:w="11910" w:h="16840"/>
          <w:pgMar w:top="400" w:right="660" w:bottom="0" w:left="636" w:header="0" w:footer="0" w:gutter="0"/>
          <w:pgNumType w:start="22"/>
          <w:cols w:num="1" w:space="708" w:equalWidth="0">
            <w:col w:w="10614" w:space="0"/>
          </w:cols>
        </w:sectPr>
      </w:pPr>
    </w:p>
    <w:p>
      <w:pPr>
        <w:pStyle w:val="BodyText"/>
        <w:spacing w:before="44" w:line="226" w:lineRule="auto"/>
        <w:ind w:left="33"/>
      </w:pPr>
      <w:r>
        <w:pict>
          <v:rect id="_x0000_s1031" style="width:259.2pt;height:0.55pt;margin-top:12.14pt;margin-left:0;position:absolute;z-index:251667456" filled="t" fillcolor="black" stroked="f"/>
        </w:pict>
      </w:r>
      <w:r>
        <w:rPr>
          <w:spacing w:val="-14"/>
        </w:rPr>
        <w:t>图</w:t>
      </w:r>
      <w:r>
        <w:rPr>
          <w:spacing w:val="-49"/>
        </w:rPr>
        <w:t xml:space="preserve"> </w:t>
      </w:r>
      <w:r>
        <w:rPr>
          <w:spacing w:val="-14"/>
        </w:rPr>
        <w:t>4</w:t>
      </w:r>
      <w:r>
        <w:rPr>
          <w:spacing w:val="-14"/>
        </w:rPr>
        <w:t xml:space="preserve"> </w:t>
      </w:r>
      <w:r>
        <w:rPr>
          <w:spacing w:val="-14"/>
        </w:rPr>
        <w:t>:</w:t>
      </w:r>
      <w:r>
        <w:rPr>
          <w:spacing w:val="-37"/>
        </w:rPr>
        <w:t xml:space="preserve"> </w:t>
      </w:r>
      <w:r>
        <w:rPr>
          <w:spacing w:val="-14"/>
        </w:rPr>
        <w:t>月</w:t>
      </w:r>
      <w:r>
        <w:rPr>
          <w:spacing w:val="-46"/>
        </w:rPr>
        <w:t xml:space="preserve"> </w:t>
      </w:r>
      <w:r>
        <w:rPr>
          <w:spacing w:val="-14"/>
        </w:rPr>
        <w:t>度</w:t>
      </w:r>
      <w:r>
        <w:rPr>
          <w:spacing w:val="-44"/>
        </w:rPr>
        <w:t xml:space="preserve"> </w:t>
      </w:r>
      <w:r>
        <w:rPr>
          <w:spacing w:val="-14"/>
        </w:rPr>
        <w:t>E</w:t>
      </w:r>
      <w:r>
        <w:rPr>
          <w:spacing w:val="-46"/>
        </w:rPr>
        <w:t xml:space="preserve"> </w:t>
      </w:r>
      <w:r>
        <w:rPr>
          <w:spacing w:val="-14"/>
        </w:rPr>
        <w:t>T</w:t>
      </w:r>
      <w:r>
        <w:rPr>
          <w:spacing w:val="-45"/>
        </w:rPr>
        <w:t xml:space="preserve"> </w:t>
      </w:r>
      <w:r>
        <w:rPr>
          <w:spacing w:val="-14"/>
        </w:rPr>
        <w:t>F</w:t>
      </w:r>
      <w:r>
        <w:rPr>
          <w:spacing w:val="-38"/>
        </w:rPr>
        <w:t xml:space="preserve"> </w:t>
      </w:r>
      <w:r>
        <w:rPr>
          <w:spacing w:val="-14"/>
        </w:rPr>
        <w:t>净</w:t>
      </w:r>
      <w:r>
        <w:rPr>
          <w:spacing w:val="-39"/>
        </w:rPr>
        <w:t xml:space="preserve"> </w:t>
      </w:r>
      <w:r>
        <w:rPr>
          <w:spacing w:val="-14"/>
        </w:rPr>
        <w:t>流</w:t>
      </w:r>
      <w:r>
        <w:rPr>
          <w:spacing w:val="-43"/>
        </w:rPr>
        <w:t xml:space="preserve"> </w:t>
      </w:r>
      <w:r>
        <w:rPr>
          <w:spacing w:val="-14"/>
        </w:rPr>
        <w:t>入</w:t>
      </w:r>
      <w:r>
        <w:rPr>
          <w:spacing w:val="-49"/>
        </w:rPr>
        <w:t xml:space="preserve"> </w:t>
      </w:r>
      <w:r>
        <w:rPr>
          <w:spacing w:val="-14"/>
        </w:rPr>
        <w:t>规</w:t>
      </w:r>
      <w:r>
        <w:rPr>
          <w:spacing w:val="-54"/>
        </w:rPr>
        <w:t xml:space="preserve"> </w:t>
      </w:r>
      <w:r>
        <w:rPr>
          <w:spacing w:val="-14"/>
        </w:rPr>
        <w:t>模</w:t>
      </w:r>
      <w:r>
        <w:rPr>
          <w:spacing w:val="-14"/>
        </w:rPr>
        <w:t xml:space="preserve"> </w:t>
      </w:r>
      <w:r>
        <w:rPr>
          <w:spacing w:val="-14"/>
        </w:rPr>
        <w:t>(</w:t>
      </w:r>
      <w:r>
        <w:rPr>
          <w:spacing w:val="-51"/>
        </w:rPr>
        <w:t xml:space="preserve"> </w:t>
      </w:r>
      <w:r>
        <w:rPr>
          <w:spacing w:val="-14"/>
        </w:rPr>
        <w:t>亿</w:t>
      </w:r>
      <w:r>
        <w:rPr>
          <w:spacing w:val="-54"/>
        </w:rPr>
        <w:t xml:space="preserve"> </w:t>
      </w:r>
      <w:r>
        <w:rPr>
          <w:spacing w:val="-14"/>
        </w:rPr>
        <w:t>份</w:t>
      </w:r>
      <w:r>
        <w:rPr>
          <w:spacing w:val="-50"/>
        </w:rPr>
        <w:t xml:space="preserve"> </w:t>
      </w:r>
      <w:r>
        <w:rPr>
          <w:spacing w:val="-14"/>
        </w:rPr>
        <w:t>)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3060" w:lineRule="exact"/>
        <w:ind w:firstLine="53"/>
      </w:pPr>
      <w:r>
        <w:rPr>
          <w:position w:val="-61"/>
        </w:rPr>
        <w:drawing>
          <wp:inline distT="0" distB="0" distL="0" distR="0">
            <wp:extent cx="3194094" cy="1943098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4094" cy="194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53" w:line="192" w:lineRule="auto"/>
        <w:ind w:left="33"/>
        <w:rPr>
          <w:sz w:val="16"/>
          <w:szCs w:val="16"/>
        </w:rPr>
      </w:pPr>
      <w:r>
        <w:rPr>
          <w:spacing w:val="-7"/>
          <w:sz w:val="16"/>
          <w:szCs w:val="16"/>
        </w:rPr>
        <w:t>资料来源：</w:t>
      </w:r>
      <w:r>
        <w:rPr>
          <w:rFonts w:ascii="Arial" w:eastAsia="Arial" w:hAnsi="Arial" w:cs="Arial"/>
          <w:spacing w:val="-7"/>
          <w:sz w:val="16"/>
          <w:szCs w:val="16"/>
        </w:rPr>
        <w:t xml:space="preserve">Wind,  </w:t>
      </w:r>
      <w:r>
        <w:rPr>
          <w:spacing w:val="-7"/>
          <w:sz w:val="16"/>
          <w:szCs w:val="16"/>
        </w:rPr>
        <w:t>西部证券研发中心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184" w:lineRule="auto"/>
        <w:ind w:left="33"/>
      </w:pPr>
      <w:r>
        <w:rPr>
          <w:spacing w:val="-15"/>
        </w:rPr>
        <w:t>图</w:t>
      </w:r>
      <w:r>
        <w:rPr>
          <w:spacing w:val="-40"/>
        </w:rPr>
        <w:t xml:space="preserve"> </w:t>
      </w:r>
      <w:r>
        <w:rPr>
          <w:spacing w:val="-15"/>
        </w:rPr>
        <w:t>5</w:t>
      </w:r>
      <w:r>
        <w:rPr>
          <w:spacing w:val="-15"/>
        </w:rPr>
        <w:t xml:space="preserve"> </w:t>
      </w:r>
      <w:r>
        <w:rPr>
          <w:spacing w:val="-15"/>
        </w:rPr>
        <w:t>:</w:t>
      </w:r>
      <w:r>
        <w:rPr>
          <w:spacing w:val="-36"/>
        </w:rPr>
        <w:t xml:space="preserve"> </w:t>
      </w:r>
      <w:r>
        <w:rPr>
          <w:spacing w:val="-15"/>
        </w:rPr>
        <w:t>月</w:t>
      </w:r>
      <w:r>
        <w:rPr>
          <w:spacing w:val="-47"/>
        </w:rPr>
        <w:t xml:space="preserve"> </w:t>
      </w:r>
      <w:r>
        <w:rPr>
          <w:spacing w:val="-15"/>
        </w:rPr>
        <w:t>度</w:t>
      </w:r>
      <w:r>
        <w:rPr>
          <w:spacing w:val="-43"/>
        </w:rPr>
        <w:t xml:space="preserve"> </w:t>
      </w:r>
      <w:r>
        <w:rPr>
          <w:spacing w:val="-15"/>
        </w:rPr>
        <w:t>E</w:t>
      </w:r>
      <w:r>
        <w:rPr>
          <w:spacing w:val="-46"/>
        </w:rPr>
        <w:t xml:space="preserve"> </w:t>
      </w:r>
      <w:r>
        <w:rPr>
          <w:spacing w:val="-15"/>
        </w:rPr>
        <w:t>T</w:t>
      </w:r>
      <w:r>
        <w:rPr>
          <w:spacing w:val="-44"/>
        </w:rPr>
        <w:t xml:space="preserve"> </w:t>
      </w:r>
      <w:r>
        <w:rPr>
          <w:spacing w:val="-15"/>
        </w:rPr>
        <w:t>F</w:t>
      </w:r>
      <w:r>
        <w:rPr>
          <w:spacing w:val="-38"/>
        </w:rPr>
        <w:t xml:space="preserve"> </w:t>
      </w:r>
      <w:r>
        <w:rPr>
          <w:spacing w:val="-15"/>
        </w:rPr>
        <w:t>净</w:t>
      </w:r>
      <w:r>
        <w:rPr>
          <w:spacing w:val="-38"/>
        </w:rPr>
        <w:t xml:space="preserve"> </w:t>
      </w:r>
      <w:r>
        <w:rPr>
          <w:spacing w:val="-15"/>
        </w:rPr>
        <w:t>流</w:t>
      </w:r>
      <w:r>
        <w:rPr>
          <w:spacing w:val="-43"/>
        </w:rPr>
        <w:t xml:space="preserve"> </w:t>
      </w:r>
      <w:r>
        <w:rPr>
          <w:spacing w:val="-15"/>
        </w:rPr>
        <w:t>入</w:t>
      </w:r>
      <w:r>
        <w:rPr>
          <w:spacing w:val="-55"/>
        </w:rPr>
        <w:t xml:space="preserve"> </w:t>
      </w:r>
      <w:r>
        <w:rPr>
          <w:spacing w:val="-15"/>
        </w:rPr>
        <w:t>金</w:t>
      </w:r>
      <w:r>
        <w:rPr>
          <w:spacing w:val="-54"/>
        </w:rPr>
        <w:t xml:space="preserve"> </w:t>
      </w:r>
      <w:r>
        <w:rPr>
          <w:spacing w:val="-15"/>
        </w:rPr>
        <w:t>额</w:t>
      </w:r>
      <w:r>
        <w:rPr>
          <w:spacing w:val="-15"/>
        </w:rPr>
        <w:t xml:space="preserve"> </w:t>
      </w:r>
      <w:r>
        <w:rPr>
          <w:spacing w:val="-15"/>
        </w:rPr>
        <w:t>(</w:t>
      </w:r>
      <w:r>
        <w:rPr>
          <w:spacing w:val="-50"/>
        </w:rPr>
        <w:t xml:space="preserve"> </w:t>
      </w:r>
      <w:r>
        <w:rPr>
          <w:spacing w:val="-15"/>
        </w:rPr>
        <w:t>亿</w:t>
      </w:r>
      <w:r>
        <w:rPr>
          <w:spacing w:val="-36"/>
        </w:rPr>
        <w:t xml:space="preserve"> </w:t>
      </w:r>
      <w:r>
        <w:rPr>
          <w:spacing w:val="-15"/>
        </w:rPr>
        <w:t>元</w:t>
      </w:r>
      <w:r>
        <w:rPr>
          <w:spacing w:val="-50"/>
        </w:rPr>
        <w:t xml:space="preserve"> </w:t>
      </w:r>
      <w:r>
        <w:rPr>
          <w:spacing w:val="-15"/>
        </w:rPr>
        <w:t>)</w:t>
      </w:r>
    </w:p>
    <w:p>
      <w:pPr>
        <w:spacing w:line="3644" w:lineRule="exact"/>
      </w:pPr>
      <w:r>
        <w:rPr>
          <w:position w:val="-72"/>
        </w:rPr>
        <w:pict>
          <v:group id="_x0000_i1032" style="width:260.7pt;height:182.25pt;mso-position-horizontal-relative:char;mso-position-vertical-relative:line" coordorigin="0,0" coordsize="5214,3645" filled="f" stroked="f">
            <v:rect id="_x0000_s1033" style="width:5194;height:11;position:absolute;top:-9" filled="t" fillcolor="black" stroked="f"/>
            <v:rect id="_x0000_s1034" style="width:5200;height:10;left:13;position:absolute;top:3634" filled="t" fillcolor="black" stroked="f"/>
            <w10:wrap type="none"/>
          </v:group>
        </w:pict>
      </w:r>
    </w:p>
    <w:p>
      <w:pPr>
        <w:pStyle w:val="BodyText"/>
        <w:spacing w:before="101" w:line="192" w:lineRule="auto"/>
        <w:ind w:left="33"/>
        <w:rPr>
          <w:sz w:val="16"/>
          <w:szCs w:val="16"/>
        </w:rPr>
      </w:pPr>
      <w:r>
        <w:rPr>
          <w:spacing w:val="-8"/>
          <w:sz w:val="16"/>
          <w:szCs w:val="16"/>
        </w:rPr>
        <w:t>资料来源：</w:t>
      </w:r>
      <w:r>
        <w:rPr>
          <w:rFonts w:ascii="Arial" w:eastAsia="Arial" w:hAnsi="Arial" w:cs="Arial"/>
          <w:spacing w:val="-8"/>
          <w:sz w:val="16"/>
          <w:szCs w:val="16"/>
        </w:rPr>
        <w:t xml:space="preserve">Wind,  </w:t>
      </w:r>
      <w:r>
        <w:rPr>
          <w:spacing w:val="-8"/>
          <w:sz w:val="16"/>
          <w:szCs w:val="16"/>
        </w:rPr>
        <w:t>西部证券研发中心</w:t>
      </w:r>
    </w:p>
    <w:p>
      <w:pPr>
        <w:spacing w:line="192" w:lineRule="auto"/>
        <w:rPr>
          <w:sz w:val="16"/>
          <w:szCs w:val="16"/>
        </w:rPr>
        <w:sectPr>
          <w:headerReference w:type="default" r:id="rId22"/>
          <w:type w:val="continuous"/>
          <w:pgSz w:w="11910" w:h="16840"/>
          <w:pgMar w:top="400" w:right="660" w:bottom="0" w:left="636" w:header="0" w:footer="0" w:gutter="0"/>
          <w:pgNumType w:start="23"/>
          <w:cols w:num="2" w:space="708" w:equalWidth="0">
            <w:col w:w="5300" w:space="100"/>
            <w:col w:w="5214" w:space="0"/>
          </w:cols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69" w:line="282" w:lineRule="auto"/>
        <w:ind w:left="2433" w:right="48" w:firstLine="2"/>
        <w:jc w:val="both"/>
      </w:pPr>
      <w:r>
        <w:rPr>
          <w:b/>
          <w:bCs/>
          <w:spacing w:val="-2"/>
        </w:rPr>
        <w:t>宽基</w:t>
      </w:r>
      <w:r>
        <w:rPr>
          <w:spacing w:val="-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ETF</w:t>
      </w:r>
      <w:r>
        <w:rPr>
          <w:b/>
          <w:bCs/>
          <w:spacing w:val="-2"/>
        </w:rPr>
        <w:t>获大幅增持，科技、医药</w:t>
      </w:r>
      <w:r>
        <w:rPr>
          <w:spacing w:val="-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ETF </w:t>
      </w:r>
      <w:r>
        <w:rPr>
          <w:b/>
          <w:bCs/>
          <w:spacing w:val="-2"/>
        </w:rPr>
        <w:t>遭减持较多。</w:t>
      </w:r>
      <w:r>
        <w:rPr>
          <w:spacing w:val="-2"/>
        </w:rPr>
        <w:t>从流入类型来看，净值普</w:t>
      </w:r>
      <w:r>
        <w:rPr>
          <w:spacing w:val="-3"/>
        </w:rPr>
        <w:t>遍更高的</w:t>
      </w:r>
      <w:r>
        <w:t xml:space="preserve"> </w:t>
      </w:r>
      <w:r>
        <w:rPr>
          <w:spacing w:val="-3"/>
        </w:rPr>
        <w:t>宽基</w:t>
      </w:r>
      <w:r>
        <w:rPr>
          <w:spacing w:val="-31"/>
        </w:rPr>
        <w:t xml:space="preserve"> </w:t>
      </w:r>
      <w:r>
        <w:rPr>
          <w:rFonts w:ascii="Arial" w:eastAsia="Arial" w:hAnsi="Arial" w:cs="Arial"/>
          <w:spacing w:val="-3"/>
        </w:rPr>
        <w:t xml:space="preserve">ETF </w:t>
      </w:r>
      <w:r>
        <w:rPr>
          <w:spacing w:val="-3"/>
        </w:rPr>
        <w:t>是</w:t>
      </w:r>
      <w:r>
        <w:rPr>
          <w:spacing w:val="-3"/>
        </w:rPr>
        <w:t xml:space="preserve"> </w:t>
      </w:r>
      <w:r>
        <w:rPr>
          <w:spacing w:val="-3"/>
        </w:rPr>
        <w:t>2</w:t>
      </w:r>
      <w:r>
        <w:rPr>
          <w:spacing w:val="28"/>
        </w:rPr>
        <w:t xml:space="preserve"> </w:t>
      </w:r>
      <w:r>
        <w:rPr>
          <w:spacing w:val="-3"/>
        </w:rPr>
        <w:t>月</w:t>
      </w:r>
      <w:r>
        <w:rPr>
          <w:rFonts w:ascii="Arial" w:eastAsia="Arial" w:hAnsi="Arial" w:cs="Arial"/>
          <w:spacing w:val="-3"/>
        </w:rPr>
        <w:t xml:space="preserve">ETF </w:t>
      </w:r>
      <w:r>
        <w:rPr>
          <w:spacing w:val="-3"/>
        </w:rPr>
        <w:t>净流入的主要贡献者，2月全月净申购达761.7亿份，环比提升29.6</w:t>
      </w:r>
      <w:r>
        <w:t xml:space="preserve"> </w:t>
      </w:r>
      <w:r>
        <w:rPr>
          <w:spacing w:val="7"/>
        </w:rPr>
        <w:t>亿份，金额口径来看2月净流入达2015.79亿元，环比提升539.46亿元。而除宽基</w:t>
      </w:r>
      <w:r>
        <w:rPr>
          <w:spacing w:val="-26"/>
        </w:rPr>
        <w:t xml:space="preserve"> </w:t>
      </w:r>
      <w:r>
        <w:rPr>
          <w:rFonts w:ascii="SimSun" w:eastAsia="SimSun" w:hAnsi="SimSun" w:cs="SimSun"/>
        </w:rPr>
        <w:t xml:space="preserve">ETF  </w:t>
      </w:r>
      <w:r>
        <w:rPr>
          <w:spacing w:val="1"/>
        </w:rPr>
        <w:t>外其余类型</w:t>
      </w:r>
      <w:r>
        <w:rPr>
          <w:spacing w:val="-31"/>
        </w:rPr>
        <w:t xml:space="preserve"> </w:t>
      </w:r>
      <w:r>
        <w:rPr>
          <w:rFonts w:ascii="SimSun" w:eastAsia="SimSun" w:hAnsi="SimSun" w:cs="SimSun"/>
        </w:rPr>
        <w:t>ETF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份额普跌，其中科技</w:t>
      </w:r>
      <w:r>
        <w:rPr>
          <w:spacing w:val="-49"/>
        </w:rPr>
        <w:t xml:space="preserve"> </w:t>
      </w:r>
      <w:r>
        <w:rPr>
          <w:rFonts w:ascii="SimSun" w:eastAsia="SimSun" w:hAnsi="SimSun" w:cs="SimSun"/>
        </w:rPr>
        <w:t>ETF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份额大幅下滑139.5亿</w:t>
      </w:r>
      <w:r>
        <w:t>份、医药</w:t>
      </w:r>
      <w:r>
        <w:rPr>
          <w:spacing w:val="-40"/>
        </w:rPr>
        <w:t xml:space="preserve"> </w:t>
      </w:r>
      <w:r>
        <w:rPr>
          <w:rFonts w:ascii="SimSun" w:eastAsia="SimSun" w:hAnsi="SimSun" w:cs="SimSun"/>
        </w:rPr>
        <w:t xml:space="preserve">ETF </w:t>
      </w:r>
      <w:r>
        <w:t>份额大幅</w:t>
      </w:r>
      <w:r>
        <w:t xml:space="preserve"> </w:t>
      </w:r>
      <w:r>
        <w:rPr>
          <w:spacing w:val="-1"/>
        </w:rPr>
        <w:t>下滑77.1</w:t>
      </w:r>
      <w:r>
        <w:rPr>
          <w:spacing w:val="-48"/>
        </w:rPr>
        <w:t xml:space="preserve"> </w:t>
      </w:r>
      <w:r>
        <w:rPr>
          <w:spacing w:val="-1"/>
        </w:rPr>
        <w:t>亿份。</w:t>
      </w:r>
    </w:p>
    <w:p>
      <w:pPr>
        <w:spacing w:line="184" w:lineRule="exact"/>
      </w:pPr>
    </w:p>
    <w:p>
      <w:pPr>
        <w:spacing w:line="184" w:lineRule="exact"/>
        <w:sectPr>
          <w:headerReference w:type="default" r:id="rId23"/>
          <w:type w:val="continuous"/>
          <w:pgSz w:w="11910" w:h="16840"/>
          <w:pgMar w:top="400" w:right="660" w:bottom="0" w:left="636" w:header="0" w:footer="0" w:gutter="0"/>
          <w:pgNumType w:start="24"/>
          <w:cols w:num="1" w:space="708" w:equalWidth="0">
            <w:col w:w="10614" w:space="0"/>
          </w:cols>
        </w:sectPr>
      </w:pPr>
    </w:p>
    <w:p>
      <w:pPr>
        <w:pStyle w:val="BodyText"/>
        <w:spacing w:before="44" w:line="226" w:lineRule="auto"/>
        <w:ind w:left="33"/>
      </w:pPr>
      <w:r>
        <w:pict>
          <v:rect id="_x0000_s1035" style="width:259.2pt;height:0.55pt;margin-top:12.14pt;margin-left:0;position:absolute;z-index:251668480" filled="t" fillcolor="black" stroked="f"/>
        </w:pict>
      </w:r>
      <w:r>
        <w:rPr>
          <w:spacing w:val="38"/>
        </w:rPr>
        <w:t>图6:2月各类型</w:t>
      </w:r>
      <w:r>
        <w:t>ETF</w:t>
      </w:r>
      <w:r>
        <w:rPr>
          <w:spacing w:val="38"/>
        </w:rPr>
        <w:t>净流入份额(亿份)</w:t>
      </w:r>
    </w:p>
    <w:p>
      <w:pPr>
        <w:spacing w:before="86" w:line="2980" w:lineRule="exact"/>
        <w:ind w:firstLine="43"/>
      </w:pPr>
      <w:r>
        <w:rPr>
          <w:position w:val="-59"/>
        </w:rPr>
        <w:drawing>
          <wp:inline distT="0" distB="0" distL="0" distR="0">
            <wp:extent cx="3206799" cy="1892304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06799" cy="189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52" w:line="192" w:lineRule="auto"/>
        <w:ind w:left="33"/>
        <w:rPr>
          <w:sz w:val="16"/>
          <w:szCs w:val="16"/>
        </w:rPr>
      </w:pPr>
      <w:r>
        <w:rPr>
          <w:spacing w:val="-8"/>
          <w:sz w:val="16"/>
          <w:szCs w:val="16"/>
        </w:rPr>
        <w:t>资料来源：</w:t>
      </w:r>
      <w:r>
        <w:rPr>
          <w:rFonts w:ascii="SimSun" w:eastAsia="SimSun" w:hAnsi="SimSun" w:cs="SimSun"/>
          <w:spacing w:val="-8"/>
          <w:sz w:val="16"/>
          <w:szCs w:val="16"/>
        </w:rPr>
        <w:t>Wind,</w:t>
      </w:r>
      <w:r>
        <w:rPr>
          <w:rFonts w:ascii="SimSun" w:eastAsia="SimSun" w:hAnsi="SimSun" w:cs="SimSun"/>
          <w:spacing w:val="36"/>
          <w:sz w:val="16"/>
          <w:szCs w:val="16"/>
        </w:rPr>
        <w:t xml:space="preserve"> </w:t>
      </w:r>
      <w:r>
        <w:rPr>
          <w:spacing w:val="-8"/>
          <w:sz w:val="16"/>
          <w:szCs w:val="16"/>
        </w:rPr>
        <w:t>西部证券研发中心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226" w:lineRule="auto"/>
        <w:ind w:left="40"/>
      </w:pPr>
      <w:r>
        <w:pict>
          <v:rect id="_x0000_s1036" style="width:259.7pt;height:0.55pt;margin-top:12.07pt;margin-left:0.32pt;position:absolute;z-index:251669504" filled="t" fillcolor="black" stroked="f"/>
        </w:pict>
      </w:r>
      <w:r>
        <w:rPr>
          <w:spacing w:val="39"/>
        </w:rPr>
        <w:t>图7:2月各类型</w:t>
      </w:r>
      <w:r>
        <w:t>ETF</w:t>
      </w:r>
      <w:r>
        <w:rPr>
          <w:spacing w:val="39"/>
        </w:rPr>
        <w:t>净流入金额(亿元)</w:t>
      </w:r>
    </w:p>
    <w:p>
      <w:pPr>
        <w:spacing w:before="96" w:line="2750" w:lineRule="exact"/>
        <w:ind w:firstLine="69"/>
      </w:pPr>
      <w:r>
        <w:rPr>
          <w:position w:val="-54"/>
        </w:rPr>
        <w:drawing>
          <wp:inline distT="0" distB="0" distL="0" distR="0">
            <wp:extent cx="3225858" cy="1746231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25858" cy="174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53" w:line="192" w:lineRule="auto"/>
        <w:ind w:left="40"/>
        <w:rPr>
          <w:sz w:val="16"/>
          <w:szCs w:val="16"/>
        </w:rPr>
      </w:pPr>
      <w:r>
        <w:rPr>
          <w:spacing w:val="-11"/>
          <w:sz w:val="16"/>
          <w:szCs w:val="16"/>
        </w:rPr>
        <w:t>资料来源：</w:t>
      </w:r>
      <w:r>
        <w:rPr>
          <w:spacing w:val="-3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Wind,</w:t>
      </w:r>
      <w:r>
        <w:rPr>
          <w:rFonts w:ascii="SimSun" w:eastAsia="SimSun" w:hAnsi="SimSun" w:cs="SimSun"/>
          <w:spacing w:val="21"/>
          <w:sz w:val="16"/>
          <w:szCs w:val="16"/>
        </w:rPr>
        <w:t xml:space="preserve"> </w:t>
      </w:r>
      <w:r>
        <w:rPr>
          <w:spacing w:val="-11"/>
          <w:sz w:val="16"/>
          <w:szCs w:val="16"/>
        </w:rPr>
        <w:t>西部证券研发中心</w:t>
      </w:r>
    </w:p>
    <w:p>
      <w:pPr>
        <w:spacing w:line="192" w:lineRule="auto"/>
        <w:rPr>
          <w:sz w:val="16"/>
          <w:szCs w:val="16"/>
        </w:rPr>
        <w:sectPr>
          <w:headerReference w:type="default" r:id="rId26"/>
          <w:type w:val="continuous"/>
          <w:pgSz w:w="11910" w:h="16840"/>
          <w:pgMar w:top="400" w:right="660" w:bottom="0" w:left="636" w:header="0" w:footer="0" w:gutter="0"/>
          <w:pgNumType w:start="25"/>
          <w:cols w:num="2" w:space="708" w:equalWidth="0">
            <w:col w:w="5294" w:space="100"/>
            <w:col w:w="5220" w:space="0"/>
          </w:cols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104" w:line="185" w:lineRule="auto"/>
        <w:ind w:left="33"/>
        <w:rPr>
          <w:rFonts w:ascii="STHupo" w:eastAsia="STHupo" w:hAnsi="STHupo" w:cs="STHupo"/>
          <w:sz w:val="31"/>
          <w:szCs w:val="31"/>
        </w:rPr>
      </w:pPr>
      <w:r>
        <w:rPr>
          <w:color w:val="CA6500"/>
          <w:spacing w:val="-3"/>
          <w:position w:val="3"/>
          <w:sz w:val="16"/>
          <w:szCs w:val="16"/>
        </w:rPr>
        <w:t>7</w:t>
      </w:r>
      <w:r>
        <w:rPr>
          <w:color w:val="CA6500"/>
          <w:spacing w:val="-3"/>
          <w:position w:val="3"/>
          <w:sz w:val="16"/>
          <w:szCs w:val="16"/>
        </w:rPr>
        <w:t xml:space="preserve"> </w:t>
      </w:r>
      <w:r>
        <w:rPr>
          <w:spacing w:val="-3"/>
          <w:position w:val="3"/>
          <w:sz w:val="16"/>
          <w:szCs w:val="16"/>
        </w:rPr>
        <w:t>|请务必仔细阅读报告尾部的投资评级说明和声明</w:t>
      </w:r>
      <w:r>
        <w:rPr>
          <w:spacing w:val="-3"/>
          <w:position w:val="3"/>
          <w:sz w:val="16"/>
          <w:szCs w:val="16"/>
        </w:rPr>
        <w:t xml:space="preserve">                                                             </w:t>
      </w:r>
      <w:r>
        <w:rPr>
          <w:rFonts w:ascii="SimSun" w:eastAsia="SimSun" w:hAnsi="SimSun" w:cs="SimSun"/>
          <w:b/>
          <w:bCs/>
          <w:spacing w:val="-3"/>
          <w:position w:val="-2"/>
          <w:sz w:val="31"/>
          <w:szCs w:val="31"/>
        </w:rPr>
        <w:t>west..</w:t>
      </w:r>
      <w:r>
        <w:rPr>
          <w:rFonts w:ascii="SimSun" w:eastAsia="SimSun" w:hAnsi="SimSun" w:cs="SimSun"/>
          <w:spacing w:val="-50"/>
          <w:position w:val="-2"/>
          <w:sz w:val="31"/>
          <w:szCs w:val="31"/>
        </w:rPr>
        <w:t xml:space="preserve"> </w:t>
      </w:r>
      <w:r>
        <w:rPr>
          <w:rFonts w:ascii="STHupo" w:eastAsia="STHupo" w:hAnsi="STHupo" w:cs="STHupo"/>
          <w:b/>
          <w:bCs/>
          <w:color w:val="FC0000"/>
          <w:spacing w:val="-3"/>
          <w:position w:val="-2"/>
          <w:sz w:val="31"/>
          <w:szCs w:val="31"/>
        </w:rPr>
        <w:t>西部证券</w:t>
      </w:r>
    </w:p>
    <w:p>
      <w:pPr>
        <w:spacing w:line="185" w:lineRule="auto"/>
        <w:rPr>
          <w:rFonts w:ascii="STHupo" w:eastAsia="STHupo" w:hAnsi="STHupo" w:cs="STHupo"/>
          <w:sz w:val="31"/>
          <w:szCs w:val="31"/>
        </w:rPr>
        <w:sectPr>
          <w:headerReference w:type="default" r:id="rId27"/>
          <w:type w:val="continuous"/>
          <w:pgSz w:w="11910" w:h="16840"/>
          <w:pgMar w:top="400" w:right="660" w:bottom="0" w:left="636" w:header="0" w:footer="0" w:gutter="0"/>
          <w:pgNumType w:start="26"/>
          <w:cols w:num="1" w:space="708" w:equalWidth="0">
            <w:col w:w="10614" w:space="0"/>
          </w:cols>
        </w:sectPr>
      </w:pPr>
    </w:p>
    <w:p>
      <w:pPr>
        <w:spacing w:before="115"/>
      </w:pPr>
      <w:r>
        <w:pict>
          <v:rect id="_x0000_s1037" style="width:409.5pt;height:0.5pt;margin-top:87pt;margin-left:152.5pt;mso-position-horizontal-relative:page;mso-position-vertical-relative:page;position:absolute;z-index:251673600" o:allowincell="f" filled="t" fillcolor="black" stroked="f"/>
        </w:pict>
      </w:r>
      <w:r>
        <w:pict>
          <v:rect id="_x0000_s1038" style="width:409pt;height:0.55pt;margin-top:300pt;margin-left:153.5pt;mso-position-horizontal-relative:page;mso-position-vertical-relative:page;position:absolute;z-index:251671552" o:allowincell="f" filled="t" fillcolor="black" stroked="f"/>
        </w:pict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1943122</wp:posOffset>
            </wp:positionH>
            <wp:positionV relativeFrom="page">
              <wp:posOffset>6610318</wp:posOffset>
            </wp:positionV>
            <wp:extent cx="5206946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0694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1943122</wp:posOffset>
            </wp:positionH>
            <wp:positionV relativeFrom="page">
              <wp:posOffset>9302723</wp:posOffset>
            </wp:positionV>
            <wp:extent cx="5206946" cy="6416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06946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0"/>
          <w:pgSz w:w="11910" w:h="16840"/>
          <w:pgMar w:top="400" w:right="650" w:bottom="0" w:left="652" w:header="0" w:footer="0" w:gutter="0"/>
          <w:pgNumType w:start="27"/>
          <w:cols w:num="1" w:space="708" w:equalWidth="0">
            <w:col w:w="10608" w:space="0"/>
          </w:cols>
        </w:sectPr>
      </w:pPr>
    </w:p>
    <w:p>
      <w:pPr>
        <w:pStyle w:val="BodyText"/>
        <w:spacing w:before="187" w:line="224" w:lineRule="auto"/>
        <w:ind w:left="47"/>
        <w:rPr>
          <w:sz w:val="23"/>
          <w:szCs w:val="23"/>
        </w:rPr>
      </w:pPr>
      <w:bookmarkStart w:id="9" w:name="bookmark21"/>
      <w:bookmarkEnd w:id="9"/>
      <w:bookmarkStart w:id="10" w:name="bookmark22"/>
      <w:bookmarkEnd w:id="10"/>
      <w:r>
        <w:rPr>
          <w:spacing w:val="3"/>
          <w:sz w:val="23"/>
          <w:szCs w:val="23"/>
        </w:rPr>
        <w:t>策略专题报告</w:t>
      </w:r>
    </w:p>
    <w:p>
      <w:pPr>
        <w:pStyle w:val="BodyText"/>
        <w:spacing w:before="249" w:line="192" w:lineRule="auto"/>
        <w:ind w:left="2417"/>
        <w:rPr>
          <w:sz w:val="18"/>
          <w:szCs w:val="18"/>
        </w:rPr>
      </w:pPr>
      <w:r>
        <w:rPr>
          <w:spacing w:val="11"/>
          <w:sz w:val="18"/>
          <w:szCs w:val="18"/>
        </w:rPr>
        <w:t>图8:宽基</w:t>
      </w:r>
      <w:r>
        <w:rPr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11"/>
          <w:sz w:val="18"/>
          <w:szCs w:val="18"/>
        </w:rPr>
        <w:t xml:space="preserve"> </w:t>
      </w:r>
      <w:r>
        <w:rPr>
          <w:spacing w:val="11"/>
          <w:sz w:val="18"/>
          <w:szCs w:val="18"/>
        </w:rPr>
        <w:t>产品单位净值相较行业</w:t>
      </w:r>
      <w:r>
        <w:rPr>
          <w:spacing w:val="-41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11"/>
          <w:sz w:val="18"/>
          <w:szCs w:val="18"/>
        </w:rPr>
        <w:t xml:space="preserve"> </w:t>
      </w:r>
      <w:r>
        <w:rPr>
          <w:spacing w:val="11"/>
          <w:sz w:val="18"/>
          <w:szCs w:val="18"/>
        </w:rPr>
        <w:t>更高(元)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5" w:line="221" w:lineRule="auto"/>
        <w:ind w:right="54" w:firstLine="769"/>
        <w:rPr>
          <w:sz w:val="18"/>
          <w:szCs w:val="18"/>
        </w:rPr>
      </w:pPr>
      <w:r>
        <w:rPr>
          <w:spacing w:val="-16"/>
          <w:w w:val="99"/>
          <w:sz w:val="18"/>
          <w:szCs w:val="18"/>
        </w:rPr>
        <w:t>西部证券</w:t>
      </w:r>
      <w:r>
        <w:rPr>
          <w:spacing w:val="4"/>
          <w:sz w:val="18"/>
          <w:szCs w:val="18"/>
        </w:rPr>
        <w:t xml:space="preserve"> </w:t>
      </w:r>
      <w:r>
        <w:rPr>
          <w:spacing w:val="15"/>
          <w:sz w:val="18"/>
          <w:szCs w:val="18"/>
        </w:rPr>
        <w:t>2024年03月07日</w:t>
      </w:r>
    </w:p>
    <w:p>
      <w:pPr>
        <w:spacing w:line="221" w:lineRule="auto"/>
        <w:rPr>
          <w:sz w:val="18"/>
          <w:szCs w:val="18"/>
        </w:rPr>
        <w:sectPr>
          <w:headerReference w:type="default" r:id="rId31"/>
          <w:type w:val="continuous"/>
          <w:pgSz w:w="11910" w:h="16840"/>
          <w:pgMar w:top="400" w:right="650" w:bottom="0" w:left="652" w:header="0" w:footer="0" w:gutter="0"/>
          <w:pgNumType w:start="28"/>
          <w:cols w:num="2" w:space="708" w:equalWidth="0">
            <w:col w:w="9028" w:space="100"/>
            <w:col w:w="1480" w:space="0"/>
          </w:cols>
        </w:sectPr>
      </w:pPr>
    </w:p>
    <w:p>
      <w:pPr>
        <w:spacing w:line="377" w:lineRule="auto"/>
        <w:rPr>
          <w:rFonts w:ascii="Arial"/>
          <w:sz w:val="21"/>
        </w:rPr>
      </w:pPr>
    </w:p>
    <w:p>
      <w:pPr>
        <w:spacing w:line="3580" w:lineRule="exact"/>
        <w:ind w:firstLine="2387"/>
      </w:pPr>
      <w:r>
        <w:rPr>
          <w:position w:val="-71"/>
        </w:rPr>
        <w:drawing>
          <wp:inline distT="0" distB="0" distL="0" distR="0">
            <wp:extent cx="5041848" cy="227331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1848" cy="227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4" w:lineRule="auto"/>
        <w:rPr>
          <w:rFonts w:ascii="Arial"/>
          <w:sz w:val="21"/>
        </w:rPr>
      </w:pPr>
    </w:p>
    <w:p>
      <w:pPr>
        <w:pStyle w:val="BodyText"/>
        <w:spacing w:before="58" w:line="224" w:lineRule="auto"/>
        <w:ind w:left="2417"/>
        <w:rPr>
          <w:sz w:val="18"/>
          <w:szCs w:val="18"/>
        </w:rPr>
      </w:pPr>
      <w:r>
        <w:rPr>
          <w:spacing w:val="-20"/>
          <w:sz w:val="18"/>
          <w:szCs w:val="18"/>
        </w:rPr>
        <w:t>资料来源：</w:t>
      </w:r>
      <w:r>
        <w:rPr>
          <w:rFonts w:ascii="SimSun" w:eastAsia="SimSun" w:hAnsi="SimSun" w:cs="SimSun"/>
          <w:spacing w:val="-20"/>
          <w:sz w:val="18"/>
          <w:szCs w:val="18"/>
        </w:rPr>
        <w:t>Wind,</w:t>
      </w:r>
      <w:r>
        <w:rPr>
          <w:rFonts w:ascii="SimSun" w:eastAsia="SimSun" w:hAnsi="SimSun" w:cs="SimSun"/>
          <w:spacing w:val="-38"/>
          <w:sz w:val="18"/>
          <w:szCs w:val="18"/>
        </w:rPr>
        <w:t xml:space="preserve"> </w:t>
      </w:r>
      <w:r>
        <w:rPr>
          <w:spacing w:val="-20"/>
          <w:sz w:val="18"/>
          <w:szCs w:val="18"/>
        </w:rPr>
        <w:t>西部证券研发中心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59" w:line="312" w:lineRule="auto"/>
        <w:ind w:left="2417" w:right="47" w:firstLine="2"/>
        <w:rPr>
          <w:sz w:val="18"/>
          <w:szCs w:val="18"/>
        </w:rPr>
      </w:pPr>
      <w:r>
        <w:rPr>
          <w:b/>
          <w:bCs/>
          <w:spacing w:val="9"/>
          <w:sz w:val="18"/>
          <w:szCs w:val="18"/>
        </w:rPr>
        <w:t>2</w:t>
      </w:r>
      <w:r>
        <w:rPr>
          <w:spacing w:val="-31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月</w:t>
      </w:r>
      <w:r>
        <w:rPr>
          <w:spacing w:val="-27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沪</w:t>
      </w:r>
      <w:r>
        <w:rPr>
          <w:spacing w:val="-34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深</w:t>
      </w:r>
      <w:r>
        <w:rPr>
          <w:spacing w:val="-41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3</w:t>
      </w:r>
      <w:r>
        <w:rPr>
          <w:spacing w:val="-4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0</w:t>
      </w:r>
      <w:r>
        <w:rPr>
          <w:spacing w:val="-4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0</w:t>
      </w:r>
      <w:r>
        <w:rPr>
          <w:spacing w:val="-29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、</w:t>
      </w:r>
      <w:r>
        <w:rPr>
          <w:spacing w:val="-19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中</w:t>
      </w:r>
      <w:r>
        <w:rPr>
          <w:spacing w:val="-4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证</w:t>
      </w:r>
      <w:r>
        <w:rPr>
          <w:spacing w:val="-3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1</w:t>
      </w:r>
      <w:r>
        <w:rPr>
          <w:spacing w:val="-4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0</w:t>
      </w:r>
      <w:r>
        <w:rPr>
          <w:spacing w:val="-42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0</w:t>
      </w:r>
      <w:r>
        <w:rPr>
          <w:spacing w:val="-43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0</w:t>
      </w:r>
      <w:r>
        <w:rPr>
          <w:rFonts w:ascii="SimSun" w:eastAsia="SimSun" w:hAnsi="SimSun" w:cs="SimSun"/>
          <w:b/>
          <w:bCs/>
          <w:sz w:val="18"/>
          <w:szCs w:val="18"/>
        </w:rPr>
        <w:t>ETF</w:t>
      </w:r>
      <w:r>
        <w:rPr>
          <w:rFonts w:ascii="SimSun" w:eastAsia="SimSun" w:hAnsi="SimSun" w:cs="SimSun"/>
          <w:spacing w:val="85"/>
          <w:sz w:val="18"/>
          <w:szCs w:val="18"/>
        </w:rPr>
        <w:t xml:space="preserve"> </w:t>
      </w:r>
      <w:r>
        <w:rPr>
          <w:b/>
          <w:bCs/>
          <w:spacing w:val="9"/>
          <w:sz w:val="18"/>
          <w:szCs w:val="18"/>
        </w:rPr>
        <w:t>获增持规模最多。</w:t>
      </w:r>
      <w:r>
        <w:rPr>
          <w:spacing w:val="9"/>
          <w:sz w:val="18"/>
          <w:szCs w:val="18"/>
        </w:rPr>
        <w:t>进</w:t>
      </w:r>
      <w:r>
        <w:rPr>
          <w:spacing w:val="-45"/>
          <w:sz w:val="18"/>
          <w:szCs w:val="18"/>
        </w:rPr>
        <w:t xml:space="preserve"> </w:t>
      </w:r>
      <w:r>
        <w:rPr>
          <w:spacing w:val="9"/>
          <w:sz w:val="18"/>
          <w:szCs w:val="18"/>
        </w:rPr>
        <w:t>一</w:t>
      </w:r>
      <w:r>
        <w:rPr>
          <w:spacing w:val="-40"/>
          <w:sz w:val="18"/>
          <w:szCs w:val="18"/>
        </w:rPr>
        <w:t xml:space="preserve"> </w:t>
      </w:r>
      <w:r>
        <w:rPr>
          <w:spacing w:val="9"/>
          <w:sz w:val="18"/>
          <w:szCs w:val="18"/>
        </w:rPr>
        <w:t>步对宽基</w:t>
      </w:r>
      <w:r>
        <w:rPr>
          <w:spacing w:val="-13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85"/>
          <w:sz w:val="18"/>
          <w:szCs w:val="18"/>
        </w:rPr>
        <w:t xml:space="preserve"> </w:t>
      </w:r>
      <w:r>
        <w:rPr>
          <w:spacing w:val="9"/>
          <w:sz w:val="18"/>
          <w:szCs w:val="18"/>
        </w:rPr>
        <w:t>流入结构进行拆分，</w:t>
      </w:r>
      <w:r>
        <w:rPr>
          <w:sz w:val="18"/>
          <w:szCs w:val="18"/>
        </w:rPr>
        <w:t xml:space="preserve">  </w:t>
      </w:r>
      <w:r>
        <w:rPr>
          <w:spacing w:val="23"/>
          <w:sz w:val="18"/>
          <w:szCs w:val="18"/>
        </w:rPr>
        <w:t>2</w:t>
      </w:r>
      <w:r>
        <w:rPr>
          <w:spacing w:val="-34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0</w:t>
      </w:r>
      <w:r>
        <w:rPr>
          <w:spacing w:val="-35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2</w:t>
      </w:r>
      <w:r>
        <w:rPr>
          <w:spacing w:val="-38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4</w:t>
      </w:r>
      <w:r>
        <w:rPr>
          <w:spacing w:val="-32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年</w:t>
      </w:r>
      <w:r>
        <w:rPr>
          <w:spacing w:val="-35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2</w:t>
      </w:r>
      <w:r>
        <w:rPr>
          <w:spacing w:val="-25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月</w:t>
      </w:r>
      <w:r>
        <w:rPr>
          <w:spacing w:val="-21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宽</w:t>
      </w:r>
      <w:r>
        <w:rPr>
          <w:spacing w:val="-35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基</w:t>
      </w:r>
      <w:r>
        <w:rPr>
          <w:spacing w:val="-23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7"/>
          <w:sz w:val="18"/>
          <w:szCs w:val="18"/>
        </w:rPr>
        <w:t xml:space="preserve">  </w:t>
      </w:r>
      <w:r>
        <w:rPr>
          <w:spacing w:val="23"/>
          <w:sz w:val="18"/>
          <w:szCs w:val="18"/>
        </w:rPr>
        <w:t>中沪深300、中证1000和创业板指</w:t>
      </w:r>
      <w:r>
        <w:rPr>
          <w:spacing w:val="-5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65"/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>获净流入份额</w:t>
      </w:r>
      <w:r>
        <w:rPr>
          <w:spacing w:val="22"/>
          <w:sz w:val="18"/>
          <w:szCs w:val="18"/>
        </w:rPr>
        <w:t>最多。其中</w:t>
      </w:r>
      <w:r>
        <w:rPr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沪</w:t>
      </w:r>
      <w:r>
        <w:rPr>
          <w:spacing w:val="-27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深</w:t>
      </w:r>
      <w:r>
        <w:rPr>
          <w:spacing w:val="-33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3</w:t>
      </w:r>
      <w:r>
        <w:rPr>
          <w:spacing w:val="-35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0</w:t>
      </w:r>
      <w:r>
        <w:rPr>
          <w:spacing w:val="-34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ETF</w:t>
      </w:r>
      <w:r>
        <w:rPr>
          <w:rFonts w:ascii="Arial" w:eastAsia="Arial" w:hAnsi="Arial" w:cs="Arial"/>
          <w:spacing w:val="2"/>
          <w:sz w:val="18"/>
          <w:szCs w:val="18"/>
        </w:rPr>
        <w:t xml:space="preserve">  </w:t>
      </w:r>
      <w:r>
        <w:rPr>
          <w:spacing w:val="24"/>
          <w:sz w:val="18"/>
          <w:szCs w:val="18"/>
        </w:rPr>
        <w:t>在2月净流入份额达391</w:t>
      </w:r>
      <w:r>
        <w:rPr>
          <w:spacing w:val="-39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.</w:t>
      </w:r>
      <w:r>
        <w:rPr>
          <w:spacing w:val="-46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09亿份，占所有宽基</w:t>
      </w:r>
      <w:r>
        <w:rPr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ETF</w:t>
      </w:r>
      <w:r>
        <w:rPr>
          <w:rFonts w:ascii="Arial" w:eastAsia="Arial" w:hAnsi="Arial" w:cs="Arial"/>
          <w:spacing w:val="2"/>
          <w:sz w:val="18"/>
          <w:szCs w:val="18"/>
        </w:rPr>
        <w:t xml:space="preserve">  </w:t>
      </w:r>
      <w:r>
        <w:rPr>
          <w:spacing w:val="24"/>
          <w:sz w:val="18"/>
          <w:szCs w:val="18"/>
        </w:rPr>
        <w:t>净流入份额的51</w:t>
      </w:r>
      <w:r>
        <w:rPr>
          <w:spacing w:val="-37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.</w:t>
      </w:r>
      <w:r>
        <w:rPr>
          <w:spacing w:val="-48"/>
          <w:sz w:val="18"/>
          <w:szCs w:val="18"/>
        </w:rPr>
        <w:t xml:space="preserve"> </w:t>
      </w:r>
      <w:r>
        <w:rPr>
          <w:spacing w:val="24"/>
          <w:sz w:val="18"/>
          <w:szCs w:val="18"/>
        </w:rPr>
        <w:t>4</w:t>
      </w:r>
      <w:r>
        <w:rPr>
          <w:spacing w:val="23"/>
          <w:sz w:val="18"/>
          <w:szCs w:val="18"/>
        </w:rPr>
        <w:t>%,</w:t>
      </w:r>
      <w:r>
        <w:rPr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此外中证1000(净流入176</w:t>
      </w:r>
      <w:r>
        <w:rPr>
          <w:spacing w:val="-34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.</w:t>
      </w:r>
      <w:r>
        <w:rPr>
          <w:spacing w:val="-49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85亿份)、创业板指(净流入110</w:t>
      </w:r>
      <w:r>
        <w:rPr>
          <w:spacing w:val="-42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.</w:t>
      </w:r>
      <w:r>
        <w:rPr>
          <w:spacing w:val="-49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81亿份)净流入份额规模</w:t>
      </w:r>
      <w:r>
        <w:rPr>
          <w:sz w:val="18"/>
          <w:szCs w:val="18"/>
        </w:rPr>
        <w:t xml:space="preserve"> </w:t>
      </w:r>
      <w:r>
        <w:rPr>
          <w:spacing w:val="32"/>
          <w:sz w:val="18"/>
          <w:szCs w:val="18"/>
        </w:rPr>
        <w:t>分列二三。从趋势来看，2月沪深300、上证50等大盘指数</w:t>
      </w:r>
      <w:r>
        <w:rPr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ETF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 </w:t>
      </w:r>
      <w:r>
        <w:rPr>
          <w:spacing w:val="32"/>
          <w:sz w:val="18"/>
          <w:szCs w:val="18"/>
        </w:rPr>
        <w:t>增持份额环比下行，取</w:t>
      </w:r>
      <w:r>
        <w:rPr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而代之的是中证1000、中证500等小盘指数</w:t>
      </w:r>
      <w:r>
        <w:rPr>
          <w:spacing w:val="-16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7"/>
          <w:sz w:val="18"/>
          <w:szCs w:val="18"/>
        </w:rPr>
        <w:t xml:space="preserve">  </w:t>
      </w:r>
      <w:r>
        <w:rPr>
          <w:spacing w:val="31"/>
          <w:sz w:val="18"/>
          <w:szCs w:val="18"/>
        </w:rPr>
        <w:t>的增持份额环比</w:t>
      </w:r>
      <w:r>
        <w:rPr>
          <w:spacing w:val="30"/>
          <w:sz w:val="18"/>
          <w:szCs w:val="18"/>
        </w:rPr>
        <w:t>提升。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59" w:line="301" w:lineRule="auto"/>
        <w:ind w:left="2417" w:right="89"/>
        <w:jc w:val="both"/>
        <w:rPr>
          <w:sz w:val="18"/>
          <w:szCs w:val="18"/>
        </w:rPr>
      </w:pPr>
      <w:r>
        <w:rPr>
          <w:spacing w:val="31"/>
          <w:sz w:val="18"/>
          <w:szCs w:val="18"/>
        </w:rPr>
        <w:t>从金额口径来看，沪深300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84"/>
          <w:w w:val="101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在2月净流入金额达1042</w:t>
      </w:r>
      <w:r>
        <w:rPr>
          <w:spacing w:val="-39"/>
          <w:sz w:val="18"/>
          <w:szCs w:val="18"/>
        </w:rPr>
        <w:t xml:space="preserve"> </w:t>
      </w:r>
      <w:r>
        <w:rPr>
          <w:spacing w:val="31"/>
          <w:sz w:val="18"/>
          <w:szCs w:val="18"/>
        </w:rPr>
        <w:t>.</w:t>
      </w:r>
      <w:r>
        <w:rPr>
          <w:spacing w:val="-46"/>
          <w:sz w:val="18"/>
          <w:szCs w:val="18"/>
        </w:rPr>
        <w:t xml:space="preserve"> </w:t>
      </w:r>
      <w:r>
        <w:rPr>
          <w:spacing w:val="30"/>
          <w:sz w:val="18"/>
          <w:szCs w:val="18"/>
        </w:rPr>
        <w:t>22亿元，占宽基</w:t>
      </w:r>
      <w:r>
        <w:rPr>
          <w:spacing w:val="-23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7"/>
          <w:sz w:val="18"/>
          <w:szCs w:val="18"/>
        </w:rPr>
        <w:t xml:space="preserve">  </w:t>
      </w:r>
      <w:r>
        <w:rPr>
          <w:spacing w:val="30"/>
          <w:sz w:val="18"/>
          <w:szCs w:val="18"/>
        </w:rPr>
        <w:t>净流入</w:t>
      </w:r>
      <w:r>
        <w:rPr>
          <w:spacing w:val="1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金</w:t>
      </w:r>
      <w:r>
        <w:rPr>
          <w:spacing w:val="-45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额</w:t>
      </w:r>
      <w:r>
        <w:rPr>
          <w:spacing w:val="-29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的</w:t>
      </w:r>
      <w:r>
        <w:rPr>
          <w:spacing w:val="-40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6</w:t>
      </w:r>
      <w:r>
        <w:rPr>
          <w:spacing w:val="-44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4</w:t>
      </w:r>
      <w:r>
        <w:rPr>
          <w:spacing w:val="-34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.</w:t>
      </w:r>
      <w:r>
        <w:rPr>
          <w:spacing w:val="-44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9</w:t>
      </w:r>
      <w:r>
        <w:rPr>
          <w:spacing w:val="-42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%</w:t>
      </w:r>
      <w:r>
        <w:rPr>
          <w:spacing w:val="-36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,</w:t>
      </w:r>
      <w:r>
        <w:rPr>
          <w:spacing w:val="-19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中</w:t>
      </w:r>
      <w:r>
        <w:rPr>
          <w:spacing w:val="-40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证</w:t>
      </w:r>
      <w:r>
        <w:rPr>
          <w:spacing w:val="-44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5</w:t>
      </w:r>
      <w:r>
        <w:rPr>
          <w:spacing w:val="-40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0</w:t>
      </w:r>
      <w:r>
        <w:rPr>
          <w:spacing w:val="-41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0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10"/>
          <w:sz w:val="18"/>
          <w:szCs w:val="18"/>
        </w:rPr>
        <w:t xml:space="preserve">  </w:t>
      </w:r>
      <w:r>
        <w:rPr>
          <w:spacing w:val="10"/>
          <w:sz w:val="18"/>
          <w:szCs w:val="18"/>
        </w:rPr>
        <w:t>(净流入404</w:t>
      </w:r>
      <w:r>
        <w:rPr>
          <w:spacing w:val="-38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.</w:t>
      </w:r>
      <w:r>
        <w:rPr>
          <w:spacing w:val="-43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62亿元)和中证1000</w:t>
      </w:r>
      <w:r>
        <w:rPr>
          <w:sz w:val="18"/>
          <w:szCs w:val="18"/>
        </w:rPr>
        <w:t>ETF</w:t>
      </w:r>
      <w:r>
        <w:rPr>
          <w:spacing w:val="10"/>
          <w:sz w:val="18"/>
          <w:szCs w:val="18"/>
        </w:rPr>
        <w:t>(336.78</w:t>
      </w:r>
      <w:r>
        <w:rPr>
          <w:spacing w:val="10"/>
          <w:sz w:val="18"/>
          <w:szCs w:val="18"/>
        </w:rPr>
        <w:t xml:space="preserve">    </w:t>
      </w:r>
      <w:r>
        <w:rPr>
          <w:spacing w:val="10"/>
          <w:sz w:val="18"/>
          <w:szCs w:val="18"/>
        </w:rPr>
        <w:t>亿</w:t>
      </w:r>
      <w:r>
        <w:rPr>
          <w:spacing w:val="10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元</w:t>
      </w:r>
      <w:r>
        <w:rPr>
          <w:spacing w:val="-21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)</w:t>
      </w:r>
      <w:r>
        <w:rPr>
          <w:spacing w:val="-11"/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>净</w:t>
      </w:r>
      <w:r>
        <w:rPr>
          <w:sz w:val="18"/>
          <w:szCs w:val="18"/>
        </w:rPr>
        <w:t xml:space="preserve"> </w:t>
      </w:r>
      <w:r>
        <w:rPr>
          <w:spacing w:val="25"/>
          <w:sz w:val="18"/>
          <w:szCs w:val="18"/>
        </w:rPr>
        <w:t>流入金额分列二三。</w:t>
      </w:r>
    </w:p>
    <w:p>
      <w:pPr>
        <w:pStyle w:val="BodyText"/>
        <w:spacing w:before="246" w:line="225" w:lineRule="auto"/>
        <w:ind w:left="2417"/>
        <w:rPr>
          <w:sz w:val="18"/>
          <w:szCs w:val="18"/>
        </w:rPr>
      </w:pPr>
      <w:r>
        <w:rPr>
          <w:spacing w:val="17"/>
          <w:sz w:val="18"/>
          <w:szCs w:val="18"/>
        </w:rPr>
        <w:t>图9:2024年2月各类细分宽基</w:t>
      </w:r>
      <w:r>
        <w:rPr>
          <w:spacing w:val="-13"/>
          <w:sz w:val="18"/>
          <w:szCs w:val="18"/>
        </w:rPr>
        <w:t xml:space="preserve"> </w:t>
      </w:r>
      <w:r>
        <w:rPr>
          <w:rFonts w:ascii="SimSun" w:eastAsia="SimSun" w:hAnsi="SimSun" w:cs="SimSun"/>
          <w:sz w:val="18"/>
          <w:szCs w:val="18"/>
        </w:rPr>
        <w:t>ETF</w:t>
      </w:r>
      <w:r>
        <w:rPr>
          <w:rFonts w:ascii="SimSun" w:eastAsia="SimSun" w:hAnsi="SimSun" w:cs="SimSun"/>
          <w:spacing w:val="17"/>
          <w:sz w:val="18"/>
          <w:szCs w:val="18"/>
        </w:rPr>
        <w:t xml:space="preserve"> </w:t>
      </w:r>
      <w:r>
        <w:rPr>
          <w:spacing w:val="17"/>
          <w:sz w:val="18"/>
          <w:szCs w:val="18"/>
        </w:rPr>
        <w:t>份额变化(亿份)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3650" w:lineRule="exact"/>
        <w:ind w:firstLine="2447"/>
      </w:pPr>
      <w:r>
        <w:rPr>
          <w:position w:val="-72"/>
        </w:rPr>
        <w:drawing>
          <wp:inline distT="0" distB="0" distL="0" distR="0">
            <wp:extent cx="5086318" cy="2317687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86318" cy="231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" w:line="227" w:lineRule="auto"/>
        <w:ind w:left="3067"/>
        <w:rPr>
          <w:sz w:val="18"/>
          <w:szCs w:val="18"/>
        </w:rPr>
      </w:pPr>
      <w:r>
        <w:rPr>
          <w:rFonts w:ascii="SimSun" w:eastAsia="SimSun" w:hAnsi="SimSun" w:cs="SimSun"/>
          <w:spacing w:val="-7"/>
          <w:sz w:val="18"/>
          <w:szCs w:val="18"/>
        </w:rPr>
        <w:t>MSCl</w:t>
      </w:r>
      <w:r>
        <w:rPr>
          <w:spacing w:val="-7"/>
          <w:sz w:val="18"/>
          <w:szCs w:val="18"/>
        </w:rPr>
        <w:t>指数中证500</w:t>
      </w:r>
      <w:r>
        <w:rPr>
          <w:spacing w:val="-7"/>
          <w:sz w:val="18"/>
          <w:szCs w:val="18"/>
        </w:rPr>
        <w:t xml:space="preserve">  </w:t>
      </w:r>
      <w:r>
        <w:rPr>
          <w:spacing w:val="-7"/>
          <w:sz w:val="18"/>
          <w:szCs w:val="18"/>
        </w:rPr>
        <w:t>科创50</w:t>
      </w:r>
      <w:r>
        <w:rPr>
          <w:spacing w:val="34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中证1000</w:t>
      </w:r>
      <w:r>
        <w:rPr>
          <w:spacing w:val="-7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沪深300</w:t>
      </w:r>
      <w:r>
        <w:rPr>
          <w:spacing w:val="-7"/>
          <w:sz w:val="18"/>
          <w:szCs w:val="18"/>
        </w:rPr>
        <w:t xml:space="preserve">  </w:t>
      </w:r>
      <w:r>
        <w:rPr>
          <w:spacing w:val="-7"/>
          <w:sz w:val="18"/>
          <w:szCs w:val="18"/>
        </w:rPr>
        <w:t>上证5</w:t>
      </w:r>
      <w:r>
        <w:rPr>
          <w:spacing w:val="-8"/>
          <w:sz w:val="18"/>
          <w:szCs w:val="18"/>
        </w:rPr>
        <w:t>0</w:t>
      </w:r>
      <w:r>
        <w:rPr>
          <w:spacing w:val="-8"/>
          <w:sz w:val="18"/>
          <w:szCs w:val="18"/>
        </w:rPr>
        <w:t xml:space="preserve">  </w:t>
      </w:r>
      <w:r>
        <w:rPr>
          <w:spacing w:val="-8"/>
          <w:sz w:val="18"/>
          <w:szCs w:val="18"/>
        </w:rPr>
        <w:t>创业板指</w:t>
      </w:r>
      <w:r>
        <w:rPr>
          <w:spacing w:val="77"/>
          <w:sz w:val="18"/>
          <w:szCs w:val="18"/>
        </w:rPr>
        <w:t xml:space="preserve"> </w:t>
      </w:r>
      <w:r>
        <w:rPr>
          <w:spacing w:val="-8"/>
          <w:sz w:val="18"/>
          <w:szCs w:val="18"/>
        </w:rPr>
        <w:t>双创50</w:t>
      </w:r>
      <w:r>
        <w:rPr>
          <w:spacing w:val="72"/>
          <w:sz w:val="18"/>
          <w:szCs w:val="18"/>
        </w:rPr>
        <w:t xml:space="preserve"> </w:t>
      </w:r>
      <w:r>
        <w:rPr>
          <w:spacing w:val="-8"/>
          <w:sz w:val="18"/>
          <w:szCs w:val="18"/>
        </w:rPr>
        <w:t>科创100</w:t>
      </w:r>
      <w:r>
        <w:rPr>
          <w:spacing w:val="42"/>
          <w:sz w:val="18"/>
          <w:szCs w:val="18"/>
        </w:rPr>
        <w:t xml:space="preserve"> </w:t>
      </w:r>
      <w:r>
        <w:rPr>
          <w:spacing w:val="-8"/>
          <w:sz w:val="18"/>
          <w:szCs w:val="18"/>
        </w:rPr>
        <w:t>其他指数</w:t>
      </w:r>
    </w:p>
    <w:p>
      <w:pPr>
        <w:pStyle w:val="BodyText"/>
        <w:spacing w:before="218" w:line="224" w:lineRule="auto"/>
        <w:ind w:left="2417"/>
        <w:rPr>
          <w:sz w:val="18"/>
          <w:szCs w:val="18"/>
        </w:rPr>
        <w:sectPr>
          <w:headerReference w:type="default" r:id="rId34"/>
          <w:type w:val="continuous"/>
          <w:pgSz w:w="11910" w:h="16840"/>
          <w:pgMar w:top="400" w:right="650" w:bottom="0" w:left="652" w:header="0" w:footer="0" w:gutter="0"/>
          <w:pgNumType w:start="29"/>
          <w:cols w:num="1" w:space="708" w:equalWidth="0">
            <w:col w:w="10608" w:space="0"/>
          </w:cols>
        </w:sectPr>
      </w:pPr>
      <w:r>
        <w:rPr>
          <w:spacing w:val="-19"/>
          <w:w w:val="98"/>
          <w:sz w:val="18"/>
          <w:szCs w:val="18"/>
        </w:rPr>
        <w:t>资料来源：</w:t>
      </w:r>
      <w:r>
        <w:rPr>
          <w:rFonts w:ascii="SimSun" w:eastAsia="SimSun" w:hAnsi="SimSun" w:cs="SimSun"/>
          <w:spacing w:val="-19"/>
          <w:w w:val="98"/>
          <w:sz w:val="18"/>
          <w:szCs w:val="18"/>
        </w:rPr>
        <w:t>Wind,</w:t>
      </w:r>
      <w:r>
        <w:rPr>
          <w:rFonts w:ascii="SimSun" w:eastAsia="SimSun" w:hAnsi="SimSun" w:cs="SimSun"/>
          <w:spacing w:val="-21"/>
          <w:sz w:val="18"/>
          <w:szCs w:val="18"/>
        </w:rPr>
        <w:t xml:space="preserve"> </w:t>
      </w:r>
      <w:r>
        <w:rPr>
          <w:spacing w:val="-19"/>
          <w:w w:val="98"/>
          <w:sz w:val="18"/>
          <w:szCs w:val="18"/>
        </w:rPr>
        <w:t>西部证券研发中心</w:t>
      </w:r>
    </w:p>
    <w:p>
      <w:pPr>
        <w:spacing w:before="47"/>
      </w:pPr>
    </w:p>
    <w:p>
      <w:pPr>
        <w:spacing w:before="46"/>
      </w:pPr>
    </w:p>
    <w:p>
      <w:pPr>
        <w:spacing w:before="46"/>
      </w:pPr>
    </w:p>
    <w:p>
      <w:pPr>
        <w:sectPr>
          <w:headerReference w:type="default" r:id="rId35"/>
          <w:type w:val="nextPage"/>
          <w:pgSz w:w="11910" w:h="16840"/>
          <w:pgMar w:top="400" w:right="650" w:bottom="0" w:left="652" w:header="0" w:footer="0" w:gutter="0"/>
          <w:pgNumType w:start="30"/>
          <w:cols w:num="1" w:space="708" w:equalWidth="0">
            <w:col w:w="10608" w:space="0"/>
          </w:cols>
          <w:titlePg w:val="0"/>
        </w:sectPr>
      </w:pPr>
    </w:p>
    <w:p>
      <w:pPr>
        <w:pStyle w:val="BodyText"/>
        <w:spacing w:before="134" w:line="222" w:lineRule="auto"/>
        <w:rPr>
          <w:sz w:val="18"/>
          <w:szCs w:val="18"/>
        </w:rPr>
      </w:pPr>
      <w:r>
        <w:rPr>
          <w:b/>
          <w:bCs/>
          <w:spacing w:val="-16"/>
          <w:sz w:val="18"/>
          <w:szCs w:val="18"/>
        </w:rPr>
        <w:t>8</w:t>
      </w:r>
      <w:r>
        <w:rPr>
          <w:spacing w:val="-16"/>
          <w:sz w:val="18"/>
          <w:szCs w:val="18"/>
        </w:rPr>
        <w:t xml:space="preserve"> </w:t>
      </w:r>
      <w:r>
        <w:rPr>
          <w:spacing w:val="-16"/>
          <w:sz w:val="18"/>
          <w:szCs w:val="18"/>
        </w:rPr>
        <w:t>|请务必仔细阅读报告尾部的投资评级说明和声明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0" w:line="185" w:lineRule="auto"/>
        <w:rPr>
          <w:rFonts w:ascii="STHupo" w:eastAsia="STHupo" w:hAnsi="STHupo" w:cs="STHupo"/>
          <w:sz w:val="32"/>
          <w:szCs w:val="32"/>
        </w:rPr>
      </w:pPr>
      <w:r>
        <w:rPr>
          <w:rFonts w:ascii="SimSun" w:eastAsia="SimSun" w:hAnsi="SimSun" w:cs="SimSun"/>
          <w:b/>
          <w:bCs/>
          <w:spacing w:val="-5"/>
          <w:sz w:val="32"/>
          <w:szCs w:val="32"/>
        </w:rPr>
        <w:t>wes..</w:t>
      </w:r>
      <w:r>
        <w:rPr>
          <w:rFonts w:ascii="STHupo" w:eastAsia="STHupo" w:hAnsi="STHupo" w:cs="STHupo"/>
          <w:b/>
          <w:bCs/>
          <w:color w:val="FC0000"/>
          <w:spacing w:val="-5"/>
          <w:sz w:val="32"/>
          <w:szCs w:val="32"/>
        </w:rPr>
        <w:t>西部证券</w:t>
      </w:r>
    </w:p>
    <w:p>
      <w:pPr>
        <w:spacing w:line="185" w:lineRule="auto"/>
        <w:rPr>
          <w:rFonts w:ascii="STHupo" w:eastAsia="STHupo" w:hAnsi="STHupo" w:cs="STHupo"/>
          <w:sz w:val="32"/>
          <w:szCs w:val="32"/>
        </w:rPr>
        <w:sectPr>
          <w:headerReference w:type="default" r:id="rId36"/>
          <w:type w:val="continuous"/>
          <w:pgSz w:w="11910" w:h="16840"/>
          <w:pgMar w:top="400" w:right="650" w:bottom="0" w:left="652" w:header="0" w:footer="0" w:gutter="0"/>
          <w:pgNumType w:start="31"/>
          <w:cols w:num="2" w:space="708" w:equalWidth="0">
            <w:col w:w="8352" w:space="100"/>
            <w:col w:w="2156" w:space="0"/>
          </w:cols>
        </w:sectPr>
      </w:pPr>
    </w:p>
    <w:p>
      <w:pPr>
        <w:spacing w:before="134"/>
      </w:pPr>
      <w:r>
        <w:pict>
          <v:rect id="_x0000_s1039" style="width:408.55pt;height:0.55pt;margin-top:283pt;margin-left:153pt;mso-position-horizontal-relative:page;mso-position-vertical-relative:page;position:absolute;z-index:251674624" o:allowincell="f" filled="t" fillcolor="black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1936770</wp:posOffset>
            </wp:positionH>
            <wp:positionV relativeFrom="page">
              <wp:posOffset>1104927</wp:posOffset>
            </wp:positionV>
            <wp:extent cx="5200594" cy="6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0059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8"/>
          <w:pgSz w:w="11910" w:h="16840"/>
          <w:pgMar w:top="400" w:right="670" w:bottom="0" w:left="655" w:header="0" w:footer="0" w:gutter="0"/>
          <w:pgNumType w:start="32"/>
          <w:cols w:num="1" w:space="708" w:equalWidth="0">
            <w:col w:w="10585" w:space="0"/>
          </w:cols>
        </w:sectPr>
      </w:pPr>
    </w:p>
    <w:p>
      <w:pPr>
        <w:pStyle w:val="BodyText"/>
        <w:spacing w:before="168" w:line="224" w:lineRule="auto"/>
        <w:ind w:left="5"/>
        <w:rPr>
          <w:sz w:val="23"/>
          <w:szCs w:val="23"/>
        </w:rPr>
      </w:pPr>
      <w:bookmarkStart w:id="11" w:name="bookmark23"/>
      <w:bookmarkEnd w:id="11"/>
      <w:bookmarkStart w:id="12" w:name="bookmark54"/>
      <w:bookmarkEnd w:id="12"/>
      <w:r>
        <w:rPr>
          <w:spacing w:val="3"/>
          <w:sz w:val="23"/>
          <w:szCs w:val="23"/>
        </w:rPr>
        <w:t>策略专题报告</w:t>
      </w:r>
    </w:p>
    <w:p>
      <w:pPr>
        <w:pStyle w:val="BodyText"/>
        <w:spacing w:before="232" w:line="192" w:lineRule="auto"/>
        <w:ind w:left="2434"/>
        <w:rPr>
          <w:sz w:val="20"/>
          <w:szCs w:val="20"/>
        </w:rPr>
      </w:pPr>
      <w:r>
        <w:rPr>
          <w:spacing w:val="2"/>
          <w:sz w:val="20"/>
          <w:szCs w:val="20"/>
        </w:rPr>
        <w:t>图10:2024年2月各类细分宽基</w:t>
      </w:r>
      <w:r>
        <w:rPr>
          <w:spacing w:val="-27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ETF</w:t>
      </w:r>
      <w:r>
        <w:rPr>
          <w:rFonts w:ascii="SimSun" w:eastAsia="SimSun" w:hAnsi="SimSun" w:cs="SimSun"/>
          <w:spacing w:val="-35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金额变化(亿元)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7" w:line="251" w:lineRule="auto"/>
        <w:ind w:right="29" w:firstLine="759"/>
        <w:rPr>
          <w:sz w:val="16"/>
          <w:szCs w:val="16"/>
        </w:rPr>
      </w:pPr>
      <w:r>
        <w:rPr>
          <w:spacing w:val="-5"/>
          <w:sz w:val="16"/>
          <w:szCs w:val="16"/>
        </w:rPr>
        <w:t>西部证券</w:t>
      </w:r>
      <w:r>
        <w:rPr>
          <w:spacing w:val="2"/>
          <w:sz w:val="16"/>
          <w:szCs w:val="16"/>
        </w:rPr>
        <w:t xml:space="preserve"> </w:t>
      </w:r>
      <w:r>
        <w:rPr>
          <w:spacing w:val="18"/>
          <w:w w:val="109"/>
          <w:sz w:val="16"/>
          <w:szCs w:val="16"/>
        </w:rPr>
        <w:t>2024年03月07日</w:t>
      </w:r>
    </w:p>
    <w:p>
      <w:pPr>
        <w:spacing w:line="251" w:lineRule="auto"/>
        <w:rPr>
          <w:sz w:val="16"/>
          <w:szCs w:val="16"/>
        </w:rPr>
        <w:sectPr>
          <w:headerReference w:type="default" r:id="rId39"/>
          <w:type w:val="continuous"/>
          <w:pgSz w:w="11910" w:h="16840"/>
          <w:pgMar w:top="400" w:right="670" w:bottom="0" w:left="655" w:header="0" w:footer="0" w:gutter="0"/>
          <w:pgNumType w:start="33"/>
          <w:cols w:num="2" w:space="708" w:equalWidth="0">
            <w:col w:w="9035" w:space="100"/>
            <w:col w:w="1450" w:space="0"/>
          </w:cols>
        </w:sectPr>
      </w:pPr>
    </w:p>
    <w:p>
      <w:pPr>
        <w:spacing w:before="165" w:line="3240" w:lineRule="exact"/>
        <w:ind w:firstLine="2424"/>
      </w:pPr>
      <w:r>
        <w:rPr>
          <w:position w:val="-64"/>
        </w:rPr>
        <w:drawing>
          <wp:inline distT="0" distB="0" distL="0" distR="0">
            <wp:extent cx="5048202" cy="205741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8202" cy="205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5" w:line="237" w:lineRule="auto"/>
        <w:ind w:left="3014"/>
        <w:rPr>
          <w:sz w:val="13"/>
          <w:szCs w:val="13"/>
        </w:rPr>
      </w:pP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>MSCl</w:t>
      </w:r>
      <w:r>
        <w:rPr>
          <w:rFonts w:ascii="Times New Roman" w:eastAsia="Times New Roman" w:hAnsi="Times New Roman" w:cs="Times New Roman"/>
          <w:spacing w:val="6"/>
          <w:position w:val="-1"/>
          <w:sz w:val="13"/>
          <w:szCs w:val="13"/>
        </w:rPr>
        <w:t xml:space="preserve"> </w:t>
      </w:r>
      <w:r>
        <w:rPr>
          <w:spacing w:val="6"/>
          <w:position w:val="-1"/>
          <w:sz w:val="13"/>
          <w:szCs w:val="13"/>
        </w:rPr>
        <w:t>指数</w:t>
      </w:r>
      <w:r>
        <w:rPr>
          <w:spacing w:val="33"/>
          <w:w w:val="101"/>
          <w:position w:val="-1"/>
          <w:sz w:val="13"/>
          <w:szCs w:val="13"/>
        </w:rPr>
        <w:t xml:space="preserve">  </w:t>
      </w:r>
      <w:r>
        <w:rPr>
          <w:spacing w:val="6"/>
          <w:position w:val="-1"/>
          <w:sz w:val="13"/>
          <w:szCs w:val="13"/>
        </w:rPr>
        <w:t>中证500</w:t>
      </w:r>
      <w:r>
        <w:rPr>
          <w:spacing w:val="1"/>
          <w:position w:val="-1"/>
          <w:sz w:val="13"/>
          <w:szCs w:val="13"/>
        </w:rPr>
        <w:t xml:space="preserve">    </w:t>
      </w:r>
      <w:r>
        <w:rPr>
          <w:color w:val="C97D31"/>
          <w:spacing w:val="6"/>
          <w:position w:val="1"/>
          <w:sz w:val="13"/>
          <w:szCs w:val="13"/>
        </w:rPr>
        <w:t>科创50</w:t>
      </w:r>
      <w:r>
        <w:rPr>
          <w:color w:val="C97D31"/>
          <w:spacing w:val="16"/>
          <w:position w:val="1"/>
          <w:sz w:val="13"/>
          <w:szCs w:val="13"/>
        </w:rPr>
        <w:t xml:space="preserve">   </w:t>
      </w:r>
      <w:r>
        <w:rPr>
          <w:spacing w:val="6"/>
          <w:position w:val="-1"/>
          <w:sz w:val="13"/>
          <w:szCs w:val="13"/>
        </w:rPr>
        <w:t>中证1000</w:t>
      </w:r>
      <w:r>
        <w:rPr>
          <w:spacing w:val="27"/>
          <w:position w:val="-1"/>
          <w:sz w:val="13"/>
          <w:szCs w:val="13"/>
        </w:rPr>
        <w:t xml:space="preserve">  </w:t>
      </w:r>
      <w:r>
        <w:rPr>
          <w:spacing w:val="6"/>
          <w:position w:val="-1"/>
          <w:sz w:val="13"/>
          <w:szCs w:val="13"/>
        </w:rPr>
        <w:t>沪深300</w:t>
      </w:r>
      <w:r>
        <w:rPr>
          <w:spacing w:val="1"/>
          <w:position w:val="-1"/>
          <w:sz w:val="13"/>
          <w:szCs w:val="13"/>
        </w:rPr>
        <w:t xml:space="preserve">    </w:t>
      </w:r>
      <w:r>
        <w:rPr>
          <w:spacing w:val="6"/>
          <w:sz w:val="13"/>
          <w:szCs w:val="13"/>
        </w:rPr>
        <w:t>上证50</w:t>
      </w:r>
      <w:r>
        <w:rPr>
          <w:spacing w:val="6"/>
          <w:sz w:val="13"/>
          <w:szCs w:val="13"/>
        </w:rPr>
        <w:t xml:space="preserve">   </w:t>
      </w:r>
      <w:r>
        <w:rPr>
          <w:spacing w:val="6"/>
          <w:sz w:val="13"/>
          <w:szCs w:val="13"/>
        </w:rPr>
        <w:t>创业板指</w:t>
      </w:r>
      <w:r>
        <w:rPr>
          <w:spacing w:val="11"/>
          <w:sz w:val="13"/>
          <w:szCs w:val="13"/>
        </w:rPr>
        <w:t xml:space="preserve">   </w:t>
      </w:r>
      <w:r>
        <w:rPr>
          <w:spacing w:val="6"/>
          <w:position w:val="1"/>
          <w:sz w:val="13"/>
          <w:szCs w:val="13"/>
        </w:rPr>
        <w:t>双创50</w:t>
      </w:r>
      <w:r>
        <w:rPr>
          <w:spacing w:val="6"/>
          <w:position w:val="1"/>
          <w:sz w:val="13"/>
          <w:szCs w:val="13"/>
        </w:rPr>
        <w:t xml:space="preserve">    </w:t>
      </w:r>
      <w:r>
        <w:rPr>
          <w:spacing w:val="6"/>
          <w:position w:val="1"/>
          <w:sz w:val="13"/>
          <w:szCs w:val="13"/>
        </w:rPr>
        <w:t>科创100</w:t>
      </w:r>
      <w:r>
        <w:rPr>
          <w:spacing w:val="6"/>
          <w:position w:val="1"/>
          <w:sz w:val="13"/>
          <w:szCs w:val="13"/>
        </w:rPr>
        <w:t xml:space="preserve">   </w:t>
      </w:r>
      <w:r>
        <w:rPr>
          <w:spacing w:val="6"/>
          <w:position w:val="-1"/>
          <w:sz w:val="13"/>
          <w:szCs w:val="13"/>
        </w:rPr>
        <w:t>其他指数</w:t>
      </w:r>
    </w:p>
    <w:p>
      <w:pPr>
        <w:spacing w:line="432" w:lineRule="auto"/>
        <w:rPr>
          <w:rFonts w:ascii="Arial"/>
          <w:sz w:val="21"/>
        </w:rPr>
      </w:pPr>
    </w:p>
    <w:p>
      <w:pPr>
        <w:pStyle w:val="BodyText"/>
        <w:spacing w:before="53" w:line="220" w:lineRule="auto"/>
        <w:ind w:left="2434"/>
        <w:rPr>
          <w:sz w:val="16"/>
          <w:szCs w:val="16"/>
        </w:rPr>
      </w:pPr>
      <w:r>
        <w:rPr>
          <w:spacing w:val="-7"/>
          <w:sz w:val="16"/>
          <w:szCs w:val="16"/>
        </w:rPr>
        <w:t>资料来源：</w:t>
      </w:r>
      <w:r>
        <w:rPr>
          <w:rFonts w:ascii="Arial" w:eastAsia="Arial" w:hAnsi="Arial" w:cs="Arial"/>
          <w:spacing w:val="-7"/>
          <w:sz w:val="16"/>
          <w:szCs w:val="16"/>
        </w:rPr>
        <w:t xml:space="preserve">Wind,  </w:t>
      </w:r>
      <w:r>
        <w:rPr>
          <w:spacing w:val="-7"/>
          <w:sz w:val="16"/>
          <w:szCs w:val="16"/>
        </w:rPr>
        <w:t>西部证券研发中心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66" w:line="276" w:lineRule="auto"/>
        <w:ind w:left="2434" w:right="35"/>
        <w:jc w:val="both"/>
        <w:rPr>
          <w:sz w:val="20"/>
          <w:szCs w:val="20"/>
        </w:rPr>
      </w:pPr>
      <w:r>
        <w:rPr>
          <w:spacing w:val="18"/>
          <w:sz w:val="20"/>
          <w:szCs w:val="20"/>
        </w:rPr>
        <w:t>根据</w:t>
      </w:r>
      <w:r>
        <w:rPr>
          <w:spacing w:val="-47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Wind</w:t>
      </w:r>
      <w:r>
        <w:rPr>
          <w:rFonts w:ascii="SimSun" w:eastAsia="SimSun" w:hAnsi="SimSun" w:cs="SimSun"/>
          <w:spacing w:val="41"/>
          <w:sz w:val="20"/>
          <w:szCs w:val="20"/>
        </w:rPr>
        <w:t xml:space="preserve"> </w:t>
      </w:r>
      <w:r>
        <w:rPr>
          <w:spacing w:val="18"/>
          <w:sz w:val="20"/>
          <w:szCs w:val="20"/>
        </w:rPr>
        <w:t>数据统计，2月通过审核待发行</w:t>
      </w:r>
      <w:r>
        <w:rPr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ETF</w:t>
      </w:r>
      <w:r>
        <w:rPr>
          <w:rFonts w:ascii="SimSun" w:eastAsia="SimSun" w:hAnsi="SimSun" w:cs="SimSun"/>
          <w:spacing w:val="55"/>
          <w:sz w:val="20"/>
          <w:szCs w:val="20"/>
        </w:rPr>
        <w:t xml:space="preserve"> </w:t>
      </w:r>
      <w:r>
        <w:rPr>
          <w:spacing w:val="18"/>
          <w:sz w:val="20"/>
          <w:szCs w:val="20"/>
        </w:rPr>
        <w:t>基金共6支，</w:t>
      </w:r>
      <w:r>
        <w:rPr>
          <w:spacing w:val="17"/>
          <w:sz w:val="20"/>
          <w:szCs w:val="20"/>
        </w:rPr>
        <w:t>其中有宽基</w:t>
      </w:r>
      <w:r>
        <w:rPr>
          <w:spacing w:val="-13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ETF</w:t>
      </w:r>
      <w:r>
        <w:rPr>
          <w:rFonts w:ascii="SimSun" w:eastAsia="SimSun" w:hAnsi="SimSun" w:cs="SimSun"/>
          <w:spacing w:val="55"/>
          <w:sz w:val="20"/>
          <w:szCs w:val="20"/>
        </w:rPr>
        <w:t xml:space="preserve"> </w:t>
      </w:r>
      <w:r>
        <w:rPr>
          <w:spacing w:val="17"/>
          <w:sz w:val="20"/>
          <w:szCs w:val="20"/>
        </w:rPr>
        <w:t>数量达4</w:t>
      </w:r>
      <w:r>
        <w:rPr>
          <w:sz w:val="20"/>
          <w:szCs w:val="20"/>
        </w:rPr>
        <w:t xml:space="preserve"> </w:t>
      </w:r>
      <w:r>
        <w:rPr>
          <w:spacing w:val="30"/>
          <w:sz w:val="20"/>
          <w:szCs w:val="20"/>
        </w:rPr>
        <w:t>支(上证50指数1支、科创板100指数1支、创业板成长指数2支),此外跨境红利策</w:t>
      </w:r>
      <w:r>
        <w:rPr>
          <w:spacing w:val="1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略</w:t>
      </w:r>
      <w:r>
        <w:rPr>
          <w:spacing w:val="-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ETF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基金1支，油气主题</w:t>
      </w:r>
      <w:r>
        <w:rPr>
          <w:spacing w:val="-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ETF</w:t>
      </w:r>
      <w:r>
        <w:rPr>
          <w:rFonts w:ascii="Times New Roman" w:eastAsia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基</w:t>
      </w:r>
      <w:r>
        <w:rPr>
          <w:spacing w:val="-42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金</w:t>
      </w:r>
      <w:r>
        <w:rPr>
          <w:spacing w:val="-26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1</w:t>
      </w:r>
      <w:r>
        <w:rPr>
          <w:spacing w:val="-50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支。</w:t>
      </w:r>
    </w:p>
    <w:p>
      <w:pPr>
        <w:pStyle w:val="BodyText"/>
        <w:spacing w:before="225" w:line="223" w:lineRule="auto"/>
        <w:ind w:left="5"/>
        <w:rPr>
          <w:sz w:val="20"/>
          <w:szCs w:val="20"/>
        </w:rPr>
      </w:pPr>
      <w:r>
        <w:rPr>
          <w:spacing w:val="14"/>
          <w:sz w:val="20"/>
          <w:szCs w:val="20"/>
        </w:rPr>
        <w:t>表2:2月已通过审核待发行</w:t>
      </w:r>
      <w:r>
        <w:rPr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ETF</w:t>
      </w:r>
      <w:r>
        <w:rPr>
          <w:rFonts w:ascii="SimSun" w:eastAsia="SimSun" w:hAnsi="SimSun" w:cs="SimSun"/>
          <w:spacing w:val="14"/>
          <w:sz w:val="20"/>
          <w:szCs w:val="20"/>
        </w:rPr>
        <w:t xml:space="preserve"> </w:t>
      </w:r>
      <w:r>
        <w:rPr>
          <w:spacing w:val="14"/>
          <w:sz w:val="20"/>
          <w:szCs w:val="20"/>
        </w:rPr>
        <w:t>基金</w:t>
      </w:r>
    </w:p>
    <w:p>
      <w:pPr>
        <w:spacing w:line="40" w:lineRule="exact"/>
      </w:pPr>
    </w:p>
    <w:tbl>
      <w:tblPr>
        <w:tblStyle w:val="TableNormal1"/>
        <w:tblW w:w="105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54"/>
        <w:gridCol w:w="4415"/>
        <w:gridCol w:w="1129"/>
        <w:gridCol w:w="2268"/>
        <w:gridCol w:w="2183"/>
      </w:tblGrid>
      <w:tr>
        <w:tblPrEx>
          <w:tblW w:w="105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84"/>
        </w:trPr>
        <w:tc>
          <w:tcPr>
            <w:tcW w:w="554" w:type="dxa"/>
            <w:shd w:val="clear" w:color="auto" w:fill="C00000"/>
            <w:vAlign w:val="top"/>
          </w:tcPr>
          <w:p>
            <w:pPr>
              <w:spacing w:before="110" w:line="221" w:lineRule="auto"/>
              <w:ind w:left="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4"/>
                <w:sz w:val="17"/>
                <w:szCs w:val="17"/>
              </w:rPr>
              <w:t>序号</w:t>
            </w:r>
          </w:p>
        </w:tc>
        <w:tc>
          <w:tcPr>
            <w:tcW w:w="4415" w:type="dxa"/>
            <w:shd w:val="clear" w:color="auto" w:fill="C00000"/>
            <w:vAlign w:val="top"/>
          </w:tcPr>
          <w:p>
            <w:pPr>
              <w:spacing w:before="111" w:line="221" w:lineRule="auto"/>
              <w:ind w:left="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4"/>
                <w:sz w:val="17"/>
                <w:szCs w:val="17"/>
              </w:rPr>
              <w:t>基金名称</w:t>
            </w:r>
          </w:p>
        </w:tc>
        <w:tc>
          <w:tcPr>
            <w:tcW w:w="1129" w:type="dxa"/>
            <w:shd w:val="clear" w:color="auto" w:fill="C00000"/>
            <w:vAlign w:val="top"/>
          </w:tcPr>
          <w:p>
            <w:pPr>
              <w:spacing w:before="109" w:line="219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3"/>
                <w:sz w:val="17"/>
                <w:szCs w:val="17"/>
              </w:rPr>
              <w:t>基金管理人</w:t>
            </w:r>
          </w:p>
        </w:tc>
        <w:tc>
          <w:tcPr>
            <w:tcW w:w="2268" w:type="dxa"/>
            <w:shd w:val="clear" w:color="auto" w:fill="C00000"/>
            <w:vAlign w:val="top"/>
          </w:tcPr>
          <w:p>
            <w:pPr>
              <w:spacing w:before="109" w:line="219" w:lineRule="auto"/>
              <w:ind w:left="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2"/>
                <w:sz w:val="17"/>
                <w:szCs w:val="17"/>
              </w:rPr>
              <w:t>限踪指数</w:t>
            </w:r>
          </w:p>
        </w:tc>
        <w:tc>
          <w:tcPr>
            <w:tcW w:w="2183" w:type="dxa"/>
            <w:shd w:val="clear" w:color="auto" w:fill="C00000"/>
            <w:vAlign w:val="top"/>
          </w:tcPr>
          <w:p>
            <w:pPr>
              <w:spacing w:before="109" w:line="219" w:lineRule="auto"/>
              <w:ind w:left="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4"/>
                <w:sz w:val="17"/>
                <w:szCs w:val="17"/>
              </w:rPr>
              <w:t>基金分类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418"/>
        </w:trPr>
        <w:tc>
          <w:tcPr>
            <w:tcW w:w="5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15" w:type="dxa"/>
            <w:vAlign w:val="top"/>
          </w:tcPr>
          <w:p>
            <w:pPr>
              <w:spacing w:before="168" w:line="219" w:lineRule="auto"/>
              <w:ind w:left="2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广发上证50交易型开放式指数证券投资基金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158" w:line="220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广发基金</w:t>
            </w:r>
          </w:p>
        </w:tc>
        <w:tc>
          <w:tcPr>
            <w:tcW w:w="2268" w:type="dxa"/>
            <w:vAlign w:val="top"/>
          </w:tcPr>
          <w:p>
            <w:pPr>
              <w:spacing w:before="187" w:line="230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上证50</w:t>
            </w:r>
          </w:p>
        </w:tc>
        <w:tc>
          <w:tcPr>
            <w:tcW w:w="2183" w:type="dxa"/>
            <w:vAlign w:val="top"/>
          </w:tcPr>
          <w:p>
            <w:pPr>
              <w:spacing w:before="168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宽基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389"/>
        </w:trPr>
        <w:tc>
          <w:tcPr>
            <w:tcW w:w="554" w:type="dxa"/>
            <w:vAlign w:val="top"/>
          </w:tcPr>
          <w:p>
            <w:pPr>
              <w:spacing w:before="224" w:line="168" w:lineRule="auto"/>
              <w:ind w:left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4415" w:type="dxa"/>
            <w:vAlign w:val="top"/>
          </w:tcPr>
          <w:p>
            <w:pPr>
              <w:spacing w:before="160" w:line="219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银华中证港股通高股息投资交易型开放式指数证券投资基金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170" w:line="220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银华基金</w:t>
            </w:r>
          </w:p>
        </w:tc>
        <w:tc>
          <w:tcPr>
            <w:tcW w:w="2268" w:type="dxa"/>
            <w:vAlign w:val="top"/>
          </w:tcPr>
          <w:p>
            <w:pPr>
              <w:spacing w:before="160" w:line="219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港股通高股息指数</w:t>
            </w:r>
          </w:p>
        </w:tc>
        <w:tc>
          <w:tcPr>
            <w:tcW w:w="2183" w:type="dxa"/>
            <w:vAlign w:val="top"/>
          </w:tcPr>
          <w:p>
            <w:pPr>
              <w:spacing w:before="160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策略(跨境红利)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419"/>
        </w:trPr>
        <w:tc>
          <w:tcPr>
            <w:tcW w:w="554" w:type="dxa"/>
            <w:vAlign w:val="top"/>
          </w:tcPr>
          <w:p>
            <w:pPr>
              <w:spacing w:before="234" w:line="183" w:lineRule="auto"/>
              <w:ind w:left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0C5D"/>
                <w:sz w:val="17"/>
                <w:szCs w:val="17"/>
              </w:rPr>
              <w:t>3</w:t>
            </w:r>
          </w:p>
        </w:tc>
        <w:tc>
          <w:tcPr>
            <w:tcW w:w="4415" w:type="dxa"/>
            <w:vAlign w:val="top"/>
          </w:tcPr>
          <w:p>
            <w:pPr>
              <w:spacing w:before="201" w:line="219" w:lineRule="auto"/>
              <w:ind w:left="2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汇添富中证油气资源交易型开放式指数证券投资基金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181" w:line="220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汇添富基金</w:t>
            </w:r>
          </w:p>
        </w:tc>
        <w:tc>
          <w:tcPr>
            <w:tcW w:w="2268" w:type="dxa"/>
            <w:vAlign w:val="top"/>
          </w:tcPr>
          <w:p>
            <w:pPr>
              <w:spacing w:before="211" w:line="215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中证油气资源指数</w:t>
            </w:r>
          </w:p>
        </w:tc>
        <w:tc>
          <w:tcPr>
            <w:tcW w:w="2183" w:type="dxa"/>
            <w:vAlign w:val="top"/>
          </w:tcPr>
          <w:p>
            <w:pPr>
              <w:spacing w:before="181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油气(周期)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408"/>
        </w:trPr>
        <w:tc>
          <w:tcPr>
            <w:tcW w:w="554" w:type="dxa"/>
            <w:vAlign w:val="top"/>
          </w:tcPr>
          <w:p>
            <w:pPr>
              <w:spacing w:before="235" w:line="176" w:lineRule="auto"/>
              <w:ind w:left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06F"/>
                <w:sz w:val="17"/>
                <w:szCs w:val="17"/>
              </w:rPr>
              <w:t>4</w:t>
            </w:r>
          </w:p>
        </w:tc>
        <w:tc>
          <w:tcPr>
            <w:tcW w:w="4415" w:type="dxa"/>
            <w:vAlign w:val="top"/>
          </w:tcPr>
          <w:p>
            <w:pPr>
              <w:spacing w:before="170" w:line="219" w:lineRule="auto"/>
              <w:ind w:left="2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广发上证科创板100交易型开放式指数证券投资基金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182" w:line="220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广发基金</w:t>
            </w:r>
          </w:p>
        </w:tc>
        <w:tc>
          <w:tcPr>
            <w:tcW w:w="2268" w:type="dxa"/>
            <w:vAlign w:val="top"/>
          </w:tcPr>
          <w:p>
            <w:pPr>
              <w:spacing w:before="170" w:line="219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上证科创板100</w:t>
            </w:r>
          </w:p>
        </w:tc>
        <w:tc>
          <w:tcPr>
            <w:tcW w:w="2183" w:type="dxa"/>
            <w:vAlign w:val="top"/>
          </w:tcPr>
          <w:p>
            <w:pPr>
              <w:spacing w:before="172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宽基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418"/>
        </w:trPr>
        <w:tc>
          <w:tcPr>
            <w:tcW w:w="554" w:type="dxa"/>
            <w:vAlign w:val="top"/>
          </w:tcPr>
          <w:p>
            <w:pPr>
              <w:spacing w:before="228" w:line="182" w:lineRule="auto"/>
              <w:ind w:left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4415" w:type="dxa"/>
            <w:vAlign w:val="top"/>
          </w:tcPr>
          <w:p>
            <w:pPr>
              <w:spacing w:before="182" w:line="219" w:lineRule="auto"/>
              <w:ind w:left="2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易方达创业板成长交易型开放式指数证券投资基金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205" w:line="220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易方达基金</w:t>
            </w:r>
          </w:p>
        </w:tc>
        <w:tc>
          <w:tcPr>
            <w:tcW w:w="2268" w:type="dxa"/>
            <w:vAlign w:val="top"/>
          </w:tcPr>
          <w:p>
            <w:pPr>
              <w:spacing w:before="192" w:line="219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创业板成长</w:t>
            </w:r>
          </w:p>
        </w:tc>
        <w:tc>
          <w:tcPr>
            <w:tcW w:w="2183" w:type="dxa"/>
            <w:vAlign w:val="top"/>
          </w:tcPr>
          <w:p>
            <w:pPr>
              <w:spacing w:before="174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宽基</w:t>
            </w:r>
          </w:p>
        </w:tc>
      </w:tr>
      <w:tr>
        <w:tblPrEx>
          <w:tblW w:w="10549" w:type="dxa"/>
          <w:tblInd w:w="5" w:type="dxa"/>
          <w:tblLayout w:type="fixed"/>
        </w:tblPrEx>
        <w:trPr>
          <w:trHeight w:val="394"/>
        </w:trPr>
        <w:tc>
          <w:tcPr>
            <w:tcW w:w="554" w:type="dxa"/>
            <w:vAlign w:val="top"/>
          </w:tcPr>
          <w:p>
            <w:pPr>
              <w:spacing w:before="259" w:line="125" w:lineRule="exact"/>
              <w:ind w:left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-2"/>
                <w:sz w:val="17"/>
                <w:szCs w:val="17"/>
              </w:rPr>
              <w:t>6</w:t>
            </w:r>
          </w:p>
        </w:tc>
        <w:tc>
          <w:tcPr>
            <w:tcW w:w="4415" w:type="dxa"/>
            <w:vAlign w:val="top"/>
          </w:tcPr>
          <w:p>
            <w:pPr>
              <w:spacing w:before="195" w:line="205" w:lineRule="auto"/>
              <w:ind w:left="2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招商创业板成长交易型开放式指数证券投资基金</w:t>
            </w:r>
          </w:p>
        </w:tc>
        <w:tc>
          <w:tcPr>
            <w:tcW w:w="1129" w:type="dxa"/>
            <w:vAlign w:val="top"/>
          </w:tcPr>
          <w:p>
            <w:pPr>
              <w:spacing w:before="186" w:line="215" w:lineRule="auto"/>
              <w:ind w:left="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招商基金</w:t>
            </w:r>
          </w:p>
        </w:tc>
        <w:tc>
          <w:tcPr>
            <w:tcW w:w="2268" w:type="dxa"/>
            <w:vAlign w:val="top"/>
          </w:tcPr>
          <w:p>
            <w:pPr>
              <w:spacing w:before="185" w:line="216" w:lineRule="auto"/>
              <w:ind w:left="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创业板成长</w:t>
            </w:r>
          </w:p>
        </w:tc>
        <w:tc>
          <w:tcPr>
            <w:tcW w:w="2183" w:type="dxa"/>
            <w:vAlign w:val="top"/>
          </w:tcPr>
          <w:p>
            <w:pPr>
              <w:spacing w:before="166" w:line="220" w:lineRule="auto"/>
              <w:ind w:left="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宽基</w:t>
            </w:r>
          </w:p>
        </w:tc>
      </w:tr>
    </w:tbl>
    <w:p>
      <w:pPr>
        <w:pStyle w:val="BodyText"/>
        <w:spacing w:before="79" w:line="224" w:lineRule="auto"/>
        <w:ind w:left="5"/>
        <w:rPr>
          <w:sz w:val="16"/>
          <w:szCs w:val="16"/>
        </w:rPr>
      </w:pPr>
      <w:r>
        <w:rPr>
          <w:spacing w:val="-7"/>
          <w:sz w:val="16"/>
          <w:szCs w:val="16"/>
        </w:rPr>
        <w:t>资料来源：</w:t>
      </w:r>
      <w:r>
        <w:rPr>
          <w:rFonts w:ascii="SimSun" w:eastAsia="SimSun" w:hAnsi="SimSun" w:cs="SimSun"/>
          <w:spacing w:val="-7"/>
          <w:sz w:val="16"/>
          <w:szCs w:val="16"/>
        </w:rPr>
        <w:t>Wind,</w:t>
      </w:r>
      <w:r>
        <w:rPr>
          <w:rFonts w:ascii="SimSun" w:eastAsia="SimSun" w:hAnsi="SimSun" w:cs="SimSun"/>
          <w:spacing w:val="28"/>
          <w:sz w:val="16"/>
          <w:szCs w:val="16"/>
        </w:rPr>
        <w:t xml:space="preserve"> </w:t>
      </w:r>
      <w:r>
        <w:rPr>
          <w:spacing w:val="-7"/>
          <w:sz w:val="16"/>
          <w:szCs w:val="16"/>
        </w:rPr>
        <w:t>西部证券研发中心</w:t>
      </w: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  <w:sectPr>
          <w:headerReference w:type="default" r:id="rId41"/>
          <w:type w:val="continuous"/>
          <w:pgSz w:w="11910" w:h="16840"/>
          <w:pgMar w:top="400" w:right="670" w:bottom="0" w:left="655" w:header="0" w:footer="0" w:gutter="0"/>
          <w:pgNumType w:start="34"/>
          <w:cols w:num="1" w:space="708" w:equalWidth="0">
            <w:col w:w="10585" w:space="0"/>
          </w:cols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ectPr>
          <w:headerReference w:type="default" r:id="rId42"/>
          <w:type w:val="nextPage"/>
          <w:pgSz w:w="11910" w:h="16840"/>
          <w:pgMar w:top="400" w:right="670" w:bottom="0" w:left="655" w:header="0" w:footer="0" w:gutter="0"/>
          <w:pgNumType w:start="35"/>
          <w:cols w:num="1" w:space="708" w:equalWidth="0">
            <w:col w:w="10585" w:space="0"/>
          </w:cols>
          <w:titlePg w:val="0"/>
        </w:sectPr>
      </w:pPr>
    </w:p>
    <w:p>
      <w:pPr>
        <w:pStyle w:val="BodyText"/>
        <w:spacing w:before="144" w:line="222" w:lineRule="auto"/>
        <w:ind w:left="7"/>
        <w:rPr>
          <w:sz w:val="16"/>
          <w:szCs w:val="16"/>
        </w:rPr>
      </w:pPr>
      <w:r>
        <w:rPr>
          <w:b/>
          <w:bCs/>
          <w:color w:val="C30D19"/>
          <w:spacing w:val="1"/>
          <w:sz w:val="16"/>
          <w:szCs w:val="16"/>
        </w:rPr>
        <w:t>9</w:t>
      </w:r>
      <w:r>
        <w:rPr>
          <w:color w:val="C30D19"/>
          <w:spacing w:val="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|请务必仔细阅读报告尾部的投资评级说明和声明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9" w:line="185" w:lineRule="auto"/>
        <w:rPr>
          <w:rFonts w:ascii="STHupo" w:eastAsia="STHupo" w:hAnsi="STHupo" w:cs="STHupo"/>
          <w:sz w:val="32"/>
          <w:szCs w:val="32"/>
        </w:rPr>
      </w:pPr>
      <w:r>
        <w:rPr>
          <w:rFonts w:ascii="SimSun" w:eastAsia="SimSun" w:hAnsi="SimSun" w:cs="SimSun"/>
          <w:sz w:val="32"/>
          <w:szCs w:val="32"/>
        </w:rPr>
        <w:t>wes..</w:t>
      </w:r>
      <w:r>
        <w:rPr>
          <w:rFonts w:ascii="STHupo" w:eastAsia="STHupo" w:hAnsi="STHupo" w:cs="STHupo"/>
          <w:b/>
          <w:bCs/>
          <w:color w:val="FC0000"/>
          <w:sz w:val="32"/>
          <w:szCs w:val="32"/>
        </w:rPr>
        <w:t>西部证券</w:t>
      </w:r>
    </w:p>
    <w:p>
      <w:pPr>
        <w:spacing w:line="185" w:lineRule="auto"/>
        <w:rPr>
          <w:rFonts w:ascii="STHupo" w:eastAsia="STHupo" w:hAnsi="STHupo" w:cs="STHupo"/>
          <w:sz w:val="32"/>
          <w:szCs w:val="32"/>
        </w:rPr>
        <w:sectPr>
          <w:headerReference w:type="default" r:id="rId43"/>
          <w:type w:val="continuous"/>
          <w:pgSz w:w="11910" w:h="16840"/>
          <w:pgMar w:top="400" w:right="670" w:bottom="0" w:left="655" w:header="0" w:footer="0" w:gutter="0"/>
          <w:pgNumType w:start="36"/>
          <w:cols w:num="2" w:space="708" w:equalWidth="0">
            <w:col w:w="8345" w:space="100"/>
            <w:col w:w="2140" w:space="0"/>
          </w:cols>
        </w:sectPr>
      </w:pPr>
    </w:p>
    <w:p>
      <w:pPr>
        <w:spacing w:line="357" w:lineRule="auto"/>
        <w:rPr>
          <w:rFonts w:ascii="Arial"/>
          <w:sz w:val="21"/>
        </w:rPr>
      </w:pPr>
      <w:r>
        <w:pict>
          <v:rect id="_x0000_s1040" style="width:261pt;height:0.5pt;margin-top:384pt;margin-left:302pt;mso-position-horizontal-relative:page;mso-position-vertical-relative:page;position:absolute;z-index:251679744" o:allowincell="f" filled="t" fillcolor="black" stroked="f"/>
        </w:pict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412780</wp:posOffset>
            </wp:positionH>
            <wp:positionV relativeFrom="page">
              <wp:posOffset>4876811</wp:posOffset>
            </wp:positionV>
            <wp:extent cx="3314646" cy="63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1464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0" allowOverlap="1">
            <wp:simplePos x="0" y="0"/>
            <wp:positionH relativeFrom="page">
              <wp:posOffset>2019280</wp:posOffset>
            </wp:positionH>
            <wp:positionV relativeFrom="page">
              <wp:posOffset>5753049</wp:posOffset>
            </wp:positionV>
            <wp:extent cx="5041925" cy="2438415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1925" cy="243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5" w:line="243" w:lineRule="auto"/>
        <w:ind w:left="9147" w:right="47" w:firstLine="759"/>
        <w:rPr>
          <w:sz w:val="17"/>
          <w:szCs w:val="17"/>
        </w:rPr>
      </w:pPr>
      <w:r>
        <w:pict>
          <v:shape id="_x0000_s1041" type="#_x0000_t202" style="width:71.95pt;height:14.75pt;margin-top:9.29pt;margin-left:0.36pt;position:absolute;z-index:2516776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4" w:lineRule="auto"/>
                    <w:ind w:left="20"/>
                  </w:pPr>
                  <w:r>
                    <w:rPr>
                      <w:spacing w:val="23"/>
                    </w:rPr>
                    <w:t>策略专题报告</w:t>
                  </w:r>
                </w:p>
              </w:txbxContent>
            </v:textbox>
          </v:shape>
        </w:pict>
      </w:r>
      <w:r>
        <w:rPr>
          <w:spacing w:val="-5"/>
          <w:sz w:val="17"/>
          <w:szCs w:val="17"/>
        </w:rPr>
        <w:t>西部证券</w:t>
      </w:r>
      <w:r>
        <w:rPr>
          <w:spacing w:val="1"/>
          <w:sz w:val="17"/>
          <w:szCs w:val="17"/>
        </w:rPr>
        <w:t xml:space="preserve"> </w:t>
      </w:r>
      <w:r>
        <w:rPr>
          <w:spacing w:val="21"/>
          <w:sz w:val="17"/>
          <w:szCs w:val="17"/>
        </w:rPr>
        <w:t>2024年03月07日</w:t>
      </w:r>
    </w:p>
    <w:p>
      <w:pPr>
        <w:pStyle w:val="BodyText"/>
        <w:spacing w:before="231" w:line="226" w:lineRule="auto"/>
        <w:ind w:left="2430"/>
        <w:outlineLvl w:val="1"/>
      </w:pPr>
      <w:bookmarkStart w:id="13" w:name="bookmark24"/>
      <w:bookmarkEnd w:id="13"/>
      <w:bookmarkStart w:id="14" w:name="bookmark25"/>
      <w:bookmarkEnd w:id="14"/>
      <w:bookmarkStart w:id="15" w:name="bookmark26"/>
      <w:bookmarkEnd w:id="15"/>
      <w:bookmarkStart w:id="16" w:name="bookmark5"/>
      <w:bookmarkEnd w:id="16"/>
      <w:r>
        <w:rPr>
          <w:b/>
          <w:bCs/>
          <w:color w:val="C3000C"/>
          <w:spacing w:val="13"/>
        </w:rPr>
        <w:t>2</w:t>
      </w:r>
      <w:r>
        <w:rPr>
          <w:color w:val="C3000C"/>
          <w:spacing w:val="-56"/>
        </w:rPr>
        <w:t xml:space="preserve"> </w:t>
      </w:r>
      <w:r>
        <w:rPr>
          <w:b/>
          <w:bCs/>
          <w:color w:val="C3000C"/>
          <w:spacing w:val="13"/>
        </w:rPr>
        <w:t>.</w:t>
      </w:r>
      <w:r>
        <w:rPr>
          <w:color w:val="C3000C"/>
          <w:spacing w:val="-63"/>
        </w:rPr>
        <w:t xml:space="preserve"> </w:t>
      </w:r>
      <w:r>
        <w:rPr>
          <w:b/>
          <w:bCs/>
          <w:color w:val="C3000C"/>
          <w:spacing w:val="13"/>
        </w:rPr>
        <w:t>3北向资金</w:t>
      </w:r>
    </w:p>
    <w:p>
      <w:pPr>
        <w:pStyle w:val="BodyText"/>
        <w:spacing w:before="206" w:line="272" w:lineRule="auto"/>
        <w:ind w:left="2427" w:right="15" w:firstLine="3"/>
      </w:pPr>
      <w:r>
        <w:rPr>
          <w:b/>
          <w:bCs/>
          <w:spacing w:val="1"/>
        </w:rPr>
        <w:t>北向资金结束近6月净流出进程，银行、食品饮料等传统外资重仓行业流入居多。</w:t>
      </w:r>
      <w:r>
        <w:rPr>
          <w:spacing w:val="1"/>
        </w:rPr>
        <w:t>2月北</w:t>
      </w:r>
      <w:r>
        <w:rPr>
          <w:spacing w:val="5"/>
        </w:rPr>
        <w:t xml:space="preserve">  </w:t>
      </w:r>
      <w:r>
        <w:rPr>
          <w:spacing w:val="8"/>
        </w:rPr>
        <w:t>向资金大幅净流入607.44亿元，结束连续6月的净流出进程。从成交占比来看，2月外</w:t>
      </w:r>
      <w:r>
        <w:rPr>
          <w:spacing w:val="17"/>
        </w:rPr>
        <w:t xml:space="preserve"> </w:t>
      </w:r>
      <w:r>
        <w:rPr>
          <w:spacing w:val="11"/>
        </w:rPr>
        <w:t>资成交量仍然维持高位，陆股通成交额占市场成交</w:t>
      </w:r>
      <w:r>
        <w:rPr>
          <w:spacing w:val="10"/>
        </w:rPr>
        <w:t>占比达7.92%,创2021年2月以来新</w:t>
      </w:r>
      <w:r>
        <w:t xml:space="preserve"> </w:t>
      </w:r>
      <w:r>
        <w:rPr>
          <w:spacing w:val="-6"/>
        </w:rPr>
        <w:t>高。从行业口径来看，北向资金2月主要增持银行、食品饮料和电子等外资传统重仓行业，</w:t>
      </w:r>
      <w:r>
        <w:rPr>
          <w:spacing w:val="9"/>
        </w:rPr>
        <w:t xml:space="preserve">  </w:t>
      </w:r>
      <w:r>
        <w:rPr>
          <w:spacing w:val="2"/>
        </w:rPr>
        <w:t>而机械设备、医药生物和计算机等科技成长行业在2月遭北向资金减持。从个股层面看，</w:t>
      </w:r>
      <w:r>
        <w:rPr>
          <w:spacing w:val="10"/>
        </w:rPr>
        <w:t xml:space="preserve"> </w:t>
      </w:r>
      <w:r>
        <w:rPr>
          <w:spacing w:val="2"/>
        </w:rPr>
        <w:t>贵州茅台、中国平安和招商银行等外资重仓行业龙头在2月</w:t>
      </w:r>
      <w:r>
        <w:rPr>
          <w:spacing w:val="1"/>
        </w:rPr>
        <w:t>获增持最多。</w:t>
      </w:r>
    </w:p>
    <w:p>
      <w:pPr>
        <w:spacing w:before="44"/>
      </w:pPr>
    </w:p>
    <w:p>
      <w:pPr>
        <w:sectPr>
          <w:headerReference w:type="default" r:id="rId46"/>
          <w:pgSz w:w="11910" w:h="16840"/>
          <w:pgMar w:top="400" w:right="650" w:bottom="0" w:left="642" w:header="0" w:footer="0" w:gutter="0"/>
          <w:pgNumType w:start="37"/>
          <w:cols w:num="1" w:space="708" w:equalWidth="0">
            <w:col w:w="10618" w:space="0"/>
          </w:cols>
        </w:sectPr>
      </w:pPr>
    </w:p>
    <w:p>
      <w:pPr>
        <w:pStyle w:val="BodyText"/>
        <w:spacing w:before="35" w:line="226" w:lineRule="auto"/>
        <w:ind w:left="27"/>
        <w:rPr>
          <w:sz w:val="17"/>
          <w:szCs w:val="17"/>
        </w:rPr>
      </w:pPr>
      <w:r>
        <w:pict>
          <v:rect id="_x0000_s1042" style="width:258.4pt;height:0.45pt;margin-top:9.83pt;margin-left:0;position:absolute;z-index:251681792" filled="t" fillcolor="black" stroked="f"/>
        </w:pict>
      </w:r>
      <w:r>
        <w:rPr>
          <w:spacing w:val="-14"/>
          <w:sz w:val="17"/>
          <w:szCs w:val="17"/>
        </w:rPr>
        <w:t>图</w:t>
      </w:r>
      <w:r>
        <w:rPr>
          <w:spacing w:val="26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1</w:t>
      </w:r>
      <w:r>
        <w:rPr>
          <w:spacing w:val="14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1</w:t>
      </w:r>
      <w:r>
        <w:rPr>
          <w:spacing w:val="29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:</w:t>
      </w:r>
      <w:r>
        <w:rPr>
          <w:spacing w:val="-14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2</w:t>
      </w:r>
      <w:r>
        <w:rPr>
          <w:spacing w:val="14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月</w:t>
      </w:r>
      <w:r>
        <w:rPr>
          <w:spacing w:val="14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北</w:t>
      </w:r>
      <w:r>
        <w:rPr>
          <w:spacing w:val="20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向</w:t>
      </w:r>
      <w:r>
        <w:rPr>
          <w:spacing w:val="13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资</w:t>
      </w:r>
      <w:r>
        <w:rPr>
          <w:spacing w:val="-1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金</w:t>
      </w:r>
      <w:r>
        <w:rPr>
          <w:spacing w:val="4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转</w:t>
      </w:r>
      <w:r>
        <w:rPr>
          <w:spacing w:val="27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出</w:t>
      </w:r>
      <w:r>
        <w:rPr>
          <w:spacing w:val="13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为</w:t>
      </w:r>
      <w:r>
        <w:rPr>
          <w:spacing w:val="8"/>
          <w:sz w:val="17"/>
          <w:szCs w:val="17"/>
        </w:rPr>
        <w:t xml:space="preserve"> </w:t>
      </w:r>
      <w:r>
        <w:rPr>
          <w:spacing w:val="-14"/>
          <w:sz w:val="17"/>
          <w:szCs w:val="17"/>
        </w:rPr>
        <w:t>入</w:t>
      </w:r>
    </w:p>
    <w:p>
      <w:pPr>
        <w:spacing w:before="107" w:line="2870" w:lineRule="exact"/>
        <w:ind w:firstLine="67"/>
      </w:pPr>
      <w:r>
        <w:rPr>
          <w:position w:val="-57"/>
        </w:rPr>
        <w:drawing>
          <wp:inline distT="0" distB="0" distL="0" distR="0">
            <wp:extent cx="3219505" cy="1822476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19505" cy="182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" w:line="182" w:lineRule="auto"/>
        <w:ind w:left="457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2020-01  2020-10</w:t>
      </w:r>
      <w:r>
        <w:rPr>
          <w:rFonts w:ascii="SimSun" w:eastAsia="SimSun" w:hAnsi="SimSun" w:cs="SimSun"/>
          <w:spacing w:val="14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1"/>
          <w:sz w:val="17"/>
          <w:szCs w:val="17"/>
        </w:rPr>
        <w:t>2021-07</w:t>
      </w:r>
      <w:r>
        <w:rPr>
          <w:rFonts w:ascii="SimSun" w:eastAsia="SimSun" w:hAnsi="SimSun" w:cs="SimSun"/>
          <w:spacing w:val="16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1"/>
          <w:sz w:val="17"/>
          <w:szCs w:val="17"/>
        </w:rPr>
        <w:t>2022-04</w:t>
      </w:r>
      <w:r>
        <w:rPr>
          <w:rFonts w:ascii="SimSun" w:eastAsia="SimSun" w:hAnsi="SimSun" w:cs="SimSun"/>
          <w:spacing w:val="12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1"/>
          <w:sz w:val="17"/>
          <w:szCs w:val="17"/>
        </w:rPr>
        <w:t>2023-01</w:t>
      </w:r>
      <w:r>
        <w:rPr>
          <w:rFonts w:ascii="SimSun" w:eastAsia="SimSun" w:hAnsi="SimSun" w:cs="SimSun"/>
          <w:spacing w:val="17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1"/>
          <w:sz w:val="17"/>
          <w:szCs w:val="17"/>
        </w:rPr>
        <w:t>2023-10</w:t>
      </w:r>
    </w:p>
    <w:p>
      <w:pPr>
        <w:pStyle w:val="BodyText"/>
        <w:spacing w:before="243" w:line="192" w:lineRule="auto"/>
        <w:ind w:left="27"/>
        <w:rPr>
          <w:sz w:val="17"/>
          <w:szCs w:val="17"/>
        </w:rPr>
      </w:pPr>
      <w:r>
        <w:rPr>
          <w:spacing w:val="-18"/>
          <w:sz w:val="17"/>
          <w:szCs w:val="17"/>
        </w:rPr>
        <w:t>资料来源：</w:t>
      </w:r>
      <w:r>
        <w:rPr>
          <w:spacing w:val="-4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18"/>
          <w:sz w:val="17"/>
          <w:szCs w:val="17"/>
        </w:rPr>
        <w:t>Wind,</w:t>
      </w:r>
      <w:r>
        <w:rPr>
          <w:rFonts w:ascii="Arial" w:eastAsia="Arial" w:hAnsi="Arial" w:cs="Arial"/>
          <w:spacing w:val="21"/>
          <w:w w:val="101"/>
          <w:sz w:val="17"/>
          <w:szCs w:val="17"/>
        </w:rPr>
        <w:t xml:space="preserve"> </w:t>
      </w:r>
      <w:r>
        <w:rPr>
          <w:spacing w:val="-18"/>
          <w:sz w:val="17"/>
          <w:szCs w:val="17"/>
        </w:rPr>
        <w:t>西部证券研发中心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5" w:line="227" w:lineRule="auto"/>
        <w:ind w:left="40"/>
        <w:rPr>
          <w:sz w:val="17"/>
          <w:szCs w:val="17"/>
        </w:rPr>
      </w:pPr>
      <w:r>
        <w:pict>
          <v:rect id="_x0000_s1043" style="width:258.9pt;height:0.45pt;margin-top:9.84pt;margin-left:0.64pt;position:absolute;z-index:251680768" filled="t" fillcolor="black" stroked="f"/>
        </w:pict>
      </w:r>
      <w:r>
        <w:rPr>
          <w:spacing w:val="-13"/>
          <w:sz w:val="17"/>
          <w:szCs w:val="17"/>
        </w:rPr>
        <w:t>图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1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2</w:t>
      </w:r>
      <w:r>
        <w:rPr>
          <w:spacing w:val="28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: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北</w:t>
      </w:r>
      <w:r>
        <w:rPr>
          <w:spacing w:val="7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向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交</w:t>
      </w:r>
      <w:r>
        <w:rPr>
          <w:spacing w:val="4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易</w:t>
      </w:r>
      <w:r>
        <w:rPr>
          <w:spacing w:val="16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占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成</w:t>
      </w:r>
      <w:r>
        <w:rPr>
          <w:spacing w:val="-2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交</w:t>
      </w:r>
      <w:r>
        <w:rPr>
          <w:spacing w:val="8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比</w:t>
      </w:r>
      <w:r>
        <w:rPr>
          <w:spacing w:val="-2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重</w:t>
      </w:r>
      <w:r>
        <w:rPr>
          <w:spacing w:val="-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维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持</w:t>
      </w:r>
      <w:r>
        <w:rPr>
          <w:spacing w:val="8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高</w:t>
      </w:r>
      <w:r>
        <w:rPr>
          <w:spacing w:val="-13"/>
          <w:sz w:val="17"/>
          <w:szCs w:val="17"/>
        </w:rPr>
        <w:t xml:space="preserve"> </w:t>
      </w:r>
      <w:r>
        <w:rPr>
          <w:spacing w:val="-13"/>
          <w:sz w:val="17"/>
          <w:szCs w:val="17"/>
        </w:rPr>
        <w:t>位</w:t>
      </w:r>
    </w:p>
    <w:p>
      <w:pPr>
        <w:spacing w:before="164" w:line="2860" w:lineRule="exact"/>
        <w:ind w:firstLine="40"/>
      </w:pPr>
      <w:r>
        <w:rPr>
          <w:position w:val="-57"/>
        </w:rPr>
        <w:drawing>
          <wp:inline distT="0" distB="0" distL="0" distR="0">
            <wp:extent cx="3187665" cy="1816167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87665" cy="181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3" w:lineRule="auto"/>
        <w:rPr>
          <w:rFonts w:ascii="Arial"/>
          <w:sz w:val="21"/>
        </w:rPr>
      </w:pPr>
    </w:p>
    <w:p>
      <w:pPr>
        <w:pStyle w:val="BodyText"/>
        <w:spacing w:before="56" w:line="192" w:lineRule="auto"/>
        <w:ind w:left="30"/>
        <w:rPr>
          <w:sz w:val="17"/>
          <w:szCs w:val="17"/>
        </w:rPr>
      </w:pPr>
      <w:r>
        <w:rPr>
          <w:spacing w:val="-15"/>
          <w:sz w:val="17"/>
          <w:szCs w:val="17"/>
        </w:rPr>
        <w:t>资料来源：</w:t>
      </w:r>
      <w:r>
        <w:rPr>
          <w:rFonts w:ascii="Arial" w:eastAsia="Arial" w:hAnsi="Arial" w:cs="Arial"/>
          <w:spacing w:val="-15"/>
          <w:sz w:val="17"/>
          <w:szCs w:val="17"/>
        </w:rPr>
        <w:t>Wind,</w:t>
      </w:r>
      <w:r>
        <w:rPr>
          <w:rFonts w:ascii="Arial" w:eastAsia="Arial" w:hAnsi="Arial" w:cs="Arial"/>
          <w:spacing w:val="30"/>
          <w:sz w:val="17"/>
          <w:szCs w:val="17"/>
        </w:rPr>
        <w:t xml:space="preserve"> </w:t>
      </w:r>
      <w:r>
        <w:rPr>
          <w:spacing w:val="-15"/>
          <w:sz w:val="17"/>
          <w:szCs w:val="17"/>
        </w:rPr>
        <w:t>西部证券研发中心</w:t>
      </w:r>
    </w:p>
    <w:p>
      <w:pPr>
        <w:spacing w:line="192" w:lineRule="auto"/>
        <w:rPr>
          <w:sz w:val="17"/>
          <w:szCs w:val="17"/>
        </w:rPr>
        <w:sectPr>
          <w:headerReference w:type="default" r:id="rId49"/>
          <w:type w:val="continuous"/>
          <w:pgSz w:w="11910" w:h="16840"/>
          <w:pgMar w:top="400" w:right="650" w:bottom="0" w:left="642" w:header="0" w:footer="0" w:gutter="0"/>
          <w:pgNumType w:start="38"/>
          <w:cols w:num="2" w:space="708" w:equalWidth="0">
            <w:col w:w="5298" w:space="100"/>
            <w:col w:w="5220" w:space="0"/>
          </w:cols>
        </w:sectPr>
      </w:pP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pStyle w:val="BodyText"/>
        <w:spacing w:before="55" w:line="184" w:lineRule="auto"/>
        <w:ind w:left="2427"/>
        <w:rPr>
          <w:sz w:val="17"/>
          <w:szCs w:val="17"/>
        </w:rPr>
      </w:pPr>
      <w:r>
        <w:rPr>
          <w:spacing w:val="-10"/>
          <w:sz w:val="17"/>
          <w:szCs w:val="17"/>
        </w:rPr>
        <w:t>图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1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3</w:t>
      </w:r>
      <w:r>
        <w:rPr>
          <w:spacing w:val="12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: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2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月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各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申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万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行</w:t>
      </w:r>
      <w:r>
        <w:rPr>
          <w:spacing w:val="-10"/>
          <w:sz w:val="17"/>
          <w:szCs w:val="17"/>
        </w:rPr>
        <w:t xml:space="preserve"> </w:t>
      </w:r>
      <w:r>
        <w:rPr>
          <w:spacing w:val="-10"/>
          <w:sz w:val="17"/>
          <w:szCs w:val="17"/>
        </w:rPr>
        <w:t>业</w:t>
      </w:r>
      <w:r>
        <w:rPr>
          <w:spacing w:val="-10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北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向</w:t>
      </w:r>
      <w:r>
        <w:rPr>
          <w:spacing w:val="-3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净</w:t>
      </w:r>
      <w:r>
        <w:rPr>
          <w:spacing w:val="-4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流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入</w:t>
      </w:r>
      <w:r>
        <w:rPr>
          <w:spacing w:val="-2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情</w:t>
      </w:r>
      <w:r>
        <w:rPr>
          <w:spacing w:val="-2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况</w:t>
      </w:r>
      <w:r>
        <w:rPr>
          <w:spacing w:val="22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(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采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用</w:t>
      </w:r>
      <w:r>
        <w:rPr>
          <w:spacing w:val="-2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月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均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价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估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算</w:t>
      </w:r>
      <w:r>
        <w:rPr>
          <w:spacing w:val="-11"/>
          <w:sz w:val="17"/>
          <w:szCs w:val="17"/>
        </w:rPr>
        <w:t xml:space="preserve"> </w:t>
      </w:r>
      <w:r>
        <w:rPr>
          <w:spacing w:val="-11"/>
          <w:sz w:val="17"/>
          <w:szCs w:val="17"/>
        </w:rPr>
        <w:t>)</w:t>
      </w:r>
    </w:p>
    <w:p>
      <w:pPr>
        <w:spacing w:line="4295" w:lineRule="exact"/>
        <w:ind w:firstLine="2399"/>
      </w:pPr>
      <w:r>
        <w:rPr>
          <w:position w:val="-85"/>
        </w:rPr>
        <w:pict>
          <v:group id="_x0000_i1044" style="width:410.9pt;height:214.8pt;mso-position-horizontal-relative:char;mso-position-vertical-relative:line" coordorigin="0,0" coordsize="8217,4296" filled="f" stroked="f">
            <v:rect id="_x0000_s1045" style="width:8200;height:10;left:17;position:absolute;top:4285" filled="t" fillcolor="black" stroked="f"/>
            <v:rect id="_x0000_s1046" style="width:8147;height:8;position:absolute;top:-7" filled="t" fillcolor="black" stroked="f"/>
            <w10:wrap type="none"/>
          </v:group>
        </w:pict>
      </w:r>
    </w:p>
    <w:p>
      <w:pPr>
        <w:pStyle w:val="BodyText"/>
        <w:spacing w:before="72" w:line="224" w:lineRule="auto"/>
        <w:ind w:left="2427"/>
        <w:rPr>
          <w:sz w:val="17"/>
          <w:szCs w:val="17"/>
        </w:rPr>
      </w:pPr>
      <w:r>
        <w:rPr>
          <w:spacing w:val="-17"/>
          <w:sz w:val="17"/>
          <w:szCs w:val="17"/>
        </w:rPr>
        <w:t>资料来源：</w:t>
      </w:r>
      <w:r>
        <w:rPr>
          <w:spacing w:val="-39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7"/>
          <w:sz w:val="17"/>
          <w:szCs w:val="17"/>
        </w:rPr>
        <w:t>Wind,</w:t>
      </w:r>
      <w:r>
        <w:rPr>
          <w:rFonts w:ascii="SimSun" w:eastAsia="SimSun" w:hAnsi="SimSun" w:cs="SimSun"/>
          <w:spacing w:val="-17"/>
          <w:sz w:val="17"/>
          <w:szCs w:val="17"/>
        </w:rPr>
        <w:t xml:space="preserve"> </w:t>
      </w:r>
      <w:r>
        <w:rPr>
          <w:spacing w:val="-17"/>
          <w:sz w:val="17"/>
          <w:szCs w:val="17"/>
        </w:rPr>
        <w:t>西部证券研发中心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https://d.book118.com/537124003132006050</w:t>
        </w:r>
      </w:hyperlink>
    </w:p>
    <w:p>
      <w:pPr>
        <w:spacing w:line="241" w:lineRule="auto"/>
        <w:rPr>
          <w:rFonts w:ascii="Arial"/>
          <w:sz w:val="21"/>
        </w:rPr>
      </w:pPr>
    </w:p>
    <w:sectPr>
      <w:headerReference w:type="default" r:id="rId51"/>
      <w:type w:val="continuous"/>
      <w:pgSz w:w="11910" w:h="16840"/>
      <w:pgMar w:top="400" w:right="650" w:bottom="0" w:left="642" w:header="0" w:footer="0" w:gutter="0"/>
      <w:pgNumType w:start="39"/>
      <w:cols w:num="1" w:space="708" w:equalWidth="0">
        <w:col w:w="1061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header" Target="header1.xml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header" Target="header2.xml" /><Relationship Id="rId16" Type="http://schemas.openxmlformats.org/officeDocument/2006/relationships/header" Target="header3.xml" /><Relationship Id="rId17" Type="http://schemas.openxmlformats.org/officeDocument/2006/relationships/image" Target="media/image11.png" /><Relationship Id="rId18" Type="http://schemas.openxmlformats.org/officeDocument/2006/relationships/header" Target="header4.xml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image" Target="media/image13.jpeg" /><Relationship Id="rId22" Type="http://schemas.openxmlformats.org/officeDocument/2006/relationships/header" Target="header6.xml" /><Relationship Id="rId23" Type="http://schemas.openxmlformats.org/officeDocument/2006/relationships/header" Target="header7.xml" /><Relationship Id="rId24" Type="http://schemas.openxmlformats.org/officeDocument/2006/relationships/image" Target="media/image14.jpeg" /><Relationship Id="rId25" Type="http://schemas.openxmlformats.org/officeDocument/2006/relationships/image" Target="media/image15.jpeg" /><Relationship Id="rId26" Type="http://schemas.openxmlformats.org/officeDocument/2006/relationships/header" Target="header8.xml" /><Relationship Id="rId27" Type="http://schemas.openxmlformats.org/officeDocument/2006/relationships/header" Target="header9.xml" /><Relationship Id="rId28" Type="http://schemas.openxmlformats.org/officeDocument/2006/relationships/image" Target="media/image16.png" /><Relationship Id="rId29" Type="http://schemas.openxmlformats.org/officeDocument/2006/relationships/image" Target="media/image17.png" /><Relationship Id="rId3" Type="http://schemas.openxmlformats.org/officeDocument/2006/relationships/fontTable" Target="fontTable.xml" /><Relationship Id="rId30" Type="http://schemas.openxmlformats.org/officeDocument/2006/relationships/header" Target="header10.xml" /><Relationship Id="rId31" Type="http://schemas.openxmlformats.org/officeDocument/2006/relationships/header" Target="header11.xml" /><Relationship Id="rId32" Type="http://schemas.openxmlformats.org/officeDocument/2006/relationships/image" Target="media/image18.jpeg" /><Relationship Id="rId33" Type="http://schemas.openxmlformats.org/officeDocument/2006/relationships/image" Target="media/image19.jpeg" /><Relationship Id="rId34" Type="http://schemas.openxmlformats.org/officeDocument/2006/relationships/header" Target="header12.xml" /><Relationship Id="rId35" Type="http://schemas.openxmlformats.org/officeDocument/2006/relationships/header" Target="header13.xml" /><Relationship Id="rId36" Type="http://schemas.openxmlformats.org/officeDocument/2006/relationships/header" Target="header14.xml" /><Relationship Id="rId37" Type="http://schemas.openxmlformats.org/officeDocument/2006/relationships/image" Target="media/image20.png" /><Relationship Id="rId38" Type="http://schemas.openxmlformats.org/officeDocument/2006/relationships/header" Target="header15.xml" /><Relationship Id="rId39" Type="http://schemas.openxmlformats.org/officeDocument/2006/relationships/header" Target="header16.xml" /><Relationship Id="rId4" Type="http://schemas.openxmlformats.org/officeDocument/2006/relationships/image" Target="media/image1.jpeg" /><Relationship Id="rId40" Type="http://schemas.openxmlformats.org/officeDocument/2006/relationships/image" Target="media/image21.jpeg" /><Relationship Id="rId41" Type="http://schemas.openxmlformats.org/officeDocument/2006/relationships/header" Target="header17.xml" /><Relationship Id="rId42" Type="http://schemas.openxmlformats.org/officeDocument/2006/relationships/header" Target="header18.xml" /><Relationship Id="rId43" Type="http://schemas.openxmlformats.org/officeDocument/2006/relationships/header" Target="header19.xml" /><Relationship Id="rId44" Type="http://schemas.openxmlformats.org/officeDocument/2006/relationships/image" Target="media/image22.jpeg" /><Relationship Id="rId45" Type="http://schemas.openxmlformats.org/officeDocument/2006/relationships/image" Target="media/image23.jpeg" /><Relationship Id="rId46" Type="http://schemas.openxmlformats.org/officeDocument/2006/relationships/header" Target="header20.xml" /><Relationship Id="rId47" Type="http://schemas.openxmlformats.org/officeDocument/2006/relationships/image" Target="media/image24.jpeg" /><Relationship Id="rId48" Type="http://schemas.openxmlformats.org/officeDocument/2006/relationships/image" Target="media/image25.jpeg" /><Relationship Id="rId49" Type="http://schemas.openxmlformats.org/officeDocument/2006/relationships/header" Target="header21.xml" /><Relationship Id="rId5" Type="http://schemas.openxmlformats.org/officeDocument/2006/relationships/image" Target="media/image2.jpeg" /><Relationship Id="rId50" Type="http://schemas.openxmlformats.org/officeDocument/2006/relationships/hyperlink" Target="https://d.book118.com/537124003132006050" TargetMode="External" /><Relationship Id="rId51" Type="http://schemas.openxmlformats.org/officeDocument/2006/relationships/header" Target="header22.xml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2024-03-08T22:55:31Z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2024-03-08T22:55:36Z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65eb26ddec2aea001fd3068awl</vt:lpwstr>
  </property>
</Properties>
</file>