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ascii="幼圆" w:eastAsia="幼圆" w:hAnsi="幼圆" w:cs="幼圆" w:hint="eastAsia"/>
          <w:b/>
          <w:bCs/>
          <w:kern w:val="2"/>
          <w:sz w:val="24"/>
          <w:szCs w:val="28"/>
          <w:lang w:val="en-US" w:eastAsia="zh-CN" w:bidi="ar-SA"/>
        </w:rPr>
        <w:id w:val="147468230"/>
        <w:docPartObj>
          <w:docPartGallery w:val="Table of Contents"/>
          <w:docPartUnique/>
        </w:docPartObj>
        <w15:color w:val="DBDBDB"/>
      </w:sdtPr>
      <w:sdtEndPr>
        <w:rPr>
          <w:rFonts w:ascii="幼圆" w:eastAsia="幼圆" w:hAnsi="幼圆" w:cs="幼圆" w:hint="eastAsia"/>
          <w:b/>
          <w:kern w:val="2"/>
          <w:sz w:val="28"/>
          <w:szCs w:val="22"/>
          <w:lang w:val="en-US" w:eastAsia="zh-CN" w:bidi="ar-SA"/>
        </w:rPr>
      </w:sdtEndPr>
      <w:sdtContent>
        <w:p>
          <w:pPr>
            <w:spacing w:before="0" w:beforeLines="0" w:after="0" w:afterLines="0" w:line="240" w:lineRule="auto"/>
            <w:ind w:left="0" w:right="0" w:firstLine="0" w:leftChars="0" w:rightChars="0" w:firstLineChars="0"/>
            <w:jc w:val="center"/>
            <w:rPr>
              <w:rFonts w:ascii="幼圆" w:eastAsia="幼圆" w:hAnsi="幼圆" w:cs="幼圆" w:hint="eastAsia"/>
              <w:b/>
              <w:bCs/>
              <w:sz w:val="32"/>
              <w:szCs w:val="28"/>
            </w:rPr>
          </w:pPr>
          <w:bookmarkStart w:id="0" w:name="_Toc69052094"/>
          <w:bookmarkStart w:id="1" w:name="_GoBack"/>
          <w:r>
            <w:rPr>
              <w:rFonts w:ascii="幼圆" w:eastAsia="幼圆" w:hAnsi="幼圆" w:cs="幼圆" w:hint="eastAsia"/>
              <w:b/>
              <w:bCs/>
              <w:kern w:val="2"/>
              <w:sz w:val="24"/>
              <w:szCs w:val="28"/>
              <w:lang w:val="en-US" w:eastAsia="zh-CN" w:bidi="ar-SA"/>
            </w:rPr>
            <w:t>近两年株洲市中考数学试卷与课程标准的一致性实证分析</w:t>
          </w:r>
        </w:p>
        <w:bookmarkEnd w:id="1"/>
        <w:p>
          <w:pPr>
            <w:pStyle w:val="WPSOffice1"/>
            <w:tabs>
              <w:tab w:val="right" w:leader="dot" w:pos="8312"/>
            </w:tabs>
            <w:rPr>
              <w:rFonts w:ascii="幼圆" w:eastAsia="幼圆" w:hAnsi="幼圆" w:cs="幼圆" w:hint="eastAsia"/>
              <w:b/>
            </w:rPr>
          </w:pPr>
          <w:r>
            <w:rPr>
              <w:rFonts w:ascii="幼圆" w:eastAsia="幼圆" w:hAnsi="幼圆" w:cs="幼圆" w:hint="eastAsia"/>
            </w:rPr>
            <w:fldChar w:fldCharType="begin"/>
          </w:r>
          <w:r>
            <w:rPr>
              <w:rFonts w:ascii="幼圆" w:eastAsia="幼圆" w:hAnsi="幼圆" w:cs="幼圆" w:hint="eastAsia"/>
            </w:rPr>
            <w:instrText xml:space="preserve">TOC \o "1-2" \h \u </w:instrText>
          </w:r>
          <w:r>
            <w:rPr>
              <w:rFonts w:ascii="幼圆" w:eastAsia="幼圆" w:hAnsi="幼圆" w:cs="幼圆" w:hint="eastAsia"/>
            </w:rPr>
            <w:fldChar w:fldCharType="separate"/>
          </w:r>
          <w:r>
            <w:rPr>
              <w:rFonts w:ascii="幼圆" w:eastAsia="幼圆" w:hAnsi="幼圆" w:cs="幼圆" w:hint="eastAsia"/>
              <w:b/>
            </w:rPr>
            <w:fldChar w:fldCharType="begin"/>
          </w:r>
          <w:r>
            <w:rPr>
              <w:rFonts w:ascii="幼圆" w:eastAsia="幼圆" w:hAnsi="幼圆" w:cs="幼圆" w:hint="eastAsia"/>
              <w:b/>
            </w:rPr>
            <w:instrText xml:space="preserve"> HYPERLINK \l _Toc29691 </w:instrText>
          </w:r>
          <w:r>
            <w:rPr>
              <w:rFonts w:ascii="幼圆" w:eastAsia="幼圆" w:hAnsi="幼圆" w:cs="幼圆" w:hint="eastAsia"/>
              <w:b/>
            </w:rPr>
            <w:fldChar w:fldCharType="separate"/>
          </w:r>
          <w:r>
            <w:rPr>
              <w:rFonts w:ascii="幼圆" w:eastAsia="幼圆" w:hAnsi="幼圆" w:cs="幼圆" w:hint="eastAsia"/>
              <w:b/>
            </w:rPr>
            <w:t>绪 论</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_Toc29691 \h </w:instrText>
          </w:r>
          <w:r>
            <w:rPr>
              <w:rFonts w:ascii="幼圆" w:eastAsia="幼圆" w:hAnsi="幼圆" w:cs="幼圆" w:hint="eastAsia"/>
              <w:b/>
            </w:rPr>
            <w:fldChar w:fldCharType="separate"/>
          </w:r>
          <w:r>
            <w:rPr>
              <w:rFonts w:ascii="幼圆" w:eastAsia="幼圆" w:hAnsi="幼圆" w:cs="幼圆" w:hint="eastAsia"/>
              <w:b/>
            </w:rPr>
            <w:t>1</w:t>
          </w:r>
          <w:r>
            <w:rPr>
              <w:rFonts w:ascii="幼圆" w:eastAsia="幼圆" w:hAnsi="幼圆" w:cs="幼圆" w:hint="eastAsia"/>
              <w:b/>
            </w:rPr>
            <w:fldChar w:fldCharType="end"/>
          </w:r>
          <w:r>
            <w:rPr>
              <w:rFonts w:ascii="幼圆" w:eastAsia="幼圆" w:hAnsi="幼圆" w:cs="幼圆" w:hint="eastAsia"/>
              <w:b/>
            </w:rPr>
            <w:fldChar w:fldCharType="end"/>
          </w:r>
        </w:p>
        <w:p>
          <w:pPr>
            <w:pStyle w:val="WPSOffice1"/>
            <w:tabs>
              <w:tab w:val="right" w:leader="dot" w:pos="8312"/>
            </w:tabs>
            <w:rPr>
              <w:rFonts w:ascii="幼圆" w:eastAsia="幼圆" w:hAnsi="幼圆" w:cs="幼圆" w:hint="eastAsia"/>
              <w:b/>
            </w:rPr>
          </w:pPr>
          <w:hyperlink w:anchor="_Toc9364" w:history="1">
            <w:r>
              <w:rPr>
                <w:rFonts w:ascii="幼圆" w:eastAsia="幼圆" w:hAnsi="幼圆" w:cs="幼圆" w:hint="eastAsia"/>
                <w:b/>
                <w:spacing w:val="5"/>
                <w:kern w:val="0"/>
                <w:szCs w:val="24"/>
              </w:rPr>
              <w:t>1.文献研究法</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_Toc9364 \h </w:instrText>
            </w:r>
            <w:r>
              <w:rPr>
                <w:rFonts w:ascii="幼圆" w:eastAsia="幼圆" w:hAnsi="幼圆" w:cs="幼圆" w:hint="eastAsia"/>
                <w:b/>
              </w:rPr>
              <w:fldChar w:fldCharType="separate"/>
            </w:r>
            <w:r>
              <w:rPr>
                <w:rFonts w:ascii="幼圆" w:eastAsia="幼圆" w:hAnsi="幼圆" w:cs="幼圆" w:hint="eastAsia"/>
                <w:b/>
              </w:rPr>
              <w:t>3</w:t>
            </w:r>
            <w:r>
              <w:rPr>
                <w:rFonts w:ascii="幼圆" w:eastAsia="幼圆" w:hAnsi="幼圆" w:cs="幼圆" w:hint="eastAsia"/>
                <w:b/>
              </w:rPr>
              <w:fldChar w:fldCharType="end"/>
            </w:r>
          </w:hyperlink>
        </w:p>
        <w:p>
          <w:pPr>
            <w:pStyle w:val="WPSOffice1"/>
            <w:tabs>
              <w:tab w:val="right" w:leader="dot" w:pos="8312"/>
            </w:tabs>
            <w:rPr>
              <w:rFonts w:ascii="幼圆" w:eastAsia="幼圆" w:hAnsi="幼圆" w:cs="幼圆" w:hint="eastAsia"/>
              <w:b/>
            </w:rPr>
          </w:pPr>
          <w:hyperlink w:anchor="_Toc26914" w:history="1">
            <w:r>
              <w:rPr>
                <w:rFonts w:ascii="幼圆" w:eastAsia="幼圆" w:hAnsi="幼圆" w:cs="幼圆" w:hint="eastAsia"/>
                <w:b/>
                <w:spacing w:val="5"/>
                <w:kern w:val="0"/>
                <w:szCs w:val="24"/>
              </w:rPr>
              <w:t>2.统计分析法</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_Toc26914 \h </w:instrText>
            </w:r>
            <w:r>
              <w:rPr>
                <w:rFonts w:ascii="幼圆" w:eastAsia="幼圆" w:hAnsi="幼圆" w:cs="幼圆" w:hint="eastAsia"/>
                <w:b/>
              </w:rPr>
              <w:fldChar w:fldCharType="separate"/>
            </w:r>
            <w:r>
              <w:rPr>
                <w:rFonts w:ascii="幼圆" w:eastAsia="幼圆" w:hAnsi="幼圆" w:cs="幼圆" w:hint="eastAsia"/>
                <w:b/>
              </w:rPr>
              <w:t>3</w:t>
            </w:r>
            <w:r>
              <w:rPr>
                <w:rFonts w:ascii="幼圆" w:eastAsia="幼圆" w:hAnsi="幼圆" w:cs="幼圆" w:hint="eastAsia"/>
                <w:b/>
              </w:rPr>
              <w:fldChar w:fldCharType="end"/>
            </w:r>
          </w:hyperlink>
        </w:p>
        <w:p>
          <w:pPr>
            <w:pStyle w:val="WPSOffice1"/>
            <w:tabs>
              <w:tab w:val="right" w:leader="dot" w:pos="8312"/>
            </w:tabs>
            <w:rPr>
              <w:rFonts w:ascii="幼圆" w:eastAsia="幼圆" w:hAnsi="幼圆" w:cs="幼圆" w:hint="eastAsia"/>
              <w:b/>
            </w:rPr>
          </w:pPr>
          <w:hyperlink w:anchor="_Toc7451" w:history="1">
            <w:r>
              <w:rPr>
                <w:rFonts w:ascii="幼圆" w:eastAsia="幼圆" w:hAnsi="幼圆" w:cs="幼圆" w:hint="eastAsia"/>
                <w:b/>
                <w:spacing w:val="5"/>
                <w:kern w:val="0"/>
                <w:szCs w:val="24"/>
              </w:rPr>
              <w:t>3.比较研究法</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_Toc7451 \h </w:instrText>
            </w:r>
            <w:r>
              <w:rPr>
                <w:rFonts w:ascii="幼圆" w:eastAsia="幼圆" w:hAnsi="幼圆" w:cs="幼圆" w:hint="eastAsia"/>
                <w:b/>
              </w:rPr>
              <w:fldChar w:fldCharType="separate"/>
            </w:r>
            <w:r>
              <w:rPr>
                <w:rFonts w:ascii="幼圆" w:eastAsia="幼圆" w:hAnsi="幼圆" w:cs="幼圆" w:hint="eastAsia"/>
                <w:b/>
              </w:rPr>
              <w:t>3</w:t>
            </w:r>
            <w:r>
              <w:rPr>
                <w:rFonts w:ascii="幼圆" w:eastAsia="幼圆" w:hAnsi="幼圆" w:cs="幼圆" w:hint="eastAsia"/>
                <w:b/>
              </w:rPr>
              <w:fldChar w:fldCharType="end"/>
            </w:r>
          </w:hyperlink>
        </w:p>
        <w:p>
          <w:pPr>
            <w:pStyle w:val="WPSOffice1"/>
            <w:tabs>
              <w:tab w:val="right" w:leader="dot" w:pos="8312"/>
            </w:tabs>
            <w:rPr>
              <w:rFonts w:ascii="幼圆" w:eastAsia="幼圆" w:hAnsi="幼圆" w:cs="幼圆" w:hint="eastAsia"/>
              <w:b/>
            </w:rPr>
          </w:pPr>
          <w:hyperlink w:anchor="_Toc11829" w:history="1">
            <w:r>
              <w:rPr>
                <w:rFonts w:ascii="幼圆" w:eastAsia="幼圆" w:hAnsi="幼圆" w:cs="幼圆" w:hint="eastAsia"/>
                <w:b/>
              </w:rPr>
              <w:t>1.一致性研究设计</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_Toc11829 \h </w:instrText>
            </w:r>
            <w:r>
              <w:rPr>
                <w:rFonts w:ascii="幼圆" w:eastAsia="幼圆" w:hAnsi="幼圆" w:cs="幼圆" w:hint="eastAsia"/>
                <w:b/>
              </w:rPr>
              <w:fldChar w:fldCharType="separate"/>
            </w:r>
            <w:r>
              <w:rPr>
                <w:rFonts w:ascii="幼圆" w:eastAsia="幼圆" w:hAnsi="幼圆" w:cs="幼圆" w:hint="eastAsia"/>
                <w:b/>
              </w:rPr>
              <w:t>4</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7689" w:history="1">
            <w:r>
              <w:rPr>
                <w:rFonts w:ascii="幼圆" w:eastAsia="幼圆" w:hAnsi="幼圆" w:cs="幼圆" w:hint="eastAsia"/>
              </w:rPr>
              <w:t>1.1研究工具介绍</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_Toc7689 \h </w:instrText>
            </w:r>
            <w:r>
              <w:rPr>
                <w:rFonts w:ascii="幼圆" w:eastAsia="幼圆" w:hAnsi="幼圆" w:cs="幼圆" w:hint="eastAsia"/>
              </w:rPr>
              <w:fldChar w:fldCharType="separate"/>
            </w:r>
            <w:r>
              <w:rPr>
                <w:rFonts w:ascii="幼圆" w:eastAsia="幼圆" w:hAnsi="幼圆" w:cs="幼圆" w:hint="eastAsia"/>
              </w:rPr>
              <w:t>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9879" w:history="1">
            <w:r>
              <w:rPr>
                <w:rFonts w:ascii="幼圆" w:eastAsia="幼圆" w:hAnsi="幼圆" w:cs="幼圆" w:hint="eastAsia"/>
              </w:rPr>
              <w:t>1.2编码设计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_Toc9879 \h </w:instrText>
            </w:r>
            <w:r>
              <w:rPr>
                <w:rFonts w:ascii="幼圆" w:eastAsia="幼圆" w:hAnsi="幼圆" w:cs="幼圆" w:hint="eastAsia"/>
              </w:rPr>
              <w:fldChar w:fldCharType="separate"/>
            </w:r>
            <w:r>
              <w:rPr>
                <w:rFonts w:ascii="幼圆" w:eastAsia="幼圆" w:hAnsi="幼圆" w:cs="幼圆" w:hint="eastAsia"/>
              </w:rPr>
              <w:t>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23" w:history="1">
            <w:r>
              <w:rPr>
                <w:rFonts w:ascii="幼圆" w:eastAsia="幼圆" w:hAnsi="幼圆" w:cs="幼圆" w:hint="eastAsia"/>
              </w:rPr>
              <w:t>1.3试题分值统计设计</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_Toc123 \h </w:instrText>
            </w:r>
            <w:r>
              <w:rPr>
                <w:rFonts w:ascii="幼圆" w:eastAsia="幼圆" w:hAnsi="幼圆" w:cs="幼圆" w:hint="eastAsia"/>
              </w:rPr>
              <w:fldChar w:fldCharType="separate"/>
            </w:r>
            <w:r>
              <w:rPr>
                <w:rFonts w:ascii="幼圆" w:eastAsia="幼圆" w:hAnsi="幼圆" w:cs="幼圆" w:hint="eastAsia"/>
              </w:rPr>
              <w:t>10</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25876" w:history="1">
            <w:r>
              <w:rPr>
                <w:rFonts w:ascii="幼圆" w:eastAsia="幼圆" w:hAnsi="幼圆" w:cs="幼圆" w:hint="eastAsia"/>
                <w:b/>
              </w:rPr>
              <w:t>2.</w:t>
            </w:r>
            <w:r>
              <w:rPr>
                <w:rFonts w:ascii="幼圆" w:eastAsia="幼圆" w:hAnsi="幼圆" w:cs="幼圆" w:hint="eastAsia"/>
                <w:b/>
                <w:lang w:eastAsia="zh-CN"/>
              </w:rPr>
              <w:t>株洲</w:t>
            </w:r>
            <w:r>
              <w:rPr>
                <w:rFonts w:ascii="幼圆" w:eastAsia="幼圆" w:hAnsi="幼圆" w:cs="幼圆" w:hint="eastAsia"/>
                <w:b/>
              </w:rPr>
              <w:t>市2019年中考数学试卷与课程标准一致性分析</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_Toc25876 \h </w:instrText>
            </w:r>
            <w:r>
              <w:rPr>
                <w:rFonts w:ascii="幼圆" w:eastAsia="幼圆" w:hAnsi="幼圆" w:cs="幼圆" w:hint="eastAsia"/>
                <w:b/>
              </w:rPr>
              <w:fldChar w:fldCharType="separate"/>
            </w:r>
            <w:r>
              <w:rPr>
                <w:rFonts w:ascii="幼圆" w:eastAsia="幼圆" w:hAnsi="幼圆" w:cs="幼圆" w:hint="eastAsia"/>
                <w:b/>
              </w:rPr>
              <w:t>12</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4763" w:history="1">
            <w:r>
              <w:rPr>
                <w:rFonts w:ascii="幼圆" w:eastAsia="幼圆" w:hAnsi="幼圆" w:cs="幼圆" w:hint="eastAsia"/>
              </w:rPr>
              <w:t>2.1 知识种类一致性分析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_Toc14763 \h </w:instrText>
            </w:r>
            <w:r>
              <w:rPr>
                <w:rFonts w:ascii="幼圆" w:eastAsia="幼圆" w:hAnsi="幼圆" w:cs="幼圆" w:hint="eastAsia"/>
              </w:rPr>
              <w:fldChar w:fldCharType="separate"/>
            </w:r>
            <w:r>
              <w:rPr>
                <w:rFonts w:ascii="幼圆" w:eastAsia="幼圆" w:hAnsi="幼圆" w:cs="幼圆" w:hint="eastAsia"/>
              </w:rPr>
              <w:t>13</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6927" w:history="1">
            <w:r>
              <w:rPr>
                <w:rFonts w:ascii="幼圆" w:eastAsia="幼圆" w:hAnsi="幼圆" w:cs="幼圆" w:hint="eastAsia"/>
              </w:rPr>
              <w:t>2.2 知识深度一致性分析 </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_Toc26927 \h </w:instrText>
            </w:r>
            <w:r>
              <w:rPr>
                <w:rFonts w:ascii="幼圆" w:eastAsia="幼圆" w:hAnsi="幼圆" w:cs="幼圆" w:hint="eastAsia"/>
              </w:rPr>
              <w:fldChar w:fldCharType="separate"/>
            </w:r>
            <w:r>
              <w:rPr>
                <w:rFonts w:ascii="幼圆" w:eastAsia="幼圆" w:hAnsi="幼圆" w:cs="幼圆" w:hint="eastAsia"/>
              </w:rPr>
              <w:t>14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30073" w:history="1">
            <w:r>
              <w:rPr>
                <w:rFonts w:ascii="幼圆" w:eastAsia="幼圆" w:hAnsi="幼圆" w:cs="幼圆" w:hint="eastAsia"/>
              </w:rPr>
              <w:t>2.3 知识广度一致性分析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_Toc30073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2540" w:history="1">
            <w:r>
              <w:rPr>
                <w:rFonts w:ascii="幼圆" w:eastAsia="幼圆" w:hAnsi="幼圆" w:cs="幼圆" w:hint="eastAsia"/>
              </w:rPr>
              <w:t>2.4 知识分布平衡度一致性分析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_Toc22540 \h </w:instrText>
            </w:r>
            <w:r>
              <w:rPr>
                <w:rFonts w:ascii="幼圆" w:eastAsia="幼圆" w:hAnsi="幼圆" w:cs="幼圆" w:hint="eastAsia"/>
              </w:rPr>
              <w:fldChar w:fldCharType="separate"/>
            </w:r>
            <w:r>
              <w:rPr>
                <w:rFonts w:ascii="幼圆" w:eastAsia="幼圆" w:hAnsi="幼圆" w:cs="幼圆" w:hint="eastAsia"/>
              </w:rPr>
              <w:t>15</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1041" w:history="1">
            <w:r>
              <w:rPr>
                <w:rFonts w:ascii="幼圆" w:eastAsia="幼圆" w:hAnsi="幼圆" w:cs="幼圆" w:hint="eastAsia"/>
              </w:rPr>
              <w:t>2.5</w:t>
            </w:r>
            <w:r>
              <w:rPr>
                <w:rFonts w:ascii="幼圆" w:eastAsia="幼圆" w:hAnsi="幼圆" w:cs="幼圆" w:hint="eastAsia"/>
                <w:lang w:eastAsia="zh-CN"/>
              </w:rPr>
              <w:t>株洲</w:t>
            </w:r>
            <w:r>
              <w:rPr>
                <w:rFonts w:ascii="幼圆" w:eastAsia="幼圆" w:hAnsi="幼圆" w:cs="幼圆" w:hint="eastAsia"/>
              </w:rPr>
              <w:t>市2019年中考数学试题与课程标准整体一致性程度分析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_Toc21041 \h </w:instrText>
            </w:r>
            <w:r>
              <w:rPr>
                <w:rFonts w:ascii="幼圆" w:eastAsia="幼圆" w:hAnsi="幼圆" w:cs="幼圆" w:hint="eastAsia"/>
              </w:rPr>
              <w:fldChar w:fldCharType="separate"/>
            </w:r>
            <w:r>
              <w:rPr>
                <w:rFonts w:ascii="幼圆" w:eastAsia="幼圆" w:hAnsi="幼圆" w:cs="幼圆" w:hint="eastAsia"/>
              </w:rPr>
              <w:t>16</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5524" w:history="1">
            <w:r>
              <w:rPr>
                <w:rFonts w:ascii="幼圆" w:eastAsia="幼圆" w:hAnsi="幼圆" w:cs="幼圆" w:hint="eastAsia"/>
                <w:b/>
              </w:rPr>
              <w:t>3.</w:t>
            </w:r>
            <w:r>
              <w:rPr>
                <w:rFonts w:ascii="幼圆" w:eastAsia="幼圆" w:hAnsi="幼圆" w:cs="幼圆" w:hint="eastAsia"/>
                <w:b/>
                <w:lang w:eastAsia="zh-CN"/>
              </w:rPr>
              <w:t>株洲</w:t>
            </w:r>
            <w:r>
              <w:rPr>
                <w:rFonts w:ascii="幼圆" w:eastAsia="幼圆" w:hAnsi="幼圆" w:cs="幼圆" w:hint="eastAsia"/>
                <w:b/>
              </w:rPr>
              <w:t>市2020年中考数学试卷与课程标准一致性分析</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_Toc5524 \h </w:instrText>
            </w:r>
            <w:r>
              <w:rPr>
                <w:rFonts w:ascii="幼圆" w:eastAsia="幼圆" w:hAnsi="幼圆" w:cs="幼圆" w:hint="eastAsia"/>
                <w:b/>
              </w:rPr>
              <w:fldChar w:fldCharType="separate"/>
            </w:r>
            <w:r>
              <w:rPr>
                <w:rFonts w:ascii="幼圆" w:eastAsia="幼圆" w:hAnsi="幼圆" w:cs="幼圆" w:hint="eastAsia"/>
                <w:b/>
              </w:rPr>
              <w:t>17</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2194" w:history="1">
            <w:r>
              <w:rPr>
                <w:rFonts w:ascii="幼圆" w:eastAsia="幼圆" w:hAnsi="幼圆" w:cs="幼圆" w:hint="eastAsia"/>
              </w:rPr>
              <w:t>3.1知识种类一致性分析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_Toc12194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985" w:history="1">
            <w:r>
              <w:rPr>
                <w:rFonts w:ascii="幼圆" w:eastAsia="幼圆" w:hAnsi="幼圆" w:cs="幼圆" w:hint="eastAsia"/>
              </w:rPr>
              <w:t>3.2知识深度一致性分析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_Toc1985 \h </w:instrText>
            </w:r>
            <w:r>
              <w:rPr>
                <w:rFonts w:ascii="幼圆" w:eastAsia="幼圆" w:hAnsi="幼圆" w:cs="幼圆" w:hint="eastAsia"/>
              </w:rPr>
              <w:fldChar w:fldCharType="separate"/>
            </w:r>
            <w:r>
              <w:rPr>
                <w:rFonts w:ascii="幼圆" w:eastAsia="幼圆" w:hAnsi="幼圆" w:cs="幼圆" w:hint="eastAsia"/>
              </w:rPr>
              <w:t>18</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1438" w:history="1">
            <w:r>
              <w:rPr>
                <w:rFonts w:ascii="幼圆" w:eastAsia="幼圆" w:hAnsi="幼圆" w:cs="幼圆" w:hint="eastAsia"/>
              </w:rPr>
              <w:t>3.3知识广度一致性分析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_Toc21438 \h </w:instrText>
            </w:r>
            <w:r>
              <w:rPr>
                <w:rFonts w:ascii="幼圆" w:eastAsia="幼圆" w:hAnsi="幼圆" w:cs="幼圆" w:hint="eastAsia"/>
              </w:rPr>
              <w:fldChar w:fldCharType="separate"/>
            </w:r>
            <w:r>
              <w:rPr>
                <w:rFonts w:ascii="幼圆" w:eastAsia="幼圆" w:hAnsi="幼圆" w:cs="幼圆" w:hint="eastAsia"/>
              </w:rPr>
              <w:t>19</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3854" w:history="1">
            <w:r>
              <w:rPr>
                <w:rFonts w:ascii="幼圆" w:eastAsia="幼圆" w:hAnsi="幼圆" w:cs="幼圆" w:hint="eastAsia"/>
              </w:rPr>
              <w:t>3.4知识分布平衡度一致性分析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_Toc23854 \h </w:instrText>
            </w:r>
            <w:r>
              <w:rPr>
                <w:rFonts w:ascii="幼圆" w:eastAsia="幼圆" w:hAnsi="幼圆" w:cs="幼圆" w:hint="eastAsia"/>
              </w:rPr>
              <w:fldChar w:fldCharType="separate"/>
            </w:r>
            <w:r>
              <w:rPr>
                <w:rFonts w:ascii="幼圆" w:eastAsia="幼圆" w:hAnsi="幼圆" w:cs="幼圆" w:hint="eastAsia"/>
              </w:rPr>
              <w:t>20</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31061" w:history="1">
            <w:r>
              <w:rPr>
                <w:rFonts w:ascii="幼圆" w:eastAsia="幼圆" w:hAnsi="幼圆" w:cs="幼圆" w:hint="eastAsia"/>
              </w:rPr>
              <w:t>3.5</w:t>
            </w:r>
            <w:r>
              <w:rPr>
                <w:rFonts w:ascii="幼圆" w:eastAsia="幼圆" w:hAnsi="幼圆" w:cs="幼圆" w:hint="eastAsia"/>
                <w:lang w:eastAsia="zh-CN"/>
              </w:rPr>
              <w:t>株洲</w:t>
            </w:r>
            <w:r>
              <w:rPr>
                <w:rFonts w:ascii="幼圆" w:eastAsia="幼圆" w:hAnsi="幼圆" w:cs="幼圆" w:hint="eastAsia"/>
              </w:rPr>
              <w:t>市2020年中考数学试题与课程标准整体一致性程度分析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_Toc31061 \h </w:instrText>
            </w:r>
            <w:r>
              <w:rPr>
                <w:rFonts w:ascii="幼圆" w:eastAsia="幼圆" w:hAnsi="幼圆" w:cs="幼圆" w:hint="eastAsia"/>
              </w:rPr>
              <w:fldChar w:fldCharType="separate"/>
            </w:r>
            <w:r>
              <w:rPr>
                <w:rFonts w:ascii="幼圆" w:eastAsia="幼圆" w:hAnsi="幼圆" w:cs="幼圆" w:hint="eastAsia"/>
              </w:rPr>
              <w:t>21</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14699" w:history="1">
            <w:r>
              <w:rPr>
                <w:rFonts w:ascii="幼圆" w:eastAsia="幼圆" w:hAnsi="幼圆" w:cs="幼圆" w:hint="eastAsia"/>
                <w:b/>
              </w:rPr>
              <w:t>4.近两年</w:t>
            </w:r>
            <w:r>
              <w:rPr>
                <w:rFonts w:ascii="幼圆" w:eastAsia="幼圆" w:hAnsi="幼圆" w:cs="幼圆" w:hint="eastAsia"/>
                <w:b/>
                <w:lang w:eastAsia="zh-CN"/>
              </w:rPr>
              <w:t>株洲</w:t>
            </w:r>
            <w:r>
              <w:rPr>
                <w:rFonts w:ascii="幼圆" w:eastAsia="幼圆" w:hAnsi="幼圆" w:cs="幼圆" w:hint="eastAsia"/>
                <w:b/>
              </w:rPr>
              <w:t>市中考数学试题与课程标准一致性比较分析</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_Toc14699 \h </w:instrText>
            </w:r>
            <w:r>
              <w:rPr>
                <w:rFonts w:ascii="幼圆" w:eastAsia="幼圆" w:hAnsi="幼圆" w:cs="幼圆" w:hint="eastAsia"/>
                <w:b/>
              </w:rPr>
              <w:fldChar w:fldCharType="separate"/>
            </w:r>
            <w:r>
              <w:rPr>
                <w:rFonts w:ascii="幼圆" w:eastAsia="幼圆" w:hAnsi="幼圆" w:cs="幼圆" w:hint="eastAsia"/>
                <w:b/>
              </w:rPr>
              <w:t>22</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6821" w:history="1">
            <w:r>
              <w:rPr>
                <w:rFonts w:ascii="幼圆" w:eastAsia="幼圆" w:hAnsi="幼圆" w:cs="幼圆" w:hint="eastAsia"/>
              </w:rPr>
              <w:t>4.1对比知识种类一致性分析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_Toc16821 \h </w:instrText>
            </w:r>
            <w:r>
              <w:rPr>
                <w:rFonts w:ascii="幼圆" w:eastAsia="幼圆" w:hAnsi="幼圆" w:cs="幼圆" w:hint="eastAsia"/>
              </w:rPr>
              <w:fldChar w:fldCharType="separate"/>
            </w:r>
            <w:r>
              <w:rPr>
                <w:rFonts w:ascii="幼圆" w:eastAsia="幼圆" w:hAnsi="幼圆" w:cs="幼圆" w:hint="eastAsia"/>
              </w:rPr>
              <w:t>23</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31905" w:history="1">
            <w:r>
              <w:rPr>
                <w:rFonts w:ascii="幼圆" w:eastAsia="幼圆" w:hAnsi="幼圆" w:cs="幼圆" w:hint="eastAsia"/>
              </w:rPr>
              <w:t>4.2对比知识深度一致性分析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_Toc31905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2096" w:history="1">
            <w:r>
              <w:rPr>
                <w:rFonts w:ascii="幼圆" w:eastAsia="幼圆" w:hAnsi="幼圆" w:cs="幼圆" w:hint="eastAsia"/>
              </w:rPr>
              <w:t>4.3对比知识广度一致性分析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_Toc2096 \h </w:instrText>
            </w:r>
            <w:r>
              <w:rPr>
                <w:rFonts w:ascii="幼圆" w:eastAsia="幼圆" w:hAnsi="幼圆" w:cs="幼圆" w:hint="eastAsia"/>
              </w:rPr>
              <w:fldChar w:fldCharType="separate"/>
            </w:r>
            <w:r>
              <w:rPr>
                <w:rFonts w:ascii="幼圆" w:eastAsia="幼圆" w:hAnsi="幼圆" w:cs="幼圆" w:hint="eastAsia"/>
              </w:rPr>
              <w:t>24</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18815" w:history="1">
            <w:r>
              <w:rPr>
                <w:rFonts w:ascii="幼圆" w:eastAsia="幼圆" w:hAnsi="幼圆" w:cs="幼圆" w:hint="eastAsia"/>
              </w:rPr>
              <w:t>4.4对比知识分布平衡度一致性分析</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_Toc18815 \h </w:instrText>
            </w:r>
            <w:r>
              <w:rPr>
                <w:rFonts w:ascii="幼圆" w:eastAsia="幼圆" w:hAnsi="幼圆" w:cs="幼圆" w:hint="eastAsia"/>
              </w:rPr>
              <w:fldChar w:fldCharType="separate"/>
            </w:r>
            <w:r>
              <w:rPr>
                <w:rFonts w:ascii="幼圆" w:eastAsia="幼圆" w:hAnsi="幼圆" w:cs="幼圆" w:hint="eastAsia"/>
              </w:rPr>
              <w:t>25</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20175" w:history="1">
            <w:r>
              <w:rPr>
                <w:rFonts w:ascii="幼圆" w:eastAsia="幼圆" w:hAnsi="幼圆" w:cs="幼圆" w:hint="eastAsia"/>
                <w:b/>
              </w:rPr>
              <w:t>5.建议与不足</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_Toc20175 \h </w:instrText>
            </w:r>
            <w:r>
              <w:rPr>
                <w:rFonts w:ascii="幼圆" w:eastAsia="幼圆" w:hAnsi="幼圆" w:cs="幼圆" w:hint="eastAsia"/>
                <w:b/>
              </w:rPr>
              <w:fldChar w:fldCharType="separate"/>
            </w:r>
            <w:r>
              <w:rPr>
                <w:rFonts w:ascii="幼圆" w:eastAsia="幼圆" w:hAnsi="幼圆" w:cs="幼圆" w:hint="eastAsia"/>
                <w:b/>
              </w:rPr>
              <w:t>26</w:t>
            </w:r>
            <w:r>
              <w:rPr>
                <w:rFonts w:ascii="幼圆" w:eastAsia="幼圆" w:hAnsi="幼圆" w:cs="幼圆" w:hint="eastAsia"/>
                <w:b/>
              </w:rPr>
              <w:fldChar w:fldCharType="end"/>
            </w:r>
          </w:hyperlink>
        </w:p>
        <w:p>
          <w:pPr>
            <w:pStyle w:val="WPSOffice2"/>
            <w:tabs>
              <w:tab w:val="right" w:leader="dot" w:pos="8312"/>
            </w:tabs>
            <w:rPr>
              <w:rFonts w:ascii="幼圆" w:eastAsia="幼圆" w:hAnsi="幼圆" w:cs="幼圆" w:hint="eastAsia"/>
            </w:rPr>
          </w:pPr>
          <w:hyperlink w:anchor="_Toc17303" w:history="1">
            <w:r>
              <w:rPr>
                <w:rFonts w:ascii="幼圆" w:eastAsia="幼圆" w:hAnsi="幼圆" w:cs="幼圆" w:hint="eastAsia"/>
              </w:rPr>
              <w:t>5.1建议</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_Toc17303 \h </w:instrText>
            </w:r>
            <w:r>
              <w:rPr>
                <w:rFonts w:ascii="幼圆" w:eastAsia="幼圆" w:hAnsi="幼圆" w:cs="幼圆" w:hint="eastAsia"/>
              </w:rPr>
              <w:fldChar w:fldCharType="separate"/>
            </w:r>
            <w:r>
              <w:rPr>
                <w:rFonts w:ascii="幼圆" w:eastAsia="幼圆" w:hAnsi="幼圆" w:cs="幼圆" w:hint="eastAsia"/>
              </w:rPr>
              <w:t>26</w:t>
            </w:r>
            <w:r>
              <w:rPr>
                <w:rFonts w:ascii="幼圆" w:eastAsia="幼圆" w:hAnsi="幼圆" w:cs="幼圆" w:hint="eastAsia"/>
              </w:rPr>
              <w:fldChar w:fldCharType="end"/>
            </w:r>
          </w:hyperlink>
        </w:p>
        <w:p>
          <w:pPr>
            <w:pStyle w:val="WPSOffice2"/>
            <w:tabs>
              <w:tab w:val="right" w:leader="dot" w:pos="8312"/>
            </w:tabs>
            <w:rPr>
              <w:rFonts w:ascii="幼圆" w:eastAsia="幼圆" w:hAnsi="幼圆" w:cs="幼圆" w:hint="eastAsia"/>
            </w:rPr>
          </w:pPr>
          <w:hyperlink w:anchor="_Toc30152" w:history="1">
            <w:r>
              <w:rPr>
                <w:rFonts w:ascii="幼圆" w:eastAsia="幼圆" w:hAnsi="幼圆" w:cs="幼圆" w:hint="eastAsia"/>
              </w:rPr>
              <w:t>5.2不足</w:t>
            </w:r>
            <w:r>
              <w:rPr>
                <w:rFonts w:ascii="幼圆" w:eastAsia="幼圆" w:hAnsi="幼圆" w:cs="幼圆" w:hint="eastAsia"/>
              </w:rPr>
              <w:tab/>
            </w:r>
            <w:r>
              <w:rPr>
                <w:rFonts w:ascii="幼圆" w:eastAsia="幼圆" w:hAnsi="幼圆" w:cs="幼圆" w:hint="eastAsia"/>
              </w:rPr>
              <w:fldChar w:fldCharType="begin"/>
            </w:r>
            <w:r>
              <w:rPr>
                <w:rFonts w:ascii="幼圆" w:eastAsia="幼圆" w:hAnsi="幼圆" w:cs="幼圆" w:hint="eastAsia"/>
              </w:rPr>
              <w:instrText xml:space="preserve"> PAGEREF _Toc30152 \h </w:instrText>
            </w:r>
            <w:r>
              <w:rPr>
                <w:rFonts w:ascii="幼圆" w:eastAsia="幼圆" w:hAnsi="幼圆" w:cs="幼圆" w:hint="eastAsia"/>
              </w:rPr>
              <w:fldChar w:fldCharType="separate"/>
            </w:r>
            <w:r>
              <w:rPr>
                <w:rFonts w:ascii="幼圆" w:eastAsia="幼圆" w:hAnsi="幼圆" w:cs="幼圆" w:hint="eastAsia"/>
              </w:rPr>
              <w:t>27</w:t>
            </w:r>
            <w:r>
              <w:rPr>
                <w:rFonts w:ascii="幼圆" w:eastAsia="幼圆" w:hAnsi="幼圆" w:cs="幼圆" w:hint="eastAsia"/>
              </w:rPr>
              <w:fldChar w:fldCharType="end"/>
            </w:r>
          </w:hyperlink>
        </w:p>
        <w:p>
          <w:pPr>
            <w:pStyle w:val="WPSOffice1"/>
            <w:tabs>
              <w:tab w:val="right" w:leader="dot" w:pos="8312"/>
            </w:tabs>
            <w:rPr>
              <w:rFonts w:ascii="幼圆" w:eastAsia="幼圆" w:hAnsi="幼圆" w:cs="幼圆" w:hint="eastAsia"/>
              <w:b/>
            </w:rPr>
          </w:pPr>
          <w:hyperlink w:anchor="_Toc4492" w:history="1">
            <w:r>
              <w:rPr>
                <w:rFonts w:ascii="幼圆" w:eastAsia="幼圆" w:hAnsi="幼圆" w:cs="幼圆" w:hint="eastAsia"/>
                <w:b/>
              </w:rPr>
              <w:t>参考文献</w:t>
            </w:r>
            <w:r>
              <w:rPr>
                <w:rFonts w:ascii="幼圆" w:eastAsia="幼圆" w:hAnsi="幼圆" w:cs="幼圆" w:hint="eastAsia"/>
                <w:b/>
              </w:rPr>
              <w:tab/>
            </w:r>
            <w:r>
              <w:rPr>
                <w:rFonts w:ascii="幼圆" w:eastAsia="幼圆" w:hAnsi="幼圆" w:cs="幼圆" w:hint="eastAsia"/>
                <w:b/>
              </w:rPr>
              <w:fldChar w:fldCharType="begin"/>
            </w:r>
            <w:r>
              <w:rPr>
                <w:rFonts w:ascii="幼圆" w:eastAsia="幼圆" w:hAnsi="幼圆" w:cs="幼圆" w:hint="eastAsia"/>
                <w:b/>
              </w:rPr>
              <w:instrText xml:space="preserve"> PAGEREF _Toc4492 \h </w:instrText>
            </w:r>
            <w:r>
              <w:rPr>
                <w:rFonts w:ascii="幼圆" w:eastAsia="幼圆" w:hAnsi="幼圆" w:cs="幼圆" w:hint="eastAsia"/>
                <w:b/>
              </w:rPr>
              <w:fldChar w:fldCharType="separate"/>
            </w:r>
            <w:r>
              <w:rPr>
                <w:rFonts w:ascii="幼圆" w:eastAsia="幼圆" w:hAnsi="幼圆" w:cs="幼圆" w:hint="eastAsia"/>
                <w:b/>
              </w:rPr>
              <w:t>28</w:t>
            </w:r>
            <w:r>
              <w:rPr>
                <w:rFonts w:ascii="幼圆" w:eastAsia="幼圆" w:hAnsi="幼圆" w:cs="幼圆" w:hint="eastAsia"/>
                <w:b/>
              </w:rPr>
              <w:fldChar w:fldCharType="end"/>
            </w:r>
          </w:hyperlink>
        </w:p>
        <w:p>
          <w:pPr>
            <w:pStyle w:val="Heading1"/>
            <w:spacing w:before="120" w:after="120"/>
            <w:rPr>
              <w:rFonts w:ascii="幼圆" w:eastAsia="幼圆" w:hAnsi="幼圆" w:cs="幼圆" w:hint="eastAsia"/>
            </w:rPr>
          </w:pPr>
          <w:r>
            <w:rPr>
              <w:rFonts w:ascii="幼圆" w:eastAsia="幼圆" w:hAnsi="幼圆" w:cs="幼圆" w:hint="eastAsia"/>
              <w:b/>
            </w:rPr>
            <w:fldChar w:fldCharType="end"/>
          </w:r>
        </w:p>
      </w:sdtContent>
    </w:sdt>
    <w:p>
      <w:pPr>
        <w:pStyle w:val="Heading1"/>
        <w:spacing w:before="120" w:after="120"/>
        <w:rPr>
          <w:rFonts w:ascii="幼圆" w:eastAsia="幼圆" w:hAnsi="幼圆" w:cs="幼圆" w:hint="eastAsia"/>
          <w:sz w:val="32"/>
          <w:szCs w:val="32"/>
        </w:rPr>
      </w:pPr>
      <w:bookmarkStart w:id="2" w:name="_Toc29691"/>
      <w:r>
        <w:rPr>
          <w:rFonts w:ascii="幼圆" w:eastAsia="幼圆" w:hAnsi="幼圆" w:cs="幼圆" w:hint="eastAsia"/>
        </w:rPr>
        <w:t>绪 论</w:t>
      </w:r>
      <w:bookmarkEnd w:id="0"/>
      <w:bookmarkEnd w:id="2"/>
    </w:p>
    <w:p>
      <w:pPr>
        <w:widowControl/>
        <w:spacing w:before="75" w:after="75" w:line="390" w:lineRule="atLeast"/>
        <w:ind w:firstLine="50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中考是义务教育与高中阶段的</w:t>
      </w:r>
      <w:r>
        <w:rPr>
          <w:rFonts w:ascii="幼圆" w:eastAsia="幼圆" w:hAnsi="幼圆" w:cs="幼圆" w:hint="eastAsia"/>
          <w:color w:val="000000"/>
          <w:spacing w:val="5"/>
          <w:kern w:val="0"/>
          <w:szCs w:val="24"/>
        </w:rPr>
        <w:t>过渡性</w:t>
      </w:r>
      <w:r>
        <w:rPr>
          <w:rFonts w:ascii="幼圆" w:eastAsia="幼圆" w:hAnsi="幼圆" w:cs="幼圆" w:hint="eastAsia"/>
          <w:color w:val="000000"/>
          <w:spacing w:val="5"/>
          <w:kern w:val="0"/>
          <w:szCs w:val="24"/>
        </w:rPr>
        <w:t>考试，它不仅</w:t>
      </w:r>
      <w:r>
        <w:rPr>
          <w:rFonts w:ascii="幼圆" w:eastAsia="幼圆" w:hAnsi="幼圆" w:cs="幼圆" w:hint="eastAsia"/>
          <w:color w:val="000000"/>
          <w:spacing w:val="5"/>
          <w:kern w:val="0"/>
          <w:szCs w:val="24"/>
        </w:rPr>
        <w:t>被</w:t>
      </w:r>
      <w:r>
        <w:rPr>
          <w:rFonts w:ascii="幼圆" w:eastAsia="幼圆" w:hAnsi="幼圆" w:cs="幼圆" w:hint="eastAsia"/>
          <w:color w:val="000000"/>
          <w:spacing w:val="5"/>
          <w:kern w:val="0"/>
          <w:szCs w:val="24"/>
        </w:rPr>
        <w:t>认为是一种以学生进行选拔为主要目的的考试，也是对于课程标准</w:t>
      </w:r>
      <w:r>
        <w:rPr>
          <w:rFonts w:ascii="幼圆" w:eastAsia="幼圆" w:hAnsi="幼圆" w:cs="幼圆" w:hint="eastAsia"/>
          <w:color w:val="000000"/>
          <w:spacing w:val="5"/>
          <w:kern w:val="0"/>
          <w:szCs w:val="24"/>
        </w:rPr>
        <w:t>执行</w:t>
      </w:r>
      <w:r>
        <w:rPr>
          <w:rFonts w:ascii="幼圆" w:eastAsia="幼圆" w:hAnsi="幼圆" w:cs="幼圆" w:hint="eastAsia"/>
          <w:color w:val="000000"/>
          <w:spacing w:val="5"/>
          <w:kern w:val="0"/>
          <w:szCs w:val="24"/>
        </w:rPr>
        <w:t>情况的一种直观体现和反映。我国的中考具有地方性特色，但不管哪个地区的中考试卷的理论依据都离不开课本与课程标准</w:t>
      </w:r>
      <w:r>
        <w:rPr>
          <w:rFonts w:ascii="幼圆" w:eastAsia="幼圆" w:hAnsi="幼圆" w:cs="幼圆" w:hint="eastAsia"/>
          <w:color w:val="000000"/>
          <w:spacing w:val="5"/>
          <w:kern w:val="0"/>
          <w:szCs w:val="24"/>
          <w:vertAlign w:val="superscript"/>
        </w:rPr>
        <w:t>[1]</w:t>
      </w:r>
      <w:r>
        <w:rPr>
          <w:rFonts w:ascii="幼圆" w:eastAsia="幼圆" w:hAnsi="幼圆" w:cs="幼圆" w:hint="eastAsia"/>
          <w:color w:val="000000"/>
          <w:spacing w:val="5"/>
          <w:kern w:val="0"/>
          <w:szCs w:val="24"/>
        </w:rPr>
        <w:t>。因此</w:t>
      </w:r>
      <w:r>
        <w:rPr>
          <w:rFonts w:ascii="幼圆" w:eastAsia="幼圆" w:hAnsi="幼圆" w:cs="幼圆" w:hint="eastAsia"/>
          <w:color w:val="000000"/>
          <w:spacing w:val="5"/>
          <w:kern w:val="0"/>
          <w:szCs w:val="24"/>
        </w:rPr>
        <w:t>，对地方中考试卷与课程标准的一致性研究是很有必要的</w:t>
      </w:r>
      <w:r>
        <w:rPr>
          <w:rFonts w:ascii="幼圆" w:eastAsia="幼圆" w:hAnsi="幼圆" w:cs="幼圆" w:hint="eastAsia"/>
          <w:color w:val="000000"/>
          <w:spacing w:val="5"/>
          <w:kern w:val="0"/>
          <w:szCs w:val="24"/>
        </w:rPr>
        <w:t>。本研究将基于</w:t>
      </w:r>
      <w:r>
        <w:rPr>
          <w:rFonts w:ascii="幼圆" w:eastAsia="幼圆" w:hAnsi="幼圆" w:cs="幼圆" w:hint="eastAsia"/>
          <w:color w:val="000000"/>
          <w:spacing w:val="5"/>
          <w:kern w:val="0"/>
          <w:szCs w:val="24"/>
        </w:rPr>
        <w:t>《</w:t>
      </w:r>
      <w:r>
        <w:rPr>
          <w:rFonts w:ascii="幼圆" w:eastAsia="幼圆" w:hAnsi="幼圆" w:cs="幼圆" w:hint="eastAsia"/>
          <w:color w:val="000000"/>
          <w:spacing w:val="5"/>
          <w:kern w:val="0"/>
          <w:szCs w:val="24"/>
        </w:rPr>
        <w:t>义务教育数学课程标准</w:t>
      </w:r>
      <w:r>
        <w:rPr>
          <w:rFonts w:ascii="幼圆" w:eastAsia="幼圆" w:hAnsi="幼圆" w:cs="幼圆" w:hint="eastAsia"/>
          <w:color w:val="000000"/>
          <w:spacing w:val="5"/>
          <w:kern w:val="0"/>
          <w:szCs w:val="24"/>
        </w:rPr>
        <w:t>（2011年版）》，从一致性的角度对近两年</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中考数学试卷的知识分布和合理性进行研究。</w:t>
      </w:r>
      <w:r>
        <w:rPr>
          <w:rFonts w:ascii="幼圆" w:eastAsia="幼圆" w:hAnsi="幼圆" w:cs="幼圆" w:hint="eastAsia"/>
        </w:rPr>
        <w:t>促使课程标准更好地体现在初中数学教学中，同时也为命题人提供新的命题视角。</w:t>
      </w: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近年来，研究试题与课程标准一致性的方法大多是国外较为成熟的一致性分析模型的本土化改造，主要集中在以下几个方面</w:t>
      </w:r>
      <w:r>
        <w:rPr>
          <w:rFonts w:ascii="幼圆" w:eastAsia="幼圆" w:hAnsi="幼圆" w:cs="幼圆" w:hint="eastAsia"/>
          <w:color w:val="000000"/>
          <w:spacing w:val="5"/>
          <w:kern w:val="0"/>
          <w:szCs w:val="24"/>
        </w:rPr>
        <w:t>：</w:t>
      </w:r>
    </w:p>
    <w:p>
      <w:pPr>
        <w:widowControl/>
        <w:spacing w:before="75" w:after="75" w:line="390" w:lineRule="atLeast"/>
        <w:ind w:firstLine="480" w:firstLineChars="0"/>
        <w:rPr>
          <w:rFonts w:ascii="幼圆" w:eastAsia="幼圆" w:hAnsi="幼圆" w:cs="幼圆" w:hint="eastAsia"/>
          <w:color w:val="000000"/>
          <w:spacing w:val="5"/>
          <w:kern w:val="0"/>
          <w:szCs w:val="24"/>
        </w:rPr>
        <w:sectPr>
          <w:headerReference w:type="even" r:id="rId7"/>
          <w:headerReference w:type="default" r:id="rId8"/>
          <w:footerReference w:type="even" r:id="rId9"/>
          <w:footerReference w:type="default" r:id="rId10"/>
          <w:headerReference w:type="first" r:id="rId11"/>
          <w:footerReference w:type="first" r:id="rId12"/>
          <w:pgSz w:w="11906" w:h="16838"/>
          <w:pgMar w:top="1440" w:right="1797" w:bottom="1440" w:left="1797" w:header="851" w:footer="992" w:gutter="0"/>
          <w:pgNumType w:start="1"/>
          <w:cols w:num="1" w:space="425"/>
          <w:docGrid w:linePitch="326" w:charSpace="0"/>
        </w:sectPr>
      </w:pP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一是基于SEC一致性分析模式，研究试题在内容主题维度和认知水平维度两个维度上与课程标准的一致性。许多研究发现试题在内容主题维度上的一致性水平</w:t>
      </w:r>
      <w:r>
        <w:rPr>
          <w:rFonts w:ascii="幼圆" w:eastAsia="幼圆" w:hAnsi="幼圆" w:cs="幼圆" w:hint="eastAsia"/>
          <w:color w:val="000000"/>
          <w:spacing w:val="5"/>
          <w:kern w:val="0"/>
          <w:szCs w:val="24"/>
        </w:rPr>
        <w:t>不太</w:t>
      </w:r>
      <w:r>
        <w:rPr>
          <w:rFonts w:ascii="幼圆" w:eastAsia="幼圆" w:hAnsi="幼圆" w:cs="幼圆" w:hint="eastAsia"/>
          <w:color w:val="000000"/>
          <w:spacing w:val="5"/>
          <w:kern w:val="0"/>
          <w:szCs w:val="24"/>
        </w:rPr>
        <w:t>稳定，在认知水平维度上的一致性水平</w:t>
      </w:r>
      <w:r>
        <w:rPr>
          <w:rFonts w:ascii="幼圆" w:eastAsia="幼圆" w:hAnsi="幼圆" w:cs="幼圆" w:hint="eastAsia"/>
          <w:color w:val="000000"/>
          <w:spacing w:val="5"/>
          <w:kern w:val="0"/>
          <w:szCs w:val="24"/>
        </w:rPr>
        <w:t>差异较大</w:t>
      </w:r>
      <w:r>
        <w:rPr>
          <w:rFonts w:ascii="幼圆" w:eastAsia="幼圆" w:hAnsi="幼圆" w:cs="幼圆" w:hint="eastAsia"/>
          <w:color w:val="000000"/>
          <w:spacing w:val="5"/>
          <w:kern w:val="0"/>
          <w:szCs w:val="24"/>
        </w:rPr>
        <w:t>，但在总体上试题与课程标准的一致性水平在逐年递增。2016年缪琳在《基于“SEC”一致性分析的初中数学考查研究》中得到结论，上海市和厦门市的2016年中考数学试卷在内容主题维度上与课程标准的认知水平存在较大差别，两地试卷考查的重点不一致</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_Ref66131044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[3]</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2017年卢水杰在《初中数学毕业升学考试与课程标准的一致性研究》中提到，南宁市近三年的中考数学试题在内容主题维度上与课程标准基本保持一致，但在认知水平维度上的一致性水平较差，表现为试题对学生的能力要求有所偏高</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_Ref66131061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[4]</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。2019年彭海兆在《广州市中考数学试题与课程标准的一致性研究》中得出结论：虽然 2015 至 2018 年广州市数学试题与课程标准不具备一致性，但是一致性的可接受水平越来越高</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_Ref66131072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[5]</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w:t>
      </w: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二是基于Webb一致性分析模式，研究试题在知识种类、知识深度、知识广度和知识分布平衡性四个维度上与课程标准的一致性。众多研究表明试题在知识种类和知识分布平衡度一致性水平较好，在知识深度和知识广度上的一致性水平差异较大。2017年蒋雨昕在《北京市中考数学试卷与课程标准的一致性研究》中得出结论：近两年的北京市中考数学试题在知识广度维度一致性较差，有些具体目标在试题中很少涉及</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_Ref66131085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[7]</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。2019年徐帆</w:t>
      </w:r>
      <w:r>
        <w:rPr>
          <w:rFonts w:ascii="幼圆" w:eastAsia="幼圆" w:hAnsi="幼圆" w:cs="幼圆" w:hint="eastAsia"/>
          <w:color w:val="000000"/>
          <w:spacing w:val="5"/>
          <w:kern w:val="0"/>
          <w:szCs w:val="24"/>
        </w:rPr>
        <w:t>等</w:t>
      </w:r>
      <w:r>
        <w:rPr>
          <w:rFonts w:ascii="幼圆" w:eastAsia="幼圆" w:hAnsi="幼圆" w:cs="幼圆" w:hint="eastAsia"/>
          <w:color w:val="000000"/>
          <w:spacing w:val="5"/>
          <w:kern w:val="0"/>
          <w:szCs w:val="24"/>
        </w:rPr>
        <w:t>在《初中数学学业评价与课程标准的一致性研究——以福建省五套中考数学试卷为例》中研究表明，试题在知识种类、知识深度和知识分布平衡性维度上与课程标准</w:t>
      </w:r>
      <w:r>
        <w:rPr>
          <w:rFonts w:ascii="幼圆" w:eastAsia="幼圆" w:hAnsi="幼圆" w:cs="幼圆" w:hint="eastAsia"/>
          <w:color w:val="000000"/>
          <w:spacing w:val="5"/>
          <w:kern w:val="0"/>
          <w:szCs w:val="24"/>
        </w:rPr>
        <w:t>具有</w:t>
      </w:r>
      <w:r>
        <w:rPr>
          <w:rFonts w:ascii="幼圆" w:eastAsia="幼圆" w:hAnsi="幼圆" w:cs="幼圆" w:hint="eastAsia"/>
          <w:color w:val="000000"/>
          <w:spacing w:val="5"/>
          <w:kern w:val="0"/>
          <w:szCs w:val="24"/>
        </w:rPr>
        <w:t>一致性，在知识广度维度上不具备一致性，存在部分知识偏离现象</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_Ref66131093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[8]</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。2020年张姝同在《基于Webb模式下的陕西中考数学试题与课程标准一致性分析》中提出，近五年陕西中考数学试题在每个模块下各有侧重，知识分布维度的一致性水平相对最好</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_Ref66131099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[9]</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w:t>
      </w: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三是基于Achieve一致性分析模式，研究试卷在向心性维度、挑战性维度和均衡性维度上与课程标准的一致性水平。2018年陈鹃娟，刘婉悦，方朝玲在《高考数学试题与课程标准一致性研究——以2017年</w:t>
      </w:r>
      <w:r>
        <w:rPr>
          <w:rFonts w:ascii="幼圆" w:eastAsia="幼圆" w:hAnsi="幼圆" w:cs="幼圆" w:hint="eastAsia"/>
          <w:color w:val="000000"/>
          <w:spacing w:val="5"/>
          <w:kern w:val="0"/>
          <w:szCs w:val="24"/>
        </w:rPr>
        <w:t>“</w:t>
      </w:r>
      <w:r>
        <w:rPr>
          <w:rFonts w:ascii="幼圆" w:eastAsia="幼圆" w:hAnsi="幼圆" w:cs="幼圆" w:hint="eastAsia"/>
          <w:color w:val="000000"/>
          <w:spacing w:val="5"/>
          <w:kern w:val="0"/>
          <w:szCs w:val="24"/>
        </w:rPr>
        <w:t>全国Ⅰ卷(理科)</w:t>
      </w:r>
      <w:r>
        <w:rPr>
          <w:rFonts w:ascii="幼圆" w:eastAsia="幼圆" w:hAnsi="幼圆" w:cs="幼圆" w:hint="eastAsia"/>
          <w:color w:val="000000"/>
          <w:spacing w:val="5"/>
          <w:kern w:val="0"/>
          <w:szCs w:val="24"/>
        </w:rPr>
        <w:t>”</w:t>
      </w:r>
      <w:r>
        <w:rPr>
          <w:rFonts w:ascii="幼圆" w:eastAsia="幼圆" w:hAnsi="幼圆" w:cs="幼圆" w:hint="eastAsia"/>
          <w:color w:val="000000"/>
          <w:spacing w:val="5"/>
          <w:kern w:val="0"/>
          <w:szCs w:val="24"/>
        </w:rPr>
        <w:t>为例》中表明试题在范围指标和难度水平指标的一致性都比较低，并对此提出课程教学与试题命制的建议</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_Ref69048502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[10]</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。2019年陈鹃娟等在《基于Achieve模式的2018年全国高考数学试题与最新版课程标准一致性研究》中研究表明，试题在内容向心性上与课程标准的一致性有待提高，但表现向心力、挑战性维度基本与</w:t>
      </w:r>
      <w:r>
        <w:rPr>
          <w:rFonts w:ascii="幼圆" w:eastAsia="幼圆" w:hAnsi="幼圆" w:cs="幼圆" w:hint="eastAsia"/>
          <w:color w:val="000000"/>
          <w:spacing w:val="5"/>
          <w:kern w:val="0"/>
          <w:szCs w:val="24"/>
        </w:rPr>
        <w:t>课程</w:t>
      </w:r>
      <w:r>
        <w:rPr>
          <w:rFonts w:ascii="幼圆" w:eastAsia="幼圆" w:hAnsi="幼圆" w:cs="幼圆" w:hint="eastAsia"/>
          <w:color w:val="000000"/>
          <w:spacing w:val="5"/>
          <w:kern w:val="0"/>
          <w:szCs w:val="24"/>
        </w:rPr>
        <w:t>标准具有一致性</w:t>
      </w:r>
      <w:r>
        <w:rPr>
          <w:rFonts w:ascii="幼圆" w:eastAsia="幼圆" w:hAnsi="幼圆" w:cs="幼圆" w:hint="eastAsia"/>
          <w:color w:val="000000"/>
          <w:spacing w:val="5"/>
          <w:kern w:val="0"/>
          <w:szCs w:val="24"/>
          <w:vertAlign w:val="superscript"/>
        </w:rPr>
        <w:fldChar w:fldCharType="begin"/>
      </w:r>
      <w:r>
        <w:rPr>
          <w:rFonts w:ascii="幼圆" w:eastAsia="幼圆" w:hAnsi="幼圆" w:cs="幼圆" w:hint="eastAsia"/>
          <w:color w:val="000000"/>
          <w:spacing w:val="5"/>
          <w:kern w:val="0"/>
          <w:szCs w:val="24"/>
          <w:vertAlign w:val="superscript"/>
        </w:rPr>
        <w:instrText xml:space="preserve"> REF _Ref69048516 \r \h  \* MERGEFORMAT </w:instrText>
      </w:r>
      <w:r>
        <w:rPr>
          <w:rFonts w:ascii="幼圆" w:eastAsia="幼圆" w:hAnsi="幼圆" w:cs="幼圆" w:hint="eastAsia"/>
          <w:color w:val="000000"/>
          <w:spacing w:val="5"/>
          <w:kern w:val="0"/>
          <w:szCs w:val="24"/>
          <w:vertAlign w:val="superscript"/>
        </w:rPr>
        <w:fldChar w:fldCharType="separate"/>
      </w:r>
      <w:r>
        <w:rPr>
          <w:rFonts w:ascii="幼圆" w:eastAsia="幼圆" w:hAnsi="幼圆" w:cs="幼圆" w:hint="eastAsia"/>
          <w:color w:val="000000"/>
          <w:spacing w:val="5"/>
          <w:kern w:val="0"/>
          <w:szCs w:val="24"/>
          <w:vertAlign w:val="superscript"/>
        </w:rPr>
        <w:t>[11]</w:t>
      </w:r>
      <w:r>
        <w:rPr>
          <w:rFonts w:ascii="幼圆" w:eastAsia="幼圆" w:hAnsi="幼圆" w:cs="幼圆" w:hint="eastAsia"/>
          <w:color w:val="000000"/>
          <w:spacing w:val="5"/>
          <w:kern w:val="0"/>
          <w:szCs w:val="24"/>
          <w:vertAlign w:val="superscript"/>
        </w:rPr>
        <w:fldChar w:fldCharType="end"/>
      </w:r>
      <w:r>
        <w:rPr>
          <w:rFonts w:ascii="幼圆" w:eastAsia="幼圆" w:hAnsi="幼圆" w:cs="幼圆" w:hint="eastAsia"/>
          <w:color w:val="000000"/>
          <w:spacing w:val="5"/>
          <w:kern w:val="0"/>
          <w:szCs w:val="24"/>
        </w:rPr>
        <w:t>。</w:t>
      </w:r>
    </w:p>
    <w:p>
      <w:pPr>
        <w:widowControl/>
        <w:spacing w:before="75" w:after="75" w:line="390" w:lineRule="atLeast"/>
        <w:ind w:firstLine="480" w:firstLineChars="0"/>
        <w:rPr>
          <w:rFonts w:ascii="幼圆" w:eastAsia="幼圆" w:hAnsi="幼圆" w:cs="幼圆" w:hint="eastAsia"/>
          <w:color w:val="000000"/>
          <w:spacing w:val="5"/>
          <w:kern w:val="0"/>
          <w:szCs w:val="24"/>
        </w:rPr>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797" w:bottom="1440" w:left="1797" w:header="851" w:footer="992" w:gutter="0"/>
          <w:pgNumType w:start="2"/>
          <w:cols w:num="1" w:space="425"/>
          <w:titlePg w:val="0"/>
          <w:docGrid w:linePitch="326" w:charSpace="0"/>
        </w:sectPr>
      </w:pPr>
      <w:r>
        <w:rPr>
          <w:rFonts w:ascii="幼圆" w:eastAsia="幼圆" w:hAnsi="幼圆" w:cs="幼圆" w:hint="eastAsia"/>
          <w:color w:val="000000"/>
          <w:spacing w:val="5"/>
          <w:kern w:val="0"/>
          <w:szCs w:val="24"/>
        </w:rPr>
        <w:t>在以上背景以及整理以上关于国内外的研究现状后发现，对湖南省中考数学真题的研究非常少，而对于</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市中考数学卷的研究更是寥寥无几。本研究将对</w:t>
      </w:r>
      <w:r>
        <w:rPr>
          <w:rFonts w:ascii="幼圆" w:eastAsia="幼圆" w:hAnsi="幼圆" w:cs="幼圆" w:hint="eastAsia"/>
          <w:color w:val="000000"/>
          <w:spacing w:val="5"/>
          <w:kern w:val="0"/>
          <w:szCs w:val="24"/>
          <w:lang w:eastAsia="zh-CN"/>
        </w:rPr>
        <w:t>株洲</w:t>
      </w: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市2019年和2020年中考数学试题进行分析，揭示其与课程标准之间的一致性程度，以及在新课改的推进下，近两年</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市中考数学卷的发展与变化。</w:t>
      </w:r>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本文</w:t>
      </w:r>
      <w:r>
        <w:rPr>
          <w:rFonts w:ascii="幼圆" w:eastAsia="幼圆" w:hAnsi="幼圆" w:cs="幼圆" w:hint="eastAsia"/>
          <w:color w:val="000000"/>
          <w:spacing w:val="5"/>
          <w:kern w:val="0"/>
          <w:szCs w:val="24"/>
        </w:rPr>
        <w:t>的</w:t>
      </w:r>
      <w:r>
        <w:rPr>
          <w:rFonts w:ascii="幼圆" w:eastAsia="幼圆" w:hAnsi="幼圆" w:cs="幼圆" w:hint="eastAsia"/>
          <w:color w:val="000000"/>
          <w:spacing w:val="5"/>
          <w:kern w:val="0"/>
          <w:szCs w:val="24"/>
        </w:rPr>
        <w:t>研究方法主要有</w:t>
      </w:r>
      <w:r>
        <w:rPr>
          <w:rFonts w:ascii="幼圆" w:eastAsia="幼圆" w:hAnsi="幼圆" w:cs="幼圆" w:hint="eastAsia"/>
          <w:color w:val="000000"/>
          <w:spacing w:val="5"/>
          <w:kern w:val="0"/>
          <w:szCs w:val="24"/>
        </w:rPr>
        <w:t>：</w:t>
      </w:r>
      <w:r>
        <w:rPr>
          <w:rFonts w:ascii="幼圆" w:eastAsia="幼圆" w:hAnsi="幼圆" w:cs="幼圆" w:hint="eastAsia"/>
          <w:color w:val="000000"/>
          <w:spacing w:val="5"/>
          <w:kern w:val="0"/>
          <w:szCs w:val="24"/>
        </w:rPr>
        <w:t>统计分析法</w:t>
      </w:r>
      <w:r>
        <w:rPr>
          <w:rFonts w:ascii="幼圆" w:eastAsia="幼圆" w:hAnsi="幼圆" w:cs="幼圆" w:hint="eastAsia"/>
          <w:color w:val="000000"/>
          <w:spacing w:val="5"/>
          <w:kern w:val="0"/>
          <w:szCs w:val="24"/>
        </w:rPr>
        <w:t>、</w:t>
      </w:r>
      <w:r>
        <w:rPr>
          <w:rFonts w:ascii="幼圆" w:eastAsia="幼圆" w:hAnsi="幼圆" w:cs="幼圆" w:hint="eastAsia"/>
          <w:color w:val="000000"/>
          <w:spacing w:val="5"/>
          <w:kern w:val="0"/>
          <w:szCs w:val="24"/>
        </w:rPr>
        <w:t>文献法、比较研究法等</w:t>
      </w:r>
      <w:r>
        <w:rPr>
          <w:rFonts w:ascii="幼圆" w:eastAsia="幼圆" w:hAnsi="幼圆" w:cs="幼圆" w:hint="eastAsia"/>
          <w:color w:val="000000"/>
          <w:spacing w:val="5"/>
          <w:kern w:val="0"/>
          <w:szCs w:val="24"/>
        </w:rPr>
        <w:t>。</w:t>
      </w:r>
    </w:p>
    <w:p>
      <w:pPr>
        <w:widowControl/>
        <w:spacing w:before="75" w:after="75" w:line="390" w:lineRule="atLeast"/>
        <w:ind w:firstLine="480" w:firstLineChars="0"/>
        <w:outlineLvl w:val="0"/>
        <w:rPr>
          <w:rFonts w:ascii="幼圆" w:eastAsia="幼圆" w:hAnsi="幼圆" w:cs="幼圆" w:hint="eastAsia"/>
          <w:color w:val="000000"/>
          <w:spacing w:val="5"/>
          <w:kern w:val="0"/>
          <w:szCs w:val="24"/>
        </w:rPr>
      </w:pPr>
      <w:bookmarkStart w:id="3" w:name="_Toc9364"/>
      <w:r>
        <w:rPr>
          <w:rFonts w:ascii="幼圆" w:eastAsia="幼圆" w:hAnsi="幼圆" w:cs="幼圆" w:hint="eastAsia"/>
          <w:color w:val="000000"/>
          <w:spacing w:val="5"/>
          <w:kern w:val="0"/>
          <w:szCs w:val="24"/>
        </w:rPr>
        <w:t>1.文献研究法</w:t>
      </w:r>
      <w:bookmarkEnd w:id="3"/>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研究前期通过中国期刊全文数据库、学校图书馆等渠道查阅与本论文学研究相关的文献资料，在阅读、整理、归纳的基础上总结；</w:t>
      </w:r>
    </w:p>
    <w:p>
      <w:pPr>
        <w:widowControl/>
        <w:spacing w:before="75" w:after="75" w:line="390" w:lineRule="atLeast"/>
        <w:ind w:firstLine="480" w:firstLineChars="0"/>
        <w:outlineLvl w:val="0"/>
        <w:rPr>
          <w:rFonts w:ascii="幼圆" w:eastAsia="幼圆" w:hAnsi="幼圆" w:cs="幼圆" w:hint="eastAsia"/>
          <w:color w:val="000000"/>
          <w:spacing w:val="5"/>
          <w:kern w:val="0"/>
          <w:szCs w:val="24"/>
        </w:rPr>
      </w:pPr>
      <w:bookmarkStart w:id="4" w:name="_Toc26914"/>
      <w:r>
        <w:rPr>
          <w:rFonts w:ascii="幼圆" w:eastAsia="幼圆" w:hAnsi="幼圆" w:cs="幼圆" w:hint="eastAsia"/>
          <w:color w:val="000000"/>
          <w:spacing w:val="5"/>
          <w:kern w:val="0"/>
          <w:szCs w:val="24"/>
        </w:rPr>
        <w:t>2.统计分析法</w:t>
      </w:r>
      <w:bookmarkEnd w:id="4"/>
    </w:p>
    <w:p>
      <w:pPr>
        <w:widowControl/>
        <w:spacing w:before="75" w:after="75" w:line="390" w:lineRule="atLeast"/>
        <w:ind w:firstLine="480" w:firstLineChars="0"/>
        <w:rPr>
          <w:rFonts w:ascii="幼圆" w:eastAsia="幼圆" w:hAnsi="幼圆" w:cs="幼圆" w:hint="eastAsia"/>
          <w:color w:val="000000"/>
          <w:spacing w:val="5"/>
          <w:kern w:val="0"/>
          <w:szCs w:val="24"/>
        </w:rPr>
      </w:pPr>
      <w:r>
        <w:rPr>
          <w:rFonts w:ascii="幼圆" w:eastAsia="幼圆" w:hAnsi="幼圆" w:cs="幼圆" w:hint="eastAsia"/>
          <w:color w:val="000000"/>
          <w:spacing w:val="5"/>
          <w:kern w:val="0"/>
          <w:szCs w:val="24"/>
        </w:rPr>
        <w:t>对2019年与2020年</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市中考数学卷试题进行分析，对每一个试题分值的分布和分值所占的比重进行统计，通过图表进行分析比较；</w:t>
      </w:r>
    </w:p>
    <w:p>
      <w:pPr>
        <w:widowControl/>
        <w:spacing w:before="75" w:after="75" w:line="390" w:lineRule="atLeast"/>
        <w:ind w:firstLine="480" w:firstLineChars="0"/>
        <w:outlineLvl w:val="0"/>
        <w:rPr>
          <w:rFonts w:ascii="幼圆" w:eastAsia="幼圆" w:hAnsi="幼圆" w:cs="幼圆" w:hint="eastAsia"/>
          <w:color w:val="000000"/>
          <w:spacing w:val="5"/>
          <w:kern w:val="0"/>
          <w:szCs w:val="24"/>
        </w:rPr>
      </w:pPr>
      <w:bookmarkStart w:id="5" w:name="_Toc7451"/>
      <w:r>
        <w:rPr>
          <w:rFonts w:ascii="幼圆" w:eastAsia="幼圆" w:hAnsi="幼圆" w:cs="幼圆" w:hint="eastAsia"/>
          <w:color w:val="000000"/>
          <w:spacing w:val="5"/>
          <w:kern w:val="0"/>
          <w:szCs w:val="24"/>
        </w:rPr>
        <w:t>3.比较研究法</w:t>
      </w:r>
      <w:bookmarkEnd w:id="5"/>
    </w:p>
    <w:p>
      <w:pPr>
        <w:widowControl/>
        <w:spacing w:before="75" w:after="75" w:line="390" w:lineRule="atLeast"/>
        <w:ind w:firstLine="500" w:firstLineChars="0"/>
        <w:rPr>
          <w:rFonts w:ascii="幼圆" w:eastAsia="幼圆" w:hAnsi="幼圆" w:cs="幼圆" w:hint="eastAsia"/>
          <w:color w:val="000000"/>
          <w:spacing w:val="5"/>
          <w:kern w:val="0"/>
          <w:szCs w:val="24"/>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797" w:bottom="1440" w:left="1797" w:header="851" w:footer="992" w:gutter="0"/>
          <w:pgNumType w:start="3"/>
          <w:cols w:num="1" w:space="425"/>
          <w:titlePg w:val="0"/>
          <w:docGrid w:linePitch="326" w:charSpace="0"/>
        </w:sectPr>
      </w:pPr>
      <w:r>
        <w:rPr>
          <w:rFonts w:ascii="幼圆" w:eastAsia="幼圆" w:hAnsi="幼圆" w:cs="幼圆" w:hint="eastAsia"/>
          <w:color w:val="000000"/>
          <w:spacing w:val="5"/>
          <w:kern w:val="0"/>
          <w:szCs w:val="24"/>
        </w:rPr>
        <w:t>对2019年与2020年</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市中考数学卷试题按不同维度进行比较，研究近两年</w:t>
      </w:r>
      <w:r>
        <w:rPr>
          <w:rFonts w:ascii="幼圆" w:eastAsia="幼圆" w:hAnsi="幼圆" w:cs="幼圆" w:hint="eastAsia"/>
          <w:color w:val="000000"/>
          <w:spacing w:val="5"/>
          <w:kern w:val="0"/>
          <w:szCs w:val="24"/>
          <w:lang w:eastAsia="zh-CN"/>
        </w:rPr>
        <w:t>株洲</w:t>
      </w:r>
      <w:r>
        <w:rPr>
          <w:rFonts w:ascii="幼圆" w:eastAsia="幼圆" w:hAnsi="幼圆" w:cs="幼圆" w:hint="eastAsia"/>
          <w:color w:val="000000"/>
          <w:spacing w:val="5"/>
          <w:kern w:val="0"/>
          <w:szCs w:val="24"/>
        </w:rPr>
        <w:t>市中考数学卷与课程标准的</w:t>
      </w:r>
      <w:r>
        <w:rPr>
          <w:rFonts w:ascii="幼圆" w:eastAsia="幼圆" w:hAnsi="幼圆" w:cs="幼圆" w:hint="eastAsia"/>
          <w:color w:val="000000"/>
          <w:spacing w:val="5"/>
          <w:kern w:val="0"/>
          <w:szCs w:val="24"/>
        </w:rPr>
        <w:t>一致性</w:t>
      </w:r>
      <w:r>
        <w:rPr>
          <w:rFonts w:ascii="幼圆" w:eastAsia="幼圆" w:hAnsi="幼圆" w:cs="幼圆" w:hint="eastAsia"/>
          <w:color w:val="000000"/>
          <w:spacing w:val="5"/>
          <w:kern w:val="0"/>
          <w:szCs w:val="24"/>
        </w:rPr>
        <w:t>。</w:t>
      </w:r>
    </w:p>
    <w:p>
      <w:pPr>
        <w:pStyle w:val="Heading1"/>
        <w:spacing w:before="120" w:after="120"/>
        <w:rPr>
          <w:rFonts w:ascii="幼圆" w:eastAsia="幼圆" w:hAnsi="幼圆" w:cs="幼圆" w:hint="eastAsia"/>
          <w:color w:val="000000" w:themeColor="text1"/>
          <w14:textFill>
            <w14:solidFill>
              <w14:schemeClr w14:val="tx1"/>
            </w14:solidFill>
          </w14:textFill>
        </w:rPr>
      </w:pPr>
      <w:bookmarkStart w:id="6" w:name="_Toc69052095"/>
      <w:bookmarkStart w:id="7" w:name="_Toc11829"/>
      <w:r>
        <w:rPr>
          <w:rFonts w:ascii="幼圆" w:eastAsia="幼圆" w:hAnsi="幼圆" w:cs="幼圆" w:hint="eastAsia"/>
          <w:color w:val="000000" w:themeColor="text1"/>
          <w14:textFill>
            <w14:solidFill>
              <w14:schemeClr w14:val="tx1"/>
            </w14:solidFill>
          </w14:textFill>
        </w:rPr>
        <w:t>1.一致性研究设计</w:t>
      </w:r>
      <w:bookmarkEnd w:id="6"/>
      <w:bookmarkEnd w:id="7"/>
    </w:p>
    <w:p>
      <w:pPr>
        <w:pStyle w:val="Heading2"/>
        <w:spacing w:before="120" w:after="120"/>
        <w:ind w:left="79" w:firstLine="199" w:leftChars="33" w:firstLineChars="83"/>
        <w:rPr>
          <w:rFonts w:ascii="幼圆" w:eastAsia="幼圆" w:hAnsi="幼圆" w:cs="幼圆" w:hint="eastAsia"/>
          <w:color w:val="000000" w:themeColor="text1"/>
          <w14:textFill>
            <w14:solidFill>
              <w14:schemeClr w14:val="tx1"/>
            </w14:solidFill>
          </w14:textFill>
        </w:rPr>
      </w:pPr>
      <w:bookmarkStart w:id="8" w:name="_Toc69052096"/>
      <w:bookmarkStart w:id="9" w:name="_Toc7689"/>
      <w:r>
        <w:rPr>
          <w:rFonts w:ascii="幼圆" w:eastAsia="幼圆" w:hAnsi="幼圆" w:cs="幼圆" w:hint="eastAsia"/>
          <w:color w:val="000000" w:themeColor="text1"/>
          <w14:textFill>
            <w14:solidFill>
              <w14:schemeClr w14:val="tx1"/>
            </w14:solidFill>
          </w14:textFill>
        </w:rPr>
        <w:t>1.1研究工具介绍</w:t>
      </w:r>
      <w:bookmarkEnd w:id="8"/>
      <w:bookmarkEnd w:id="9"/>
    </w:p>
    <w:p>
      <w:pPr>
        <w:pStyle w:val="Heading3"/>
        <w:spacing w:before="120" w:after="120"/>
        <w:ind w:firstLine="480"/>
        <w:rPr>
          <w:rFonts w:ascii="幼圆" w:eastAsia="幼圆" w:hAnsi="幼圆" w:cs="幼圆" w:hint="eastAsia"/>
          <w:color w:val="000000" w:themeColor="text1"/>
          <w14:textFill>
            <w14:solidFill>
              <w14:schemeClr w14:val="tx1"/>
            </w14:solidFill>
          </w14:textFill>
        </w:rPr>
      </w:pPr>
      <w:bookmarkStart w:id="10" w:name="_Toc69052097"/>
      <w:r>
        <w:rPr>
          <w:rFonts w:ascii="幼圆" w:eastAsia="幼圆" w:hAnsi="幼圆" w:cs="幼圆" w:hint="eastAsia"/>
          <w:color w:val="000000" w:themeColor="text1"/>
          <w14:textFill>
            <w14:solidFill>
              <w14:schemeClr w14:val="tx1"/>
            </w14:solidFill>
          </w14:textFill>
        </w:rPr>
        <w:t>1.1.1韦伯一致性分析模式</w:t>
      </w:r>
      <w:bookmarkEnd w:id="10"/>
      <w:bookmarkStart w:id="11" w:name="_Toc69052098"/>
      <w:r>
        <w:rPr>
          <w:rFonts w:ascii="幼圆" w:eastAsia="幼圆" w:hAnsi="幼圆" w:cs="幼圆" w:hint="eastAsia"/>
          <w:color w:val="000000" w:themeColor="text1"/>
          <w14:textFill>
            <w14:solidFill>
              <w14:schemeClr w14:val="tx1"/>
            </w14:solidFill>
          </w14:textFill>
        </w:rPr>
        <w:t xml:space="preserve"> </w:t>
      </w:r>
    </w:p>
    <w:p>
      <w:pPr>
        <w:ind w:firstLine="500"/>
        <w:rPr>
          <w:rFonts w:ascii="幼圆" w:eastAsia="幼圆" w:hAnsi="幼圆" w:cs="幼圆" w:hint="eastAsia"/>
        </w:rPr>
      </w:pPr>
      <w:r>
        <w:rPr>
          <w:rStyle w:val="ke-check-warning"/>
          <w:rFonts w:ascii="幼圆" w:eastAsia="幼圆" w:hAnsi="幼圆" w:cs="幼圆" w:hint="eastAsia"/>
          <w:color w:val="000000"/>
          <w:spacing w:val="5"/>
        </w:rPr>
        <w:t>本文采用韦伯一致性分析模式来研究</w:t>
      </w:r>
      <w:r>
        <w:rPr>
          <w:rStyle w:val="ke-check-warning"/>
          <w:rFonts w:ascii="幼圆" w:eastAsia="幼圆" w:hAnsi="幼圆" w:cs="幼圆" w:hint="eastAsia"/>
          <w:color w:val="000000"/>
          <w:spacing w:val="5"/>
          <w:lang w:eastAsia="zh-CN"/>
        </w:rPr>
        <w:t>株洲</w:t>
      </w:r>
      <w:r>
        <w:rPr>
          <w:rStyle w:val="ke-check-warning"/>
          <w:rFonts w:ascii="幼圆" w:eastAsia="幼圆" w:hAnsi="幼圆" w:cs="幼圆" w:hint="eastAsia"/>
          <w:color w:val="000000"/>
          <w:spacing w:val="5"/>
        </w:rPr>
        <w:t>市2019年和2020年</w:t>
      </w:r>
      <w:r>
        <w:rPr>
          <w:rFonts w:ascii="幼圆" w:eastAsia="幼圆" w:hAnsi="幼圆" w:cs="幼圆" w:hint="eastAsia"/>
          <w:color w:val="000000"/>
          <w:spacing w:val="5"/>
        </w:rPr>
        <w:t>中考数学试卷与课程标准的一致性。</w:t>
      </w:r>
    </w:p>
    <w:p>
      <w:pPr>
        <w:ind w:firstLine="480"/>
        <w:rPr>
          <w:rFonts w:ascii="幼圆" w:eastAsia="幼圆" w:hAnsi="幼圆" w:cs="幼圆" w:hint="eastAsia"/>
        </w:rPr>
      </w:pPr>
      <w:r>
        <w:rPr>
          <w:rFonts w:ascii="幼圆" w:eastAsia="幼圆" w:hAnsi="幼圆" w:cs="幼圆" w:hint="eastAsia"/>
        </w:rPr>
        <w:t>韦伯一致性分析模式是在20世纪末由诺曼·韦伯（Norman L. Webb）提出的，它给学业评价与课程标准的一致性分析提供了系统的研究方法</w:t>
      </w:r>
      <w:r>
        <w:rPr>
          <w:rFonts w:ascii="幼圆" w:eastAsia="幼圆" w:hAnsi="幼圆" w:cs="幼圆" w:hint="eastAsia"/>
          <w:vertAlign w:val="superscript"/>
        </w:rPr>
        <w:fldChar w:fldCharType="begin"/>
      </w:r>
      <w:r>
        <w:rPr>
          <w:rFonts w:ascii="幼圆" w:eastAsia="幼圆" w:hAnsi="幼圆" w:cs="幼圆" w:hint="eastAsia"/>
          <w:vertAlign w:val="superscript"/>
        </w:rPr>
        <w:instrText xml:space="preserve"> </w:instrText>
      </w:r>
      <w:r>
        <w:rPr>
          <w:rFonts w:ascii="幼圆" w:eastAsia="幼圆" w:hAnsi="幼圆" w:cs="幼圆" w:hint="eastAsia"/>
          <w:vertAlign w:val="superscript"/>
        </w:rPr>
        <w:instrText>REF _Ref68563289 \r \h</w:instrText>
      </w:r>
      <w:r>
        <w:rPr>
          <w:rFonts w:ascii="幼圆" w:eastAsia="幼圆" w:hAnsi="幼圆" w:cs="幼圆" w:hint="eastAsia"/>
          <w:vertAlign w:val="superscript"/>
        </w:rPr>
        <w:instrText xml:space="preserve">  \* MERGEFORMAT </w:instrText>
      </w:r>
      <w:r>
        <w:rPr>
          <w:rFonts w:ascii="幼圆" w:eastAsia="幼圆" w:hAnsi="幼圆" w:cs="幼圆" w:hint="eastAsia"/>
          <w:vertAlign w:val="superscript"/>
        </w:rPr>
        <w:fldChar w:fldCharType="separate"/>
      </w:r>
      <w:r>
        <w:rPr>
          <w:rFonts w:ascii="幼圆" w:eastAsia="幼圆" w:hAnsi="幼圆" w:cs="幼圆" w:hint="eastAsia"/>
          <w:vertAlign w:val="superscript"/>
        </w:rPr>
        <w:t>[12]</w:t>
      </w:r>
      <w:r>
        <w:rPr>
          <w:rFonts w:ascii="幼圆" w:eastAsia="幼圆" w:hAnsi="幼圆" w:cs="幼圆" w:hint="eastAsia"/>
          <w:vertAlign w:val="superscript"/>
        </w:rPr>
        <w:fldChar w:fldCharType="end"/>
      </w:r>
      <w:r>
        <w:rPr>
          <w:rFonts w:ascii="幼圆" w:eastAsia="幼圆" w:hAnsi="幼圆" w:cs="幼圆" w:hint="eastAsia"/>
        </w:rPr>
        <w:t>。韦伯一致性分析模式不仅是一致性研究的重要工具，也是“SEC分析模式”和“Achieve分析模式”发展建立的基础。与此同时，韦伯的一致性分析模型不仅在美国取得了显著的成果，也被世界其他国家和地区广泛借鉴。</w:t>
      </w:r>
    </w:p>
    <w:p>
      <w:pPr>
        <w:pStyle w:val="Heading3"/>
        <w:spacing w:before="120" w:after="120"/>
        <w:ind w:firstLine="480"/>
        <w:rPr>
          <w:rFonts w:ascii="幼圆" w:eastAsia="幼圆" w:hAnsi="幼圆" w:cs="幼圆" w:hint="eastAsia"/>
        </w:rPr>
      </w:pPr>
      <w:r>
        <w:rPr>
          <w:rFonts w:ascii="幼圆" w:eastAsia="幼圆" w:hAnsi="幼圆" w:cs="幼圆" w:hint="eastAsia"/>
        </w:rPr>
        <w:t>1.1.2韦伯一致性分析模式的判断标准</w:t>
      </w:r>
      <w:bookmarkEnd w:id="11"/>
    </w:p>
    <w:p>
      <w:pPr>
        <w:ind w:firstLine="480"/>
        <w:rPr>
          <w:rFonts w:ascii="幼圆" w:eastAsia="幼圆" w:hAnsi="幼圆" w:cs="幼圆" w:hint="eastAsia"/>
        </w:rPr>
      </w:pPr>
      <w:r>
        <w:rPr>
          <w:rFonts w:ascii="幼圆" w:eastAsia="幼圆" w:hAnsi="幼圆" w:cs="幼圆" w:hint="eastAsia"/>
        </w:rPr>
        <w:t>韦伯分析模式主要从知识种类维度、知识广度维度、知识深度维度和知识分布平衡性维度来判别一致性水平。</w:t>
      </w:r>
    </w:p>
    <w:p>
      <w:pPr>
        <w:ind w:firstLine="480"/>
        <w:rPr>
          <w:rFonts w:ascii="幼圆" w:eastAsia="幼圆" w:hAnsi="幼圆" w:cs="幼圆" w:hint="eastAsia"/>
        </w:rPr>
      </w:pPr>
      <w:r>
        <w:rPr>
          <w:rFonts w:ascii="幼圆" w:eastAsia="幼圆" w:hAnsi="幼圆" w:cs="幼圆" w:hint="eastAsia"/>
        </w:rPr>
        <w:t>(1) 知识种类一致性，是判别试题的内容范畴是否和课程标准相同</w:t>
      </w:r>
      <w:r>
        <w:rPr>
          <w:rFonts w:ascii="幼圆" w:eastAsia="幼圆" w:hAnsi="幼圆" w:cs="幼圆" w:hint="eastAsia"/>
          <w:vertAlign w:val="superscript"/>
        </w:rPr>
        <w:fldChar w:fldCharType="begin"/>
      </w:r>
      <w:r>
        <w:rPr>
          <w:rFonts w:ascii="幼圆" w:eastAsia="幼圆" w:hAnsi="幼圆" w:cs="幼圆" w:hint="eastAsia"/>
          <w:vertAlign w:val="superscript"/>
        </w:rPr>
        <w:instrText xml:space="preserve"> </w:instrText>
      </w:r>
      <w:r>
        <w:rPr>
          <w:rFonts w:ascii="幼圆" w:eastAsia="幼圆" w:hAnsi="幼圆" w:cs="幼圆" w:hint="eastAsia"/>
          <w:vertAlign w:val="superscript"/>
        </w:rPr>
        <w:instrText>REF _Ref69048715 \r \h</w:instrText>
      </w:r>
      <w:r>
        <w:rPr>
          <w:rFonts w:ascii="幼圆" w:eastAsia="幼圆" w:hAnsi="幼圆" w:cs="幼圆" w:hint="eastAsia"/>
          <w:vertAlign w:val="superscript"/>
        </w:rPr>
        <w:instrText xml:space="preserve">  \* MERGEFORMAT </w:instrText>
      </w:r>
      <w:r>
        <w:rPr>
          <w:rFonts w:ascii="幼圆" w:eastAsia="幼圆" w:hAnsi="幼圆" w:cs="幼圆" w:hint="eastAsia"/>
          <w:vertAlign w:val="superscript"/>
        </w:rPr>
        <w:fldChar w:fldCharType="separate"/>
      </w:r>
      <w:r>
        <w:rPr>
          <w:rFonts w:ascii="幼圆" w:eastAsia="幼圆" w:hAnsi="幼圆" w:cs="幼圆" w:hint="eastAsia"/>
          <w:vertAlign w:val="superscript"/>
        </w:rPr>
        <w:t>[13]</w:t>
      </w:r>
      <w:r>
        <w:rPr>
          <w:rFonts w:ascii="幼圆" w:eastAsia="幼圆" w:hAnsi="幼圆" w:cs="幼圆" w:hint="eastAsia"/>
          <w:vertAlign w:val="superscript"/>
        </w:rPr>
        <w:fldChar w:fldCharType="end"/>
      </w:r>
      <w:r>
        <w:rPr>
          <w:rFonts w:ascii="幼圆" w:eastAsia="幼圆" w:hAnsi="幼圆" w:cs="幼圆" w:hint="eastAsia"/>
        </w:rPr>
        <w:t>。该维度的可接受水平为：如果试题命中某一学习领域的目标数大于等于6个，则可以判断该学习领域在知识种类维度上与课程标准具备一致性</w:t>
      </w:r>
      <w:r>
        <w:rPr>
          <w:rFonts w:ascii="幼圆" w:eastAsia="幼圆" w:hAnsi="幼圆" w:cs="幼圆" w:hint="eastAsia"/>
          <w:sz w:val="21"/>
          <w:vertAlign w:val="superscript"/>
        </w:rPr>
        <w:fldChar w:fldCharType="begin"/>
      </w:r>
      <w:r>
        <w:rPr>
          <w:rFonts w:ascii="幼圆" w:eastAsia="幼圆" w:hAnsi="幼圆" w:cs="幼圆" w:hint="eastAsia"/>
          <w:sz w:val="21"/>
          <w:vertAlign w:val="superscript"/>
        </w:rPr>
        <w:instrText xml:space="preserve"> </w:instrText>
      </w:r>
      <w:r>
        <w:rPr>
          <w:rFonts w:ascii="幼圆" w:eastAsia="幼圆" w:hAnsi="幼圆" w:cs="幼圆" w:hint="eastAsia"/>
          <w:sz w:val="21"/>
          <w:vertAlign w:val="superscript"/>
        </w:rPr>
        <w:instrText>REF _Ref71375434 \r \h</w:instrText>
      </w:r>
      <w:r>
        <w:rPr>
          <w:rFonts w:ascii="幼圆" w:eastAsia="幼圆" w:hAnsi="幼圆" w:cs="幼圆" w:hint="eastAsia"/>
          <w:sz w:val="21"/>
          <w:vertAlign w:val="superscript"/>
        </w:rPr>
        <w:instrText xml:space="preserve">  \* MERGEFORMAT </w:instrText>
      </w:r>
      <w:r>
        <w:rPr>
          <w:rFonts w:ascii="幼圆" w:eastAsia="幼圆" w:hAnsi="幼圆" w:cs="幼圆" w:hint="eastAsia"/>
          <w:sz w:val="21"/>
          <w:vertAlign w:val="superscript"/>
        </w:rPr>
        <w:fldChar w:fldCharType="separate"/>
      </w:r>
      <w:r>
        <w:rPr>
          <w:rFonts w:ascii="幼圆" w:eastAsia="幼圆" w:hAnsi="幼圆" w:cs="幼圆" w:hint="eastAsia"/>
          <w:sz w:val="21"/>
          <w:vertAlign w:val="superscript"/>
        </w:rPr>
        <w:t>[13]</w:t>
      </w:r>
      <w:r>
        <w:rPr>
          <w:rFonts w:ascii="幼圆" w:eastAsia="幼圆" w:hAnsi="幼圆" w:cs="幼圆" w:hint="eastAsia"/>
          <w:sz w:val="21"/>
          <w:vertAlign w:val="superscript"/>
        </w:rPr>
        <w:fldChar w:fldCharType="end"/>
      </w:r>
      <w:r>
        <w:rPr>
          <w:rFonts w:ascii="幼圆" w:eastAsia="幼圆" w:hAnsi="幼圆" w:cs="幼圆" w:hint="eastAsia"/>
        </w:rPr>
        <w:t>。</w:t>
      </w:r>
    </w:p>
    <w:p>
      <w:pPr>
        <w:ind w:firstLine="480"/>
        <w:rPr>
          <w:rFonts w:ascii="幼圆" w:eastAsia="幼圆" w:hAnsi="幼圆" w:cs="幼圆" w:hint="eastAsia"/>
        </w:rPr>
      </w:pPr>
      <w:r>
        <w:rPr>
          <w:rFonts w:ascii="幼圆" w:eastAsia="幼圆" w:hAnsi="幼圆" w:cs="幼圆" w:hint="eastAsia"/>
        </w:rPr>
        <w:t>(2) 知识深度一致性，是判别试题所考查的知识深度水平的要求是否与课程标准中特定目标对应的知识深度水平要求相一致。该维度的可接受水平为：如果符合课程标准中的具体目标所要求的认知水平或高于认知水平的试题不低于50%，就认为试题在知识深度维度上与课程标准具备一致性。</w:t>
      </w:r>
    </w:p>
    <w:p>
      <w:pPr>
        <w:ind w:firstLine="480"/>
        <w:rPr>
          <w:rFonts w:ascii="幼圆" w:eastAsia="幼圆" w:hAnsi="幼圆" w:cs="幼圆" w:hint="eastAsia"/>
        </w:rPr>
      </w:pPr>
      <w:r>
        <w:rPr>
          <w:rFonts w:ascii="幼圆" w:eastAsia="幼圆" w:hAnsi="幼圆" w:cs="幼圆" w:hint="eastAsia"/>
        </w:rPr>
        <w:t>(3) 知识广度一致性，是判断被测知识的范围是否与课程标准中相应知识内容所要求的知识范围相一致。该维度的可接受水平为：如果试题命中某一学习领域的具体目标的百分比大于等于50%，就认为该学习领域在知识广度维度上与课程标准具备一致性；然而，由于学习领域中的具体目标数量较少，参考大量的国内相关研究方法和韦伯模式的本土化探究，如果试卷击中具体目标的百分比大于40%，就认为试卷的知识广度与课程标准是勉强一致的</w:t>
      </w:r>
      <w:r>
        <w:rPr>
          <w:rFonts w:ascii="幼圆" w:eastAsia="幼圆" w:hAnsi="幼圆" w:cs="幼圆" w:hint="eastAsia"/>
          <w:vertAlign w:val="superscript"/>
        </w:rPr>
        <w:fldChar w:fldCharType="begin"/>
      </w:r>
      <w:r>
        <w:rPr>
          <w:rFonts w:ascii="幼圆" w:eastAsia="幼圆" w:hAnsi="幼圆" w:cs="幼圆" w:hint="eastAsia"/>
          <w:vertAlign w:val="superscript"/>
        </w:rPr>
        <w:instrText xml:space="preserve"> </w:instrText>
      </w:r>
      <w:r>
        <w:rPr>
          <w:rFonts w:ascii="幼圆" w:eastAsia="幼圆" w:hAnsi="幼圆" w:cs="幼圆" w:hint="eastAsia"/>
          <w:vertAlign w:val="superscript"/>
        </w:rPr>
        <w:instrText>REF _Ref71375605 \r \h</w:instrText>
      </w:r>
      <w:r>
        <w:rPr>
          <w:rFonts w:ascii="幼圆" w:eastAsia="幼圆" w:hAnsi="幼圆" w:cs="幼圆" w:hint="eastAsia"/>
          <w:vertAlign w:val="superscript"/>
        </w:rPr>
        <w:instrText xml:space="preserve">  \* MERGEFORMAT </w:instrText>
      </w:r>
      <w:r>
        <w:rPr>
          <w:rFonts w:ascii="幼圆" w:eastAsia="幼圆" w:hAnsi="幼圆" w:cs="幼圆" w:hint="eastAsia"/>
          <w:vertAlign w:val="superscript"/>
        </w:rPr>
        <w:fldChar w:fldCharType="separate"/>
      </w:r>
      <w:r>
        <w:rPr>
          <w:rFonts w:ascii="幼圆" w:eastAsia="幼圆" w:hAnsi="幼圆" w:cs="幼圆" w:hint="eastAsia"/>
          <w:vertAlign w:val="superscript"/>
        </w:rPr>
        <w:t>[14]</w:t>
      </w:r>
      <w:r>
        <w:rPr>
          <w:rFonts w:ascii="幼圆" w:eastAsia="幼圆" w:hAnsi="幼圆" w:cs="幼圆" w:hint="eastAsia"/>
          <w:vertAlign w:val="superscript"/>
        </w:rPr>
        <w:fldChar w:fldCharType="end"/>
      </w:r>
      <w:r>
        <w:rPr>
          <w:rFonts w:ascii="幼圆" w:eastAsia="幼圆" w:hAnsi="幼圆" w:cs="幼圆" w:hint="eastAsia"/>
        </w:rPr>
        <w:t>。</w:t>
      </w:r>
    </w:p>
    <w:p>
      <w:pPr>
        <w:ind w:firstLine="480"/>
        <w:rPr>
          <w:rFonts w:ascii="幼圆" w:eastAsia="幼圆" w:hAnsi="幼圆" w:cs="幼圆" w:hint="eastAsia"/>
        </w:rPr>
      </w:pPr>
      <w:r>
        <w:rPr>
          <w:rFonts w:ascii="幼圆" w:eastAsia="幼圆" w:hAnsi="幼圆" w:cs="幼圆" w:hint="eastAsia"/>
        </w:rPr>
        <w:t>(4) 知识分布平衡性，是判别试题对某些具体目标的考查是否有侧重或重复情况，判断知识范围分布是否均匀。韦伯一致性分析模式在这一维度中采用的量化方法是给出了平衡性指数的计算公式：</w:t>
      </w:r>
    </w:p>
    <w:p>
      <w:pPr>
        <w:spacing w:line="240" w:lineRule="auto"/>
        <w:ind w:firstLine="0" w:firstLineChars="0"/>
        <w:jc w:val="center"/>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position w:val="-24"/>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3.25pt;height:48pt" o:ole="" coordsize="21600,21600" o:preferrelative="t" filled="f" stroked="f">
            <v:stroke joinstyle="miter"/>
            <v:imagedata r:id="rId25" o:title=""/>
            <o:lock v:ext="edit" aspectratio="t"/>
            <w10:anchorlock/>
          </v:shape>
          <o:OLEObject Type="Embed" ProgID="Equation.DSMT4" ShapeID="_x0000_i1025" DrawAspect="Content" ObjectID="_1468075725" r:id="rId26"/>
        </w:object>
      </w:r>
    </w:p>
    <w:p>
      <w:pPr>
        <w:ind w:firstLine="480"/>
        <w:rPr>
          <w:rFonts w:ascii="幼圆" w:eastAsia="幼圆" w:hAnsi="幼圆" w:cs="幼圆" w:hint="eastAsia"/>
        </w:rPr>
        <w:sectPr>
          <w:headerReference w:type="even" r:id="rId27"/>
          <w:headerReference w:type="default" r:id="rId28"/>
          <w:footerReference w:type="even" r:id="rId29"/>
          <w:footerReference w:type="default" r:id="rId30"/>
          <w:headerReference w:type="first" r:id="rId31"/>
          <w:footerReference w:type="first" r:id="rId32"/>
          <w:type w:val="nextPage"/>
          <w:pgSz w:w="11906" w:h="16838"/>
          <w:pgMar w:top="1440" w:right="1797" w:bottom="1440" w:left="1797" w:header="851" w:footer="992" w:gutter="0"/>
          <w:pgNumType w:start="4"/>
          <w:cols w:num="1" w:space="425"/>
          <w:titlePg w:val="0"/>
          <w:docGrid w:linePitch="326" w:charSpace="0"/>
        </w:sectPr>
      </w:pPr>
      <w:r>
        <w:rPr>
          <w:rFonts w:ascii="幼圆" w:eastAsia="幼圆" w:hAnsi="幼圆" w:cs="幼圆" w:hint="eastAsia"/>
        </w:rPr>
        <w:t>在这个公式中，O表示表示击中模块目标数（该模块下具体目标的总数）；</w:t>
      </w:r>
      <w:r>
        <w:rPr>
          <w:rFonts w:ascii="幼圆" w:eastAsia="幼圆" w:hAnsi="幼圆" w:cs="幼圆" w:hint="eastAsia"/>
          <w:position w:val="-12"/>
        </w:rPr>
        <w:object>
          <v:shape id="_x0000_i1026" type="#_x0000_t75" style="width:13.5pt;height:18pt" o:ole="" coordsize="21600,21600" o:preferrelative="t" filled="f" stroked="f">
            <v:stroke joinstyle="miter"/>
            <v:imagedata r:id="rId33" o:title=""/>
            <o:lock v:ext="edit" aspectratio="t"/>
            <w10:anchorlock/>
          </v:shape>
          <o:OLEObject Type="Embed" ProgID="Equation.DSMT4" ShapeID="_x0000_i1026" DrawAspect="Content" ObjectID="_1468075726" r:id="rId34"/>
        </w:object>
      </w:r>
    </w:p>
    <w:p>
      <w:pPr>
        <w:ind w:firstLine="480"/>
        <w:rPr>
          <w:rFonts w:ascii="幼圆" w:eastAsia="幼圆" w:hAnsi="幼圆" w:cs="幼圆" w:hint="eastAsia"/>
        </w:rPr>
      </w:pPr>
      <w:r>
        <w:rPr>
          <w:rFonts w:ascii="幼圆" w:eastAsia="幼圆" w:hAnsi="幼圆" w:cs="幼圆" w:hint="eastAsia"/>
        </w:rPr>
        <w:t>表示此模块下某一个被击中的具体目标所包含的试题数量（表示击中每个目标下的题目数量）；H表示击中该内容标准的题目总数（表示击中该模块的题目数量）。</w:t>
      </w:r>
    </w:p>
    <w:p>
      <w:pPr>
        <w:ind w:firstLine="480"/>
        <w:rPr>
          <w:rFonts w:ascii="幼圆" w:eastAsia="幼圆" w:hAnsi="幼圆" w:cs="幼圆" w:hint="eastAsia"/>
        </w:rPr>
      </w:pPr>
      <w:r>
        <w:rPr>
          <w:rFonts w:ascii="幼圆" w:eastAsia="幼圆" w:hAnsi="幼圆" w:cs="幼圆" w:hint="eastAsia"/>
        </w:rPr>
        <w:t>整个平衡性指数在0到1之间。平衡性指数越接近1说明一致性水平越高，平衡指数为1表示完全一致。在该维度中，可接受水平为：如果试题在某一学习领域的平衡性指数不小于0.7，则认为该学习领域在知识分布平衡度维度上与课程标准具有一致性。</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根据上述介绍得到韦伯一致性分析模式的可接受水平表，如表1-1所示：</w:t>
      </w:r>
    </w:p>
    <w:p>
      <w:pPr>
        <w:spacing w:before="120" w:beforeLines="50"/>
        <w:ind w:firstLine="0" w:firstLineChars="0"/>
        <w:jc w:val="center"/>
        <w:rPr>
          <w:rFonts w:ascii="幼圆" w:eastAsia="幼圆" w:hAnsi="幼圆" w:cs="幼圆" w:hint="eastAsia"/>
          <w:color w:val="000000" w:themeColor="text1"/>
          <w:sz w:val="21"/>
          <w14:textFill>
            <w14:solidFill>
              <w14:schemeClr w14:val="tx1"/>
            </w14:solidFill>
          </w14:textFill>
        </w:rPr>
      </w:pPr>
      <w:r>
        <w:rPr>
          <w:rFonts w:ascii="幼圆" w:eastAsia="幼圆" w:hAnsi="幼圆" w:cs="幼圆" w:hint="eastAsia"/>
          <w:color w:val="000000" w:themeColor="text1"/>
          <w:sz w:val="21"/>
          <w14:textFill>
            <w14:solidFill>
              <w14:schemeClr w14:val="tx1"/>
            </w14:solidFill>
          </w14:textFill>
        </w:rPr>
        <w:t>表1-1韦伯分析模式的可接受水平表</w:t>
      </w:r>
    </w:p>
    <w:tbl>
      <w:tblPr>
        <w:tblStyle w:val="TableGrid0"/>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757"/>
        <w:gridCol w:w="6435"/>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757" w:type="dxa"/>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维度</w:t>
            </w:r>
          </w:p>
        </w:tc>
        <w:tc>
          <w:tcPr>
            <w:tcW w:w="6435"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可接受水平</w:t>
            </w:r>
          </w:p>
        </w:tc>
      </w:tr>
      <w:tr>
        <w:tblPrEx>
          <w:tblW w:w="0" w:type="auto"/>
          <w:jc w:val="center"/>
          <w:tblCellMar>
            <w:top w:w="0" w:type="dxa"/>
            <w:left w:w="108" w:type="dxa"/>
            <w:bottom w:w="0" w:type="dxa"/>
            <w:right w:w="108" w:type="dxa"/>
          </w:tblCellMar>
        </w:tblPrEx>
        <w:trPr>
          <w:jc w:val="center"/>
        </w:trPr>
        <w:tc>
          <w:tcPr>
            <w:tcW w:w="1757"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知识种类</w:t>
            </w:r>
          </w:p>
        </w:tc>
        <w:tc>
          <w:tcPr>
            <w:tcW w:w="6435" w:type="dxa"/>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试题所考查的内容与课程标准内要求目标的次数不能少于6</w:t>
            </w:r>
          </w:p>
        </w:tc>
      </w:tr>
      <w:tr>
        <w:tblPrEx>
          <w:tblW w:w="0" w:type="auto"/>
          <w:jc w:val="center"/>
          <w:tblCellMar>
            <w:top w:w="0" w:type="dxa"/>
            <w:left w:w="108" w:type="dxa"/>
            <w:bottom w:w="0" w:type="dxa"/>
            <w:right w:w="108" w:type="dxa"/>
          </w:tblCellMar>
        </w:tblPrEx>
        <w:trPr>
          <w:jc w:val="center"/>
        </w:trPr>
        <w:tc>
          <w:tcPr>
            <w:tcW w:w="1757"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知识深度</w:t>
            </w:r>
          </w:p>
        </w:tc>
        <w:tc>
          <w:tcPr>
            <w:tcW w:w="6435" w:type="dxa"/>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如果符合课程标准中的具体目标所要求的认知水平或高于认知水平的试题不低于50%</w:t>
            </w:r>
          </w:p>
        </w:tc>
      </w:tr>
      <w:tr>
        <w:tblPrEx>
          <w:tblW w:w="0" w:type="auto"/>
          <w:jc w:val="center"/>
          <w:tblCellMar>
            <w:top w:w="0" w:type="dxa"/>
            <w:left w:w="108" w:type="dxa"/>
            <w:bottom w:w="0" w:type="dxa"/>
            <w:right w:w="108" w:type="dxa"/>
          </w:tblCellMar>
        </w:tblPrEx>
        <w:trPr>
          <w:jc w:val="center"/>
        </w:trPr>
        <w:tc>
          <w:tcPr>
            <w:tcW w:w="1757"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知识广度</w:t>
            </w:r>
          </w:p>
        </w:tc>
        <w:tc>
          <w:tcPr>
            <w:tcW w:w="6435" w:type="dxa"/>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试题中至少有50%符合课程标准中的学习领域被考查（</w:t>
            </w:r>
            <w:r>
              <w:rPr>
                <w:rFonts w:ascii="幼圆" w:eastAsia="幼圆" w:hAnsi="幼圆" w:cs="幼圆" w:hint="eastAsia"/>
                <w:sz w:val="21"/>
                <w:szCs w:val="21"/>
              </w:rPr>
              <w:t>试卷击中具体目标百分比大于</w:t>
            </w:r>
            <w:r>
              <w:rPr>
                <w:rFonts w:ascii="幼圆" w:eastAsia="幼圆" w:hAnsi="幼圆" w:cs="幼圆" w:hint="eastAsia"/>
                <w:color w:val="000000" w:themeColor="text1"/>
                <w:sz w:val="21"/>
                <w:szCs w:val="21"/>
                <w14:textFill>
                  <w14:solidFill>
                    <w14:schemeClr w14:val="tx1"/>
                  </w14:solidFill>
                </w14:textFill>
              </w:rPr>
              <w:t>40%，</w:t>
            </w:r>
            <w:r>
              <w:rPr>
                <w:rFonts w:ascii="幼圆" w:eastAsia="幼圆" w:hAnsi="幼圆" w:cs="幼圆" w:hint="eastAsia"/>
                <w:sz w:val="21"/>
                <w:szCs w:val="21"/>
              </w:rPr>
              <w:t>就认为试题的广度是与课程标准勉强一致的</w:t>
            </w:r>
            <w:r>
              <w:rPr>
                <w:rFonts w:ascii="幼圆" w:eastAsia="幼圆" w:hAnsi="幼圆" w:cs="幼圆" w:hint="eastAsia"/>
                <w:color w:val="000000" w:themeColor="text1"/>
                <w:sz w:val="21"/>
                <w:szCs w:val="21"/>
                <w14:textFill>
                  <w14:solidFill>
                    <w14:schemeClr w14:val="tx1"/>
                  </w14:solidFill>
                </w14:textFill>
              </w:rPr>
              <w:t>）</w:t>
            </w:r>
          </w:p>
        </w:tc>
      </w:tr>
      <w:tr>
        <w:tblPrEx>
          <w:tblW w:w="0" w:type="auto"/>
          <w:jc w:val="center"/>
          <w:tblCellMar>
            <w:top w:w="0" w:type="dxa"/>
            <w:left w:w="108" w:type="dxa"/>
            <w:bottom w:w="0" w:type="dxa"/>
            <w:right w:w="108" w:type="dxa"/>
          </w:tblCellMar>
        </w:tblPrEx>
        <w:trPr>
          <w:jc w:val="center"/>
        </w:trPr>
        <w:tc>
          <w:tcPr>
            <w:tcW w:w="1757"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知识分布平衡度</w:t>
            </w:r>
          </w:p>
        </w:tc>
        <w:tc>
          <w:tcPr>
            <w:tcW w:w="6435" w:type="dxa"/>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试题在某一学习领域的平衡性指数不小于0.7</w:t>
            </w:r>
          </w:p>
        </w:tc>
      </w:tr>
    </w:tbl>
    <w:p>
      <w:pPr>
        <w:pStyle w:val="Heading2"/>
        <w:spacing w:before="120" w:after="120"/>
        <w:ind w:left="79" w:firstLine="199" w:leftChars="33" w:firstLineChars="83"/>
        <w:rPr>
          <w:rFonts w:ascii="幼圆" w:eastAsia="幼圆" w:hAnsi="幼圆" w:cs="幼圆" w:hint="eastAsia"/>
          <w:color w:val="000000" w:themeColor="text1"/>
          <w14:textFill>
            <w14:solidFill>
              <w14:schemeClr w14:val="tx1"/>
            </w14:solidFill>
          </w14:textFill>
        </w:rPr>
      </w:pPr>
      <w:bookmarkStart w:id="12" w:name="_Toc69052099"/>
      <w:bookmarkStart w:id="13" w:name="_Toc9879"/>
      <w:r>
        <w:rPr>
          <w:rFonts w:ascii="幼圆" w:eastAsia="幼圆" w:hAnsi="幼圆" w:cs="幼圆" w:hint="eastAsia"/>
          <w:color w:val="000000" w:themeColor="text1"/>
          <w14:textFill>
            <w14:solidFill>
              <w14:schemeClr w14:val="tx1"/>
            </w14:solidFill>
          </w14:textFill>
        </w:rPr>
        <w:t>1.2编码设计</w:t>
      </w:r>
      <w:bookmarkEnd w:id="12"/>
      <w:bookmarkEnd w:id="13"/>
    </w:p>
    <w:p>
      <w:pPr>
        <w:ind w:firstLine="480"/>
        <w:rPr>
          <w:rFonts w:ascii="幼圆" w:eastAsia="幼圆" w:hAnsi="幼圆" w:cs="幼圆" w:hint="eastAsia"/>
        </w:rPr>
      </w:pPr>
      <w:r>
        <w:rPr>
          <w:rFonts w:ascii="幼圆" w:eastAsia="幼圆" w:hAnsi="幼圆" w:cs="幼圆" w:hint="eastAsia"/>
        </w:rPr>
        <w:t>为了更好地应用韦伯一致性分析模式研究</w:t>
      </w:r>
      <w:r>
        <w:rPr>
          <w:rFonts w:ascii="幼圆" w:eastAsia="幼圆" w:hAnsi="幼圆" w:cs="幼圆" w:hint="eastAsia"/>
          <w:lang w:eastAsia="zh-CN"/>
        </w:rPr>
        <w:t>株洲</w:t>
      </w:r>
      <w:r>
        <w:rPr>
          <w:rFonts w:ascii="幼圆" w:eastAsia="幼圆" w:hAnsi="幼圆" w:cs="幼圆" w:hint="eastAsia"/>
        </w:rPr>
        <w:t>市2019和2020年的中考数学试卷，本文对知识深度的层次、课程标准中的课程内容、试卷都进行相应编码，并通过编码对相关数据进行统计和分析。</w:t>
      </w:r>
    </w:p>
    <w:p>
      <w:pPr>
        <w:pStyle w:val="Heading3"/>
        <w:spacing w:before="120" w:after="120"/>
        <w:ind w:firstLine="480"/>
        <w:rPr>
          <w:rFonts w:ascii="幼圆" w:eastAsia="幼圆" w:hAnsi="幼圆" w:cs="幼圆" w:hint="eastAsia"/>
          <w:color w:val="000000" w:themeColor="text1"/>
          <w14:textFill>
            <w14:solidFill>
              <w14:schemeClr w14:val="tx1"/>
            </w14:solidFill>
          </w14:textFill>
        </w:rPr>
      </w:pPr>
      <w:bookmarkStart w:id="14" w:name="_Toc69052100"/>
      <w:r>
        <w:rPr>
          <w:rFonts w:ascii="幼圆" w:eastAsia="幼圆" w:hAnsi="幼圆" w:cs="幼圆" w:hint="eastAsia"/>
          <w:color w:val="000000" w:themeColor="text1"/>
          <w14:textFill>
            <w14:solidFill>
              <w14:schemeClr w14:val="tx1"/>
            </w14:solidFill>
          </w14:textFill>
        </w:rPr>
        <w:t>1.2.1知识深度水平划分</w:t>
      </w:r>
      <w:bookmarkEnd w:id="14"/>
      <w:r>
        <w:rPr>
          <w:rFonts w:ascii="幼圆" w:eastAsia="幼圆" w:hAnsi="幼圆" w:cs="幼圆" w:hint="eastAsia"/>
          <w:color w:val="000000" w:themeColor="text1"/>
          <w14:textFill>
            <w14:solidFill>
              <w14:schemeClr w14:val="tx1"/>
            </w14:solidFill>
          </w14:textFill>
        </w:rPr>
        <w:t xml:space="preserve"> </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韦伯一致性分析模式是根据美国课程标准的认知水平将知识深度划分为4个层次：回忆（Recall）、概念（Skill/Concept）、策略思维（Strategic Thinking）、拓展思维（Extended Thinking）</w:t>
      </w:r>
      <w:r>
        <w:rPr>
          <w:rFonts w:ascii="幼圆" w:eastAsia="幼圆" w:hAnsi="幼圆" w:cs="幼圆" w:hint="eastAsia"/>
          <w:color w:val="000000" w:themeColor="text1"/>
          <w:vertAlign w:val="superscript"/>
          <w14:textFill>
            <w14:solidFill>
              <w14:schemeClr w14:val="tx1"/>
            </w14:solidFill>
          </w14:textFill>
        </w:rPr>
        <w:fldChar w:fldCharType="begin"/>
      </w:r>
      <w:r>
        <w:rPr>
          <w:rFonts w:ascii="幼圆" w:eastAsia="幼圆" w:hAnsi="幼圆" w:cs="幼圆" w:hint="eastAsia"/>
          <w:color w:val="000000" w:themeColor="text1"/>
          <w:vertAlign w:val="superscript"/>
          <w14:textFill>
            <w14:solidFill>
              <w14:schemeClr w14:val="tx1"/>
            </w14:solidFill>
          </w14:textFill>
        </w:rPr>
        <w:instrText xml:space="preserve"> REF _Ref69048623 \r \h  \* MERGEFORMAT </w:instrText>
      </w:r>
      <w:r>
        <w:rPr>
          <w:rFonts w:ascii="幼圆" w:eastAsia="幼圆" w:hAnsi="幼圆" w:cs="幼圆" w:hint="eastAsia"/>
          <w:color w:val="000000" w:themeColor="text1"/>
          <w:vertAlign w:val="superscript"/>
          <w14:textFill>
            <w14:solidFill>
              <w14:schemeClr w14:val="tx1"/>
            </w14:solidFill>
          </w14:textFill>
        </w:rPr>
        <w:fldChar w:fldCharType="separate"/>
      </w:r>
      <w:r>
        <w:rPr>
          <w:rFonts w:ascii="幼圆" w:eastAsia="幼圆" w:hAnsi="幼圆" w:cs="幼圆" w:hint="eastAsia"/>
          <w:color w:val="000000" w:themeColor="text1"/>
          <w:vertAlign w:val="superscript"/>
          <w14:textFill>
            <w14:solidFill>
              <w14:schemeClr w14:val="tx1"/>
            </w14:solidFill>
          </w14:textFill>
        </w:rPr>
        <w:t>[15]</w:t>
      </w:r>
      <w:r>
        <w:rPr>
          <w:rFonts w:ascii="幼圆" w:eastAsia="幼圆" w:hAnsi="幼圆" w:cs="幼圆" w:hint="eastAsia"/>
          <w:color w:val="000000" w:themeColor="text1"/>
          <w:vertAlign w:val="superscript"/>
          <w14:textFill>
            <w14:solidFill>
              <w14:schemeClr w14:val="tx1"/>
            </w14:solidFill>
          </w14:textFill>
        </w:rPr>
        <w:fldChar w:fldCharType="end"/>
      </w:r>
      <w:r>
        <w:rPr>
          <w:rFonts w:ascii="幼圆" w:eastAsia="幼圆" w:hAnsi="幼圆" w:cs="幼圆" w:hint="eastAsia"/>
          <w:color w:val="000000" w:themeColor="text1"/>
          <w14:textFill>
            <w14:solidFill>
              <w14:schemeClr w14:val="tx1"/>
            </w14:solidFill>
          </w14:textFill>
        </w:rPr>
        <w:t>。这与我国的课程标准相比还有一定的差异，所以不能直接按照韦伯一致性分析模式的划分等级对我国的课程标准进行知识深度水平编码。现按照我国课程标准中对有关行为动词的分类与韦伯分析模式中知识深度层次将其进行适当的本土化改造，划分为A、B、C、D共4个等级进行编码。如在课程标准中的一条具体目标为“了解平方根的概念”，则对应知识深度水平的编码为A. 具体的编码水平和相应行为动词对应表如下表1-2所示。</w:t>
      </w:r>
    </w:p>
    <w:p>
      <w:pPr>
        <w:spacing w:before="120" w:beforeLines="50"/>
        <w:ind w:firstLine="0" w:firstLineChars="0"/>
        <w:jc w:val="center"/>
        <w:rPr>
          <w:rFonts w:ascii="幼圆" w:eastAsia="幼圆" w:hAnsi="幼圆" w:cs="幼圆" w:hint="eastAsia"/>
          <w:color w:val="000000" w:themeColor="text1"/>
          <w:sz w:val="21"/>
          <w14:textFill>
            <w14:solidFill>
              <w14:schemeClr w14:val="tx1"/>
            </w14:solidFill>
          </w14:textFill>
        </w:rPr>
      </w:pPr>
      <w:r>
        <w:rPr>
          <w:rFonts w:ascii="幼圆" w:eastAsia="幼圆" w:hAnsi="幼圆" w:cs="幼圆" w:hint="eastAsia"/>
          <w:color w:val="000000" w:themeColor="text1"/>
          <w:sz w:val="21"/>
          <w14:textFill>
            <w14:solidFill>
              <w14:schemeClr w14:val="tx1"/>
            </w14:solidFill>
          </w14:textFill>
        </w:rPr>
        <w:t>表1-2 知识深度水平划分表</w:t>
      </w:r>
    </w:p>
    <w:tbl>
      <w:tblPr>
        <w:tblStyle w:val="TableGrid0"/>
        <w:tblW w:w="7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4"/>
        <w:gridCol w:w="6123"/>
      </w:tblGrid>
      <w:tr>
        <w:tblPrEx>
          <w:tblW w:w="7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644"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知识深度水平</w:t>
            </w:r>
          </w:p>
        </w:tc>
        <w:tc>
          <w:tcPr>
            <w:tcW w:w="6123"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行为动词</w:t>
            </w:r>
          </w:p>
        </w:tc>
      </w:tr>
    </w:tbl>
    <w:p>
      <w:pPr>
        <w:sectPr>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797" w:bottom="1440" w:left="1797" w:header="851" w:footer="992" w:gutter="0"/>
          <w:pgNumType w:start="5"/>
          <w:cols w:num="1" w:space="425"/>
          <w:titlePg w:val="0"/>
          <w:docGrid w:linePitch="326" w:charSpace="0"/>
        </w:sectPr>
      </w:pPr>
    </w:p>
    <w:tbl>
      <w:tblPr>
        <w:tblStyle w:val="TableGrid1"/>
        <w:tblW w:w="7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44"/>
        <w:gridCol w:w="6123"/>
      </w:tblGrid>
      <w:tr>
        <w:tblPrEx>
          <w:tblW w:w="77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644"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A</w:t>
            </w:r>
          </w:p>
        </w:tc>
        <w:tc>
          <w:tcPr>
            <w:tcW w:w="6123" w:type="dxa"/>
            <w:vAlign w:val="center"/>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了解</w:t>
            </w:r>
            <w:r>
              <w:rPr>
                <w:rFonts w:ascii="幼圆" w:eastAsia="幼圆" w:hAnsi="幼圆" w:cs="幼圆" w:hint="eastAsia"/>
                <w:color w:val="000000" w:themeColor="text1"/>
                <w:sz w:val="21"/>
                <w:szCs w:val="21"/>
                <w14:textFill>
                  <w14:solidFill>
                    <w14:schemeClr w14:val="tx1"/>
                  </w14:solidFill>
                </w14:textFill>
              </w:rPr>
              <w:t>；知道；初步认识；体会；识别；感受；经历；感知；认识并欣赏</w:t>
            </w:r>
          </w:p>
        </w:tc>
      </w:tr>
      <w:tr>
        <w:tblPrEx>
          <w:tblW w:w="7767" w:type="dxa"/>
          <w:jc w:val="center"/>
          <w:tblCellMar>
            <w:top w:w="0" w:type="dxa"/>
            <w:left w:w="108" w:type="dxa"/>
            <w:bottom w:w="0" w:type="dxa"/>
            <w:right w:w="108" w:type="dxa"/>
          </w:tblCellMar>
        </w:tblPrEx>
        <w:trPr>
          <w:jc w:val="center"/>
        </w:trPr>
        <w:tc>
          <w:tcPr>
            <w:tcW w:w="1644"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B</w:t>
            </w:r>
          </w:p>
        </w:tc>
        <w:tc>
          <w:tcPr>
            <w:tcW w:w="6123" w:type="dxa"/>
            <w:vAlign w:val="center"/>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理解</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认识</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会</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表示</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表达</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说明</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描述</w:t>
            </w:r>
            <w:r>
              <w:rPr>
                <w:rFonts w:ascii="幼圆" w:eastAsia="幼圆" w:hAnsi="幼圆" w:cs="幼圆" w:hint="eastAsia"/>
                <w:color w:val="000000" w:themeColor="text1"/>
                <w:sz w:val="21"/>
                <w:szCs w:val="21"/>
                <w14:textFill>
                  <w14:solidFill>
                    <w14:schemeClr w14:val="tx1"/>
                  </w14:solidFill>
                </w14:textFill>
              </w:rPr>
              <w:t>；比较；</w:t>
            </w:r>
            <w:r>
              <w:rPr>
                <w:rFonts w:ascii="幼圆" w:eastAsia="幼圆" w:hAnsi="幼圆" w:cs="幼圆" w:hint="eastAsia"/>
                <w:color w:val="000000" w:themeColor="text1"/>
                <w:sz w:val="21"/>
                <w:szCs w:val="21"/>
                <w14:textFill>
                  <w14:solidFill>
                    <w14:schemeClr w14:val="tx1"/>
                  </w14:solidFill>
                </w14:textFill>
              </w:rPr>
              <w:t>初步讨论</w:t>
            </w:r>
          </w:p>
        </w:tc>
      </w:tr>
      <w:tr>
        <w:tblPrEx>
          <w:tblW w:w="7767" w:type="dxa"/>
          <w:jc w:val="center"/>
          <w:tblCellMar>
            <w:top w:w="0" w:type="dxa"/>
            <w:left w:w="108" w:type="dxa"/>
            <w:bottom w:w="0" w:type="dxa"/>
            <w:right w:w="108" w:type="dxa"/>
          </w:tblCellMar>
        </w:tblPrEx>
        <w:trPr>
          <w:jc w:val="center"/>
        </w:trPr>
        <w:tc>
          <w:tcPr>
            <w:tcW w:w="1644"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C</w:t>
            </w:r>
          </w:p>
        </w:tc>
        <w:tc>
          <w:tcPr>
            <w:tcW w:w="6123" w:type="dxa"/>
            <w:vAlign w:val="center"/>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掌握</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能</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分析</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探索</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探究</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进一步理解</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提出建议</w:t>
            </w:r>
          </w:p>
        </w:tc>
      </w:tr>
      <w:tr>
        <w:tblPrEx>
          <w:tblW w:w="7767" w:type="dxa"/>
          <w:jc w:val="center"/>
          <w:tblCellMar>
            <w:top w:w="0" w:type="dxa"/>
            <w:left w:w="108" w:type="dxa"/>
            <w:bottom w:w="0" w:type="dxa"/>
            <w:right w:w="108" w:type="dxa"/>
          </w:tblCellMar>
        </w:tblPrEx>
        <w:trPr>
          <w:jc w:val="center"/>
        </w:trPr>
        <w:tc>
          <w:tcPr>
            <w:tcW w:w="1644" w:type="dxa"/>
            <w:vAlign w:val="center"/>
          </w:tcPr>
          <w:p>
            <w:pPr>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D</w:t>
            </w:r>
          </w:p>
        </w:tc>
        <w:tc>
          <w:tcPr>
            <w:tcW w:w="6123" w:type="dxa"/>
            <w:vAlign w:val="center"/>
          </w:tcPr>
          <w:p>
            <w:pPr>
              <w:ind w:firstLine="0" w:firstLineChars="0"/>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运用</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证明</w:t>
            </w:r>
            <w:r>
              <w:rPr>
                <w:rFonts w:ascii="幼圆" w:eastAsia="幼圆" w:hAnsi="幼圆" w:cs="幼圆" w:hint="eastAsia"/>
                <w:color w:val="000000" w:themeColor="text1"/>
                <w:sz w:val="21"/>
                <w:szCs w:val="21"/>
                <w14:textFill>
                  <w14:solidFill>
                    <w14:schemeClr w14:val="tx1"/>
                  </w14:solidFill>
                </w14:textFill>
              </w:rPr>
              <w:t>；</w:t>
            </w:r>
            <w:r>
              <w:rPr>
                <w:rFonts w:ascii="幼圆" w:eastAsia="幼圆" w:hAnsi="幼圆" w:cs="幼圆" w:hint="eastAsia"/>
                <w:color w:val="000000" w:themeColor="text1"/>
                <w:sz w:val="21"/>
                <w:szCs w:val="21"/>
                <w14:textFill>
                  <w14:solidFill>
                    <w14:schemeClr w14:val="tx1"/>
                  </w14:solidFill>
                </w14:textFill>
              </w:rPr>
              <w:t>解决问题</w:t>
            </w:r>
          </w:p>
        </w:tc>
      </w:tr>
    </w:tbl>
    <w:p>
      <w:pPr>
        <w:pStyle w:val="Heading3"/>
        <w:spacing w:before="120" w:after="120"/>
        <w:ind w:firstLine="480"/>
        <w:rPr>
          <w:rFonts w:ascii="幼圆" w:eastAsia="幼圆" w:hAnsi="幼圆" w:cs="幼圆" w:hint="eastAsia"/>
          <w:color w:val="000000" w:themeColor="text1"/>
          <w14:textFill>
            <w14:solidFill>
              <w14:schemeClr w14:val="tx1"/>
            </w14:solidFill>
          </w14:textFill>
        </w:rPr>
      </w:pPr>
      <w:bookmarkStart w:id="15" w:name="_Toc69052101"/>
      <w:r>
        <w:rPr>
          <w:rFonts w:ascii="幼圆" w:eastAsia="幼圆" w:hAnsi="幼圆" w:cs="幼圆" w:hint="eastAsia"/>
          <w:color w:val="000000" w:themeColor="text1"/>
          <w14:textFill>
            <w14:solidFill>
              <w14:schemeClr w14:val="tx1"/>
            </w14:solidFill>
          </w14:textFill>
        </w:rPr>
        <w:t>1.2.2对初中课程标准的编码</w:t>
      </w:r>
      <w:bookmarkEnd w:id="15"/>
      <w:r>
        <w:rPr>
          <w:rFonts w:ascii="幼圆" w:eastAsia="幼圆" w:hAnsi="幼圆" w:cs="幼圆" w:hint="eastAsia"/>
          <w:color w:val="000000" w:themeColor="text1"/>
          <w14:textFill>
            <w14:solidFill>
              <w14:schemeClr w14:val="tx1"/>
            </w14:solidFill>
          </w14:textFill>
        </w:rPr>
        <w:t xml:space="preserve">  </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t>课程标准将第三阶段（7-9年级）的课程内容结构分为数与代数、图形与几何、统计与概率、综合与实践四个模块</w:t>
      </w:r>
      <w:r>
        <w:rPr>
          <w:rFonts w:ascii="幼圆" w:eastAsia="幼圆" w:hAnsi="幼圆" w:cs="幼圆" w:hint="eastAsia"/>
          <w:color w:val="000000" w:themeColor="text1"/>
          <w:vertAlign w:val="superscript"/>
          <w14:textFill>
            <w14:solidFill>
              <w14:schemeClr w14:val="tx1"/>
            </w14:solidFill>
          </w14:textFill>
        </w:rPr>
        <w:fldChar w:fldCharType="begin"/>
      </w:r>
      <w:r>
        <w:rPr>
          <w:rFonts w:ascii="幼圆" w:eastAsia="幼圆" w:hAnsi="幼圆" w:cs="幼圆" w:hint="eastAsia"/>
          <w:color w:val="000000" w:themeColor="text1"/>
          <w:vertAlign w:val="superscript"/>
          <w14:textFill>
            <w14:solidFill>
              <w14:schemeClr w14:val="tx1"/>
            </w14:solidFill>
          </w14:textFill>
        </w:rPr>
        <w:instrText xml:space="preserve"> </w:instrText>
      </w:r>
      <w:r>
        <w:rPr>
          <w:rFonts w:ascii="幼圆" w:eastAsia="幼圆" w:hAnsi="幼圆" w:cs="幼圆" w:hint="eastAsia"/>
          <w:color w:val="000000" w:themeColor="text1"/>
          <w:vertAlign w:val="superscript"/>
          <w14:textFill>
            <w14:solidFill>
              <w14:schemeClr w14:val="tx1"/>
            </w14:solidFill>
          </w14:textFill>
        </w:rPr>
        <w:instrText>REF _Ref69048572 \r \h</w:instrText>
      </w:r>
      <w:r>
        <w:rPr>
          <w:rFonts w:ascii="幼圆" w:eastAsia="幼圆" w:hAnsi="幼圆" w:cs="幼圆" w:hint="eastAsia"/>
          <w:color w:val="000000" w:themeColor="text1"/>
          <w:vertAlign w:val="superscript"/>
          <w14:textFill>
            <w14:solidFill>
              <w14:schemeClr w14:val="tx1"/>
            </w14:solidFill>
          </w14:textFill>
        </w:rPr>
        <w:instrText xml:space="preserve">  \* MERGEFORMAT </w:instrText>
      </w:r>
      <w:r>
        <w:rPr>
          <w:rFonts w:ascii="幼圆" w:eastAsia="幼圆" w:hAnsi="幼圆" w:cs="幼圆" w:hint="eastAsia"/>
          <w:color w:val="000000" w:themeColor="text1"/>
          <w:vertAlign w:val="superscript"/>
          <w14:textFill>
            <w14:solidFill>
              <w14:schemeClr w14:val="tx1"/>
            </w14:solidFill>
          </w14:textFill>
        </w:rPr>
        <w:fldChar w:fldCharType="separate"/>
      </w:r>
      <w:r>
        <w:rPr>
          <w:rFonts w:ascii="幼圆" w:eastAsia="幼圆" w:hAnsi="幼圆" w:cs="幼圆" w:hint="eastAsia"/>
          <w:color w:val="000000" w:themeColor="text1"/>
          <w:vertAlign w:val="superscript"/>
          <w14:textFill>
            <w14:solidFill>
              <w14:schemeClr w14:val="tx1"/>
            </w14:solidFill>
          </w14:textFill>
        </w:rPr>
        <w:t>[16]</w:t>
      </w:r>
      <w:r>
        <w:rPr>
          <w:rFonts w:ascii="幼圆" w:eastAsia="幼圆" w:hAnsi="幼圆" w:cs="幼圆" w:hint="eastAsia"/>
          <w:color w:val="000000" w:themeColor="text1"/>
          <w:vertAlign w:val="superscript"/>
          <w14:textFill>
            <w14:solidFill>
              <w14:schemeClr w14:val="tx1"/>
            </w14:solidFill>
          </w14:textFill>
        </w:rPr>
        <w:fldChar w:fldCharType="end"/>
      </w:r>
      <w:r>
        <w:rPr>
          <w:rFonts w:ascii="幼圆" w:eastAsia="幼圆" w:hAnsi="幼圆" w:cs="幼圆" w:hint="eastAsia"/>
          <w:color w:val="000000" w:themeColor="text1"/>
          <w14:textFill>
            <w14:solidFill>
              <w14:schemeClr w14:val="tx1"/>
            </w14:solidFill>
          </w14:textFill>
        </w:rPr>
        <w:t>。如下图1-1所示：</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rPr>
        <w:drawing>
          <wp:anchor distT="0" distB="0" distL="114300" distR="114300" simplePos="0" relativeHeight="251659264" behindDoc="0" locked="0" layoutInCell="1" allowOverlap="1">
            <wp:simplePos x="0" y="0"/>
            <wp:positionH relativeFrom="column">
              <wp:posOffset>595630</wp:posOffset>
            </wp:positionH>
            <wp:positionV relativeFrom="paragraph">
              <wp:posOffset>148590</wp:posOffset>
            </wp:positionV>
            <wp:extent cx="3568700" cy="2581275"/>
            <wp:effectExtent l="0" t="0" r="0" b="9525"/>
            <wp:wrapSquare wrapText="bothSides"/>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0" y="0"/>
                      <a:ext cx="3568700" cy="2581275"/>
                    </a:xfrm>
                    <a:prstGeom prst="rect">
                      <a:avLst/>
                    </a:prstGeom>
                  </pic:spPr>
                </pic:pic>
              </a:graphicData>
            </a:graphic>
          </wp:anchor>
        </w:drawing>
      </w: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ind w:firstLine="480"/>
        <w:rPr>
          <w:rFonts w:ascii="幼圆" w:eastAsia="幼圆" w:hAnsi="幼圆" w:cs="幼圆" w:hint="eastAsia"/>
          <w:color w:val="000000" w:themeColor="text1"/>
          <w14:textFill>
            <w14:solidFill>
              <w14:schemeClr w14:val="tx1"/>
            </w14:solidFill>
          </w14:textFill>
        </w:rPr>
      </w:pPr>
    </w:p>
    <w:p>
      <w:pPr>
        <w:spacing w:after="120" w:afterLines="50" w:line="240" w:lineRule="auto"/>
        <w:ind w:firstLine="0" w:firstLineChars="0"/>
        <w:jc w:val="center"/>
        <w:rPr>
          <w:rFonts w:ascii="幼圆" w:eastAsia="幼圆" w:hAnsi="幼圆" w:cs="幼圆" w:hint="eastAsia"/>
          <w:color w:val="000000" w:themeColor="text1"/>
          <w:sz w:val="21"/>
          <w:szCs w:val="21"/>
          <w14:textFill>
            <w14:solidFill>
              <w14:schemeClr w14:val="tx1"/>
            </w14:solidFill>
          </w14:textFill>
        </w:rPr>
      </w:pPr>
      <w:r>
        <w:rPr>
          <w:rFonts w:ascii="幼圆" w:eastAsia="幼圆" w:hAnsi="幼圆" w:cs="幼圆" w:hint="eastAsia"/>
          <w:color w:val="000000" w:themeColor="text1"/>
          <w:sz w:val="21"/>
          <w:szCs w:val="21"/>
          <w14:textFill>
            <w14:solidFill>
              <w14:schemeClr w14:val="tx1"/>
            </w14:solidFill>
          </w14:textFill>
        </w:rPr>
        <w:t>图1-1 初中数学课程标准中课程内容结构示意图</w:t>
      </w:r>
    </w:p>
    <w:p>
      <w:pPr>
        <w:ind w:firstLine="500"/>
        <w:rPr>
          <w:rFonts w:ascii="幼圆" w:eastAsia="幼圆" w:hAnsi="幼圆" w:cs="幼圆" w:hint="eastAsia"/>
          <w:color w:val="000000"/>
          <w:spacing w:val="5"/>
        </w:rPr>
      </w:pPr>
      <w:r>
        <w:rPr>
          <w:rStyle w:val="ke-check-warning"/>
          <w:rFonts w:ascii="幼圆" w:eastAsia="幼圆" w:hAnsi="幼圆" w:cs="幼圆" w:hint="eastAsia"/>
          <w:color w:val="000000"/>
          <w:spacing w:val="5"/>
        </w:rPr>
        <w:t>将韦伯“金字塔”式的目标体系与我国课程标准内容编排的特点相结合，本文将其本土化改造为4个目标体系，如下图1-2所示</w:t>
      </w:r>
      <w:r>
        <w:rPr>
          <w:rFonts w:ascii="幼圆" w:eastAsia="幼圆" w:hAnsi="幼圆" w:cs="幼圆" w:hint="eastAsia"/>
          <w:color w:val="000000"/>
          <w:spacing w:val="5"/>
        </w:rPr>
        <w:t>：</w:t>
      </w:r>
    </w:p>
    <w:p>
      <w:pPr>
        <w:ind w:firstLine="480"/>
        <w:rPr>
          <w:rFonts w:ascii="幼圆" w:eastAsia="幼圆" w:hAnsi="幼圆" w:cs="幼圆" w:hint="eastAsia"/>
          <w:color w:val="000000" w:themeColor="text1"/>
          <w14:textFill>
            <w14:solidFill>
              <w14:schemeClr w14:val="tx1"/>
            </w14:solidFill>
          </w14:textFill>
        </w:rPr>
      </w:pPr>
      <w:r>
        <w:rPr>
          <w:rFonts w:ascii="幼圆" w:eastAsia="幼圆" w:hAnsi="幼圆" w:cs="幼圆" w:hint="eastAsia"/>
          <w:color w:val="000000" w:themeColor="text1"/>
          <w14:textFill>
            <w14:solidFill>
              <w14:schemeClr w14:val="tx1"/>
            </w14:solidFill>
          </w14:textFill>
        </w:rPr>
        <w:drawing>
          <wp:anchor distT="0" distB="0" distL="114300" distR="114300" simplePos="0" relativeHeight="251658240" behindDoc="1" locked="0" layoutInCell="1" allowOverlap="1">
            <wp:simplePos x="0" y="0"/>
            <wp:positionH relativeFrom="column">
              <wp:posOffset>718185</wp:posOffset>
            </wp:positionH>
            <wp:positionV relativeFrom="paragraph">
              <wp:posOffset>90805</wp:posOffset>
            </wp:positionV>
            <wp:extent cx="3843020" cy="2228850"/>
            <wp:effectExtent l="0" t="0" r="5080" b="0"/>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a:xfrm>
                      <a:off x="0" y="0"/>
                      <a:ext cx="3843020" cy="2228850"/>
                    </a:xfrm>
                    <a:prstGeom prst="rect">
                      <a:avLst/>
                    </a:prstGeom>
                  </pic:spPr>
                </pic:pic>
              </a:graphicData>
            </a:graphic>
          </wp:anchor>
        </w:drawing>
      </w: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pPr>
    </w:p>
    <w:p>
      <w:pPr>
        <w:spacing w:line="240" w:lineRule="auto"/>
        <w:ind w:firstLine="0" w:firstLineChars="0"/>
        <w:rPr>
          <w:rFonts w:ascii="幼圆" w:eastAsia="幼圆" w:hAnsi="幼圆" w:cs="幼圆" w:hint="eastAsia"/>
          <w:color w:val="000000" w:themeColor="text1"/>
          <w14:textFill>
            <w14:solidFill>
              <w14:schemeClr w14:val="tx1"/>
            </w14:solidFill>
          </w14:textFill>
        </w:r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797" w:bottom="1440" w:left="1797" w:header="851" w:footer="992" w:gutter="0"/>
          <w:pgNumType w:start="6"/>
          <w:cols w:num="1" w:space="425"/>
          <w:titlePg w:val="0"/>
          <w:docGrid w:linePitch="326" w:charSpace="0"/>
        </w:sectPr>
      </w:pPr>
    </w:p>
    <w:p>
      <w:pPr>
        <w:spacing w:after="120" w:afterLines="50"/>
        <w:ind w:firstLine="0" w:firstLineChars="0"/>
        <w:jc w:val="center"/>
        <w:rPr>
          <w:rFonts w:ascii="幼圆" w:eastAsia="幼圆" w:hAnsi="幼圆" w:cs="幼圆" w:hint="eastAsia"/>
          <w:color w:val="000000" w:themeColor="text1"/>
          <w:sz w:val="21"/>
          <w14:textFill>
            <w14:solidFill>
              <w14:schemeClr w14:val="tx1"/>
            </w14:solidFill>
          </w14:textFill>
        </w:rPr>
      </w:pPr>
      <w:r>
        <w:rPr>
          <w:rFonts w:ascii="幼圆" w:eastAsia="幼圆" w:hAnsi="幼圆" w:cs="幼圆" w:hint="eastAsia"/>
          <w:color w:val="000000" w:themeColor="text1"/>
          <w:sz w:val="21"/>
          <w14:textFill>
            <w14:solidFill>
              <w14:schemeClr w14:val="tx1"/>
            </w14:solidFill>
          </w14:textFill>
        </w:rPr>
        <w:t>图1-2 层次目标体系</w:t>
      </w:r>
    </w:p>
    <w:p>
      <w:pPr>
        <w:ind w:firstLine="480"/>
        <w:rPr>
          <w:rFonts w:ascii="幼圆" w:eastAsia="幼圆" w:hAnsi="幼圆" w:cs="幼圆" w:hint="eastAsia"/>
        </w:rPr>
      </w:pPr>
      <w:r>
        <w:rPr>
          <w:rFonts w:ascii="幼圆" w:eastAsia="幼圆" w:hAnsi="幼圆" w:cs="幼圆" w:hint="eastAsia"/>
        </w:rPr>
        <w:t>（1）学习模块。课程标准设置了4个模块的课程内容：“数与代数”、“图形与几何”、“统计与概率”、“综合与实践”。其中“综合与实践”学习模块是以问题为载体，主要目的是培养学生可以综合运用相关知识与方法解决实际问题的能力。这个模块的评价形式主要是将研究的过程和结果形成结果报告或者小论文，不太适合进行卷面测验，因此本文仅对其他3个学习模块进行编码。</w:t>
      </w:r>
    </w:p>
    <w:p>
      <w:pPr>
        <w:ind w:firstLine="480"/>
        <w:rPr>
          <w:rFonts w:ascii="幼圆" w:eastAsia="幼圆" w:hAnsi="幼圆" w:cs="幼圆" w:hint="eastAsia"/>
        </w:rPr>
      </w:pPr>
      <w:r>
        <w:rPr>
          <w:rFonts w:ascii="幼圆" w:eastAsia="幼圆" w:hAnsi="幼圆" w:cs="幼圆" w:hint="eastAsia"/>
        </w:rPr>
        <w:t>（2）学习领域，课程标准共设置了九个学习领域。虽然“统计与概率”学习模块分为“抽样与数据分析”和“事件的概率”两个学习领域，但其中所涉及的内容不多，本文将其合并称为“统计与概率”学习领域。因此，本文将从“数与式”、“方程与不等式”、“函数”、“图形的性质”、“图形的变换”、“图形与坐标”、“统计与概率”七个学习领域来进行编码设计。</w:t>
      </w:r>
    </w:p>
    <w:p>
      <w:pPr>
        <w:ind w:firstLine="480"/>
        <w:rPr>
          <w:rFonts w:ascii="幼圆" w:eastAsia="幼圆" w:hAnsi="幼圆" w:cs="幼圆" w:hint="eastAsia"/>
        </w:rPr>
      </w:pPr>
      <w:r>
        <w:rPr>
          <w:rFonts w:ascii="幼圆" w:eastAsia="幼圆" w:hAnsi="幼圆" w:cs="幼圆" w:hint="eastAsia"/>
        </w:rPr>
        <w:t>（3）</w:t>
      </w:r>
      <w:r>
        <w:rPr>
          <w:rFonts w:ascii="幼圆" w:eastAsia="幼圆" w:hAnsi="幼圆" w:cs="幼圆" w:hint="eastAsia"/>
        </w:rPr>
        <w:t>学习主题，是对学习领域的细化</w:t>
      </w:r>
      <w:r>
        <w:rPr>
          <w:rFonts w:ascii="幼圆" w:eastAsia="幼圆" w:hAnsi="幼圆" w:cs="幼圆" w:hint="eastAsia"/>
        </w:rPr>
        <w:t>。如“图形与坐标”这一学习领域下分成“坐标与图形位置”和“坐标与图形运动”两个学习主题。</w:t>
      </w:r>
    </w:p>
    <w:p>
      <w:pPr>
        <w:ind w:firstLine="480"/>
        <w:rPr>
          <w:rFonts w:ascii="幼圆" w:eastAsia="幼圆" w:hAnsi="幼圆" w:cs="幼圆" w:hint="eastAsia"/>
        </w:rPr>
      </w:pPr>
      <w:r>
        <w:rPr>
          <w:rFonts w:ascii="幼圆" w:eastAsia="幼圆" w:hAnsi="幼圆" w:cs="幼圆" w:hint="eastAsia"/>
        </w:rPr>
        <w:t>（4）具体目标，是对学习主题的进一步细化。如“有理数”学习主题下面的一个具体目标为“理解乘方的意义”。对课程标准的具体目标进行编码时，如果出现了不同的行为动词，需要将其进行进一步的拆分。例如“整式与分式”学习主题下面的一条具体目标为“了解无理数和实数的概念，知道实数与数轴上的点一一对应，能求实数的相反数和绝对值。”。因为“了解”和“能”是两个不同的行为动词，所以编码时需将它拆分成两个具体目标“1.2.6了解无理数和实数的概念，知道实数与数轴上的点一一对应，知识深度水平为A”和“1.4.7能求实数的相反数和绝对值，知识深度水平为B”。</w:t>
      </w:r>
    </w:p>
    <w:p>
      <w:pPr>
        <w:ind w:firstLine="480"/>
        <w:rPr>
          <w:rFonts w:ascii="幼圆" w:eastAsia="幼圆" w:hAnsi="幼圆" w:cs="幼圆" w:hint="eastAsia"/>
        </w:rPr>
      </w:pPr>
      <w:r>
        <w:rPr>
          <w:rFonts w:ascii="幼圆" w:eastAsia="幼圆" w:hAnsi="幼圆" w:cs="幼圆" w:hint="eastAsia"/>
        </w:rPr>
        <w:drawing>
          <wp:anchor distT="0" distB="0" distL="114300" distR="114300" simplePos="0" relativeHeight="251660288" behindDoc="0" locked="0" layoutInCell="1" allowOverlap="1">
            <wp:simplePos x="0" y="0"/>
            <wp:positionH relativeFrom="margin">
              <wp:posOffset>-47625</wp:posOffset>
            </wp:positionH>
            <wp:positionV relativeFrom="margin">
              <wp:posOffset>5895975</wp:posOffset>
            </wp:positionV>
            <wp:extent cx="5278120" cy="2743200"/>
            <wp:effectExtent l="0" t="0" r="0" b="0"/>
            <wp:wrapSquare wrapText="bothSides"/>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49">
                      <a:extLst>
                        <a:ext xmlns:a="http://schemas.openxmlformats.org/drawingml/2006/main" uri="{28A0092B-C50C-407E-A947-70E740481C1C}">
                          <a14:useLocalDpi xmlns:a14="http://schemas.microsoft.com/office/drawing/2010/main" val="0"/>
                        </a:ext>
                      </a:extLst>
                    </a:blip>
                    <a:stretch>
                      <a:fillRect/>
                    </a:stretch>
                  </pic:blipFill>
                  <pic:spPr>
                    <a:xfrm>
                      <a:off x="0" y="0"/>
                      <a:ext cx="5278120" cy="2743200"/>
                    </a:xfrm>
                    <a:prstGeom prst="rect">
                      <a:avLst/>
                    </a:prstGeom>
                  </pic:spPr>
                </pic:pic>
              </a:graphicData>
            </a:graphic>
          </wp:anchor>
        </w:drawing>
      </w:r>
      <w:r>
        <w:rPr>
          <w:rFonts w:ascii="幼圆" w:eastAsia="幼圆" w:hAnsi="幼圆" w:cs="幼圆" w:hint="eastAsia"/>
        </w:rPr>
        <w:br/>
      </w:r>
      <w:r>
        <w:rPr>
          <w:rFonts w:ascii="幼圆" w:eastAsia="幼圆" w:hAnsi="幼圆" w:cs="幼圆" w:hint="eastAsia"/>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https://d.book118.com/537150064111006042</w:t>
        </w:r>
      </w:hyperlink>
    </w:p>
    <w:p>
      <w:pPr>
        <w:ind w:firstLine="480"/>
        <w:rPr>
          <w:rFonts w:ascii="幼圆" w:eastAsia="幼圆" w:hAnsi="幼圆" w:cs="幼圆" w:hint="eastAsia"/>
        </w:rPr>
      </w:pPr>
    </w:p>
    <w:sectPr>
      <w:headerReference w:type="even" r:id="rId51"/>
      <w:headerReference w:type="default" r:id="rId52"/>
      <w:footerReference w:type="even" r:id="rId53"/>
      <w:footerReference w:type="default" r:id="rId54"/>
      <w:headerReference w:type="first" r:id="rId55"/>
      <w:footerReference w:type="first" r:id="rId56"/>
      <w:type w:val="nextPage"/>
      <w:pgSz w:w="11906" w:h="16838"/>
      <w:pgMar w:top="1440" w:right="1797" w:bottom="1440" w:left="1797" w:header="851" w:footer="992" w:gutter="0"/>
      <w:pgNumType w:start="7"/>
      <w:cols w:num="1" w:space="425"/>
      <w:titlePg w:val="0"/>
      <w:docGrid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707268513"/>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1</w:t>
        </w:r>
        <w:r>
          <w:fldChar w:fldCharType="end"/>
        </w:r>
      </w:p>
    </w:sdtContent>
  </w:sdt>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126067282"/>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3</w:t>
        </w:r>
        <w:r>
          <w:fldChar w:fldCharType="end"/>
        </w:r>
      </w:p>
    </w:sdtContent>
  </w:sdt>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76603089"/>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3</w:t>
        </w:r>
        <w:r>
          <w:fldChar w:fldCharType="end"/>
        </w:r>
      </w:p>
    </w:sdtContent>
  </w:sdt>
  <w:p>
    <w:pPr>
      <w:pStyle w:val="Footer"/>
      <w:ind w:firstLine="36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97564366"/>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4</w:t>
        </w:r>
        <w:r>
          <w:fldChar w:fldCharType="end"/>
        </w:r>
      </w:p>
    </w:sdtContent>
  </w:sdt>
  <w:p>
    <w:pPr>
      <w:pStyle w:val="Footer"/>
      <w:ind w:firstLine="36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28031201"/>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5</w:t>
        </w:r>
        <w:r>
          <w:fldChar w:fldCharType="end"/>
        </w:r>
      </w:p>
    </w:sdtContent>
  </w:sdt>
  <w:p>
    <w:pPr>
      <w:pStyle w:val="Footer"/>
      <w:ind w:firstLine="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510483569"/>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6</w:t>
        </w:r>
        <w:r>
          <w:fldChar w:fldCharType="end"/>
        </w:r>
      </w:p>
    </w:sdtContent>
  </w:sdt>
  <w:p>
    <w:pPr>
      <w:pStyle w:val="Footer"/>
      <w:ind w:firstLine="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94951672"/>
      <w:docPartObj>
        <w:docPartGallery w:val="AutoText"/>
      </w:docPartObj>
    </w:sdtPr>
    <w:sdtContent>
      <w:p>
        <w:pPr>
          <w:pStyle w:val="Footer"/>
          <w:ind w:firstLine="360"/>
          <w:jc w:val="center"/>
        </w:pPr>
        <w:r>
          <w:fldChar w:fldCharType="begin"/>
        </w:r>
        <w:r>
          <w:instrText>PAGE   \* MERGEFORMAT</w:instrText>
        </w:r>
        <w:r>
          <w:fldChar w:fldCharType="separate"/>
        </w:r>
        <w:r>
          <w:rPr>
            <w:lang w:val="zh-CN"/>
          </w:rPr>
          <w:t>7</w:t>
        </w:r>
        <w:r>
          <w:fldChar w:fldCharType="end"/>
        </w:r>
      </w:p>
    </w:sdtContent>
  </w:sdt>
  <w:p>
    <w:pPr>
      <w:pStyle w:val="Footer"/>
      <w:ind w:firstLine="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36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1709D4"/>
    <w:multiLevelType w:val="multilevel"/>
    <w:tmpl w:val="041709D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0"/>
    <w:lvlOverride w:ilvl="0">
      <w:lvl w:ilvl="0" w:tentative="1">
        <w:start w:val="1"/>
        <w:numFmt w:val="decimal"/>
        <w:suff w:val="space"/>
        <w:lvlText w:val="[%1]"/>
        <w:lvlJc w:val="left"/>
        <w:pPr>
          <w:ind w:left="420" w:hanging="420"/>
        </w:pPr>
        <w:rPr>
          <w:rFonts w:hint="eastAsia"/>
        </w:rPr>
      </w:lvl>
    </w:lvlOverride>
    <w:lvlOverride w:ilvl="1">
      <w:lvl w:ilvl="1" w:tentative="1">
        <w:start w:val="1"/>
        <w:numFmt w:val="lowerLetter"/>
        <w:lvlText w:val="%2)"/>
        <w:lvlJc w:val="left"/>
        <w:pPr>
          <w:ind w:left="840" w:hanging="420"/>
        </w:pPr>
      </w:lvl>
    </w:lvlOverride>
    <w:lvlOverride w:ilvl="2">
      <w:lvl w:ilvl="2" w:tentative="1">
        <w:start w:val="1"/>
        <w:numFmt w:val="lowerRoman"/>
        <w:lvlText w:val="%3."/>
        <w:lvlJc w:val="right"/>
        <w:pPr>
          <w:ind w:left="1260" w:hanging="420"/>
        </w:pPr>
      </w:lvl>
    </w:lvlOverride>
    <w:lvlOverride w:ilvl="3">
      <w:lvl w:ilvl="3" w:tentative="1">
        <w:start w:val="1"/>
        <w:numFmt w:val="decimal"/>
        <w:lvlText w:val="%4."/>
        <w:lvlJc w:val="left"/>
        <w:pPr>
          <w:ind w:left="1680" w:hanging="420"/>
        </w:pPr>
      </w:lvl>
    </w:lvlOverride>
    <w:lvlOverride w:ilvl="4">
      <w:lvl w:ilvl="4" w:tentative="1">
        <w:start w:val="1"/>
        <w:numFmt w:val="lowerLetter"/>
        <w:lvlText w:val="%5)"/>
        <w:lvlJc w:val="left"/>
        <w:pPr>
          <w:ind w:left="2100" w:hanging="420"/>
        </w:pPr>
      </w:lvl>
    </w:lvlOverride>
    <w:lvlOverride w:ilvl="5">
      <w:lvl w:ilvl="5" w:tentative="1">
        <w:start w:val="1"/>
        <w:numFmt w:val="lowerRoman"/>
        <w:lvlText w:val="%6."/>
        <w:lvlJc w:val="right"/>
        <w:pPr>
          <w:ind w:left="2520" w:hanging="420"/>
        </w:pPr>
      </w:lvl>
    </w:lvlOverride>
    <w:lvlOverride w:ilvl="6">
      <w:lvl w:ilvl="6" w:tentative="1">
        <w:start w:val="1"/>
        <w:numFmt w:val="decimal"/>
        <w:lvlText w:val="%7."/>
        <w:lvlJc w:val="left"/>
        <w:pPr>
          <w:ind w:left="2940" w:hanging="420"/>
        </w:pPr>
      </w:lvl>
    </w:lvlOverride>
    <w:lvlOverride w:ilvl="7">
      <w:lvl w:ilvl="7" w:tentative="1">
        <w:start w:val="1"/>
        <w:numFmt w:val="lowerLetter"/>
        <w:lvlText w:val="%8)"/>
        <w:lvlJc w:val="left"/>
        <w:pPr>
          <w:ind w:left="3360" w:hanging="420"/>
        </w:pPr>
      </w:lvl>
    </w:lvlOverride>
    <w:lvlOverride w:ilvl="8">
      <w:lvl w:ilvl="8" w:tentative="1">
        <w:start w:val="1"/>
        <w:numFmt w:val="lowerRoman"/>
        <w:lvlText w:val="%9."/>
        <w:lvlJc w:val="right"/>
        <w:pPr>
          <w:ind w:left="3780" w:hanging="42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1024" w:allStyles="0" w:alternateStyleNames="0" w:clearFormatting="1" w:customStyles="0" w:directFormattingOnNumbering="0" w:directFormattingOnParagraphs="0" w:directFormattingOnRuns="0" w:directFormattingOnTables="0" w:headingStyles="1" w:latentStyles="1" w:numberingStyles="0" w:stylesInUse="0" w:tableStyles="0" w:top3HeadingStyles="0" w:visibleStyles="0"/>
  <w:defaultTabStop w:val="420"/>
  <w:drawingGridHorizontalSpacing w:val="120"/>
  <w:drawingGridVerticalSpacing w:val="163"/>
  <w:displayHorizontalDrawingGridEvery w:val="2"/>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5892"/>
    <w:rsid w:val="00000D14"/>
    <w:rsid w:val="00005CA6"/>
    <w:rsid w:val="00006645"/>
    <w:rsid w:val="000111A2"/>
    <w:rsid w:val="00015AE5"/>
    <w:rsid w:val="000262D3"/>
    <w:rsid w:val="00032C56"/>
    <w:rsid w:val="00032D43"/>
    <w:rsid w:val="00032F7C"/>
    <w:rsid w:val="000341F8"/>
    <w:rsid w:val="000445B6"/>
    <w:rsid w:val="00045F57"/>
    <w:rsid w:val="000509D4"/>
    <w:rsid w:val="00053523"/>
    <w:rsid w:val="0005512F"/>
    <w:rsid w:val="00055556"/>
    <w:rsid w:val="000636BA"/>
    <w:rsid w:val="00070861"/>
    <w:rsid w:val="000837FA"/>
    <w:rsid w:val="00085E15"/>
    <w:rsid w:val="00091EA0"/>
    <w:rsid w:val="00092BDC"/>
    <w:rsid w:val="00094F95"/>
    <w:rsid w:val="00095E6D"/>
    <w:rsid w:val="00096AD1"/>
    <w:rsid w:val="00097E10"/>
    <w:rsid w:val="000A075E"/>
    <w:rsid w:val="000A14C6"/>
    <w:rsid w:val="000A15F3"/>
    <w:rsid w:val="000A7A96"/>
    <w:rsid w:val="000B067C"/>
    <w:rsid w:val="000C0D3D"/>
    <w:rsid w:val="000C1BFD"/>
    <w:rsid w:val="000C5195"/>
    <w:rsid w:val="000C59A1"/>
    <w:rsid w:val="000C5E72"/>
    <w:rsid w:val="000E1BDA"/>
    <w:rsid w:val="000E33D8"/>
    <w:rsid w:val="000F6B8A"/>
    <w:rsid w:val="00102861"/>
    <w:rsid w:val="001048BB"/>
    <w:rsid w:val="001123F4"/>
    <w:rsid w:val="00112495"/>
    <w:rsid w:val="00114BAD"/>
    <w:rsid w:val="0011510F"/>
    <w:rsid w:val="00117299"/>
    <w:rsid w:val="00117B5A"/>
    <w:rsid w:val="00122681"/>
    <w:rsid w:val="00124BBE"/>
    <w:rsid w:val="001433D2"/>
    <w:rsid w:val="00147A4C"/>
    <w:rsid w:val="00151689"/>
    <w:rsid w:val="00152F8D"/>
    <w:rsid w:val="00154500"/>
    <w:rsid w:val="00157FC1"/>
    <w:rsid w:val="00160004"/>
    <w:rsid w:val="0016440A"/>
    <w:rsid w:val="001666E0"/>
    <w:rsid w:val="00167D17"/>
    <w:rsid w:val="0017518C"/>
    <w:rsid w:val="001758A2"/>
    <w:rsid w:val="00191DF7"/>
    <w:rsid w:val="00196ECF"/>
    <w:rsid w:val="001A06A7"/>
    <w:rsid w:val="001A3469"/>
    <w:rsid w:val="001A4D49"/>
    <w:rsid w:val="001B35B7"/>
    <w:rsid w:val="001B4B44"/>
    <w:rsid w:val="001B6735"/>
    <w:rsid w:val="001B740F"/>
    <w:rsid w:val="001C08F0"/>
    <w:rsid w:val="001C25F9"/>
    <w:rsid w:val="001D326F"/>
    <w:rsid w:val="001D4F04"/>
    <w:rsid w:val="001E121E"/>
    <w:rsid w:val="001E74A2"/>
    <w:rsid w:val="001E7991"/>
    <w:rsid w:val="001E7C41"/>
    <w:rsid w:val="001F3286"/>
    <w:rsid w:val="001F4E90"/>
    <w:rsid w:val="001F61A8"/>
    <w:rsid w:val="001F6234"/>
    <w:rsid w:val="00200169"/>
    <w:rsid w:val="00202963"/>
    <w:rsid w:val="00205F9E"/>
    <w:rsid w:val="00213179"/>
    <w:rsid w:val="0021505D"/>
    <w:rsid w:val="00217783"/>
    <w:rsid w:val="00224557"/>
    <w:rsid w:val="00224945"/>
    <w:rsid w:val="0022676D"/>
    <w:rsid w:val="002376EB"/>
    <w:rsid w:val="0024380E"/>
    <w:rsid w:val="002449D1"/>
    <w:rsid w:val="00253E31"/>
    <w:rsid w:val="00253FD0"/>
    <w:rsid w:val="00261A50"/>
    <w:rsid w:val="00262D37"/>
    <w:rsid w:val="00263875"/>
    <w:rsid w:val="002707BC"/>
    <w:rsid w:val="0027115E"/>
    <w:rsid w:val="0027223B"/>
    <w:rsid w:val="00273971"/>
    <w:rsid w:val="002820D7"/>
    <w:rsid w:val="002848B4"/>
    <w:rsid w:val="00291A4D"/>
    <w:rsid w:val="00295004"/>
    <w:rsid w:val="00295BB1"/>
    <w:rsid w:val="002A0C60"/>
    <w:rsid w:val="002A3AB3"/>
    <w:rsid w:val="002A4840"/>
    <w:rsid w:val="002A5ADF"/>
    <w:rsid w:val="002A5BEE"/>
    <w:rsid w:val="002A6003"/>
    <w:rsid w:val="002A67FC"/>
    <w:rsid w:val="002B1205"/>
    <w:rsid w:val="002B420E"/>
    <w:rsid w:val="002B5476"/>
    <w:rsid w:val="002B5BD8"/>
    <w:rsid w:val="002B7DA0"/>
    <w:rsid w:val="002C222A"/>
    <w:rsid w:val="002C59DA"/>
    <w:rsid w:val="002C7E8F"/>
    <w:rsid w:val="002E105A"/>
    <w:rsid w:val="002E1FFE"/>
    <w:rsid w:val="002E4251"/>
    <w:rsid w:val="002E5CE6"/>
    <w:rsid w:val="002E6122"/>
    <w:rsid w:val="002F0D48"/>
    <w:rsid w:val="002F1D40"/>
    <w:rsid w:val="0030593A"/>
    <w:rsid w:val="0031309C"/>
    <w:rsid w:val="00315EE7"/>
    <w:rsid w:val="00317880"/>
    <w:rsid w:val="00323262"/>
    <w:rsid w:val="00325D4E"/>
    <w:rsid w:val="00325F07"/>
    <w:rsid w:val="00332AE3"/>
    <w:rsid w:val="00343B62"/>
    <w:rsid w:val="00344F8C"/>
    <w:rsid w:val="00345D2A"/>
    <w:rsid w:val="00346C66"/>
    <w:rsid w:val="00347621"/>
    <w:rsid w:val="00351104"/>
    <w:rsid w:val="00354B66"/>
    <w:rsid w:val="003567B9"/>
    <w:rsid w:val="003567FD"/>
    <w:rsid w:val="003570F8"/>
    <w:rsid w:val="00361CC8"/>
    <w:rsid w:val="00366E0B"/>
    <w:rsid w:val="0036776F"/>
    <w:rsid w:val="0037097C"/>
    <w:rsid w:val="00372676"/>
    <w:rsid w:val="0037374D"/>
    <w:rsid w:val="0038222E"/>
    <w:rsid w:val="00383960"/>
    <w:rsid w:val="00386B48"/>
    <w:rsid w:val="003915EC"/>
    <w:rsid w:val="003929F6"/>
    <w:rsid w:val="00394475"/>
    <w:rsid w:val="00397B2B"/>
    <w:rsid w:val="003A1E7C"/>
    <w:rsid w:val="003A5B1B"/>
    <w:rsid w:val="003B4F7E"/>
    <w:rsid w:val="003B53E2"/>
    <w:rsid w:val="003B565C"/>
    <w:rsid w:val="003C1F41"/>
    <w:rsid w:val="003C3653"/>
    <w:rsid w:val="003C434F"/>
    <w:rsid w:val="003C69B3"/>
    <w:rsid w:val="003D3D64"/>
    <w:rsid w:val="003D4DAB"/>
    <w:rsid w:val="003D616E"/>
    <w:rsid w:val="003D6712"/>
    <w:rsid w:val="003E4513"/>
    <w:rsid w:val="003E6E89"/>
    <w:rsid w:val="003F1A27"/>
    <w:rsid w:val="003F42AF"/>
    <w:rsid w:val="003F55DE"/>
    <w:rsid w:val="00400188"/>
    <w:rsid w:val="0040254A"/>
    <w:rsid w:val="0040416C"/>
    <w:rsid w:val="004145B3"/>
    <w:rsid w:val="0041637A"/>
    <w:rsid w:val="00416B18"/>
    <w:rsid w:val="004178CD"/>
    <w:rsid w:val="00420F04"/>
    <w:rsid w:val="004228D7"/>
    <w:rsid w:val="004241CE"/>
    <w:rsid w:val="00425FAF"/>
    <w:rsid w:val="00426F17"/>
    <w:rsid w:val="004303C8"/>
    <w:rsid w:val="0043076A"/>
    <w:rsid w:val="004366E4"/>
    <w:rsid w:val="00440A3A"/>
    <w:rsid w:val="00440B28"/>
    <w:rsid w:val="00442053"/>
    <w:rsid w:val="00442D8C"/>
    <w:rsid w:val="004517F1"/>
    <w:rsid w:val="004531C1"/>
    <w:rsid w:val="00457049"/>
    <w:rsid w:val="0047238D"/>
    <w:rsid w:val="00473D77"/>
    <w:rsid w:val="00481AEF"/>
    <w:rsid w:val="00483B41"/>
    <w:rsid w:val="00484367"/>
    <w:rsid w:val="004912F6"/>
    <w:rsid w:val="00495BFB"/>
    <w:rsid w:val="004A03E4"/>
    <w:rsid w:val="004A0497"/>
    <w:rsid w:val="004A5239"/>
    <w:rsid w:val="004B32C9"/>
    <w:rsid w:val="004C1A58"/>
    <w:rsid w:val="004C74DD"/>
    <w:rsid w:val="004D3F88"/>
    <w:rsid w:val="004D6E3C"/>
    <w:rsid w:val="004E0109"/>
    <w:rsid w:val="004E3461"/>
    <w:rsid w:val="004F0CC8"/>
    <w:rsid w:val="004F37FD"/>
    <w:rsid w:val="004F72FF"/>
    <w:rsid w:val="005025F7"/>
    <w:rsid w:val="00503253"/>
    <w:rsid w:val="00504438"/>
    <w:rsid w:val="00522560"/>
    <w:rsid w:val="00523857"/>
    <w:rsid w:val="00526296"/>
    <w:rsid w:val="00526432"/>
    <w:rsid w:val="00526613"/>
    <w:rsid w:val="00526E6B"/>
    <w:rsid w:val="00527981"/>
    <w:rsid w:val="00533E83"/>
    <w:rsid w:val="0053646D"/>
    <w:rsid w:val="00544A87"/>
    <w:rsid w:val="00544E08"/>
    <w:rsid w:val="005530D6"/>
    <w:rsid w:val="005558B6"/>
    <w:rsid w:val="005622CA"/>
    <w:rsid w:val="00562D7E"/>
    <w:rsid w:val="005718EB"/>
    <w:rsid w:val="00572E41"/>
    <w:rsid w:val="005811C5"/>
    <w:rsid w:val="005825CE"/>
    <w:rsid w:val="0058265F"/>
    <w:rsid w:val="00583829"/>
    <w:rsid w:val="00583BBB"/>
    <w:rsid w:val="005918E2"/>
    <w:rsid w:val="005A155C"/>
    <w:rsid w:val="005A1C43"/>
    <w:rsid w:val="005B14E0"/>
    <w:rsid w:val="005B17EF"/>
    <w:rsid w:val="005B2845"/>
    <w:rsid w:val="005B2C6C"/>
    <w:rsid w:val="005B54C2"/>
    <w:rsid w:val="005B6547"/>
    <w:rsid w:val="005B7ED8"/>
    <w:rsid w:val="005C6117"/>
    <w:rsid w:val="005C6C91"/>
    <w:rsid w:val="005D7D14"/>
    <w:rsid w:val="005E3688"/>
    <w:rsid w:val="005E3DE6"/>
    <w:rsid w:val="005F04BE"/>
    <w:rsid w:val="005F3248"/>
    <w:rsid w:val="005F472E"/>
    <w:rsid w:val="00601B97"/>
    <w:rsid w:val="00602B81"/>
    <w:rsid w:val="00602D2D"/>
    <w:rsid w:val="00606C6A"/>
    <w:rsid w:val="00607DDF"/>
    <w:rsid w:val="00620FAE"/>
    <w:rsid w:val="006268D7"/>
    <w:rsid w:val="00635E88"/>
    <w:rsid w:val="006428FB"/>
    <w:rsid w:val="006442C8"/>
    <w:rsid w:val="006474B4"/>
    <w:rsid w:val="00647AB4"/>
    <w:rsid w:val="006509B4"/>
    <w:rsid w:val="006512AB"/>
    <w:rsid w:val="00654C0C"/>
    <w:rsid w:val="0066001D"/>
    <w:rsid w:val="00661DEB"/>
    <w:rsid w:val="00661E10"/>
    <w:rsid w:val="006638A8"/>
    <w:rsid w:val="00667372"/>
    <w:rsid w:val="00671D9F"/>
    <w:rsid w:val="00671EEE"/>
    <w:rsid w:val="0067321B"/>
    <w:rsid w:val="00673632"/>
    <w:rsid w:val="00673848"/>
    <w:rsid w:val="00674D2E"/>
    <w:rsid w:val="00677221"/>
    <w:rsid w:val="00684A1D"/>
    <w:rsid w:val="006933D6"/>
    <w:rsid w:val="0069446F"/>
    <w:rsid w:val="00695201"/>
    <w:rsid w:val="00695892"/>
    <w:rsid w:val="0069634D"/>
    <w:rsid w:val="00696350"/>
    <w:rsid w:val="00696E1D"/>
    <w:rsid w:val="006A252C"/>
    <w:rsid w:val="006A2AF4"/>
    <w:rsid w:val="006A4D3D"/>
    <w:rsid w:val="006B3E6C"/>
    <w:rsid w:val="006B5446"/>
    <w:rsid w:val="006B5C5F"/>
    <w:rsid w:val="006C03D3"/>
    <w:rsid w:val="006C73D7"/>
    <w:rsid w:val="006C79C4"/>
    <w:rsid w:val="006D39C3"/>
    <w:rsid w:val="006D4AB5"/>
    <w:rsid w:val="006D7231"/>
    <w:rsid w:val="006E1F41"/>
    <w:rsid w:val="006E5F6D"/>
    <w:rsid w:val="006F01B3"/>
    <w:rsid w:val="006F62B9"/>
    <w:rsid w:val="007000AF"/>
    <w:rsid w:val="00704408"/>
    <w:rsid w:val="00713104"/>
    <w:rsid w:val="00713365"/>
    <w:rsid w:val="00717840"/>
    <w:rsid w:val="0072135A"/>
    <w:rsid w:val="00722319"/>
    <w:rsid w:val="00727795"/>
    <w:rsid w:val="007307F6"/>
    <w:rsid w:val="00732B16"/>
    <w:rsid w:val="00736506"/>
    <w:rsid w:val="007411C3"/>
    <w:rsid w:val="007424F6"/>
    <w:rsid w:val="00742758"/>
    <w:rsid w:val="00746F2F"/>
    <w:rsid w:val="00757FE4"/>
    <w:rsid w:val="00765066"/>
    <w:rsid w:val="00770CEC"/>
    <w:rsid w:val="007756D1"/>
    <w:rsid w:val="007778ED"/>
    <w:rsid w:val="00782343"/>
    <w:rsid w:val="00782FB1"/>
    <w:rsid w:val="007867CD"/>
    <w:rsid w:val="00794E91"/>
    <w:rsid w:val="007954F8"/>
    <w:rsid w:val="007A320F"/>
    <w:rsid w:val="007B4184"/>
    <w:rsid w:val="007B5036"/>
    <w:rsid w:val="007C06C9"/>
    <w:rsid w:val="007C1FA3"/>
    <w:rsid w:val="007C26AE"/>
    <w:rsid w:val="007C4622"/>
    <w:rsid w:val="007C53C7"/>
    <w:rsid w:val="007D0424"/>
    <w:rsid w:val="007D172E"/>
    <w:rsid w:val="007D60E7"/>
    <w:rsid w:val="007D6515"/>
    <w:rsid w:val="007E0D5D"/>
    <w:rsid w:val="007E11A2"/>
    <w:rsid w:val="007E2002"/>
    <w:rsid w:val="007E2736"/>
    <w:rsid w:val="007F13BF"/>
    <w:rsid w:val="007F2055"/>
    <w:rsid w:val="007F52F3"/>
    <w:rsid w:val="007F6108"/>
    <w:rsid w:val="00800D00"/>
    <w:rsid w:val="0080127A"/>
    <w:rsid w:val="00801955"/>
    <w:rsid w:val="00803BC6"/>
    <w:rsid w:val="00805F32"/>
    <w:rsid w:val="00807922"/>
    <w:rsid w:val="008145B3"/>
    <w:rsid w:val="00824820"/>
    <w:rsid w:val="00835D6F"/>
    <w:rsid w:val="0084153D"/>
    <w:rsid w:val="008451B7"/>
    <w:rsid w:val="00854A98"/>
    <w:rsid w:val="00855049"/>
    <w:rsid w:val="00855163"/>
    <w:rsid w:val="008620DD"/>
    <w:rsid w:val="00864BE0"/>
    <w:rsid w:val="0086704B"/>
    <w:rsid w:val="00867B12"/>
    <w:rsid w:val="00870FB9"/>
    <w:rsid w:val="00874FCC"/>
    <w:rsid w:val="00875456"/>
    <w:rsid w:val="00881F16"/>
    <w:rsid w:val="008834F9"/>
    <w:rsid w:val="00887513"/>
    <w:rsid w:val="00893C84"/>
    <w:rsid w:val="008B17F7"/>
    <w:rsid w:val="008B63FF"/>
    <w:rsid w:val="008C22EB"/>
    <w:rsid w:val="008C4DF1"/>
    <w:rsid w:val="008D0384"/>
    <w:rsid w:val="008D0F17"/>
    <w:rsid w:val="008D27D7"/>
    <w:rsid w:val="008D406C"/>
    <w:rsid w:val="008D47E0"/>
    <w:rsid w:val="008D6135"/>
    <w:rsid w:val="008E10B0"/>
    <w:rsid w:val="008E3A8A"/>
    <w:rsid w:val="008E4CA8"/>
    <w:rsid w:val="008F1433"/>
    <w:rsid w:val="008F4F9F"/>
    <w:rsid w:val="008F552C"/>
    <w:rsid w:val="008F5C43"/>
    <w:rsid w:val="00901002"/>
    <w:rsid w:val="00902049"/>
    <w:rsid w:val="0090314F"/>
    <w:rsid w:val="00905DC3"/>
    <w:rsid w:val="00907036"/>
    <w:rsid w:val="009116A5"/>
    <w:rsid w:val="009230BC"/>
    <w:rsid w:val="009248B3"/>
    <w:rsid w:val="00927EA3"/>
    <w:rsid w:val="00930C1C"/>
    <w:rsid w:val="00936232"/>
    <w:rsid w:val="00946897"/>
    <w:rsid w:val="00947D39"/>
    <w:rsid w:val="0095739E"/>
    <w:rsid w:val="009573D7"/>
    <w:rsid w:val="00957C30"/>
    <w:rsid w:val="009640A6"/>
    <w:rsid w:val="0096626A"/>
    <w:rsid w:val="0097273F"/>
    <w:rsid w:val="00992B71"/>
    <w:rsid w:val="00992CEF"/>
    <w:rsid w:val="00996BF0"/>
    <w:rsid w:val="009A0677"/>
    <w:rsid w:val="009A26C6"/>
    <w:rsid w:val="009A643B"/>
    <w:rsid w:val="009A6B9E"/>
    <w:rsid w:val="009A7FC1"/>
    <w:rsid w:val="009B127D"/>
    <w:rsid w:val="009C0BB4"/>
    <w:rsid w:val="009C49D6"/>
    <w:rsid w:val="009F0E4D"/>
    <w:rsid w:val="009F13FC"/>
    <w:rsid w:val="009F4C3B"/>
    <w:rsid w:val="009F5210"/>
    <w:rsid w:val="009F7055"/>
    <w:rsid w:val="009F7B41"/>
    <w:rsid w:val="00A064A9"/>
    <w:rsid w:val="00A06C96"/>
    <w:rsid w:val="00A13DFF"/>
    <w:rsid w:val="00A13FC1"/>
    <w:rsid w:val="00A166A3"/>
    <w:rsid w:val="00A17887"/>
    <w:rsid w:val="00A218DE"/>
    <w:rsid w:val="00A32D9B"/>
    <w:rsid w:val="00A32EB9"/>
    <w:rsid w:val="00A33ACA"/>
    <w:rsid w:val="00A43E78"/>
    <w:rsid w:val="00A47AC3"/>
    <w:rsid w:val="00A51245"/>
    <w:rsid w:val="00A52B3A"/>
    <w:rsid w:val="00A561F5"/>
    <w:rsid w:val="00A603A6"/>
    <w:rsid w:val="00A612ED"/>
    <w:rsid w:val="00A628E3"/>
    <w:rsid w:val="00A653A9"/>
    <w:rsid w:val="00A7079D"/>
    <w:rsid w:val="00A7519E"/>
    <w:rsid w:val="00A85F53"/>
    <w:rsid w:val="00A86140"/>
    <w:rsid w:val="00A86B4F"/>
    <w:rsid w:val="00A90562"/>
    <w:rsid w:val="00A90BFE"/>
    <w:rsid w:val="00A91617"/>
    <w:rsid w:val="00A91983"/>
    <w:rsid w:val="00A92986"/>
    <w:rsid w:val="00A9545E"/>
    <w:rsid w:val="00A9775F"/>
    <w:rsid w:val="00AA4153"/>
    <w:rsid w:val="00AA5AF5"/>
    <w:rsid w:val="00AB2215"/>
    <w:rsid w:val="00AB3C1E"/>
    <w:rsid w:val="00AB51B6"/>
    <w:rsid w:val="00AC5EF1"/>
    <w:rsid w:val="00AC67EF"/>
    <w:rsid w:val="00AD4FD6"/>
    <w:rsid w:val="00AD6A00"/>
    <w:rsid w:val="00AD7658"/>
    <w:rsid w:val="00AD7D00"/>
    <w:rsid w:val="00AF0694"/>
    <w:rsid w:val="00AF1D17"/>
    <w:rsid w:val="00AF38F2"/>
    <w:rsid w:val="00AF5740"/>
    <w:rsid w:val="00AF61D0"/>
    <w:rsid w:val="00AF6E6E"/>
    <w:rsid w:val="00AF7266"/>
    <w:rsid w:val="00B0175E"/>
    <w:rsid w:val="00B047A6"/>
    <w:rsid w:val="00B07B6E"/>
    <w:rsid w:val="00B12F45"/>
    <w:rsid w:val="00B138FA"/>
    <w:rsid w:val="00B13D2A"/>
    <w:rsid w:val="00B16DE7"/>
    <w:rsid w:val="00B1748F"/>
    <w:rsid w:val="00B269BC"/>
    <w:rsid w:val="00B27053"/>
    <w:rsid w:val="00B27570"/>
    <w:rsid w:val="00B35C7C"/>
    <w:rsid w:val="00B36275"/>
    <w:rsid w:val="00B4032A"/>
    <w:rsid w:val="00B41746"/>
    <w:rsid w:val="00B4316B"/>
    <w:rsid w:val="00B43335"/>
    <w:rsid w:val="00B459FB"/>
    <w:rsid w:val="00B46090"/>
    <w:rsid w:val="00B47313"/>
    <w:rsid w:val="00B478EB"/>
    <w:rsid w:val="00B5195B"/>
    <w:rsid w:val="00B56627"/>
    <w:rsid w:val="00B61332"/>
    <w:rsid w:val="00B61839"/>
    <w:rsid w:val="00B62C5D"/>
    <w:rsid w:val="00B636B4"/>
    <w:rsid w:val="00B63718"/>
    <w:rsid w:val="00B659EF"/>
    <w:rsid w:val="00B65E33"/>
    <w:rsid w:val="00B71EB1"/>
    <w:rsid w:val="00B773DC"/>
    <w:rsid w:val="00B9298D"/>
    <w:rsid w:val="00BA323C"/>
    <w:rsid w:val="00BA6E3F"/>
    <w:rsid w:val="00BA7C97"/>
    <w:rsid w:val="00BB1569"/>
    <w:rsid w:val="00BB5E93"/>
    <w:rsid w:val="00BB7098"/>
    <w:rsid w:val="00BB72F9"/>
    <w:rsid w:val="00BC5AEF"/>
    <w:rsid w:val="00BD2863"/>
    <w:rsid w:val="00BD4CC7"/>
    <w:rsid w:val="00BD714E"/>
    <w:rsid w:val="00BE61FD"/>
    <w:rsid w:val="00BE76E4"/>
    <w:rsid w:val="00BF0624"/>
    <w:rsid w:val="00BF3170"/>
    <w:rsid w:val="00BF37CD"/>
    <w:rsid w:val="00BF3845"/>
    <w:rsid w:val="00BF5A7E"/>
    <w:rsid w:val="00BF5B86"/>
    <w:rsid w:val="00C0054E"/>
    <w:rsid w:val="00C032C8"/>
    <w:rsid w:val="00C11706"/>
    <w:rsid w:val="00C11F74"/>
    <w:rsid w:val="00C14BDC"/>
    <w:rsid w:val="00C160CB"/>
    <w:rsid w:val="00C21422"/>
    <w:rsid w:val="00C22230"/>
    <w:rsid w:val="00C25E8E"/>
    <w:rsid w:val="00C3049B"/>
    <w:rsid w:val="00C35C5F"/>
    <w:rsid w:val="00C36438"/>
    <w:rsid w:val="00C47A58"/>
    <w:rsid w:val="00C51595"/>
    <w:rsid w:val="00C575A8"/>
    <w:rsid w:val="00C5763A"/>
    <w:rsid w:val="00C62808"/>
    <w:rsid w:val="00C638B4"/>
    <w:rsid w:val="00C6558B"/>
    <w:rsid w:val="00C732E6"/>
    <w:rsid w:val="00C749C7"/>
    <w:rsid w:val="00C81EA7"/>
    <w:rsid w:val="00C82588"/>
    <w:rsid w:val="00C9668F"/>
    <w:rsid w:val="00C973ED"/>
    <w:rsid w:val="00CA04E0"/>
    <w:rsid w:val="00CA2852"/>
    <w:rsid w:val="00CA4319"/>
    <w:rsid w:val="00CB0C0A"/>
    <w:rsid w:val="00CB4D9D"/>
    <w:rsid w:val="00CB67AF"/>
    <w:rsid w:val="00CC00D6"/>
    <w:rsid w:val="00CD5604"/>
    <w:rsid w:val="00CD5957"/>
    <w:rsid w:val="00CD725D"/>
    <w:rsid w:val="00D01C63"/>
    <w:rsid w:val="00D02818"/>
    <w:rsid w:val="00D03D23"/>
    <w:rsid w:val="00D05EC4"/>
    <w:rsid w:val="00D06731"/>
    <w:rsid w:val="00D0780A"/>
    <w:rsid w:val="00D11B2A"/>
    <w:rsid w:val="00D1547C"/>
    <w:rsid w:val="00D162EE"/>
    <w:rsid w:val="00D254B9"/>
    <w:rsid w:val="00D322CC"/>
    <w:rsid w:val="00D363B4"/>
    <w:rsid w:val="00D42DB9"/>
    <w:rsid w:val="00D61834"/>
    <w:rsid w:val="00D6625F"/>
    <w:rsid w:val="00D712D5"/>
    <w:rsid w:val="00D71FC1"/>
    <w:rsid w:val="00D72D6E"/>
    <w:rsid w:val="00D8335E"/>
    <w:rsid w:val="00D9003A"/>
    <w:rsid w:val="00D9162B"/>
    <w:rsid w:val="00D91EC8"/>
    <w:rsid w:val="00D97B60"/>
    <w:rsid w:val="00DA5A08"/>
    <w:rsid w:val="00DA6609"/>
    <w:rsid w:val="00DA7939"/>
    <w:rsid w:val="00DB26D9"/>
    <w:rsid w:val="00DB3633"/>
    <w:rsid w:val="00DB643E"/>
    <w:rsid w:val="00DB6EF8"/>
    <w:rsid w:val="00DB786B"/>
    <w:rsid w:val="00DB7C2F"/>
    <w:rsid w:val="00DC580E"/>
    <w:rsid w:val="00DC6DF0"/>
    <w:rsid w:val="00DD45A5"/>
    <w:rsid w:val="00DE1F35"/>
    <w:rsid w:val="00DE4AAC"/>
    <w:rsid w:val="00DF1123"/>
    <w:rsid w:val="00DF1804"/>
    <w:rsid w:val="00E05423"/>
    <w:rsid w:val="00E06B40"/>
    <w:rsid w:val="00E133CB"/>
    <w:rsid w:val="00E2540D"/>
    <w:rsid w:val="00E35909"/>
    <w:rsid w:val="00E36899"/>
    <w:rsid w:val="00E4277D"/>
    <w:rsid w:val="00E478C6"/>
    <w:rsid w:val="00E5229D"/>
    <w:rsid w:val="00E5295B"/>
    <w:rsid w:val="00E52AB1"/>
    <w:rsid w:val="00E5680C"/>
    <w:rsid w:val="00E6789D"/>
    <w:rsid w:val="00E714ED"/>
    <w:rsid w:val="00E75CB4"/>
    <w:rsid w:val="00E804E9"/>
    <w:rsid w:val="00E806D0"/>
    <w:rsid w:val="00E817A1"/>
    <w:rsid w:val="00E87E78"/>
    <w:rsid w:val="00E90DEA"/>
    <w:rsid w:val="00E910C8"/>
    <w:rsid w:val="00E96361"/>
    <w:rsid w:val="00EA36D3"/>
    <w:rsid w:val="00EA4847"/>
    <w:rsid w:val="00EB33C9"/>
    <w:rsid w:val="00EB4DE5"/>
    <w:rsid w:val="00EB5AC0"/>
    <w:rsid w:val="00EB6401"/>
    <w:rsid w:val="00EB72B7"/>
    <w:rsid w:val="00EB72C5"/>
    <w:rsid w:val="00EC62DD"/>
    <w:rsid w:val="00ED2A56"/>
    <w:rsid w:val="00EE019A"/>
    <w:rsid w:val="00F01839"/>
    <w:rsid w:val="00F03F03"/>
    <w:rsid w:val="00F0411C"/>
    <w:rsid w:val="00F04C51"/>
    <w:rsid w:val="00F11FD7"/>
    <w:rsid w:val="00F171DF"/>
    <w:rsid w:val="00F202C3"/>
    <w:rsid w:val="00F2262C"/>
    <w:rsid w:val="00F27480"/>
    <w:rsid w:val="00F3505F"/>
    <w:rsid w:val="00F35806"/>
    <w:rsid w:val="00F433D6"/>
    <w:rsid w:val="00F50D61"/>
    <w:rsid w:val="00F513E6"/>
    <w:rsid w:val="00F5581A"/>
    <w:rsid w:val="00F56ED0"/>
    <w:rsid w:val="00F56F15"/>
    <w:rsid w:val="00F64922"/>
    <w:rsid w:val="00F65DB6"/>
    <w:rsid w:val="00F6650A"/>
    <w:rsid w:val="00F666F2"/>
    <w:rsid w:val="00F844D1"/>
    <w:rsid w:val="00F86A8B"/>
    <w:rsid w:val="00F92434"/>
    <w:rsid w:val="00FA03E6"/>
    <w:rsid w:val="00FA3601"/>
    <w:rsid w:val="00FA3D18"/>
    <w:rsid w:val="00FA4A72"/>
    <w:rsid w:val="00FA7F1A"/>
    <w:rsid w:val="00FB2426"/>
    <w:rsid w:val="00FB2D2A"/>
    <w:rsid w:val="00FB3CB0"/>
    <w:rsid w:val="00FB3DC2"/>
    <w:rsid w:val="00FC2E96"/>
    <w:rsid w:val="00FC6BDC"/>
    <w:rsid w:val="00FD021A"/>
    <w:rsid w:val="00FD6872"/>
    <w:rsid w:val="00FE111C"/>
    <w:rsid w:val="00FE1636"/>
    <w:rsid w:val="00FE3689"/>
    <w:rsid w:val="00FE3C89"/>
    <w:rsid w:val="00FE612C"/>
    <w:rsid w:val="00FF0655"/>
    <w:rsid w:val="00FF2C59"/>
    <w:rsid w:val="00FF71F2"/>
    <w:rsid w:val="03C4118B"/>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semiHidden="0" w:uiPriority="39" w:qFormat="1"/>
    <w:lsdException w:name="toc 5" w:semiHidden="0" w:uiPriority="39" w:qFormat="1"/>
    <w:lsdException w:name="toc 6" w:semiHidden="0" w:uiPriority="39" w:qFormat="1"/>
    <w:lsdException w:name="toc 7" w:semiHidden="0" w:uiPriority="39" w:qFormat="1"/>
    <w:lsdException w:name="toc 8" w:semiHidden="0" w:uiPriority="39" w:qFormat="1"/>
    <w:lsdException w:name="toc 9" w:semiHidden="0" w:uiPriority="39" w:qFormat="1"/>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400" w:lineRule="exact"/>
      <w:ind w:firstLine="20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autoRedefine/>
    <w:uiPriority w:val="9"/>
    <w:qFormat/>
    <w:pPr>
      <w:keepNext/>
      <w:snapToGrid w:val="0"/>
      <w:spacing w:before="50" w:beforeLines="50" w:after="50" w:afterLines="50"/>
      <w:ind w:firstLine="0" w:firstLineChars="0"/>
      <w:outlineLvl w:val="0"/>
    </w:pPr>
    <w:rPr>
      <w:rFonts w:ascii="Arial" w:eastAsia="黑体" w:hAnsi="Arial"/>
      <w:sz w:val="28"/>
    </w:rPr>
  </w:style>
  <w:style w:type="paragraph" w:styleId="Heading2">
    <w:name w:val="heading 2"/>
    <w:basedOn w:val="Normal"/>
    <w:next w:val="Normal"/>
    <w:link w:val="2Char"/>
    <w:uiPriority w:val="9"/>
    <w:unhideWhenUsed/>
    <w:qFormat/>
    <w:pPr>
      <w:keepNext/>
      <w:snapToGrid w:val="0"/>
      <w:spacing w:before="50" w:beforeLines="50" w:after="50" w:afterLines="50"/>
      <w:ind w:left="80" w:leftChars="80"/>
      <w:outlineLvl w:val="1"/>
    </w:pPr>
    <w:rPr>
      <w:rFonts w:ascii="Arial" w:eastAsia="黑体" w:hAnsi="Arial"/>
      <w:szCs w:val="30"/>
    </w:rPr>
  </w:style>
  <w:style w:type="paragraph" w:styleId="Heading3">
    <w:name w:val="heading 3"/>
    <w:basedOn w:val="Normal"/>
    <w:next w:val="Normal"/>
    <w:link w:val="3Char"/>
    <w:autoRedefine/>
    <w:uiPriority w:val="9"/>
    <w:unhideWhenUsed/>
    <w:qFormat/>
    <w:pPr>
      <w:keepNext/>
      <w:snapToGrid w:val="0"/>
      <w:spacing w:before="50" w:beforeLines="50" w:after="50" w:afterLines="50"/>
      <w:outlineLvl w:val="2"/>
    </w:pPr>
    <w:rPr>
      <w:rFonts w:ascii="Arial" w:eastAsia="黑体" w:hAnsi="Arial"/>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7">
    <w:name w:val="toc 7"/>
    <w:basedOn w:val="Normal"/>
    <w:next w:val="Normal"/>
    <w:autoRedefine/>
    <w:uiPriority w:val="39"/>
    <w:unhideWhenUsed/>
    <w:qFormat/>
    <w:pPr>
      <w:ind w:left="1440"/>
      <w:jc w:val="left"/>
    </w:pPr>
    <w:rPr>
      <w:rFonts w:asciiTheme="minorHAnsi" w:hAnsiTheme="minorHAnsi" w:cstheme="minorHAnsi"/>
      <w:sz w:val="18"/>
      <w:szCs w:val="18"/>
    </w:rPr>
  </w:style>
  <w:style w:type="paragraph" w:styleId="TOC5">
    <w:name w:val="toc 5"/>
    <w:basedOn w:val="Normal"/>
    <w:next w:val="Normal"/>
    <w:autoRedefine/>
    <w:uiPriority w:val="39"/>
    <w:unhideWhenUsed/>
    <w:qFormat/>
    <w:pPr>
      <w:ind w:left="960"/>
      <w:jc w:val="left"/>
    </w:pPr>
    <w:rPr>
      <w:rFonts w:asciiTheme="minorHAnsi" w:hAnsiTheme="minorHAnsi" w:cstheme="minorHAnsi"/>
      <w:sz w:val="18"/>
      <w:szCs w:val="18"/>
    </w:rPr>
  </w:style>
  <w:style w:type="paragraph" w:styleId="TOC3">
    <w:name w:val="toc 3"/>
    <w:basedOn w:val="Normal"/>
    <w:next w:val="Normal"/>
    <w:autoRedefine/>
    <w:uiPriority w:val="39"/>
    <w:unhideWhenUsed/>
    <w:qFormat/>
    <w:pPr>
      <w:ind w:left="480"/>
      <w:jc w:val="left"/>
    </w:pPr>
    <w:rPr>
      <w:rFonts w:asciiTheme="minorHAnsi" w:hAnsiTheme="minorHAnsi" w:cstheme="minorHAnsi"/>
      <w:i/>
      <w:iCs/>
      <w:sz w:val="20"/>
      <w:szCs w:val="20"/>
    </w:rPr>
  </w:style>
  <w:style w:type="paragraph" w:styleId="TOC8">
    <w:name w:val="toc 8"/>
    <w:basedOn w:val="Normal"/>
    <w:next w:val="Normal"/>
    <w:autoRedefine/>
    <w:uiPriority w:val="39"/>
    <w:unhideWhenUsed/>
    <w:qFormat/>
    <w:pPr>
      <w:ind w:left="1680"/>
      <w:jc w:val="left"/>
    </w:pPr>
    <w:rPr>
      <w:rFonts w:asciiTheme="minorHAnsi" w:hAnsiTheme="minorHAnsi" w:cstheme="minorHAnsi"/>
      <w:sz w:val="18"/>
      <w:szCs w:val="18"/>
    </w:rPr>
  </w:style>
  <w:style w:type="paragraph" w:styleId="BalloonText">
    <w:name w:val="Balloon Text"/>
    <w:basedOn w:val="Normal"/>
    <w:link w:val="Char2"/>
    <w:autoRedefine/>
    <w:uiPriority w:val="99"/>
    <w:semiHidden/>
    <w:unhideWhenUsed/>
    <w:qFormat/>
    <w:pPr>
      <w:spacing w:line="240" w:lineRule="auto"/>
    </w:pPr>
    <w:rPr>
      <w:sz w:val="18"/>
      <w:szCs w:val="18"/>
    </w:rPr>
  </w:style>
  <w:style w:type="paragraph" w:styleId="Footer">
    <w:name w:val="footer"/>
    <w:basedOn w:val="Normal"/>
    <w:link w:val="Char"/>
    <w:uiPriority w:val="99"/>
    <w:unhideWhenUsed/>
    <w:qFormat/>
    <w:pPr>
      <w:tabs>
        <w:tab w:val="center" w:pos="4153"/>
        <w:tab w:val="right" w:pos="8306"/>
      </w:tabs>
      <w:snapToGrid w:val="0"/>
      <w:jc w:val="left"/>
    </w:pPr>
    <w:rPr>
      <w:sz w:val="18"/>
      <w:szCs w:val="18"/>
    </w:rPr>
  </w:style>
  <w:style w:type="paragraph" w:styleId="Header">
    <w:name w:val="header"/>
    <w:basedOn w:val="Normal"/>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spacing w:before="120" w:after="120"/>
      <w:jc w:val="left"/>
    </w:pPr>
    <w:rPr>
      <w:rFonts w:asciiTheme="minorHAnsi" w:hAnsiTheme="minorHAnsi" w:cstheme="minorHAnsi"/>
      <w:b/>
      <w:bCs/>
      <w:caps/>
      <w:sz w:val="20"/>
      <w:szCs w:val="20"/>
    </w:rPr>
  </w:style>
  <w:style w:type="paragraph" w:styleId="TOC4">
    <w:name w:val="toc 4"/>
    <w:basedOn w:val="Normal"/>
    <w:next w:val="Normal"/>
    <w:autoRedefine/>
    <w:uiPriority w:val="39"/>
    <w:unhideWhenUsed/>
    <w:qFormat/>
    <w:pPr>
      <w:ind w:left="720"/>
      <w:jc w:val="left"/>
    </w:pPr>
    <w:rPr>
      <w:rFonts w:asciiTheme="minorHAnsi" w:hAnsiTheme="minorHAnsi" w:cstheme="minorHAnsi"/>
      <w:sz w:val="18"/>
      <w:szCs w:val="18"/>
    </w:rPr>
  </w:style>
  <w:style w:type="paragraph" w:styleId="TOC6">
    <w:name w:val="toc 6"/>
    <w:basedOn w:val="Normal"/>
    <w:next w:val="Normal"/>
    <w:autoRedefine/>
    <w:uiPriority w:val="39"/>
    <w:unhideWhenUsed/>
    <w:qFormat/>
    <w:pPr>
      <w:ind w:left="1200"/>
      <w:jc w:val="left"/>
    </w:pPr>
    <w:rPr>
      <w:rFonts w:asciiTheme="minorHAnsi" w:hAnsiTheme="minorHAnsi" w:cstheme="minorHAnsi"/>
      <w:sz w:val="18"/>
      <w:szCs w:val="18"/>
    </w:rPr>
  </w:style>
  <w:style w:type="paragraph" w:styleId="TOC2">
    <w:name w:val="toc 2"/>
    <w:basedOn w:val="Normal"/>
    <w:next w:val="Normal"/>
    <w:autoRedefine/>
    <w:uiPriority w:val="39"/>
    <w:unhideWhenUsed/>
    <w:qFormat/>
    <w:pPr>
      <w:ind w:left="240"/>
      <w:jc w:val="left"/>
    </w:pPr>
    <w:rPr>
      <w:rFonts w:asciiTheme="minorHAnsi" w:hAnsiTheme="minorHAnsi" w:cstheme="minorHAnsi"/>
      <w:smallCaps/>
      <w:sz w:val="20"/>
      <w:szCs w:val="20"/>
    </w:rPr>
  </w:style>
  <w:style w:type="paragraph" w:styleId="TOC9">
    <w:name w:val="toc 9"/>
    <w:basedOn w:val="Normal"/>
    <w:next w:val="Normal"/>
    <w:autoRedefine/>
    <w:uiPriority w:val="39"/>
    <w:unhideWhenUsed/>
    <w:qFormat/>
    <w:pPr>
      <w:ind w:left="1920"/>
      <w:jc w:val="left"/>
    </w:pPr>
    <w:rPr>
      <w:rFonts w:asciiTheme="minorHAnsi" w:hAnsiTheme="minorHAnsi" w:cstheme="minorHAnsi"/>
      <w:sz w:val="18"/>
      <w:szCs w:val="18"/>
    </w:rPr>
  </w:style>
  <w:style w:type="paragraph" w:styleId="NormalWeb">
    <w:name w:val="Normal (Web)"/>
    <w:basedOn w:val="Normal"/>
    <w:autoRedefine/>
    <w:uiPriority w:val="99"/>
    <w:semiHidden/>
    <w:unhideWhenUsed/>
    <w:qFormat/>
    <w:pPr>
      <w:widowControl/>
      <w:spacing w:before="100" w:beforeAutospacing="1" w:after="100" w:afterAutospacing="1" w:line="240" w:lineRule="auto"/>
      <w:ind w:firstLine="0" w:firstLineChars="0"/>
      <w:jc w:val="left"/>
    </w:pPr>
    <w:rPr>
      <w:rFonts w:ascii="宋体" w:hAnsi="宋体" w:cs="宋体"/>
      <w:kern w:val="0"/>
      <w:szCs w:val="24"/>
    </w:rPr>
  </w:style>
  <w:style w:type="paragraph" w:styleId="Title">
    <w:name w:val="Title"/>
    <w:basedOn w:val="Normal"/>
    <w:next w:val="Normal"/>
    <w:link w:val="Char1"/>
    <w:uiPriority w:val="10"/>
    <w:qFormat/>
    <w:pPr>
      <w:spacing w:before="240" w:after="60" w:line="240" w:lineRule="auto"/>
      <w:ind w:firstLine="0" w:firstLineChars="0"/>
      <w:jc w:val="center"/>
      <w:outlineLvl w:val="0"/>
    </w:pPr>
    <w:rPr>
      <w:rFonts w:eastAsia="黑体" w:cstheme="majorBidi"/>
      <w:bCs/>
      <w:sz w:val="32"/>
      <w:szCs w:val="32"/>
    </w:rPr>
  </w:style>
  <w:style w:type="table" w:styleId="TableGrid">
    <w:name w:val="Table Grid"/>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1Char">
    <w:name w:val="标题 1 Char"/>
    <w:basedOn w:val="DefaultParagraphFont"/>
    <w:link w:val="Heading1"/>
    <w:autoRedefine/>
    <w:uiPriority w:val="9"/>
    <w:qFormat/>
    <w:rPr>
      <w:rFonts w:ascii="Arial" w:eastAsia="黑体" w:hAnsi="Arial"/>
      <w:sz w:val="28"/>
      <w:szCs w:val="22"/>
    </w:rPr>
  </w:style>
  <w:style w:type="character" w:customStyle="1" w:styleId="2Char">
    <w:name w:val="标题 2 Char"/>
    <w:basedOn w:val="DefaultParagraphFont"/>
    <w:link w:val="Heading2"/>
    <w:autoRedefine/>
    <w:uiPriority w:val="9"/>
    <w:rPr>
      <w:rFonts w:ascii="Arial" w:eastAsia="黑体" w:hAnsi="Arial"/>
      <w:sz w:val="24"/>
      <w:szCs w:val="30"/>
    </w:rPr>
  </w:style>
  <w:style w:type="character" w:customStyle="1" w:styleId="3Char">
    <w:name w:val="标题 3 Char"/>
    <w:basedOn w:val="DefaultParagraphFont"/>
    <w:link w:val="Heading3"/>
    <w:uiPriority w:val="9"/>
    <w:rPr>
      <w:rFonts w:ascii="Arial" w:eastAsia="黑体" w:hAnsi="Arial"/>
      <w:sz w:val="24"/>
      <w:szCs w:val="22"/>
    </w:rPr>
  </w:style>
  <w:style w:type="character" w:customStyle="1" w:styleId="Char">
    <w:name w:val="页脚 Char"/>
    <w:basedOn w:val="DefaultParagraphFont"/>
    <w:link w:val="Footer"/>
    <w:autoRedefine/>
    <w:uiPriority w:val="99"/>
    <w:rPr>
      <w:sz w:val="18"/>
      <w:szCs w:val="18"/>
    </w:rPr>
  </w:style>
  <w:style w:type="character" w:customStyle="1" w:styleId="Char0">
    <w:name w:val="页眉 Char"/>
    <w:basedOn w:val="DefaultParagraphFont"/>
    <w:link w:val="Header"/>
    <w:uiPriority w:val="99"/>
    <w:rPr>
      <w:sz w:val="18"/>
      <w:szCs w:val="18"/>
    </w:rPr>
  </w:style>
  <w:style w:type="paragraph" w:styleId="ListParagraph">
    <w:name w:val="List Paragraph"/>
    <w:basedOn w:val="Normal"/>
    <w:autoRedefine/>
    <w:uiPriority w:val="34"/>
    <w:qFormat/>
    <w:pPr>
      <w:ind w:firstLine="420"/>
    </w:pPr>
  </w:style>
  <w:style w:type="paragraph" w:customStyle="1" w:styleId="TOC10">
    <w:name w:val="TOC 标题1"/>
    <w:basedOn w:val="Heading1"/>
    <w:next w:val="Normal"/>
    <w:autoRedefine/>
    <w:uiPriority w:val="39"/>
    <w:unhideWhenUsed/>
    <w:qFormat/>
    <w:pPr>
      <w:keepLines/>
      <w:widowControl/>
      <w:snapToGrid/>
      <w:spacing w:before="240" w:after="0" w:line="259" w:lineRule="auto"/>
      <w:jc w:val="left"/>
      <w:outlineLvl w:val="9"/>
    </w:pPr>
    <w:rPr>
      <w:rFonts w:ascii="等线 Light" w:eastAsia="等线 Light" w:hAnsi="等线 Light" w:cs="Times New Roman"/>
      <w:b/>
      <w:color w:val="2E74B5"/>
      <w:kern w:val="0"/>
      <w:szCs w:val="32"/>
    </w:rPr>
  </w:style>
  <w:style w:type="character" w:customStyle="1" w:styleId="Char1">
    <w:name w:val="标题 Char"/>
    <w:basedOn w:val="DefaultParagraphFont"/>
    <w:link w:val="Title"/>
    <w:autoRedefine/>
    <w:uiPriority w:val="10"/>
    <w:qFormat/>
    <w:rPr>
      <w:rFonts w:ascii="Times New Roman" w:eastAsia="黑体" w:hAnsi="Times New Roman" w:cstheme="majorBidi"/>
      <w:bCs/>
      <w:sz w:val="32"/>
      <w:szCs w:val="32"/>
    </w:rPr>
  </w:style>
  <w:style w:type="paragraph" w:customStyle="1" w:styleId="a">
    <w:name w:val="图表"/>
    <w:basedOn w:val="Title"/>
    <w:autoRedefine/>
    <w:qFormat/>
    <w:pPr>
      <w:spacing w:before="0" w:after="0" w:line="400" w:lineRule="exact"/>
    </w:pPr>
    <w:rPr>
      <w:rFonts w:eastAsia="宋体"/>
      <w:sz w:val="21"/>
    </w:rPr>
  </w:style>
  <w:style w:type="character" w:customStyle="1" w:styleId="Char2">
    <w:name w:val="批注框文本 Char"/>
    <w:basedOn w:val="DefaultParagraphFont"/>
    <w:link w:val="BalloonText"/>
    <w:autoRedefine/>
    <w:uiPriority w:val="99"/>
    <w:semiHidden/>
    <w:qFormat/>
    <w:rPr>
      <w:rFonts w:ascii="Times New Roman" w:eastAsia="宋体" w:hAnsi="Times New Roman"/>
      <w:sz w:val="18"/>
      <w:szCs w:val="18"/>
    </w:rPr>
  </w:style>
  <w:style w:type="character" w:customStyle="1" w:styleId="ke-check-warning">
    <w:name w:val="ke-check-warning"/>
    <w:basedOn w:val="DefaultParagraphFont"/>
    <w:autoRedefine/>
    <w:qFormat/>
  </w:style>
  <w:style w:type="character" w:customStyle="1" w:styleId="ke-check-danger">
    <w:name w:val="ke-check-danger"/>
    <w:basedOn w:val="DefaultParagraphFont"/>
    <w:autoRedefine/>
    <w:qFormat/>
  </w:style>
  <w:style w:type="paragraph" w:customStyle="1" w:styleId="WPSOffice1">
    <w:name w:val="WPSOffice手动目录 1"/>
    <w:pPr>
      <w:ind w:leftChars="0"/>
    </w:pPr>
    <w:rPr>
      <w:sz w:val="20"/>
      <w:szCs w:val="20"/>
    </w:rPr>
  </w:style>
  <w:style w:type="paragraph" w:customStyle="1" w:styleId="WPSOffice2">
    <w:name w:val="WPSOffice手动目录 2"/>
    <w:pPr>
      <w:ind w:leftChars="200"/>
    </w:pPr>
    <w:rPr>
      <w:sz w:val="20"/>
      <w:szCs w:val="20"/>
    </w:rPr>
  </w:style>
  <w:style w:type="table" w:customStyle="1" w:styleId="TableGrid0">
    <w:name w:val="Table Grid_0"/>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endnotes" Target="endnote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image" Target="media/image1.wmf" /><Relationship Id="rId26" Type="http://schemas.openxmlformats.org/officeDocument/2006/relationships/oleObject" Target="embeddings/oleObject1.bin" /><Relationship Id="rId27" Type="http://schemas.openxmlformats.org/officeDocument/2006/relationships/header" Target="header10.xml" /><Relationship Id="rId28" Type="http://schemas.openxmlformats.org/officeDocument/2006/relationships/header" Target="header11.xml" /><Relationship Id="rId29" Type="http://schemas.openxmlformats.org/officeDocument/2006/relationships/footer" Target="footer10.xml" /><Relationship Id="rId3" Type="http://schemas.openxmlformats.org/officeDocument/2006/relationships/settings" Target="settings.xml" /><Relationship Id="rId30" Type="http://schemas.openxmlformats.org/officeDocument/2006/relationships/footer" Target="footer11.xml" /><Relationship Id="rId31" Type="http://schemas.openxmlformats.org/officeDocument/2006/relationships/header" Target="header12.xml" /><Relationship Id="rId32" Type="http://schemas.openxmlformats.org/officeDocument/2006/relationships/footer" Target="footer12.xml" /><Relationship Id="rId33" Type="http://schemas.openxmlformats.org/officeDocument/2006/relationships/image" Target="media/image2.wmf" /><Relationship Id="rId34" Type="http://schemas.openxmlformats.org/officeDocument/2006/relationships/oleObject" Target="embeddings/oleObject2.bin"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footer" Target="footer14.xml" /><Relationship Id="rId39" Type="http://schemas.openxmlformats.org/officeDocument/2006/relationships/header" Target="header15.xml" /><Relationship Id="rId4" Type="http://schemas.openxmlformats.org/officeDocument/2006/relationships/webSettings" Target="webSettings.xml" /><Relationship Id="rId40" Type="http://schemas.openxmlformats.org/officeDocument/2006/relationships/footer" Target="footer15.xml" /><Relationship Id="rId41" Type="http://schemas.openxmlformats.org/officeDocument/2006/relationships/image" Target="media/image3.png" /><Relationship Id="rId42" Type="http://schemas.openxmlformats.org/officeDocument/2006/relationships/image" Target="media/image4.png" /><Relationship Id="rId43" Type="http://schemas.openxmlformats.org/officeDocument/2006/relationships/header" Target="header16.xml" /><Relationship Id="rId44" Type="http://schemas.openxmlformats.org/officeDocument/2006/relationships/header" Target="header17.xml" /><Relationship Id="rId45" Type="http://schemas.openxmlformats.org/officeDocument/2006/relationships/footer" Target="footer16.xml" /><Relationship Id="rId46" Type="http://schemas.openxmlformats.org/officeDocument/2006/relationships/footer" Target="footer17.xml" /><Relationship Id="rId47" Type="http://schemas.openxmlformats.org/officeDocument/2006/relationships/header" Target="header18.xml" /><Relationship Id="rId48" Type="http://schemas.openxmlformats.org/officeDocument/2006/relationships/footer" Target="footer18.xml" /><Relationship Id="rId49" Type="http://schemas.openxmlformats.org/officeDocument/2006/relationships/image" Target="media/image5.png" /><Relationship Id="rId5" Type="http://schemas.openxmlformats.org/officeDocument/2006/relationships/fontTable" Target="fontTable.xml" /><Relationship Id="rId50" Type="http://schemas.openxmlformats.org/officeDocument/2006/relationships/hyperlink" Target="https://d.book118.com/537150064111006042" TargetMode="External" /><Relationship Id="rId51" Type="http://schemas.openxmlformats.org/officeDocument/2006/relationships/header" Target="header19.xml" /><Relationship Id="rId52" Type="http://schemas.openxmlformats.org/officeDocument/2006/relationships/header" Target="header20.xml" /><Relationship Id="rId53" Type="http://schemas.openxmlformats.org/officeDocument/2006/relationships/footer" Target="footer19.xml" /><Relationship Id="rId54" Type="http://schemas.openxmlformats.org/officeDocument/2006/relationships/footer" Target="footer20.xml" /><Relationship Id="rId55" Type="http://schemas.openxmlformats.org/officeDocument/2006/relationships/header" Target="header21.xml" /><Relationship Id="rId56" Type="http://schemas.openxmlformats.org/officeDocument/2006/relationships/footer" Target="footer21.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F2657-0BA1-418D-A190-088A99FE3F54}">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8</Pages>
  <Words>2883</Words>
  <Characters>16434</Characters>
  <Application>Microsoft Office Word</Application>
  <DocSecurity>0</DocSecurity>
  <Lines>136</Lines>
  <Paragraphs>38</Paragraphs>
  <ScaleCrop>false</ScaleCrop>
  <Company/>
  <LinksUpToDate>false</LinksUpToDate>
  <CharactersWithSpaces>19279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ABEEL</cp:lastModifiedBy>
  <cp:revision>8</cp:revision>
  <cp:lastPrinted>2021-04-11T14:14:00Z</cp:lastPrinted>
  <dcterms:created xsi:type="dcterms:W3CDTF">2021-05-08T12:40:00Z</dcterms:created>
  <dcterms:modified xsi:type="dcterms:W3CDTF">2024-02-18T11:05:54Z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8846A2DD3D464473A9F99D7EBF16EE4F_13</vt:lpwstr>
  </property>
  <property fmtid="{D5CDD505-2E9C-101B-9397-08002B2CF9AE}" pid="3" name="KSOProductBuildVer">
    <vt:lpwstr>2052-12.1.0.16388</vt:lpwstr>
  </property>
</Properties>
</file>