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2018-2023年邢台医学高等专科学校高职单招（数学／语文／英语）历年常考试题库含答案解析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李煜《虞美人》“雕栏玉砌应犹在，只是朱颜改”的言外之意是（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《日出》的主题是（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A.偏重写人性的悲剧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B.写家庭悲剧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C.偏重对社会悲剧的揭示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D.写性格悲剧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“豪放派”的代表词人是（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B.李清照、柳永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C.辛弃疾、李清照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《炉中煤》一诗中诗人用“炉中煤”来自喻，这运用了什么修辞手法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《短歌行》中引用《诗经》成句“青青子衿，悠悠我心”，所表达的心情是（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A.思慕贤才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B.礼遇贤才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C.对贤才无所依托的思虑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D.与贤才久别重逢的欣慰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下列人物属于“战国四公子”的是（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郁达夫所创作的散文名篇有（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B.《荷塘夜色》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C.《白杨礼赞》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D.《故乡的野菜》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下列成语出于庄子《秋水》的是（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A.贻笑大方、分崩离析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C.分崩离析、祸起萧墙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《选择与安排》一文提出完美的作品在结构上须具备的条件有（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A.要有头有尾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B.层次清楚、轻重分明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C.有贯穿的主旨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D.首尾呼应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以1870年“普法战争”为背景的小说是（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《张中丞传后叙》中抨击的人物是（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B.许远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D.贺兰进明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“易安居士”是指（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在下列词作中富有主见的是（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A.李煜《虞美人（春花秋月何时了）》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B.柳永《八声甘州（对潇潇暮雨洒江天）》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C.苏轼《水调歌头（明月几时有）》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D.李清照《声声慢（寻寻觅觅）》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https://d.book118.com/537164124160006044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537164124160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