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306611">
        <w:rPr>
          <w:rFonts w:ascii="微软雅黑" w:eastAsia="微软雅黑" w:hAnsi="微软雅黑"/>
          <w:sz w:val="28"/>
          <w:szCs w:val="28"/>
        </w:rPr>
        <w:t>最新药品采购年度工作总结(九篇)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最新药品采购年度工作总结(九篇)一</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签定地点：</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签定时间：?年?月?日</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招标人：</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投标人：</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为规范药品集中招标采购行为，保障合同当事人合法权益，维护药品流通秩序，根据《_____》《中华人民共和国药品管理法》和_____纠风办等六部委局制定的《医疗机构药品集中招标采购监督管理暂行办法》的有关规定制定本合同。</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药品名称</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产地</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规格</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单位</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供货价格</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出厂价格</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零售价格</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数量</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金额</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交货时间</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人民币（大写）</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第一条?投标人提供的药品必须符合国家的质量标准及有关质量的规定和要求。</w:t>
        <w:br/>
      </w:r>
    </w:p>
    <w:p w:rsidR="00707240" w:rsidRPr="006007CE">
      <w:pPr>
        <w:rPr>
          <w:rFonts w:ascii="微软雅黑" w:eastAsia="微软雅黑" w:hAnsi="微软雅黑"/>
          <w:sz w:val="24"/>
          <w:szCs w:val="24"/>
        </w:rPr>
      </w:pP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第三条?投标人首批所供药品须提供真实的省或市药检所检测的检测报告书，每批产品须附该产品合格证；进口药品应附上供货单位质量检验报告书及进口药品注册证。如因药品质量原因造成的一切损失由投标人负全部责任。</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第四条?投标人为生产企业，所供药品不得超过生产日期3个月，投标人为经营企业所供药品不得超过生产日期6个月；有有效期的药品距失效期的时间不得少于其规定有效期的三分之一。投标人提供药品10件以下为1个批号，50件以下应不超过2个批号，50件以上应不超过4个批号，各批号的出厂日期相隔不得超过1个月。</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第五条?包装物的供应与回收，包装标准：</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（1）除非对包装另有规定，投标人提供的全部药品应按标准保护措施进行包装，以防止药品在转运中损坏或变质，确保药品安全无损运抵指定地点。</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（2）每一个包装箱内应附一份详细装箱单和质量检验报告书。包装，标记和包装箱内外的单据应符合合同的要求，包括招标人后来提出的特殊要求。</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第六条?检验标准，方法、时间、地点和期限：</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1）如果招标人确认需要进行药品质量检验，应及时以书面形式把质量检验的具体要求通知投标人。如果投标人同意进行药品质量检验，或者通过检验证明药品存在质量问题，则进行药品质量检验的费用由投标人承担，检验在投标人交货的最终目的地进行。</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（2）招标人在接收药品时，应对药品进行验货确认，对不符合合同要求的，招标人有权拒绝接受。投标人应及时更换被拒绝的药品，不得影响招标人的临床用药。</w:t>
        <w:br/>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w:t>
      </w:r>
      <w:r w:rsidR="00306611">
        <w:rPr>
          <w:rFonts w:ascii="微软雅黑" w:eastAsia="微软雅黑" w:hAnsi="微软雅黑"/>
          <w:sz w:val="24"/>
          <w:szCs w:val="24"/>
        </w:rPr>
        <w:t xml:space="preserve"> 第七条?结算方式、时间及地点：</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https://d.book118.com/537201056022006034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06611"/>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37201056022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5143</Words>
  <Characters>29317</Characters>
  <Application>Microsoft Office Word</Application>
  <DocSecurity>0</DocSecurity>
  <Lines>244</Lines>
  <Paragraphs>68</Paragraphs>
  <ScaleCrop>false</ScaleCrop>
  <Company/>
  <LinksUpToDate>false</LinksUpToDate>
  <CharactersWithSpaces>34392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