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ind w:left="0"/>
        <w:rPr>
          <w:rFonts w:ascii="Times New Roman"/>
          <w:sz w:val="20"/>
        </w:rPr>
      </w:pPr>
      <w:r>
        <w:drawing>
          <wp:anchor distT="0" distB="0" distL="0" distR="0" simplePos="0" relativeHeight="251658240" behindDoc="1" locked="0" layoutInCell="1" allowOverlap="1">
            <wp:simplePos x="0" y="0"/>
            <wp:positionH relativeFrom="page">
              <wp:posOffset>8951</wp:posOffset>
            </wp:positionH>
            <wp:positionV relativeFrom="page">
              <wp:posOffset>634</wp:posOffset>
            </wp:positionV>
            <wp:extent cx="7551358" cy="1069149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pic:nvPicPr>
                  <pic:blipFill>
                    <a:blip xmlns:r="http://schemas.openxmlformats.org/officeDocument/2006/relationships" r:embed="rId4" cstate="print"/>
                    <a:stretch>
                      <a:fillRect/>
                    </a:stretch>
                  </pic:blipFill>
                  <pic:spPr>
                    <a:xfrm>
                      <a:off x="0" y="0"/>
                      <a:ext cx="7551358" cy="10691495"/>
                    </a:xfrm>
                    <a:prstGeom prst="rect">
                      <a:avLst/>
                    </a:prstGeom>
                  </pic:spPr>
                </pic:pic>
              </a:graphicData>
            </a:graphic>
          </wp:anchor>
        </w:drawing>
      </w:r>
    </w:p>
    <w:p>
      <w:pPr>
        <w:pStyle w:val="BodyText"/>
        <w:ind w:left="0"/>
        <w:rPr>
          <w:rFonts w:ascii="Times New Roman"/>
          <w:sz w:val="20"/>
        </w:rPr>
      </w:pPr>
    </w:p>
    <w:p>
      <w:pPr>
        <w:pStyle w:val="BodyText"/>
        <w:ind w:left="0"/>
        <w:rPr>
          <w:rFonts w:ascii="Times New Roman"/>
          <w:sz w:val="20"/>
        </w:rPr>
      </w:pPr>
    </w:p>
    <w:p>
      <w:pPr>
        <w:pStyle w:val="BodyText"/>
        <w:ind w:left="0"/>
        <w:rPr>
          <w:rFonts w:ascii="Times New Roman"/>
          <w:sz w:val="20"/>
        </w:rPr>
      </w:pPr>
    </w:p>
    <w:p>
      <w:pPr>
        <w:pStyle w:val="BodyText"/>
        <w:ind w:left="0"/>
        <w:rPr>
          <w:rFonts w:ascii="Times New Roman"/>
          <w:sz w:val="20"/>
        </w:rPr>
      </w:pPr>
    </w:p>
    <w:p>
      <w:pPr>
        <w:pStyle w:val="BodyText"/>
        <w:ind w:left="0"/>
        <w:rPr>
          <w:rFonts w:ascii="Times New Roman"/>
          <w:sz w:val="20"/>
        </w:rPr>
      </w:pPr>
    </w:p>
    <w:p>
      <w:pPr>
        <w:pStyle w:val="BodyText"/>
        <w:ind w:left="0"/>
        <w:rPr>
          <w:rFonts w:ascii="Times New Roman"/>
          <w:sz w:val="20"/>
        </w:rPr>
      </w:pPr>
    </w:p>
    <w:p>
      <w:pPr>
        <w:pStyle w:val="BodyText"/>
        <w:ind w:left="0"/>
        <w:rPr>
          <w:rFonts w:ascii="Times New Roman"/>
          <w:sz w:val="20"/>
        </w:rPr>
      </w:pPr>
    </w:p>
    <w:p>
      <w:pPr>
        <w:pStyle w:val="BodyText"/>
        <w:ind w:left="0"/>
        <w:rPr>
          <w:rFonts w:ascii="Times New Roman"/>
          <w:sz w:val="20"/>
        </w:rPr>
      </w:pPr>
    </w:p>
    <w:p>
      <w:pPr>
        <w:pStyle w:val="BodyText"/>
        <w:ind w:left="0"/>
        <w:rPr>
          <w:rFonts w:ascii="Times New Roman"/>
          <w:sz w:val="20"/>
        </w:rPr>
      </w:pPr>
    </w:p>
    <w:p>
      <w:pPr>
        <w:pStyle w:val="BodyText"/>
        <w:ind w:left="0"/>
        <w:rPr>
          <w:rFonts w:ascii="Times New Roman"/>
          <w:sz w:val="20"/>
        </w:rPr>
      </w:pPr>
    </w:p>
    <w:p>
      <w:pPr>
        <w:pStyle w:val="BodyText"/>
        <w:ind w:left="0"/>
        <w:rPr>
          <w:rFonts w:ascii="Times New Roman"/>
          <w:sz w:val="20"/>
        </w:rPr>
      </w:pPr>
    </w:p>
    <w:p>
      <w:pPr>
        <w:pStyle w:val="BodyText"/>
        <w:ind w:left="0"/>
        <w:rPr>
          <w:rFonts w:ascii="Times New Roman"/>
          <w:sz w:val="20"/>
        </w:rPr>
      </w:pPr>
    </w:p>
    <w:p>
      <w:pPr>
        <w:pStyle w:val="Title"/>
        <w:spacing w:before="24" w:line="225" w:lineRule="auto"/>
        <w:ind w:left="296"/>
      </w:pPr>
      <w:r>
        <w:t>（建筑工程管理</w:t>
      </w:r>
      <w:r>
        <w:rPr>
          <w:spacing w:val="-248"/>
        </w:rPr>
        <w:t>）</w:t>
      </w:r>
      <w:r>
        <w:rPr>
          <w:spacing w:val="-4"/>
        </w:rPr>
        <w:t>制糖污水</w:t>
      </w:r>
      <w:r>
        <w:t>处理工程工艺技术初步方案</w:t>
      </w:r>
    </w:p>
    <w:p>
      <w:pPr>
        <w:spacing w:after="0" w:line="225" w:lineRule="auto"/>
        <w:sectPr>
          <w:type w:val="continuous"/>
          <w:pgSz w:w="11910" w:h="16840"/>
          <w:pgMar w:top="1580" w:right="1500" w:bottom="280" w:left="1460" w:header="708" w:footer="708"/>
          <w:cols w:space="708"/>
        </w:sectPr>
      </w:pPr>
    </w:p>
    <w:p>
      <w:pPr>
        <w:pStyle w:val="BodyText"/>
        <w:spacing w:before="11"/>
        <w:ind w:left="0"/>
        <w:rPr>
          <w:rFonts w:ascii="Microsoft JhengHei"/>
          <w:b/>
          <w:sz w:val="9"/>
        </w:rPr>
      </w:pPr>
    </w:p>
    <w:p>
      <w:pPr>
        <w:spacing w:before="0" w:line="861" w:lineRule="exact"/>
        <w:ind w:left="294" w:right="254" w:firstLine="0"/>
        <w:jc w:val="center"/>
        <w:rPr>
          <w:rFonts w:ascii="Microsoft JhengHei" w:eastAsia="Microsoft JhengHei" w:hint="eastAsia"/>
          <w:b/>
          <w:sz w:val="52"/>
        </w:rPr>
      </w:pPr>
      <w:r>
        <w:rPr>
          <w:rFonts w:ascii="Microsoft JhengHei" w:eastAsia="Microsoft JhengHei" w:hint="eastAsia"/>
          <w:b/>
          <w:sz w:val="52"/>
        </w:rPr>
        <w:t>广西来宾东糖迁江 XX 公司</w:t>
      </w:r>
    </w:p>
    <w:p>
      <w:pPr>
        <w:spacing w:before="0" w:line="916" w:lineRule="exact"/>
        <w:ind w:left="294" w:right="254" w:firstLine="0"/>
        <w:jc w:val="center"/>
        <w:rPr>
          <w:rFonts w:ascii="Microsoft JhengHei" w:eastAsia="Microsoft JhengHei" w:hint="eastAsia"/>
          <w:b/>
          <w:sz w:val="52"/>
        </w:rPr>
      </w:pPr>
      <w:r>
        <w:rPr>
          <w:rFonts w:ascii="Microsoft JhengHei" w:eastAsia="Microsoft JhengHei" w:hint="eastAsia"/>
          <w:b/>
          <w:sz w:val="52"/>
        </w:rPr>
        <w:t>污水处理工程</w:t>
      </w:r>
    </w:p>
    <w:p>
      <w:pPr>
        <w:pStyle w:val="Title"/>
        <w:spacing w:line="1294" w:lineRule="exact"/>
      </w:pPr>
      <w:r>
        <w:t>工艺技术初步方案</w:t>
      </w:r>
    </w:p>
    <w:p>
      <w:pPr>
        <w:spacing w:before="22"/>
        <w:ind w:left="294" w:right="254" w:firstLine="0"/>
        <w:jc w:val="center"/>
        <w:rPr>
          <w:rFonts w:ascii="Microsoft JhengHei" w:eastAsia="Microsoft JhengHei" w:hint="eastAsia"/>
          <w:b/>
          <w:sz w:val="30"/>
        </w:rPr>
      </w:pPr>
      <w:r>
        <w:rPr>
          <w:rFonts w:ascii="Microsoft JhengHei" w:eastAsia="Microsoft JhengHei" w:hint="eastAsia"/>
          <w:b/>
          <w:sz w:val="30"/>
        </w:rPr>
        <w:t xml:space="preserve">二 </w:t>
      </w:r>
      <w:r>
        <w:rPr>
          <w:rFonts w:ascii="Microsoft JhengHei" w:eastAsia="Microsoft JhengHei" w:hint="eastAsia"/>
          <w:b/>
          <w:w w:val="90"/>
          <w:sz w:val="30"/>
        </w:rPr>
        <w:t xml:space="preserve">OO </w:t>
      </w:r>
      <w:r>
        <w:rPr>
          <w:rFonts w:ascii="Microsoft JhengHei" w:eastAsia="Microsoft JhengHei" w:hint="eastAsia"/>
          <w:b/>
          <w:sz w:val="30"/>
        </w:rPr>
        <w:t>七年十月</w:t>
      </w:r>
    </w:p>
    <w:p>
      <w:pPr>
        <w:pStyle w:val="Heading1"/>
        <w:spacing w:before="13"/>
        <w:ind w:left="294" w:right="254"/>
        <w:jc w:val="center"/>
      </w:pPr>
      <w:r>
        <w:t>目录</w:t>
      </w:r>
    </w:p>
    <w:p>
      <w:pPr>
        <w:pStyle w:val="Heading3"/>
        <w:spacing w:before="161"/>
      </w:pPr>
      <w:r>
        <w:t>第壹章 工程简介 1</w:t>
      </w:r>
    </w:p>
    <w:p>
      <w:pPr>
        <w:spacing w:before="229"/>
        <w:ind w:left="296" w:right="0" w:firstLine="0"/>
        <w:jc w:val="left"/>
        <w:rPr>
          <w:rFonts w:ascii="Microsoft JhengHei" w:eastAsia="Microsoft JhengHei" w:hint="eastAsia"/>
          <w:b/>
          <w:sz w:val="28"/>
        </w:rPr>
      </w:pPr>
      <w:r>
        <w:rPr>
          <w:rFonts w:ascii="Microsoft JhengHei" w:eastAsia="Microsoft JhengHei" w:hint="eastAsia"/>
          <w:b/>
          <w:sz w:val="28"/>
        </w:rPr>
        <w:t>第二章 设计规模及进、出水量水质指标 2</w:t>
      </w:r>
    </w:p>
    <w:p>
      <w:pPr>
        <w:pStyle w:val="Heading3"/>
      </w:pPr>
      <w:r>
        <w:t>第三章 工艺方案的选择 3</w:t>
      </w:r>
    </w:p>
    <w:p>
      <w:pPr>
        <w:spacing w:before="229"/>
        <w:ind w:left="296" w:right="0" w:firstLine="0"/>
        <w:jc w:val="left"/>
        <w:rPr>
          <w:rFonts w:ascii="Microsoft JhengHei" w:eastAsia="Microsoft JhengHei" w:hint="eastAsia"/>
          <w:b/>
          <w:sz w:val="28"/>
        </w:rPr>
      </w:pPr>
      <w:r>
        <w:rPr>
          <w:rFonts w:ascii="Microsoft JhengHei" w:eastAsia="Microsoft JhengHei" w:hint="eastAsia"/>
          <w:b/>
          <w:sz w:val="28"/>
        </w:rPr>
        <w:t>第四章 废水处理工艺流程及其描述 4</w:t>
      </w:r>
    </w:p>
    <w:p>
      <w:pPr>
        <w:pStyle w:val="Heading3"/>
      </w:pPr>
      <w:r>
        <w:t>第五章 主要构筑物和设计参数 6</w:t>
      </w:r>
    </w:p>
    <w:p>
      <w:pPr>
        <w:spacing w:before="229"/>
        <w:ind w:left="296" w:right="0" w:firstLine="0"/>
        <w:jc w:val="left"/>
        <w:rPr>
          <w:rFonts w:ascii="Microsoft JhengHei" w:eastAsia="Microsoft JhengHei" w:hint="eastAsia"/>
          <w:b/>
          <w:sz w:val="28"/>
        </w:rPr>
      </w:pPr>
      <w:r>
        <w:rPr>
          <w:rFonts w:ascii="Microsoft JhengHei" w:eastAsia="Microsoft JhengHei" w:hint="eastAsia"/>
          <w:b/>
          <w:sz w:val="28"/>
        </w:rPr>
        <w:t>第六章 场地的选择 9</w:t>
      </w:r>
    </w:p>
    <w:p>
      <w:pPr>
        <w:pStyle w:val="Heading3"/>
      </w:pPr>
      <w:r>
        <w:t>第七章 主要设备的设计参数和选择 9</w:t>
      </w:r>
    </w:p>
    <w:p>
      <w:pPr>
        <w:spacing w:before="229"/>
        <w:ind w:left="296" w:right="0" w:firstLine="0"/>
        <w:jc w:val="left"/>
        <w:rPr>
          <w:rFonts w:ascii="Microsoft JhengHei" w:eastAsia="Microsoft JhengHei" w:hint="eastAsia"/>
          <w:b/>
          <w:sz w:val="28"/>
        </w:rPr>
      </w:pPr>
      <w:r>
        <w:rPr>
          <w:rFonts w:ascii="Microsoft JhengHei" w:eastAsia="Microsoft JhengHei" w:hint="eastAsia"/>
          <w:b/>
          <w:sz w:val="28"/>
        </w:rPr>
        <w:t>第八章 供配电设计 11</w:t>
      </w:r>
    </w:p>
    <w:p>
      <w:pPr>
        <w:pStyle w:val="Heading3"/>
      </w:pPr>
      <w:r>
        <w:t>第九章 自动化控制系统和仪表 12</w:t>
      </w:r>
    </w:p>
    <w:p>
      <w:pPr>
        <w:spacing w:before="230"/>
        <w:ind w:left="296" w:right="0" w:firstLine="0"/>
        <w:jc w:val="left"/>
        <w:rPr>
          <w:rFonts w:ascii="Microsoft JhengHei" w:eastAsia="Microsoft JhengHei" w:hint="eastAsia"/>
          <w:b/>
          <w:sz w:val="28"/>
        </w:rPr>
      </w:pPr>
      <w:r>
        <w:rPr>
          <w:rFonts w:ascii="Microsoft JhengHei" w:eastAsia="Microsoft JhengHei" w:hint="eastAsia"/>
          <w:b/>
          <w:sz w:val="28"/>
        </w:rPr>
        <w:t>第十章 劳动定员及人员培训 16</w:t>
      </w:r>
    </w:p>
    <w:p>
      <w:pPr>
        <w:spacing w:before="141" w:line="384" w:lineRule="exact"/>
        <w:ind w:left="716" w:right="0" w:firstLine="0"/>
        <w:jc w:val="left"/>
        <w:rPr>
          <w:sz w:val="21"/>
        </w:rPr>
      </w:pPr>
      <w:r>
        <w:rPr>
          <w:rFonts w:ascii="Microsoft JhengHei" w:eastAsia="Microsoft JhengHei" w:hint="eastAsia"/>
          <w:b/>
          <w:sz w:val="21"/>
        </w:rPr>
        <w:t>附图</w:t>
      </w:r>
      <w:r>
        <w:rPr>
          <w:sz w:val="21"/>
        </w:rPr>
        <w:t>：16</w:t>
      </w:r>
    </w:p>
    <w:p>
      <w:pPr>
        <w:spacing w:before="0" w:line="267" w:lineRule="exact"/>
        <w:ind w:left="716" w:right="0" w:firstLine="0"/>
        <w:jc w:val="left"/>
        <w:rPr>
          <w:sz w:val="21"/>
        </w:rPr>
      </w:pPr>
      <w:r>
        <w:rPr>
          <w:sz w:val="21"/>
        </w:rPr>
        <w:t>1、工艺平面布置图 16</w:t>
      </w:r>
    </w:p>
    <w:p>
      <w:pPr>
        <w:spacing w:before="43"/>
        <w:ind w:left="716" w:right="0" w:firstLine="0"/>
        <w:jc w:val="left"/>
        <w:rPr>
          <w:sz w:val="21"/>
        </w:rPr>
      </w:pPr>
      <w:r>
        <w:rPr>
          <w:sz w:val="21"/>
        </w:rPr>
        <w:t>2、工艺流程图 16</w:t>
      </w:r>
    </w:p>
    <w:p>
      <w:pPr>
        <w:spacing w:before="181"/>
        <w:ind w:left="296" w:right="0" w:firstLine="0"/>
        <w:jc w:val="left"/>
        <w:rPr>
          <w:rFonts w:ascii="Microsoft JhengHei" w:eastAsia="Microsoft JhengHei" w:hint="eastAsia"/>
          <w:b/>
          <w:sz w:val="28"/>
        </w:rPr>
      </w:pPr>
      <w:r>
        <w:rPr>
          <w:rFonts w:ascii="Microsoft JhengHei" w:eastAsia="Microsoft JhengHei" w:hint="eastAsia"/>
          <w:b/>
          <w:sz w:val="28"/>
        </w:rPr>
        <w:t>第十壹章 费用估算表 17</w:t>
      </w:r>
    </w:p>
    <w:p>
      <w:pPr>
        <w:spacing w:after="0"/>
        <w:jc w:val="left"/>
        <w:rPr>
          <w:rFonts w:ascii="Microsoft JhengHei" w:eastAsia="Microsoft JhengHei" w:hint="eastAsia"/>
          <w:sz w:val="28"/>
        </w:rPr>
        <w:sectPr>
          <w:pgSz w:w="11910" w:h="16840"/>
          <w:pgMar w:top="1580" w:right="1500" w:bottom="280" w:left="1460" w:header="708" w:footer="708"/>
          <w:pgNumType w:start="2"/>
          <w:cols w:space="708"/>
        </w:sectPr>
      </w:pPr>
    </w:p>
    <w:p>
      <w:pPr>
        <w:pStyle w:val="BodyText"/>
        <w:spacing w:before="16"/>
        <w:ind w:left="0"/>
        <w:rPr>
          <w:rFonts w:ascii="Microsoft JhengHei"/>
          <w:b/>
          <w:sz w:val="10"/>
        </w:rPr>
      </w:pPr>
    </w:p>
    <w:p>
      <w:pPr>
        <w:spacing w:after="0"/>
        <w:rPr>
          <w:rFonts w:ascii="Microsoft JhengHei"/>
          <w:sz w:val="10"/>
        </w:rPr>
        <w:sectPr>
          <w:pgSz w:w="11910" w:h="16840"/>
          <w:pgMar w:top="1580" w:right="1500" w:bottom="280" w:left="1460" w:header="708" w:footer="708"/>
          <w:pgNumType w:start="3"/>
          <w:cols w:space="708"/>
        </w:sectPr>
      </w:pPr>
    </w:p>
    <w:p>
      <w:pPr>
        <w:pStyle w:val="BodyText"/>
        <w:spacing w:before="18"/>
        <w:ind w:left="0"/>
        <w:rPr>
          <w:rFonts w:ascii="Microsoft JhengHei"/>
          <w:b/>
          <w:sz w:val="12"/>
        </w:rPr>
      </w:pPr>
    </w:p>
    <w:p>
      <w:pPr>
        <w:pStyle w:val="Heading1"/>
        <w:spacing w:line="634" w:lineRule="exact"/>
        <w:ind w:left="861" w:right="254"/>
        <w:jc w:val="center"/>
      </w:pPr>
      <w:r>
        <w:t>第壹章工程简介</w:t>
      </w:r>
    </w:p>
    <w:p>
      <w:pPr>
        <w:pStyle w:val="BodyText"/>
        <w:spacing w:before="4"/>
        <w:ind w:left="0"/>
        <w:rPr>
          <w:rFonts w:ascii="Microsoft JhengHei"/>
          <w:b/>
          <w:sz w:val="20"/>
        </w:rPr>
      </w:pPr>
    </w:p>
    <w:p>
      <w:pPr>
        <w:pStyle w:val="BodyText"/>
        <w:spacing w:line="417" w:lineRule="auto"/>
        <w:ind w:right="255"/>
        <w:jc w:val="both"/>
      </w:pPr>
      <w:r>
        <w:rPr>
          <w:spacing w:val="-4"/>
        </w:rPr>
        <w:t xml:space="preserve">广西来宾东糖集团迁江糖厂设计日榨甘蔗量为 </w:t>
      </w:r>
      <w:r>
        <w:t>13000</w:t>
      </w:r>
      <w:r>
        <w:rPr>
          <w:spacing w:val="-14"/>
        </w:rPr>
        <w:t xml:space="preserve"> 吨，该项目产生</w:t>
      </w:r>
      <w:r>
        <w:rPr>
          <w:spacing w:val="-2"/>
        </w:rPr>
        <w:t>的废水主要包括车间生产废水和部分制糖工艺冷却循环水，预计废水</w:t>
      </w:r>
      <w:r>
        <w:rPr>
          <w:spacing w:val="-11"/>
        </w:rPr>
        <w:t xml:space="preserve">产生量为 </w:t>
      </w:r>
      <w:r>
        <w:t>18000m</w:t>
      </w:r>
      <w:r>
        <w:rPr>
          <w:position w:val="8"/>
          <w:sz w:val="18"/>
        </w:rPr>
        <w:t>3</w:t>
      </w:r>
      <w:r>
        <w:t>/d</w:t>
      </w:r>
      <w:r>
        <w:rPr>
          <w:spacing w:val="3"/>
        </w:rPr>
        <w:t>。生产车间产生的生产废水，主要来源于蒸发、</w:t>
      </w:r>
      <w:r>
        <w:t>煮糖工段喷淋废水，洗箱灌污水、洗机污水、洗地污水及二炭水；制</w:t>
      </w:r>
      <w:r>
        <w:rPr>
          <w:spacing w:val="8"/>
        </w:rPr>
        <w:t>糖工艺冷却循环水由于生产过程中的蒸汽带出糖分及跑冒滴漏等使</w:t>
      </w:r>
      <w:r>
        <w:rPr>
          <w:spacing w:val="-2"/>
        </w:rPr>
        <w:t>其有机物浓度增高，为保持冷却水清洁以适用于循环使用，因此必须</w:t>
      </w:r>
      <w:r>
        <w:rPr>
          <w:spacing w:val="-3"/>
        </w:rPr>
        <w:t>不断排出部分循环水且补充新鲜水。为保护环境，公司决定对项目投</w:t>
      </w:r>
      <w:r>
        <w:t>产后产生的废水进行处理后达标排放。</w:t>
      </w:r>
    </w:p>
    <w:p>
      <w:pPr>
        <w:pStyle w:val="Heading1"/>
        <w:spacing w:line="490" w:lineRule="exact"/>
        <w:ind w:left="1875"/>
      </w:pPr>
      <w:r>
        <w:t>第二章 设计规模及进、出水量水质指标</w:t>
      </w:r>
    </w:p>
    <w:p>
      <w:pPr>
        <w:pStyle w:val="BodyText"/>
        <w:spacing w:before="133" w:line="417" w:lineRule="auto"/>
        <w:ind w:right="255"/>
        <w:jc w:val="both"/>
      </w:pPr>
      <w:r>
        <w:rPr>
          <w:spacing w:val="-3"/>
        </w:rPr>
        <w:t>设计处理的水量和水质，应当由工厂正常生产时取样测定，由贵公司</w:t>
      </w:r>
      <w:r>
        <w:rPr>
          <w:spacing w:val="-4"/>
        </w:rPr>
        <w:t>提供。本方案暂按以下的水量和水质编制，待正常生产取得较准确的</w:t>
      </w:r>
      <w:r>
        <w:t>数据后，再做相应的调整。</w:t>
      </w:r>
    </w:p>
    <w:p>
      <w:pPr>
        <w:pStyle w:val="Heading2"/>
        <w:spacing w:line="456" w:lineRule="exact"/>
        <w:ind w:left="476"/>
      </w:pPr>
      <w:r>
        <w:t>一、 设计水量</w:t>
      </w:r>
    </w:p>
    <w:p>
      <w:pPr>
        <w:pStyle w:val="BodyText"/>
        <w:spacing w:before="167"/>
        <w:ind w:left="856"/>
        <w:jc w:val="both"/>
      </w:pPr>
      <w:r>
        <w:t>废水设计水量为 18000m</w:t>
      </w:r>
      <w:r>
        <w:rPr>
          <w:position w:val="8"/>
          <w:sz w:val="18"/>
        </w:rPr>
        <w:t>3</w:t>
      </w:r>
      <w:r>
        <w:t>/d（750m</w:t>
      </w:r>
      <w:r>
        <w:rPr>
          <w:position w:val="8"/>
          <w:sz w:val="18"/>
        </w:rPr>
        <w:t>3</w:t>
      </w:r>
      <w:r>
        <w:t>/h），其中二碳水 12000m</w:t>
      </w:r>
      <w:r>
        <w:rPr>
          <w:position w:val="8"/>
          <w:sz w:val="18"/>
        </w:rPr>
        <w:t>3</w:t>
      </w:r>
      <w:r>
        <w:t>/d</w:t>
      </w:r>
    </w:p>
    <w:p>
      <w:pPr>
        <w:pStyle w:val="BodyText"/>
        <w:spacing w:before="265" w:line="417" w:lineRule="auto"/>
        <w:ind w:right="254"/>
        <w:jc w:val="both"/>
      </w:pPr>
      <w:r>
        <w:rPr>
          <w:spacing w:val="-10"/>
        </w:rPr>
        <w:t>（500m</w:t>
      </w:r>
      <w:r>
        <w:rPr>
          <w:spacing w:val="-10"/>
          <w:position w:val="8"/>
          <w:sz w:val="18"/>
        </w:rPr>
        <w:t>3</w:t>
      </w:r>
      <w:r>
        <w:rPr>
          <w:spacing w:val="-10"/>
        </w:rPr>
        <w:t>/h）；</w:t>
      </w:r>
      <w:r>
        <w:rPr>
          <w:spacing w:val="-1"/>
        </w:rPr>
        <w:t>其他生产车间废水，包括蒸发、煮糖工段汽凝水和洗箱</w:t>
      </w:r>
      <w:r>
        <w:rPr>
          <w:spacing w:val="-15"/>
        </w:rPr>
        <w:t xml:space="preserve">罐污水、洗机污水、洗地污水等，为 </w:t>
      </w:r>
      <w:r>
        <w:t>6000m</w:t>
      </w:r>
      <w:r>
        <w:rPr>
          <w:position w:val="8"/>
          <w:sz w:val="18"/>
        </w:rPr>
        <w:t>3</w:t>
      </w:r>
      <w:r>
        <w:t>/d（250m</w:t>
      </w:r>
      <w:r>
        <w:rPr>
          <w:position w:val="8"/>
          <w:sz w:val="18"/>
        </w:rPr>
        <w:t>3</w:t>
      </w:r>
      <w:r>
        <w:t>/h）</w:t>
      </w:r>
      <w:r>
        <w:rPr>
          <w:spacing w:val="-9"/>
        </w:rPr>
        <w:t>。锅炉冲灰</w:t>
      </w:r>
      <w:r>
        <w:t>水不进入本处理设施。</w:t>
      </w:r>
    </w:p>
    <w:p>
      <w:pPr>
        <w:pStyle w:val="Heading2"/>
        <w:spacing w:line="456" w:lineRule="exact"/>
        <w:ind w:left="476"/>
      </w:pPr>
      <w:r>
        <w:t>二、 设计进水水质</w:t>
      </w:r>
    </w:p>
    <w:p>
      <w:pPr>
        <w:pStyle w:val="BodyText"/>
        <w:spacing w:before="167"/>
        <w:ind w:left="856"/>
      </w:pPr>
      <w:r>
        <w:t>设计进水水质如下：</w:t>
      </w:r>
    </w:p>
    <w:p>
      <w:pPr>
        <w:pStyle w:val="BodyText"/>
        <w:spacing w:before="266"/>
        <w:ind w:left="856"/>
      </w:pPr>
      <w:r>
        <w:t>二碳水其他生产车间废水</w:t>
      </w:r>
    </w:p>
    <w:p>
      <w:pPr>
        <w:spacing w:after="0"/>
        <w:sectPr>
          <w:headerReference w:type="default" r:id="rId5"/>
          <w:pgSz w:w="11910" w:h="16840"/>
          <w:pgMar w:top="1400" w:right="1500" w:bottom="280" w:left="1460" w:header="926" w:footer="0"/>
          <w:pgNumType w:start="4"/>
          <w:cols w:space="708"/>
        </w:sectPr>
      </w:pPr>
    </w:p>
    <w:p>
      <w:pPr>
        <w:pStyle w:val="BodyText"/>
        <w:spacing w:before="141" w:line="417" w:lineRule="auto"/>
        <w:ind w:left="856" w:right="4874"/>
      </w:pPr>
      <w:r>
        <w:rPr>
          <w:spacing w:val="-2"/>
        </w:rPr>
        <w:t>COD</w:t>
      </w:r>
      <w:r>
        <w:rPr>
          <w:spacing w:val="-2"/>
          <w:vertAlign w:val="subscript"/>
        </w:rPr>
        <w:t>Cr</w:t>
      </w:r>
      <w:r>
        <w:rPr>
          <w:spacing w:val="-2"/>
          <w:vertAlign w:val="baseline"/>
        </w:rPr>
        <w:t xml:space="preserve">≤2000mg/l≤800mg/l </w:t>
      </w:r>
      <w:r>
        <w:rPr>
          <w:vertAlign w:val="baseline"/>
        </w:rPr>
        <w:t>BOD</w:t>
      </w:r>
      <w:r>
        <w:rPr>
          <w:vertAlign w:val="subscript"/>
        </w:rPr>
        <w:t>5</w:t>
      </w:r>
      <w:r>
        <w:rPr>
          <w:vertAlign w:val="baseline"/>
        </w:rPr>
        <w:t>≤800mg/l≤380mg/l SS≤500mg/l≤150mg/l pH6～96～9 T≤35℃≤35℃</w:t>
      </w:r>
    </w:p>
    <w:p>
      <w:pPr>
        <w:pStyle w:val="BodyText"/>
        <w:spacing w:line="417" w:lineRule="auto"/>
        <w:ind w:right="255" w:firstLine="560"/>
        <w:jc w:val="both"/>
      </w:pPr>
      <w:r>
        <w:rPr>
          <w:spacing w:val="-1"/>
        </w:rPr>
        <w:t>二碳水经过初沉</w:t>
      </w:r>
      <w:r>
        <w:t>（</w:t>
      </w:r>
      <w:r>
        <w:rPr>
          <w:spacing w:val="-2"/>
        </w:rPr>
        <w:t>由实验确定是否需要加絮凝剂，本方案暂不考</w:t>
      </w:r>
      <w:r>
        <w:t>虑）</w:t>
      </w:r>
      <w:r>
        <w:rPr>
          <w:spacing w:val="-2"/>
        </w:rPr>
        <w:t>后，再进入调节池和其它废水混合，最后进行生化处理。进入生</w:t>
      </w:r>
      <w:r>
        <w:t>化池废水水质按以下设计：</w:t>
      </w:r>
    </w:p>
    <w:p>
      <w:pPr>
        <w:pStyle w:val="BodyText"/>
        <w:spacing w:line="358" w:lineRule="exact"/>
        <w:ind w:left="856"/>
      </w:pPr>
      <w:r>
        <w:rPr>
          <w:w w:val="105"/>
        </w:rPr>
        <w:t>COD</w:t>
      </w:r>
      <w:r>
        <w:rPr>
          <w:w w:val="105"/>
          <w:vertAlign w:val="subscript"/>
        </w:rPr>
        <w:t>Cr</w:t>
      </w:r>
      <w:r>
        <w:rPr>
          <w:w w:val="105"/>
          <w:vertAlign w:val="baseline"/>
        </w:rPr>
        <w:t>≤1500mg/l</w:t>
      </w:r>
    </w:p>
    <w:p>
      <w:pPr>
        <w:pStyle w:val="BodyText"/>
        <w:spacing w:before="264" w:line="417" w:lineRule="auto"/>
        <w:ind w:left="2256" w:right="4894"/>
      </w:pPr>
      <w:r>
        <w:t>BOD</w:t>
      </w:r>
      <w:r>
        <w:rPr>
          <w:vertAlign w:val="subscript"/>
        </w:rPr>
        <w:t>5</w:t>
      </w:r>
      <w:r>
        <w:rPr>
          <w:vertAlign w:val="baseline"/>
        </w:rPr>
        <w:t>≤500mg/l SS≤300mg/l pH6～9 T≤35℃</w:t>
      </w:r>
    </w:p>
    <w:p>
      <w:pPr>
        <w:pStyle w:val="Heading2"/>
        <w:spacing w:line="456" w:lineRule="exact"/>
      </w:pPr>
      <w:r>
        <w:t>三、处理后排放水质</w:t>
      </w:r>
    </w:p>
    <w:p>
      <w:pPr>
        <w:pStyle w:val="BodyText"/>
        <w:spacing w:before="167" w:line="417" w:lineRule="auto"/>
        <w:ind w:right="247"/>
      </w:pPr>
      <w:r>
        <w:t>处理后的水质达到国家标准《污水综合排放标准》（GB8978—1996） 中的壹级排放标准，即：</w:t>
      </w:r>
    </w:p>
    <w:p>
      <w:pPr>
        <w:pStyle w:val="BodyText"/>
        <w:spacing w:line="417" w:lineRule="auto"/>
        <w:ind w:left="1576" w:right="5488"/>
      </w:pPr>
      <w:r>
        <w:rPr>
          <w:spacing w:val="-1"/>
        </w:rPr>
        <w:t>COD</w:t>
      </w:r>
      <w:r>
        <w:rPr>
          <w:spacing w:val="-1"/>
          <w:vertAlign w:val="subscript"/>
        </w:rPr>
        <w:t>Cr</w:t>
      </w:r>
      <w:r>
        <w:rPr>
          <w:spacing w:val="-1"/>
          <w:vertAlign w:val="baseline"/>
        </w:rPr>
        <w:t xml:space="preserve">≤100mg/l </w:t>
      </w:r>
      <w:r>
        <w:rPr>
          <w:vertAlign w:val="baseline"/>
        </w:rPr>
        <w:t>BOD</w:t>
      </w:r>
      <w:r>
        <w:rPr>
          <w:vertAlign w:val="subscript"/>
        </w:rPr>
        <w:t>5</w:t>
      </w:r>
      <w:r>
        <w:rPr>
          <w:vertAlign w:val="baseline"/>
        </w:rPr>
        <w:t xml:space="preserve">≤20mg/l SS≤70mg/l </w:t>
      </w:r>
      <w:r>
        <w:rPr>
          <w:spacing w:val="-2"/>
          <w:vertAlign w:val="baseline"/>
        </w:rPr>
        <w:t>NH</w:t>
      </w:r>
      <w:r>
        <w:rPr>
          <w:spacing w:val="-2"/>
          <w:vertAlign w:val="subscript"/>
        </w:rPr>
        <w:t>3</w:t>
      </w:r>
      <w:r>
        <w:rPr>
          <w:spacing w:val="-2"/>
          <w:vertAlign w:val="baseline"/>
        </w:rPr>
        <w:t xml:space="preserve">—N≤15mg/l </w:t>
      </w:r>
      <w:r>
        <w:rPr>
          <w:vertAlign w:val="baseline"/>
        </w:rPr>
        <w:t>pH6～9 T≤35℃</w:t>
      </w:r>
    </w:p>
    <w:p>
      <w:pPr>
        <w:spacing w:after="0" w:line="417" w:lineRule="auto"/>
        <w:sectPr>
          <w:headerReference w:type="default" r:id="rId6"/>
          <w:pgSz w:w="11910" w:h="16840"/>
          <w:pgMar w:top="1400" w:right="1500" w:bottom="280" w:left="1460" w:header="926" w:footer="0"/>
          <w:pgNumType w:start="5"/>
          <w:cols w:space="708"/>
        </w:sectPr>
      </w:pPr>
    </w:p>
    <w:p>
      <w:pPr>
        <w:pStyle w:val="BodyText"/>
        <w:spacing w:before="141"/>
        <w:ind w:left="996"/>
      </w:pPr>
      <w:r>
        <w:t>出水感官清澈、无色、无异味。</w:t>
      </w:r>
    </w:p>
    <w:p>
      <w:pPr>
        <w:pStyle w:val="Heading1"/>
        <w:spacing w:before="95"/>
        <w:ind w:left="3135"/>
      </w:pPr>
      <w:r>
        <w:t>第三章 工艺方案的选择</w:t>
      </w:r>
    </w:p>
    <w:p>
      <w:pPr>
        <w:pStyle w:val="BodyText"/>
        <w:spacing w:before="132" w:line="417" w:lineRule="auto"/>
        <w:ind w:right="108"/>
      </w:pPr>
      <w:r>
        <w:rPr>
          <w:spacing w:val="-2"/>
        </w:rPr>
        <w:t>针对项目排放的废水具有水量大，污染物平均浓度较高且波动大，污</w:t>
      </w:r>
      <w:r>
        <w:rPr>
          <w:spacing w:val="-13"/>
        </w:rPr>
        <w:t xml:space="preserve">染负荷冲击性强但可生化性好，而且处理后的排放标准要求高的特点， </w:t>
      </w:r>
      <w:r>
        <w:rPr>
          <w:spacing w:val="-11"/>
        </w:rPr>
        <w:t>目前广泛采用好氧生物处理技术，即生物膜法和活性污泥法俩种方法。</w:t>
      </w:r>
      <w:r>
        <w:t>经过本公司的多年研究，活性污泥法更适合项目废水的处理。</w:t>
      </w:r>
    </w:p>
    <w:p>
      <w:pPr>
        <w:pStyle w:val="BodyText"/>
        <w:spacing w:line="417" w:lineRule="auto"/>
        <w:ind w:right="255" w:firstLine="560"/>
        <w:jc w:val="both"/>
      </w:pPr>
      <w:r>
        <w:t>1</w:t>
      </w:r>
      <w:r>
        <w:rPr>
          <w:spacing w:val="-6"/>
        </w:rPr>
        <w:t xml:space="preserve">、由于项目属于季节性生产，生产时生物膜法需要 </w:t>
      </w:r>
      <w:r>
        <w:t>20～30</w:t>
      </w:r>
      <w:r>
        <w:rPr>
          <w:spacing w:val="-29"/>
        </w:rPr>
        <w:t xml:space="preserve"> 天重</w:t>
      </w:r>
      <w:r>
        <w:rPr>
          <w:spacing w:val="-2"/>
        </w:rPr>
        <w:t>新挂膜驯化才能正常运行，而活性污泥法于生产榨季开机时只需按照</w:t>
      </w:r>
      <w:r>
        <w:rPr>
          <w:spacing w:val="-9"/>
        </w:rPr>
        <w:t xml:space="preserve">壹定的程序开机 </w:t>
      </w:r>
      <w:r>
        <w:t>3～5</w:t>
      </w:r>
      <w:r>
        <w:rPr>
          <w:spacing w:val="-9"/>
        </w:rPr>
        <w:t xml:space="preserve"> 天即可投入正常运行。</w:t>
      </w:r>
    </w:p>
    <w:p>
      <w:pPr>
        <w:pStyle w:val="BodyText"/>
        <w:spacing w:line="417" w:lineRule="auto"/>
        <w:ind w:right="255"/>
        <w:jc w:val="both"/>
      </w:pPr>
      <w:r>
        <w:t>2</w:t>
      </w:r>
      <w:r>
        <w:rPr>
          <w:spacing w:val="3"/>
        </w:rPr>
        <w:t>、活性污泥法于运行过程中有多种监控手段，能及时发现问题及时</w:t>
      </w:r>
      <w:r>
        <w:rPr>
          <w:spacing w:val="-2"/>
        </w:rPr>
        <w:t>调整运行状态。而生物膜法除镜检外，相对于活性污泥法监控和调整</w:t>
      </w:r>
      <w:r>
        <w:t>手段少，生物膜出现问题后不容易被发现，调整运行的灵活性差。</w:t>
      </w:r>
    </w:p>
    <w:p>
      <w:pPr>
        <w:pStyle w:val="BodyText"/>
        <w:spacing w:line="417" w:lineRule="auto"/>
        <w:ind w:right="255" w:firstLine="560"/>
        <w:jc w:val="both"/>
      </w:pPr>
      <w:r>
        <w:t>3</w:t>
      </w:r>
      <w:r>
        <w:rPr>
          <w:spacing w:val="4"/>
        </w:rPr>
        <w:t>、由于生物膜法的微生物主要固着于填料表面，微生物量比活</w:t>
      </w:r>
      <w:r>
        <w:rPr>
          <w:spacing w:val="-3"/>
        </w:rPr>
        <w:t>性污泥法高的多，即使受到冲击恢复起来较快。活性污泥法于受冲击</w:t>
      </w:r>
      <w:r>
        <w:rPr>
          <w:spacing w:val="-2"/>
        </w:rPr>
        <w:t xml:space="preserve">后恢复较慢，可是能够通过 </w:t>
      </w:r>
      <w:r>
        <w:t>SVI、污泥沉降比、污泥浓度等多种方法进行监测，预防冲击事故。</w:t>
      </w:r>
    </w:p>
    <w:p>
      <w:pPr>
        <w:pStyle w:val="BodyText"/>
        <w:spacing w:line="417" w:lineRule="auto"/>
        <w:ind w:right="254" w:firstLine="560"/>
        <w:jc w:val="both"/>
      </w:pPr>
      <w:r>
        <w:t>4</w:t>
      </w:r>
      <w:r>
        <w:rPr>
          <w:spacing w:val="4"/>
        </w:rPr>
        <w:t xml:space="preserve">、活性污泥法建设费用相对生物膜法也较低。于处理效率上， </w:t>
      </w:r>
      <w:r>
        <w:t>有资料表明，50%</w:t>
      </w:r>
      <w:r>
        <w:rPr>
          <w:spacing w:val="-7"/>
        </w:rPr>
        <w:t xml:space="preserve">的活性污泥法处理厂 </w:t>
      </w:r>
      <w:r>
        <w:t>BOD</w:t>
      </w:r>
      <w:r>
        <w:rPr>
          <w:vertAlign w:val="subscript"/>
        </w:rPr>
        <w:t>5</w:t>
      </w:r>
      <w:r>
        <w:rPr>
          <w:spacing w:val="-22"/>
          <w:vertAlign w:val="baseline"/>
        </w:rPr>
        <w:t xml:space="preserve"> 的去除率高于 </w:t>
      </w:r>
      <w:r>
        <w:rPr>
          <w:vertAlign w:val="baseline"/>
        </w:rPr>
        <w:t>91%，50%</w:t>
      </w:r>
      <w:r>
        <w:rPr>
          <w:spacing w:val="-14"/>
          <w:vertAlign w:val="baseline"/>
        </w:rPr>
        <w:t>的</w:t>
      </w:r>
      <w:r>
        <w:rPr>
          <w:spacing w:val="-9"/>
          <w:vertAlign w:val="baseline"/>
        </w:rPr>
        <w:t xml:space="preserve">生物膜法处理厂 </w:t>
      </w:r>
      <w:r>
        <w:rPr>
          <w:vertAlign w:val="baseline"/>
        </w:rPr>
        <w:t>BOD</w:t>
      </w:r>
      <w:r>
        <w:rPr>
          <w:vertAlign w:val="subscript"/>
        </w:rPr>
        <w:t>5</w:t>
      </w:r>
      <w:r>
        <w:rPr>
          <w:spacing w:val="-25"/>
          <w:vertAlign w:val="baseline"/>
        </w:rPr>
        <w:t xml:space="preserve"> 的去除率为 </w:t>
      </w:r>
      <w:r>
        <w:rPr>
          <w:vertAlign w:val="baseline"/>
        </w:rPr>
        <w:t>83%左右。</w:t>
      </w:r>
    </w:p>
    <w:p>
      <w:pPr>
        <w:pStyle w:val="BodyText"/>
        <w:spacing w:line="417" w:lineRule="auto"/>
        <w:ind w:right="254" w:firstLine="560"/>
        <w:jc w:val="both"/>
      </w:pPr>
      <w:r>
        <w:t>5</w:t>
      </w:r>
      <w:r>
        <w:rPr>
          <w:spacing w:val="-2"/>
        </w:rPr>
        <w:t xml:space="preserve">、考虑到二碳水中悬浮物和 </w:t>
      </w:r>
      <w:r>
        <w:t>COD</w:t>
      </w:r>
      <w:r>
        <w:rPr>
          <w:spacing w:val="-4"/>
        </w:rPr>
        <w:t xml:space="preserve"> 浓度高，不宜直接进入生化系</w:t>
      </w:r>
      <w:r>
        <w:rPr>
          <w:spacing w:val="-5"/>
        </w:rPr>
        <w:t>统处理，所以要对其进行预处理。二碳水先经初沉池沉淀，去除大部</w:t>
      </w:r>
      <w:r>
        <w:rPr>
          <w:spacing w:val="-9"/>
        </w:rPr>
        <w:t xml:space="preserve">分悬浮物和部分 </w:t>
      </w:r>
      <w:r>
        <w:t>COD</w:t>
      </w:r>
      <w:r>
        <w:rPr>
          <w:spacing w:val="-10"/>
        </w:rPr>
        <w:t xml:space="preserve"> 后再进入生化处理系统。但二碳水中的悬浮物沉</w:t>
      </w:r>
    </w:p>
    <w:p>
      <w:pPr>
        <w:spacing w:after="0" w:line="417" w:lineRule="auto"/>
        <w:jc w:val="both"/>
        <w:sectPr>
          <w:headerReference w:type="default" r:id="rId7"/>
          <w:pgSz w:w="11910" w:h="16840"/>
          <w:pgMar w:top="1400" w:right="1500" w:bottom="280" w:left="1460" w:header="926" w:footer="0"/>
          <w:pgNumType w:start="6"/>
          <w:cols w:space="708"/>
        </w:sectPr>
      </w:pPr>
    </w:p>
    <w:p>
      <w:pPr>
        <w:pStyle w:val="BodyText"/>
        <w:spacing w:before="141" w:line="417" w:lineRule="auto"/>
        <w:ind w:right="248"/>
      </w:pPr>
      <w:r>
        <w:t>淀效果如何，需待生产正常后取样确定。如达不到预期的沉淀效果， 则要对二碳水的预处理方案再做调整。</w:t>
      </w:r>
    </w:p>
    <w:p>
      <w:pPr>
        <w:pStyle w:val="BodyText"/>
        <w:spacing w:line="417" w:lineRule="auto"/>
        <w:ind w:right="255" w:firstLine="560"/>
        <w:jc w:val="both"/>
      </w:pPr>
      <w:r>
        <w:rPr>
          <w:spacing w:val="-3"/>
        </w:rPr>
        <w:t>综上所述，本项目拟采用活性污泥法的工艺方案，且采用抗负荷</w:t>
      </w:r>
      <w:r>
        <w:rPr>
          <w:spacing w:val="-2"/>
        </w:rPr>
        <w:t>冲击性强氧化沟的曝气池型以增强处理效果，确保废水处理后可靠稳</w:t>
      </w:r>
      <w:r>
        <w:t>定达标，处理后的废水如需要可做进壹步深度处理，全部回用。</w:t>
      </w:r>
    </w:p>
    <w:p>
      <w:pPr>
        <w:pStyle w:val="Heading1"/>
        <w:spacing w:line="491" w:lineRule="exact"/>
        <w:ind w:left="2235"/>
      </w:pPr>
      <w:r>
        <w:t>第四章 废水处理工艺流程及其描述</w:t>
      </w:r>
    </w:p>
    <w:p>
      <w:pPr>
        <w:spacing w:before="0" w:line="254" w:lineRule="auto"/>
        <w:ind w:left="296" w:right="2528" w:firstLine="0"/>
        <w:jc w:val="left"/>
        <w:rPr>
          <w:rFonts w:ascii="Microsoft JhengHei" w:eastAsia="Microsoft JhengHei" w:hint="eastAsia"/>
          <w:b/>
          <w:sz w:val="32"/>
        </w:rPr>
      </w:pPr>
      <w:r>
        <w:rPr>
          <w:rFonts w:ascii="Microsoft JhengHei" w:eastAsia="Microsoft JhengHei" w:hint="eastAsia"/>
          <w:b/>
          <w:sz w:val="32"/>
        </w:rPr>
        <w:t>壹、废水工艺流程示意图如下</w:t>
      </w:r>
      <w:r>
        <w:rPr>
          <w:sz w:val="28"/>
        </w:rPr>
        <w:t xml:space="preserve">：（详见附图） </w:t>
      </w:r>
      <w:r>
        <w:rPr>
          <w:rFonts w:ascii="Microsoft JhengHei" w:eastAsia="Microsoft JhengHei" w:hint="eastAsia"/>
          <w:b/>
          <w:sz w:val="32"/>
        </w:rPr>
        <w:t>二、工艺流程及其描述</w:t>
      </w:r>
    </w:p>
    <w:p>
      <w:pPr>
        <w:pStyle w:val="BodyText"/>
        <w:spacing w:before="132" w:line="417" w:lineRule="auto"/>
        <w:ind w:right="255"/>
      </w:pPr>
      <w:r>
        <w:t>1</w:t>
      </w:r>
      <w:r>
        <w:rPr>
          <w:spacing w:val="-4"/>
        </w:rPr>
        <w:t>、初沉池:采用辐流式沉淀池，沉淀去除二碳水中所含带的滤泥等悬</w:t>
      </w:r>
      <w:r>
        <w:t>浮物,为后续工艺提供可生化条件。</w:t>
      </w:r>
    </w:p>
    <w:p>
      <w:pPr>
        <w:pStyle w:val="BodyText"/>
        <w:spacing w:before="4" w:line="417" w:lineRule="auto"/>
        <w:ind w:right="432" w:firstLine="579"/>
      </w:pPr>
      <w:r>
        <w:t>2</w:t>
      </w:r>
      <w:r>
        <w:rPr>
          <w:spacing w:val="-10"/>
        </w:rPr>
        <w:t>、调节池：可调节水质、水量，使污水水质均匀，同时承受由</w:t>
      </w:r>
      <w:r>
        <w:t>于生产排水不规律产生的冲击负荷。</w:t>
      </w:r>
    </w:p>
    <w:p>
      <w:pPr>
        <w:pStyle w:val="BodyText"/>
        <w:spacing w:before="23" w:line="417" w:lineRule="auto"/>
        <w:ind w:right="430" w:firstLine="560"/>
        <w:jc w:val="both"/>
      </w:pPr>
      <w:r>
        <w:t>3</w:t>
      </w:r>
      <w:r>
        <w:rPr>
          <w:spacing w:val="-8"/>
        </w:rPr>
        <w:t>、生物选择池：进入曝气池的废水和从二沉池回流的活性污泥</w:t>
      </w:r>
      <w:r>
        <w:rPr>
          <w:spacing w:val="2"/>
        </w:rPr>
        <w:t>于此相互混合接触。生物选择池作用原理是按照选择器的动力学选</w:t>
      </w:r>
      <w:r>
        <w:rPr>
          <w:spacing w:val="-2"/>
        </w:rPr>
        <w:t>择性理论、积累</w:t>
      </w:r>
      <w:r>
        <w:t>/</w:t>
      </w:r>
      <w:r>
        <w:rPr>
          <w:spacing w:val="-5"/>
        </w:rPr>
        <w:t>再生理论、饥饿理论而设置的，由于菌胶团的吸附</w:t>
      </w:r>
      <w:r>
        <w:t>储存能力比丝状菌强得多,从而于选择器中能够大量储存有机物,于</w:t>
      </w:r>
      <w:r>
        <w:rPr>
          <w:spacing w:val="2"/>
        </w:rPr>
        <w:t>后续的曝气池中得到大量的增殖而成为绝对优势菌，实现回流微生物的淘劣选优培养和驯化，有效防止污泥膨胀，提高生物系统运行的稳定性。</w:t>
      </w:r>
    </w:p>
    <w:p>
      <w:pPr>
        <w:pStyle w:val="BodyText"/>
        <w:spacing w:before="23" w:line="417" w:lineRule="auto"/>
        <w:ind w:right="430" w:firstLine="560"/>
        <w:jc w:val="both"/>
      </w:pPr>
      <w:r>
        <w:t>4</w:t>
      </w:r>
      <w:r>
        <w:rPr>
          <w:spacing w:val="-8"/>
        </w:rPr>
        <w:t>、生化池：本设计的生化池形式为环形曝气池，为氧化沟工艺</w:t>
      </w:r>
      <w:r>
        <w:rPr>
          <w:spacing w:val="2"/>
        </w:rPr>
        <w:t>的壹种改良形式。对进入氧化池中的污染物进行生化处理，达到去除污染物的目的。</w:t>
      </w:r>
    </w:p>
    <w:p>
      <w:pPr>
        <w:spacing w:after="0" w:line="417" w:lineRule="auto"/>
        <w:jc w:val="both"/>
        <w:sectPr>
          <w:headerReference w:type="default" r:id="rId8"/>
          <w:pgSz w:w="11910" w:h="16840"/>
          <w:pgMar w:top="1400" w:right="1500" w:bottom="280" w:left="1460" w:header="926" w:footer="0"/>
          <w:pgNumType w:start="7"/>
          <w:cols w:space="708"/>
        </w:sectPr>
      </w:pPr>
    </w:p>
    <w:p>
      <w:pPr>
        <w:pStyle w:val="BodyText"/>
        <w:spacing w:before="141" w:line="417" w:lineRule="auto"/>
        <w:ind w:right="430" w:firstLine="560"/>
        <w:jc w:val="both"/>
      </w:pPr>
      <w:r>
        <w:t>5</w:t>
      </w:r>
      <w:r>
        <w:rPr>
          <w:spacing w:val="-8"/>
        </w:rPr>
        <w:t>、二沉池：采用辐流式沉淀池。二沉池的作用是使处理后废水</w:t>
      </w:r>
      <w:r>
        <w:rPr>
          <w:spacing w:val="2"/>
        </w:rPr>
        <w:t>和活性污泥从混合液中分离开来，澄清液从排水堰达标外排，或者进壹步深度处理后回用。沉降到沉淀池底部的污泥采用刮泥机刮出排到回流污泥池，活性污泥用泵送到生物选择池和初沉池来的废水进行混合后进入曝气池，剩余部分污泥送到污泥脱水系统和初沉池污泥壹起处理。</w:t>
      </w:r>
    </w:p>
    <w:p>
      <w:pPr>
        <w:pStyle w:val="BodyText"/>
        <w:spacing w:line="417" w:lineRule="auto"/>
        <w:ind w:right="339" w:firstLine="567"/>
        <w:jc w:val="both"/>
      </w:pPr>
      <w:r>
        <w:t>6、营养盐投加系统：由于废水中以碳水化合物为主，营养不均</w:t>
      </w:r>
      <w:r>
        <w:rPr>
          <w:spacing w:val="-10"/>
        </w:rPr>
        <w:t>衡，因此需要加壹定量的营养盐以提高废水处理效果。采用投加泵连</w:t>
      </w:r>
      <w:r>
        <w:t>续选择池投加营养源。</w:t>
      </w:r>
    </w:p>
    <w:p>
      <w:pPr>
        <w:pStyle w:val="BodyText"/>
        <w:spacing w:before="22"/>
        <w:ind w:left="856"/>
      </w:pPr>
      <w:r>
        <w:t>7、污泥池：储存中转沉淀池的沉淀排出的污泥。</w:t>
      </w:r>
    </w:p>
    <w:p>
      <w:pPr>
        <w:pStyle w:val="BodyText"/>
        <w:spacing w:before="7"/>
        <w:ind w:left="0"/>
        <w:rPr>
          <w:sz w:val="22"/>
        </w:rPr>
      </w:pPr>
    </w:p>
    <w:p>
      <w:pPr>
        <w:pStyle w:val="BodyText"/>
        <w:spacing w:line="417" w:lineRule="auto"/>
        <w:ind w:right="339" w:firstLine="560"/>
        <w:jc w:val="both"/>
      </w:pPr>
      <w:r>
        <w:t>8、污泥脱水系统：由于沉淀池排出来的污泥较多，厂区沉灰池</w:t>
      </w:r>
      <w:r>
        <w:rPr>
          <w:spacing w:val="-9"/>
        </w:rPr>
        <w:t>无能力处理完，因此需要污泥脱水系统。经过脱水处理后，干污泥送</w:t>
      </w:r>
      <w:r>
        <w:t>至锅炉焚烧，或作填埋处理。</w:t>
      </w:r>
    </w:p>
    <w:p>
      <w:pPr>
        <w:pStyle w:val="Heading1"/>
        <w:spacing w:line="491" w:lineRule="exact"/>
        <w:ind w:left="2595"/>
      </w:pPr>
      <w:r>
        <w:t>第五章 主要构筑物和设计参数</w:t>
      </w:r>
    </w:p>
    <w:p>
      <w:pPr>
        <w:spacing w:before="8"/>
        <w:ind w:left="296" w:right="0" w:firstLine="0"/>
        <w:jc w:val="left"/>
        <w:rPr>
          <w:rFonts w:ascii="Microsoft JhengHei" w:eastAsia="Microsoft JhengHei" w:hint="eastAsia"/>
          <w:b/>
          <w:sz w:val="28"/>
        </w:rPr>
      </w:pPr>
      <w:r>
        <w:rPr>
          <w:rFonts w:ascii="Microsoft JhengHei" w:eastAsia="Microsoft JhengHei" w:hint="eastAsia"/>
          <w:b/>
          <w:sz w:val="32"/>
        </w:rPr>
        <w:t xml:space="preserve">一、 </w:t>
      </w:r>
      <w:r>
        <w:rPr>
          <w:rFonts w:ascii="Microsoft JhengHei" w:eastAsia="Microsoft JhengHei" w:hint="eastAsia"/>
          <w:b/>
          <w:sz w:val="28"/>
        </w:rPr>
        <w:t>初沉池</w:t>
      </w:r>
    </w:p>
    <w:p>
      <w:pPr>
        <w:pStyle w:val="BodyText"/>
        <w:spacing w:before="160" w:line="417" w:lineRule="auto"/>
        <w:ind w:left="1695" w:right="1090" w:hanging="840"/>
      </w:pPr>
      <w:r>
        <w:rPr>
          <w:spacing w:val="-24"/>
        </w:rPr>
        <w:t xml:space="preserve">采用 </w:t>
      </w:r>
      <w:r>
        <w:t>1</w:t>
      </w:r>
      <w:r>
        <w:rPr>
          <w:spacing w:val="-10"/>
        </w:rPr>
        <w:t xml:space="preserve"> 个中心进水周边出水的辐流式沉淀池，水力负荷： </w:t>
      </w:r>
      <w:r>
        <w:t>q=1.59m</w:t>
      </w:r>
      <w:r>
        <w:rPr>
          <w:position w:val="8"/>
          <w:sz w:val="18"/>
        </w:rPr>
        <w:t>3</w:t>
      </w:r>
      <w:r>
        <w:t>/（m</w:t>
      </w:r>
      <w:r>
        <w:rPr>
          <w:position w:val="8"/>
          <w:sz w:val="18"/>
        </w:rPr>
        <w:t>2</w:t>
      </w:r>
      <w:r>
        <w:t>·h）。</w:t>
      </w:r>
    </w:p>
    <w:p>
      <w:pPr>
        <w:pStyle w:val="BodyText"/>
        <w:spacing w:line="358" w:lineRule="exact"/>
        <w:ind w:left="856"/>
      </w:pPr>
      <w:r>
        <w:t>沉淀部分水面面积计算公式：F=Q/nq；</w:t>
      </w:r>
    </w:p>
    <w:p>
      <w:pPr>
        <w:pStyle w:val="BodyText"/>
        <w:spacing w:before="265" w:line="417" w:lineRule="auto"/>
        <w:ind w:right="114" w:firstLine="1400"/>
      </w:pPr>
      <w:r>
        <w:rPr>
          <w:spacing w:val="-20"/>
        </w:rPr>
        <w:t>Q</w:t>
      </w:r>
      <w:r>
        <w:rPr>
          <w:spacing w:val="-5"/>
        </w:rPr>
        <w:t>：为日平均流量</w:t>
      </w:r>
      <w:r>
        <w:rPr>
          <w:spacing w:val="-6"/>
        </w:rPr>
        <w:t>（m</w:t>
      </w:r>
      <w:r>
        <w:rPr>
          <w:spacing w:val="-6"/>
          <w:position w:val="8"/>
          <w:sz w:val="18"/>
        </w:rPr>
        <w:t>3</w:t>
      </w:r>
      <w:r>
        <w:rPr>
          <w:spacing w:val="-6"/>
        </w:rPr>
        <w:t>/h）</w:t>
      </w:r>
      <w:r>
        <w:rPr>
          <w:spacing w:val="-8"/>
        </w:rPr>
        <w:t>，需处理二碳水水量为 500m</w:t>
      </w:r>
      <w:r>
        <w:rPr>
          <w:spacing w:val="-8"/>
          <w:position w:val="8"/>
          <w:sz w:val="18"/>
        </w:rPr>
        <w:t>3</w:t>
      </w:r>
      <w:r>
        <w:rPr>
          <w:spacing w:val="-8"/>
        </w:rPr>
        <w:t xml:space="preserve">/h； </w:t>
      </w:r>
      <w:r>
        <w:t>q：为水力负荷（m</w:t>
      </w:r>
      <w:r>
        <w:rPr>
          <w:position w:val="8"/>
          <w:sz w:val="18"/>
        </w:rPr>
        <w:t>3</w:t>
      </w:r>
      <w:r>
        <w:t>/（m</w:t>
      </w:r>
      <w:r>
        <w:rPr>
          <w:position w:val="8"/>
          <w:sz w:val="18"/>
        </w:rPr>
        <w:t>2</w:t>
      </w:r>
      <w:r>
        <w:t>·h））。</w:t>
      </w:r>
    </w:p>
    <w:p>
      <w:pPr>
        <w:pStyle w:val="BodyText"/>
        <w:spacing w:line="417" w:lineRule="auto"/>
        <w:ind w:left="856" w:right="718"/>
      </w:pPr>
      <w:r>
        <w:rPr>
          <w:spacing w:val="-8"/>
        </w:rPr>
        <w:t xml:space="preserve">则沉淀池水面面积 </w:t>
      </w:r>
      <w:r>
        <w:t>F=314m</w:t>
      </w:r>
      <w:r>
        <w:rPr>
          <w:position w:val="8"/>
          <w:sz w:val="18"/>
        </w:rPr>
        <w:t>2</w:t>
      </w:r>
      <w:r>
        <w:rPr>
          <w:spacing w:val="-6"/>
        </w:rPr>
        <w:t xml:space="preserve">，采用圆形设计，则直径 </w:t>
      </w:r>
      <w:r>
        <w:t>D=20m</w:t>
      </w:r>
      <w:r>
        <w:rPr>
          <w:spacing w:val="-18"/>
        </w:rPr>
        <w:t>。</w:t>
      </w:r>
      <w:r>
        <w:rPr>
          <w:spacing w:val="-8"/>
        </w:rPr>
        <w:t xml:space="preserve">设水力停留时间为 </w:t>
      </w:r>
      <w:r>
        <w:t>1.8h,则沉淀部分有效水深:</w:t>
      </w:r>
    </w:p>
    <w:p>
      <w:pPr>
        <w:spacing w:after="0" w:line="417" w:lineRule="auto"/>
        <w:sectPr>
          <w:headerReference w:type="default" r:id="rId9"/>
          <w:pgSz w:w="11910" w:h="16840"/>
          <w:pgMar w:top="1400" w:right="1500" w:bottom="280" w:left="1460" w:header="926" w:footer="0"/>
          <w:pgNumType w:start="8"/>
          <w:cols w:space="708"/>
        </w:sectPr>
      </w:pPr>
    </w:p>
    <w:p>
      <w:pPr>
        <w:pStyle w:val="BodyText"/>
        <w:spacing w:before="141" w:line="417" w:lineRule="auto"/>
        <w:ind w:left="1696" w:hanging="840"/>
      </w:pPr>
      <w:r>
        <w:rPr>
          <w:spacing w:val="-6"/>
        </w:rPr>
        <w:t xml:space="preserve">设计缓冲区和污泥区高度取 </w:t>
      </w:r>
      <w:r>
        <w:t>1.13m</w:t>
      </w:r>
      <w:r>
        <w:rPr>
          <w:spacing w:val="-7"/>
        </w:rPr>
        <w:t xml:space="preserve">，则沉淀池周边有效水深度为： </w:t>
      </w:r>
      <w:r>
        <w:t>H=2.87m+1.13m=4.00m</w:t>
      </w:r>
    </w:p>
    <w:p>
      <w:pPr>
        <w:pStyle w:val="BodyText"/>
        <w:spacing w:line="417" w:lineRule="auto"/>
        <w:ind w:right="115" w:firstLine="560"/>
        <w:jc w:val="both"/>
      </w:pPr>
      <w:r>
        <w:rPr>
          <w:spacing w:val="-15"/>
        </w:rPr>
        <w:t xml:space="preserve">加上超高 </w:t>
      </w:r>
      <w:r>
        <w:t>0.5m</w:t>
      </w:r>
      <w:r>
        <w:rPr>
          <w:spacing w:val="-15"/>
        </w:rPr>
        <w:t xml:space="preserve">，污泥斗 </w:t>
      </w:r>
      <w:r>
        <w:t>1.2m</w:t>
      </w:r>
      <w:r>
        <w:rPr>
          <w:spacing w:val="-20"/>
        </w:rPr>
        <w:t xml:space="preserve"> 和刮泥区高度 </w:t>
      </w:r>
      <w:r>
        <w:t>0.8（</w:t>
      </w:r>
      <w:r>
        <w:rPr>
          <w:spacing w:val="-24"/>
        </w:rPr>
        <w:t xml:space="preserve">坡度 </w:t>
      </w:r>
      <w:r>
        <w:rPr>
          <w:spacing w:val="-11"/>
        </w:rPr>
        <w:t xml:space="preserve">I=0.10）， </w:t>
      </w:r>
      <w:r>
        <w:t>则沉淀池的总高为：H</w:t>
      </w:r>
      <w:r>
        <w:rPr>
          <w:spacing w:val="-35"/>
        </w:rPr>
        <w:t xml:space="preserve"> 总</w:t>
      </w:r>
      <w:r>
        <w:rPr>
          <w:vertAlign w:val="baseline"/>
        </w:rPr>
        <w:t>=6.5m。</w:t>
      </w:r>
    </w:p>
    <w:p>
      <w:pPr>
        <w:pStyle w:val="Heading2"/>
        <w:spacing w:line="457" w:lineRule="exact"/>
      </w:pPr>
      <w:r>
        <w:t>二、 调节池</w:t>
      </w:r>
    </w:p>
    <w:p>
      <w:pPr>
        <w:pStyle w:val="BodyText"/>
        <w:spacing w:before="166"/>
        <w:ind w:left="716"/>
      </w:pPr>
      <w:r>
        <w:t>调节池尺寸为：1430m</w:t>
      </w:r>
      <w:r>
        <w:rPr>
          <w:position w:val="8"/>
          <w:sz w:val="18"/>
        </w:rPr>
        <w:t>2</w:t>
      </w:r>
      <w:r>
        <w:t>×4.7m</w:t>
      </w:r>
    </w:p>
    <w:p>
      <w:pPr>
        <w:pStyle w:val="BodyText"/>
        <w:spacing w:before="266" w:line="417" w:lineRule="auto"/>
        <w:ind w:left="716" w:right="2867"/>
      </w:pPr>
      <w:r>
        <w:rPr>
          <w:w w:val="95"/>
        </w:rPr>
        <w:t>则调节池的有效容积:V=1430m</w:t>
      </w:r>
      <w:r>
        <w:rPr>
          <w:w w:val="95"/>
          <w:position w:val="8"/>
          <w:sz w:val="18"/>
        </w:rPr>
        <w:t>2</w:t>
      </w:r>
      <w:r>
        <w:rPr>
          <w:w w:val="95"/>
        </w:rPr>
        <w:t>×4.2m=6006m</w:t>
      </w:r>
      <w:r>
        <w:rPr>
          <w:w w:val="95"/>
          <w:position w:val="8"/>
          <w:sz w:val="18"/>
        </w:rPr>
        <w:t xml:space="preserve">3 </w:t>
      </w:r>
      <w:r>
        <w:t>水力停留时间为:8h。</w:t>
      </w:r>
    </w:p>
    <w:p>
      <w:pPr>
        <w:pStyle w:val="Heading2"/>
        <w:spacing w:line="457" w:lineRule="exact"/>
      </w:pPr>
      <w:r>
        <w:t>二、生物选择池</w:t>
      </w:r>
    </w:p>
    <w:p>
      <w:pPr>
        <w:pStyle w:val="BodyText"/>
        <w:spacing w:before="167"/>
        <w:ind w:left="716"/>
      </w:pPr>
      <w:r>
        <w:t>设计尺寸：B×L×H=7m×12m×5.5m</w:t>
      </w:r>
    </w:p>
    <w:p>
      <w:pPr>
        <w:pStyle w:val="BodyText"/>
        <w:spacing w:before="265"/>
        <w:ind w:left="716"/>
      </w:pPr>
      <w:r>
        <w:t>V 有效</w:t>
      </w:r>
      <w:r>
        <w:rPr>
          <w:vertAlign w:val="baseline"/>
        </w:rPr>
        <w:t>=7m×12m×5m=420m</w:t>
      </w:r>
      <w:r>
        <w:rPr>
          <w:position w:val="8"/>
          <w:sz w:val="18"/>
          <w:vertAlign w:val="baseline"/>
        </w:rPr>
        <w:t>3</w:t>
      </w:r>
      <w:r>
        <w:rPr>
          <w:vertAlign w:val="baseline"/>
        </w:rPr>
        <w:t>，水力停留时间 30min。</w:t>
      </w:r>
    </w:p>
    <w:p>
      <w:pPr>
        <w:pStyle w:val="Heading2"/>
        <w:spacing w:before="134"/>
      </w:pPr>
      <w:r>
        <w:t>三、生化池</w:t>
      </w:r>
    </w:p>
    <w:p>
      <w:pPr>
        <w:pStyle w:val="BodyText"/>
        <w:spacing w:before="167"/>
      </w:pPr>
      <w:r>
        <w:t>1、有效容积</w:t>
      </w:r>
    </w:p>
    <w:p>
      <w:pPr>
        <w:pStyle w:val="BodyText"/>
        <w:spacing w:before="265" w:line="417" w:lineRule="auto"/>
        <w:ind w:right="254" w:firstLine="540"/>
        <w:jc w:val="both"/>
      </w:pPr>
      <w:r>
        <w:rPr>
          <w:spacing w:val="-5"/>
        </w:rPr>
        <w:t xml:space="preserve">氧化沟中废水停留时间壹般为 </w:t>
      </w:r>
      <w:r>
        <w:t>10～40h</w:t>
      </w:r>
      <w:r>
        <w:rPr>
          <w:spacing w:val="-9"/>
        </w:rPr>
        <w:t xml:space="preserve"> 之间，本设计结合本项目</w:t>
      </w:r>
      <w:r>
        <w:rPr>
          <w:spacing w:val="-6"/>
        </w:rPr>
        <w:t xml:space="preserve">实际情况，采用 </w:t>
      </w:r>
      <w:r>
        <w:t>1</w:t>
      </w:r>
      <w:r>
        <w:rPr>
          <w:spacing w:val="-9"/>
        </w:rPr>
        <w:t xml:space="preserve"> 组氧化沟设计，单沟设计流量 </w:t>
      </w:r>
      <w:r>
        <w:t>Q=750m</w:t>
      </w:r>
      <w:r>
        <w:rPr>
          <w:position w:val="8"/>
          <w:sz w:val="18"/>
        </w:rPr>
        <w:t>3</w:t>
      </w:r>
      <w:r>
        <w:t>/h</w:t>
      </w:r>
      <w:r>
        <w:rPr>
          <w:spacing w:val="1"/>
        </w:rPr>
        <w:t>，停留时间（t</w:t>
      </w:r>
      <w:r>
        <w:rPr>
          <w:spacing w:val="-24"/>
        </w:rPr>
        <w:t xml:space="preserve"> 停留</w:t>
      </w:r>
      <w:r>
        <w:rPr>
          <w:vertAlign w:val="baseline"/>
        </w:rPr>
        <w:t>）</w:t>
      </w:r>
      <w:r>
        <w:rPr>
          <w:spacing w:val="-34"/>
          <w:vertAlign w:val="baseline"/>
        </w:rPr>
        <w:t xml:space="preserve">为 </w:t>
      </w:r>
      <w:r>
        <w:rPr>
          <w:vertAlign w:val="baseline"/>
        </w:rPr>
        <w:t>24h，则曝气池有效容积为：</w:t>
      </w:r>
    </w:p>
    <w:p>
      <w:pPr>
        <w:pStyle w:val="BodyText"/>
        <w:spacing w:line="417" w:lineRule="auto"/>
        <w:ind w:left="1696" w:right="3628" w:firstLine="1405"/>
        <w:rPr>
          <w:sz w:val="18"/>
        </w:rPr>
      </w:pPr>
      <w:r>
        <w:t xml:space="preserve">V 有 效 </w:t>
      </w:r>
      <w:r>
        <w:rPr>
          <w:vertAlign w:val="baseline"/>
        </w:rPr>
        <w:t>=Q·t</w:t>
      </w:r>
      <w:r>
        <w:rPr>
          <w:spacing w:val="-10"/>
          <w:vertAlign w:val="baseline"/>
        </w:rPr>
        <w:t xml:space="preserve"> 停</w:t>
      </w:r>
      <w:r>
        <w:rPr>
          <w:vertAlign w:val="baseline"/>
        </w:rPr>
        <w:t>Q：</w:t>
      </w:r>
      <w:r>
        <w:rPr>
          <w:spacing w:val="-7"/>
          <w:vertAlign w:val="baseline"/>
        </w:rPr>
        <w:t xml:space="preserve">曝气池入流废水流量 </w:t>
      </w:r>
      <w:r>
        <w:rPr>
          <w:vertAlign w:val="baseline"/>
        </w:rPr>
        <w:t>m</w:t>
      </w:r>
      <w:r>
        <w:rPr>
          <w:position w:val="8"/>
          <w:sz w:val="18"/>
          <w:vertAlign w:val="baseline"/>
        </w:rPr>
        <w:t>3</w:t>
      </w:r>
      <w:r>
        <w:rPr>
          <w:vertAlign w:val="baseline"/>
        </w:rPr>
        <w:t>/h 则</w:t>
      </w:r>
      <w:r>
        <w:rPr>
          <w:spacing w:val="-104"/>
          <w:vertAlign w:val="baseline"/>
        </w:rPr>
        <w:t xml:space="preserve"> </w:t>
      </w:r>
      <w:r>
        <w:rPr>
          <w:vertAlign w:val="baseline"/>
        </w:rPr>
        <w:t>V</w:t>
      </w:r>
      <w:r>
        <w:rPr>
          <w:spacing w:val="-35"/>
          <w:vertAlign w:val="baseline"/>
        </w:rPr>
        <w:t xml:space="preserve"> 有效</w:t>
      </w:r>
      <w:r>
        <w:rPr>
          <w:vertAlign w:val="baseline"/>
        </w:rPr>
        <w:t>=750m</w:t>
      </w:r>
      <w:r>
        <w:rPr>
          <w:position w:val="8"/>
          <w:sz w:val="18"/>
          <w:vertAlign w:val="baseline"/>
        </w:rPr>
        <w:t>3</w:t>
      </w:r>
      <w:r>
        <w:rPr>
          <w:vertAlign w:val="baseline"/>
        </w:rPr>
        <w:t>/h×24h=18000m</w:t>
      </w:r>
      <w:r>
        <w:rPr>
          <w:position w:val="8"/>
          <w:sz w:val="18"/>
          <w:vertAlign w:val="baseline"/>
        </w:rPr>
        <w:t>3</w:t>
      </w:r>
    </w:p>
    <w:p>
      <w:pPr>
        <w:pStyle w:val="BodyText"/>
        <w:spacing w:line="358" w:lineRule="exact"/>
      </w:pPr>
      <w:r>
        <w:t>2、设计尺寸</w:t>
      </w:r>
    </w:p>
    <w:p>
      <w:pPr>
        <w:pStyle w:val="BodyText"/>
        <w:spacing w:before="265" w:line="417" w:lineRule="auto"/>
        <w:ind w:left="1556" w:right="4154" w:hanging="1260"/>
      </w:pPr>
      <w:r>
        <w:t xml:space="preserve">采用四沟式氧化沟池型,设计尺寸为: </w:t>
      </w:r>
      <w:r>
        <w:rPr>
          <w:w w:val="90"/>
        </w:rPr>
        <w:t>B×L×H=52m×71.6m×5.5m</w:t>
      </w:r>
    </w:p>
    <w:p>
      <w:pPr>
        <w:spacing w:after="0" w:line="417" w:lineRule="auto"/>
        <w:sectPr>
          <w:headerReference w:type="default" r:id="rId10"/>
          <w:pgSz w:w="11910" w:h="16840"/>
          <w:pgMar w:top="1400" w:right="1500" w:bottom="280" w:left="1460" w:header="926" w:footer="0"/>
          <w:pgNumType w:start="9"/>
          <w:cols w:space="708"/>
        </w:sectPr>
      </w:pPr>
    </w:p>
    <w:p>
      <w:pPr>
        <w:pStyle w:val="BodyText"/>
        <w:spacing w:before="141" w:line="417" w:lineRule="auto"/>
        <w:ind w:left="1416" w:right="2754" w:hanging="560"/>
        <w:rPr>
          <w:sz w:val="18"/>
        </w:rPr>
      </w:pPr>
      <w:r>
        <w:t>池壁超高 0.5m,则曝气池实际有效容积为： V 有效</w:t>
      </w:r>
      <w:r>
        <w:rPr>
          <w:vertAlign w:val="baseline"/>
        </w:rPr>
        <w:t>=52m×71.6m×5.0m=18616m</w:t>
      </w:r>
      <w:r>
        <w:rPr>
          <w:position w:val="8"/>
          <w:sz w:val="18"/>
          <w:vertAlign w:val="baseline"/>
        </w:rPr>
        <w:t>3</w:t>
      </w:r>
    </w:p>
    <w:p>
      <w:pPr>
        <w:pStyle w:val="BodyText"/>
        <w:spacing w:line="358" w:lineRule="exact"/>
        <w:ind w:left="1416"/>
      </w:pPr>
      <w:r>
        <w:t>实际停留时间：24.8h。</w:t>
      </w:r>
    </w:p>
    <w:p>
      <w:pPr>
        <w:pStyle w:val="Heading2"/>
        <w:spacing w:before="134"/>
      </w:pPr>
      <w:r>
        <w:t>四、二沉池</w:t>
      </w:r>
    </w:p>
    <w:p>
      <w:pPr>
        <w:pStyle w:val="BodyText"/>
        <w:spacing w:before="167" w:line="417" w:lineRule="auto"/>
        <w:ind w:right="214" w:firstLine="560"/>
      </w:pPr>
      <w:r>
        <w:t>通过对工业废水处理中污泥沉降性的实验对比，二沉池采用中心进水周边出水的辐流式沉淀池。池子个数 n=1 个，采用水力负荷：</w:t>
      </w:r>
    </w:p>
    <w:p>
      <w:pPr>
        <w:pStyle w:val="BodyText"/>
        <w:spacing w:line="358" w:lineRule="exact"/>
        <w:ind w:left="1696"/>
      </w:pPr>
      <w:r>
        <w:t>q=0.826m</w:t>
      </w:r>
      <w:r>
        <w:rPr>
          <w:position w:val="8"/>
          <w:sz w:val="18"/>
        </w:rPr>
        <w:t>3</w:t>
      </w:r>
      <w:r>
        <w:t>/（m</w:t>
      </w:r>
      <w:r>
        <w:rPr>
          <w:position w:val="8"/>
          <w:sz w:val="18"/>
        </w:rPr>
        <w:t>2</w:t>
      </w:r>
      <w:r>
        <w:t>·h）</w:t>
      </w:r>
    </w:p>
    <w:p>
      <w:pPr>
        <w:pStyle w:val="BodyText"/>
        <w:spacing w:before="265" w:line="417" w:lineRule="auto"/>
        <w:ind w:right="2238" w:firstLine="560"/>
      </w:pPr>
      <w:r>
        <w:t>沉淀部分水面面积计算公式：F=Q/nq       Q：为日平均流量（m</w:t>
      </w:r>
      <w:r>
        <w:rPr>
          <w:position w:val="8"/>
          <w:sz w:val="18"/>
        </w:rPr>
        <w:t>3</w:t>
      </w:r>
      <w:r>
        <w:t>/h），</w:t>
      </w:r>
      <w:r>
        <w:rPr>
          <w:spacing w:val="-10"/>
        </w:rPr>
        <w:t xml:space="preserve">综合废水量为 </w:t>
      </w:r>
      <w:r>
        <w:t>750m</w:t>
      </w:r>
      <w:r>
        <w:rPr>
          <w:position w:val="8"/>
          <w:sz w:val="18"/>
        </w:rPr>
        <w:t>3</w:t>
      </w:r>
      <w:r>
        <w:t>/h</w:t>
      </w:r>
      <w:r>
        <w:rPr>
          <w:spacing w:val="-18"/>
        </w:rPr>
        <w:t>。</w:t>
      </w:r>
      <w:r>
        <w:t>q：为水力负荷（m</w:t>
      </w:r>
      <w:r>
        <w:rPr>
          <w:position w:val="8"/>
          <w:sz w:val="18"/>
        </w:rPr>
        <w:t>3</w:t>
      </w:r>
      <w:r>
        <w:t>/（m</w:t>
      </w:r>
      <w:r>
        <w:rPr>
          <w:position w:val="8"/>
          <w:sz w:val="18"/>
        </w:rPr>
        <w:t>2</w:t>
      </w:r>
      <w:r>
        <w:t>·h））</w:t>
      </w:r>
    </w:p>
    <w:p>
      <w:pPr>
        <w:pStyle w:val="BodyText"/>
        <w:spacing w:line="417" w:lineRule="auto"/>
        <w:ind w:left="856" w:right="387"/>
      </w:pPr>
      <w:r>
        <w:rPr>
          <w:spacing w:val="-5"/>
        </w:rPr>
        <w:t xml:space="preserve">则沉淀池水面面积 </w:t>
      </w:r>
      <w:r>
        <w:t>F=908m</w:t>
      </w:r>
      <w:r>
        <w:rPr>
          <w:position w:val="8"/>
          <w:sz w:val="18"/>
        </w:rPr>
        <w:t>2</w:t>
      </w:r>
      <w:r>
        <w:rPr>
          <w:spacing w:val="-4"/>
        </w:rPr>
        <w:t xml:space="preserve">，采用圆形设计，则直径 </w:t>
      </w:r>
      <w:r>
        <w:t xml:space="preserve">D=34m。 </w:t>
      </w:r>
      <w:r>
        <w:rPr>
          <w:spacing w:val="-7"/>
        </w:rPr>
        <w:t xml:space="preserve">澄清区部分有效水深为 </w:t>
      </w:r>
      <w:r>
        <w:t>1.65m,</w:t>
      </w:r>
      <w:r>
        <w:rPr>
          <w:spacing w:val="-10"/>
        </w:rPr>
        <w:t xml:space="preserve">污泥区高度取 </w:t>
      </w:r>
      <w:r>
        <w:t>1.25m,</w:t>
      </w:r>
      <w:r>
        <w:rPr>
          <w:spacing w:val="-4"/>
        </w:rPr>
        <w:t>缓冲区高度</w:t>
      </w:r>
    </w:p>
    <w:p>
      <w:pPr>
        <w:pStyle w:val="BodyText"/>
        <w:spacing w:line="417" w:lineRule="auto"/>
        <w:ind w:right="318"/>
        <w:jc w:val="both"/>
      </w:pPr>
      <w:r>
        <w:rPr>
          <w:spacing w:val="-35"/>
        </w:rPr>
        <w:t xml:space="preserve">取 </w:t>
      </w:r>
      <w:r>
        <w:t>0.4m，</w:t>
      </w:r>
      <w:r>
        <w:rPr>
          <w:spacing w:val="-12"/>
        </w:rPr>
        <w:t xml:space="preserve">水面超高为 </w:t>
      </w:r>
      <w:r>
        <w:t>0.5m，</w:t>
      </w:r>
      <w:r>
        <w:rPr>
          <w:spacing w:val="-12"/>
        </w:rPr>
        <w:t xml:space="preserve">池低坡度取 </w:t>
      </w:r>
      <w:r>
        <w:t>0.08</w:t>
      </w:r>
      <w:r>
        <w:rPr>
          <w:spacing w:val="-2"/>
        </w:rPr>
        <w:t>。则沉淀池池面水高度</w:t>
      </w:r>
      <w:r>
        <w:t>H=1.65m+0.4m+1.25m=3.3m，加上超高，污泥斗和刮泥区高度，则沉</w:t>
      </w:r>
      <w:r>
        <w:rPr>
          <w:spacing w:val="-10"/>
        </w:rPr>
        <w:t xml:space="preserve">淀池的总高为 </w:t>
      </w:r>
      <w:r>
        <w:t>H</w:t>
      </w:r>
      <w:r>
        <w:rPr>
          <w:spacing w:val="-35"/>
        </w:rPr>
        <w:t xml:space="preserve"> 总</w:t>
      </w:r>
      <w:r>
        <w:rPr>
          <w:vertAlign w:val="baseline"/>
        </w:rPr>
        <w:t>=6.18m，池子有效容积为</w:t>
      </w:r>
    </w:p>
    <w:p>
      <w:pPr>
        <w:pStyle w:val="BodyText"/>
        <w:spacing w:line="358" w:lineRule="exact"/>
        <w:ind w:left="2256"/>
        <w:jc w:val="both"/>
      </w:pPr>
      <w:r>
        <w:rPr>
          <w:w w:val="105"/>
        </w:rPr>
        <w:t>V 有效</w:t>
      </w:r>
      <w:r>
        <w:rPr>
          <w:w w:val="105"/>
          <w:vertAlign w:val="baseline"/>
        </w:rPr>
        <w:t>=F·H=908m</w:t>
      </w:r>
      <w:r>
        <w:rPr>
          <w:w w:val="105"/>
          <w:position w:val="8"/>
          <w:sz w:val="18"/>
          <w:vertAlign w:val="baseline"/>
        </w:rPr>
        <w:t>2</w:t>
      </w:r>
      <w:r>
        <w:rPr>
          <w:w w:val="105"/>
          <w:vertAlign w:val="baseline"/>
        </w:rPr>
        <w:t>×3.3m=2996m</w:t>
      </w:r>
      <w:r>
        <w:rPr>
          <w:w w:val="105"/>
          <w:position w:val="8"/>
          <w:sz w:val="18"/>
          <w:vertAlign w:val="baseline"/>
        </w:rPr>
        <w:t>3</w:t>
      </w:r>
      <w:r>
        <w:rPr>
          <w:w w:val="105"/>
          <w:vertAlign w:val="baseline"/>
        </w:rPr>
        <w:t>。</w:t>
      </w:r>
    </w:p>
    <w:p>
      <w:pPr>
        <w:pStyle w:val="BodyText"/>
        <w:spacing w:before="264"/>
      </w:pPr>
      <w:r>
        <w:t>处理水于沉淀池中实际停留时间</w:t>
      </w:r>
    </w:p>
    <w:p>
      <w:pPr>
        <w:pStyle w:val="BodyText"/>
        <w:spacing w:before="265"/>
        <w:ind w:right="199"/>
        <w:jc w:val="center"/>
      </w:pPr>
      <w:r>
        <w:rPr>
          <w:w w:val="110"/>
        </w:rPr>
        <w:t>t=V 有效</w:t>
      </w:r>
      <w:r>
        <w:rPr>
          <w:w w:val="110"/>
          <w:vertAlign w:val="baseline"/>
        </w:rPr>
        <w:t>/Q=2996m</w:t>
      </w:r>
      <w:r>
        <w:rPr>
          <w:w w:val="110"/>
          <w:position w:val="8"/>
          <w:sz w:val="18"/>
          <w:vertAlign w:val="baseline"/>
        </w:rPr>
        <w:t>3</w:t>
      </w:r>
      <w:r>
        <w:rPr>
          <w:w w:val="110"/>
          <w:vertAlign w:val="baseline"/>
        </w:rPr>
        <w:t>÷750m</w:t>
      </w:r>
      <w:r>
        <w:rPr>
          <w:w w:val="110"/>
          <w:position w:val="8"/>
          <w:sz w:val="18"/>
          <w:vertAlign w:val="baseline"/>
        </w:rPr>
        <w:t>3</w:t>
      </w:r>
      <w:r>
        <w:rPr>
          <w:w w:val="110"/>
          <w:vertAlign w:val="baseline"/>
        </w:rPr>
        <w:t>/h=3.99h。</w:t>
      </w:r>
    </w:p>
    <w:p>
      <w:pPr>
        <w:spacing w:before="134"/>
        <w:ind w:left="264" w:right="4815" w:firstLine="0"/>
        <w:jc w:val="center"/>
        <w:rPr>
          <w:sz w:val="28"/>
        </w:rPr>
      </w:pPr>
      <w:r>
        <w:rPr>
          <w:rFonts w:ascii="Microsoft JhengHei" w:eastAsia="Microsoft JhengHei" w:hint="eastAsia"/>
          <w:b/>
          <w:sz w:val="32"/>
        </w:rPr>
        <w:t>五、污泥池 1</w:t>
      </w:r>
      <w:r>
        <w:rPr>
          <w:sz w:val="28"/>
        </w:rPr>
        <w:t>(和初沉池相通)</w:t>
      </w:r>
    </w:p>
    <w:p>
      <w:pPr>
        <w:pStyle w:val="BodyText"/>
        <w:spacing w:before="167"/>
        <w:ind w:right="2296"/>
        <w:jc w:val="center"/>
        <w:rPr>
          <w:sz w:val="18"/>
        </w:rPr>
      </w:pPr>
      <w:r>
        <w:rPr>
          <w:w w:val="110"/>
        </w:rPr>
        <w:t>V 有效</w:t>
      </w:r>
      <w:r>
        <w:rPr>
          <w:w w:val="110"/>
          <w:vertAlign w:val="baseline"/>
        </w:rPr>
        <w:t>=8m</w:t>
      </w:r>
      <w:r>
        <w:rPr>
          <w:w w:val="110"/>
          <w:position w:val="8"/>
          <w:sz w:val="18"/>
          <w:vertAlign w:val="baseline"/>
        </w:rPr>
        <w:t>2</w:t>
      </w:r>
      <w:r>
        <w:rPr>
          <w:w w:val="110"/>
          <w:vertAlign w:val="baseline"/>
        </w:rPr>
        <w:t>×6.2m=49.6m</w:t>
      </w:r>
      <w:r>
        <w:rPr>
          <w:w w:val="110"/>
          <w:position w:val="8"/>
          <w:sz w:val="18"/>
          <w:vertAlign w:val="baseline"/>
        </w:rPr>
        <w:t>3</w:t>
      </w:r>
    </w:p>
    <w:p>
      <w:pPr>
        <w:spacing w:before="134"/>
        <w:ind w:left="264" w:right="4815" w:firstLine="0"/>
        <w:jc w:val="center"/>
        <w:rPr>
          <w:sz w:val="28"/>
        </w:rPr>
      </w:pPr>
      <w:r>
        <w:rPr>
          <w:rFonts w:ascii="Microsoft JhengHei" w:eastAsia="Microsoft JhengHei" w:hint="eastAsia"/>
          <w:b/>
          <w:sz w:val="32"/>
        </w:rPr>
        <w:t>六、污泥池 2</w:t>
      </w:r>
      <w:r>
        <w:rPr>
          <w:sz w:val="28"/>
        </w:rPr>
        <w:t>(和二沉池相通)</w:t>
      </w:r>
    </w:p>
    <w:p>
      <w:pPr>
        <w:pStyle w:val="BodyText"/>
        <w:spacing w:before="167"/>
        <w:ind w:right="2437"/>
        <w:jc w:val="center"/>
        <w:rPr>
          <w:sz w:val="18"/>
        </w:rPr>
      </w:pPr>
      <w:r>
        <w:rPr>
          <w:w w:val="110"/>
        </w:rPr>
        <w:t>V 有效</w:t>
      </w:r>
      <w:r>
        <w:rPr>
          <w:w w:val="110"/>
          <w:vertAlign w:val="baseline"/>
        </w:rPr>
        <w:t>=15m</w:t>
      </w:r>
      <w:r>
        <w:rPr>
          <w:w w:val="110"/>
          <w:position w:val="8"/>
          <w:sz w:val="18"/>
          <w:vertAlign w:val="baseline"/>
        </w:rPr>
        <w:t>2</w:t>
      </w:r>
      <w:r>
        <w:rPr>
          <w:w w:val="110"/>
          <w:vertAlign w:val="baseline"/>
        </w:rPr>
        <w:t>×5.8m=87m</w:t>
      </w:r>
      <w:r>
        <w:rPr>
          <w:w w:val="110"/>
          <w:position w:val="8"/>
          <w:sz w:val="18"/>
          <w:vertAlign w:val="baseline"/>
        </w:rPr>
        <w:t>3</w:t>
      </w:r>
    </w:p>
    <w:p>
      <w:pPr>
        <w:spacing w:after="0"/>
        <w:jc w:val="center"/>
        <w:rPr>
          <w:sz w:val="18"/>
        </w:rPr>
      </w:pPr>
      <w:r>
        <w:rPr>
          <w:sz w:val="18"/>
        </w:rPr>
        <w:br/>
      </w:r>
      <w:r>
        <w:rPr>
          <w:sz w:val="18"/>
        </w:rP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1" w:history="1">
        <w:r>
          <w:rPr>
            <w:rFonts w:ascii="SimSun" w:eastAsia="SimSun" w:hAnsi="SimSun" w:cs="SimSun"/>
            <w:b/>
            <w:bCs/>
            <w:color w:val="0000EE"/>
            <w:sz w:val="30"/>
            <w:szCs w:val="30"/>
            <w:u w:val="single" w:color="0000EE"/>
          </w:rPr>
          <w:t>https://d.book118.com/538001074053006044</w:t>
        </w:r>
      </w:hyperlink>
    </w:p>
    <w:p>
      <w:pPr>
        <w:spacing w:after="0"/>
        <w:jc w:val="center"/>
        <w:rPr>
          <w:sz w:val="18"/>
        </w:rPr>
      </w:pPr>
    </w:p>
    <w:sectPr>
      <w:headerReference w:type="default" r:id="rId12"/>
      <w:pgSz w:w="11910" w:h="16840"/>
      <w:pgMar w:top="1400" w:right="1500" w:bottom="280" w:left="1460" w:header="926" w:footer="0"/>
      <w:pgNumType w:start="10"/>
      <w:cols w:space="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0"/>
    <w:family w:val="roman"/>
    <w:pitch w:val="variable"/>
    <w:sig w:usb0="00000000" w:usb1="00000000" w:usb2="00000000" w:usb3="00000000" w:csb0="00000001" w:csb1="00000000"/>
  </w:font>
  <w:font w:name="Microsoft JhengHei">
    <w:altName w:val="Microsoft JhengHei"/>
    <w:charset w:val="00"/>
    <w:family w:val="swiss"/>
    <w:pitch w:val="variable"/>
    <w:sig w:usb0="00000000" w:usb1="00000000" w:usb2="00000000" w:usb3="00000000" w:csb0="00000001" w:csb1="00000000"/>
  </w:font>
  <w:font w:name="宋体">
    <w:altName w:val="宋体"/>
    <w:charset w:val="86"/>
    <w:family w:val="auto"/>
    <w:pitch w:val="variable"/>
    <w:sig w:usb0="00000000" w:usb1="00000000" w:usb2="00000000" w:usb3="00000000" w:csb0="00040000"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ind w:left="0"/>
      <w:rPr>
        <w:sz w:val="20"/>
      </w:rPr>
    </w:pPr>
    <w:r>
      <w:pict>
        <v:line id="_x0000_s2049" style="mso-position-horizontal-relative:page;mso-position-vertical-relative:page;position:absolute;z-index:-251658240" from="86.4pt,55.9pt" to="508.9pt,55.9pt" stroked="t" strokecolor="black" strokeweight="0.75pt">
          <v:stroke dashstyle="solid"/>
        </v:lin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ind w:left="0"/>
      <w:rPr>
        <w:sz w:val="20"/>
      </w:rPr>
    </w:pPr>
    <w:r>
      <w:pict>
        <v:line id="_x0000_s2050" style="mso-position-horizontal-relative:page;mso-position-vertical-relative:page;position:absolute;z-index:-251657216" from="86.4pt,55.9pt" to="508.9pt,55.9pt" stroked="t" strokecolor="black" strokeweight="0.75pt">
          <v:stroke dashstyle="solid"/>
        </v:lin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ind w:left="0"/>
      <w:rPr>
        <w:sz w:val="20"/>
      </w:rPr>
    </w:pPr>
    <w:r>
      <w:pict>
        <v:line id="_x0000_s2051" style="mso-position-horizontal-relative:page;mso-position-vertical-relative:page;position:absolute;z-index:-251656192" from="86.4pt,55.9pt" to="508.9pt,55.9pt" stroked="t" strokecolor="black" strokeweight="0.75pt">
          <v:stroke dashstyle="solid"/>
        </v:lin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ind w:left="0"/>
      <w:rPr>
        <w:sz w:val="20"/>
      </w:rPr>
    </w:pPr>
    <w:r>
      <w:pict>
        <v:line id="_x0000_s2052" style="mso-position-horizontal-relative:page;mso-position-vertical-relative:page;position:absolute;z-index:-251655168" from="86.4pt,55.9pt" to="508.9pt,55.9pt" stroked="t" strokecolor="black" strokeweight="0.75pt">
          <v:stroke dashstyle="solid"/>
        </v:lin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ind w:left="0"/>
      <w:rPr>
        <w:sz w:val="20"/>
      </w:rPr>
    </w:pPr>
    <w:r>
      <w:pict>
        <v:line id="_x0000_s2053" style="mso-position-horizontal-relative:page;mso-position-vertical-relative:page;position:absolute;z-index:-251654144" from="86.4pt,55.9pt" to="508.9pt,55.9pt" stroked="t" strokecolor="black" strokeweight="0.75pt">
          <v:stroke dashstyle="solid"/>
        </v:lin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ind w:left="0"/>
      <w:rPr>
        <w:sz w:val="20"/>
      </w:rPr>
    </w:pPr>
    <w:r>
      <w:pict>
        <v:line id="_x0000_s2054" style="mso-position-horizontal-relative:page;mso-position-vertical-relative:page;position:absolute;z-index:-251653120" from="86.4pt,55.9pt" to="508.9pt,55.9pt" stroked="t" strokecolor="black" strokeweight="0.75pt">
          <v:stroke dashstyle="solid"/>
        </v:lin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ind w:left="0"/>
      <w:rPr>
        <w:sz w:val="20"/>
      </w:rPr>
    </w:pPr>
    <w:r>
      <w:pict>
        <v:line id="_x0000_s2055" style="mso-position-horizontal-relative:page;mso-position-vertical-relative:page;position:absolute;z-index:-251652096" from="86.4pt,55.9pt" to="508.9pt,55.9pt" stroked="t" strokecolor="black" strokeweight="0.75pt">
          <v:stroke dashstyle="solid"/>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6133DF"/>
    <w:multiLevelType w:val="hybridMultilevel"/>
    <w:tmpl w:val="00000000"/>
    <w:lvl w:ilvl="0">
      <w:start w:val="1"/>
      <w:numFmt w:val="upperLetter"/>
      <w:lvlText w:val="%1."/>
      <w:lvlJc w:val="left"/>
      <w:pPr>
        <w:ind w:left="1557" w:hanging="840"/>
        <w:jc w:val="left"/>
      </w:pPr>
      <w:rPr>
        <w:rFonts w:ascii="宋体" w:eastAsia="宋体" w:hAnsi="宋体" w:cs="宋体" w:hint="default"/>
        <w:w w:val="100"/>
        <w:sz w:val="28"/>
        <w:szCs w:val="28"/>
        <w:lang w:val="en-US" w:eastAsia="zh-CN" w:bidi="ar-SA"/>
      </w:rPr>
    </w:lvl>
    <w:lvl w:ilvl="1">
      <w:start w:val="0"/>
      <w:numFmt w:val="bullet"/>
      <w:lvlText w:val="•"/>
      <w:lvlJc w:val="left"/>
      <w:pPr>
        <w:ind w:left="2298" w:hanging="840"/>
      </w:pPr>
      <w:rPr>
        <w:rFonts w:hint="default"/>
        <w:lang w:val="en-US" w:eastAsia="zh-CN" w:bidi="ar-SA"/>
      </w:rPr>
    </w:lvl>
    <w:lvl w:ilvl="2">
      <w:start w:val="0"/>
      <w:numFmt w:val="bullet"/>
      <w:lvlText w:val="•"/>
      <w:lvlJc w:val="left"/>
      <w:pPr>
        <w:ind w:left="3037" w:hanging="840"/>
      </w:pPr>
      <w:rPr>
        <w:rFonts w:hint="default"/>
        <w:lang w:val="en-US" w:eastAsia="zh-CN" w:bidi="ar-SA"/>
      </w:rPr>
    </w:lvl>
    <w:lvl w:ilvl="3">
      <w:start w:val="0"/>
      <w:numFmt w:val="bullet"/>
      <w:lvlText w:val="•"/>
      <w:lvlJc w:val="left"/>
      <w:pPr>
        <w:ind w:left="3775" w:hanging="840"/>
      </w:pPr>
      <w:rPr>
        <w:rFonts w:hint="default"/>
        <w:lang w:val="en-US" w:eastAsia="zh-CN" w:bidi="ar-SA"/>
      </w:rPr>
    </w:lvl>
    <w:lvl w:ilvl="4">
      <w:start w:val="0"/>
      <w:numFmt w:val="bullet"/>
      <w:lvlText w:val="•"/>
      <w:lvlJc w:val="left"/>
      <w:pPr>
        <w:ind w:left="4514" w:hanging="840"/>
      </w:pPr>
      <w:rPr>
        <w:rFonts w:hint="default"/>
        <w:lang w:val="en-US" w:eastAsia="zh-CN" w:bidi="ar-SA"/>
      </w:rPr>
    </w:lvl>
    <w:lvl w:ilvl="5">
      <w:start w:val="0"/>
      <w:numFmt w:val="bullet"/>
      <w:lvlText w:val="•"/>
      <w:lvlJc w:val="left"/>
      <w:pPr>
        <w:ind w:left="5253" w:hanging="840"/>
      </w:pPr>
      <w:rPr>
        <w:rFonts w:hint="default"/>
        <w:lang w:val="en-US" w:eastAsia="zh-CN" w:bidi="ar-SA"/>
      </w:rPr>
    </w:lvl>
    <w:lvl w:ilvl="6">
      <w:start w:val="0"/>
      <w:numFmt w:val="bullet"/>
      <w:lvlText w:val="•"/>
      <w:lvlJc w:val="left"/>
      <w:pPr>
        <w:ind w:left="5991" w:hanging="840"/>
      </w:pPr>
      <w:rPr>
        <w:rFonts w:hint="default"/>
        <w:lang w:val="en-US" w:eastAsia="zh-CN" w:bidi="ar-SA"/>
      </w:rPr>
    </w:lvl>
    <w:lvl w:ilvl="7">
      <w:start w:val="0"/>
      <w:numFmt w:val="bullet"/>
      <w:lvlText w:val="•"/>
      <w:lvlJc w:val="left"/>
      <w:pPr>
        <w:ind w:left="6730" w:hanging="840"/>
      </w:pPr>
      <w:rPr>
        <w:rFonts w:hint="default"/>
        <w:lang w:val="en-US" w:eastAsia="zh-CN" w:bidi="ar-SA"/>
      </w:rPr>
    </w:lvl>
    <w:lvl w:ilvl="8">
      <w:start w:val="0"/>
      <w:numFmt w:val="bullet"/>
      <w:lvlText w:val="•"/>
      <w:lvlJc w:val="left"/>
      <w:pPr>
        <w:ind w:left="7468" w:hanging="840"/>
      </w:pPr>
      <w:rPr>
        <w:rFonts w:hint="default"/>
        <w:lang w:val="en-US" w:eastAsia="zh-CN" w:bidi="ar-SA"/>
      </w:rPr>
    </w:lvl>
  </w:abstractNum>
  <w:abstractNum w:abstractNumId="1">
    <w:nsid w:val="58741673"/>
    <w:multiLevelType w:val="hybridMultilevel"/>
    <w:tmpl w:val="00000000"/>
    <w:lvl w:ilvl="0">
      <w:start w:val="1"/>
      <w:numFmt w:val="upperLetter"/>
      <w:lvlText w:val="%1."/>
      <w:lvlJc w:val="left"/>
      <w:pPr>
        <w:ind w:left="1122" w:hanging="846"/>
        <w:jc w:val="left"/>
      </w:pPr>
      <w:rPr>
        <w:rFonts w:ascii="宋体" w:eastAsia="宋体" w:hAnsi="宋体" w:cs="宋体" w:hint="default"/>
        <w:w w:val="100"/>
        <w:sz w:val="28"/>
        <w:szCs w:val="28"/>
        <w:lang w:val="en-US" w:eastAsia="zh-CN" w:bidi="ar-SA"/>
      </w:rPr>
    </w:lvl>
    <w:lvl w:ilvl="1">
      <w:start w:val="0"/>
      <w:numFmt w:val="bullet"/>
      <w:lvlText w:val="•"/>
      <w:lvlJc w:val="left"/>
      <w:pPr>
        <w:ind w:left="1902" w:hanging="846"/>
      </w:pPr>
      <w:rPr>
        <w:rFonts w:hint="default"/>
        <w:lang w:val="en-US" w:eastAsia="zh-CN" w:bidi="ar-SA"/>
      </w:rPr>
    </w:lvl>
    <w:lvl w:ilvl="2">
      <w:start w:val="0"/>
      <w:numFmt w:val="bullet"/>
      <w:lvlText w:val="•"/>
      <w:lvlJc w:val="left"/>
      <w:pPr>
        <w:ind w:left="2685" w:hanging="846"/>
      </w:pPr>
      <w:rPr>
        <w:rFonts w:hint="default"/>
        <w:lang w:val="en-US" w:eastAsia="zh-CN" w:bidi="ar-SA"/>
      </w:rPr>
    </w:lvl>
    <w:lvl w:ilvl="3">
      <w:start w:val="0"/>
      <w:numFmt w:val="bullet"/>
      <w:lvlText w:val="•"/>
      <w:lvlJc w:val="left"/>
      <w:pPr>
        <w:ind w:left="3467" w:hanging="846"/>
      </w:pPr>
      <w:rPr>
        <w:rFonts w:hint="default"/>
        <w:lang w:val="en-US" w:eastAsia="zh-CN" w:bidi="ar-SA"/>
      </w:rPr>
    </w:lvl>
    <w:lvl w:ilvl="4">
      <w:start w:val="0"/>
      <w:numFmt w:val="bullet"/>
      <w:lvlText w:val="•"/>
      <w:lvlJc w:val="left"/>
      <w:pPr>
        <w:ind w:left="4250" w:hanging="846"/>
      </w:pPr>
      <w:rPr>
        <w:rFonts w:hint="default"/>
        <w:lang w:val="en-US" w:eastAsia="zh-CN" w:bidi="ar-SA"/>
      </w:rPr>
    </w:lvl>
    <w:lvl w:ilvl="5">
      <w:start w:val="0"/>
      <w:numFmt w:val="bullet"/>
      <w:lvlText w:val="•"/>
      <w:lvlJc w:val="left"/>
      <w:pPr>
        <w:ind w:left="5033" w:hanging="846"/>
      </w:pPr>
      <w:rPr>
        <w:rFonts w:hint="default"/>
        <w:lang w:val="en-US" w:eastAsia="zh-CN" w:bidi="ar-SA"/>
      </w:rPr>
    </w:lvl>
    <w:lvl w:ilvl="6">
      <w:start w:val="0"/>
      <w:numFmt w:val="bullet"/>
      <w:lvlText w:val="•"/>
      <w:lvlJc w:val="left"/>
      <w:pPr>
        <w:ind w:left="5815" w:hanging="846"/>
      </w:pPr>
      <w:rPr>
        <w:rFonts w:hint="default"/>
        <w:lang w:val="en-US" w:eastAsia="zh-CN" w:bidi="ar-SA"/>
      </w:rPr>
    </w:lvl>
    <w:lvl w:ilvl="7">
      <w:start w:val="0"/>
      <w:numFmt w:val="bullet"/>
      <w:lvlText w:val="•"/>
      <w:lvlJc w:val="left"/>
      <w:pPr>
        <w:ind w:left="6598" w:hanging="846"/>
      </w:pPr>
      <w:rPr>
        <w:rFonts w:hint="default"/>
        <w:lang w:val="en-US" w:eastAsia="zh-CN" w:bidi="ar-SA"/>
      </w:rPr>
    </w:lvl>
    <w:lvl w:ilvl="8">
      <w:start w:val="0"/>
      <w:numFmt w:val="bullet"/>
      <w:lvlText w:val="•"/>
      <w:lvlJc w:val="left"/>
      <w:pPr>
        <w:ind w:left="7380" w:hanging="846"/>
      </w:pPr>
      <w:rPr>
        <w:rFonts w:hint="default"/>
        <w:lang w:val="en-US" w:eastAsia="zh-CN" w:bidi="ar-SA"/>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before="0" w:after="0" w:line="240" w:lineRule="auto"/>
        <w:ind w:left="0" w:right="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宋体" w:eastAsia="宋体" w:hAnsi="宋体" w:cs="宋体"/>
      <w:lang w:val="en-US" w:eastAsia="zh-CN" w:bidi="ar-SA"/>
    </w:rPr>
  </w:style>
  <w:style w:type="paragraph" w:styleId="Heading1">
    <w:name w:val="heading 1"/>
    <w:basedOn w:val="Normal"/>
    <w:uiPriority w:val="1"/>
    <w:qFormat/>
    <w:pPr>
      <w:ind w:left="296"/>
      <w:outlineLvl w:val="0"/>
    </w:pPr>
    <w:rPr>
      <w:rFonts w:ascii="Microsoft JhengHei" w:eastAsia="Microsoft JhengHei" w:hAnsi="Microsoft JhengHei" w:cs="Microsoft JhengHei"/>
      <w:b/>
      <w:bCs/>
      <w:sz w:val="36"/>
      <w:szCs w:val="36"/>
      <w:lang w:val="en-US" w:eastAsia="zh-CN" w:bidi="ar-SA"/>
    </w:rPr>
  </w:style>
  <w:style w:type="paragraph" w:styleId="Heading2">
    <w:name w:val="heading 2"/>
    <w:basedOn w:val="Normal"/>
    <w:uiPriority w:val="1"/>
    <w:qFormat/>
    <w:pPr>
      <w:ind w:left="296"/>
      <w:outlineLvl w:val="1"/>
    </w:pPr>
    <w:rPr>
      <w:rFonts w:ascii="Microsoft JhengHei" w:eastAsia="Microsoft JhengHei" w:hAnsi="Microsoft JhengHei" w:cs="Microsoft JhengHei"/>
      <w:b/>
      <w:bCs/>
      <w:sz w:val="32"/>
      <w:szCs w:val="32"/>
      <w:lang w:val="en-US" w:eastAsia="zh-CN" w:bidi="ar-SA"/>
    </w:rPr>
  </w:style>
  <w:style w:type="paragraph" w:styleId="Heading3">
    <w:name w:val="heading 3"/>
    <w:basedOn w:val="Normal"/>
    <w:uiPriority w:val="1"/>
    <w:qFormat/>
    <w:pPr>
      <w:spacing w:before="229"/>
      <w:ind w:left="296"/>
      <w:outlineLvl w:val="2"/>
    </w:pPr>
    <w:rPr>
      <w:rFonts w:ascii="Microsoft JhengHei" w:eastAsia="Microsoft JhengHei" w:hAnsi="Microsoft JhengHei" w:cs="Microsoft JhengHei"/>
      <w:b/>
      <w:bCs/>
      <w:sz w:val="28"/>
      <w:szCs w:val="28"/>
      <w:lang w:val="en-US" w:eastAsia="zh-CN" w:bidi="ar-SA"/>
    </w:r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pPr>
      <w:ind w:left="296"/>
    </w:pPr>
    <w:rPr>
      <w:rFonts w:ascii="宋体" w:eastAsia="宋体" w:hAnsi="宋体" w:cs="宋体"/>
      <w:sz w:val="28"/>
      <w:szCs w:val="28"/>
      <w:lang w:val="en-US" w:eastAsia="zh-CN" w:bidi="ar-SA"/>
    </w:rPr>
  </w:style>
  <w:style w:type="paragraph" w:styleId="Title">
    <w:name w:val="Title"/>
    <w:basedOn w:val="Normal"/>
    <w:uiPriority w:val="1"/>
    <w:qFormat/>
    <w:pPr>
      <w:ind w:left="294" w:right="254"/>
      <w:jc w:val="center"/>
    </w:pPr>
    <w:rPr>
      <w:rFonts w:ascii="Microsoft JhengHei" w:eastAsia="Microsoft JhengHei" w:hAnsi="Microsoft JhengHei" w:cs="Microsoft JhengHei"/>
      <w:b/>
      <w:bCs/>
      <w:sz w:val="72"/>
      <w:szCs w:val="72"/>
      <w:lang w:val="en-US" w:eastAsia="zh-CN" w:bidi="ar-SA"/>
    </w:rPr>
  </w:style>
  <w:style w:type="paragraph" w:styleId="ListParagraph">
    <w:name w:val="List Paragraph"/>
    <w:basedOn w:val="Normal"/>
    <w:uiPriority w:val="1"/>
    <w:qFormat/>
    <w:pPr>
      <w:spacing w:before="265"/>
      <w:ind w:left="1557" w:hanging="841"/>
    </w:pPr>
    <w:rPr>
      <w:rFonts w:ascii="宋体" w:eastAsia="宋体" w:hAnsi="宋体" w:cs="宋体"/>
      <w:lang w:val="en-US" w:eastAsia="zh-CN" w:bidi="ar-SA"/>
    </w:rPr>
  </w:style>
  <w:style w:type="paragraph" w:customStyle="1" w:styleId="TableParagraph">
    <w:name w:val="Table Paragraph"/>
    <w:basedOn w:val="Normal"/>
    <w:uiPriority w:val="1"/>
    <w:qFormat/>
    <w:pPr>
      <w:spacing w:before="20"/>
      <w:jc w:val="center"/>
    </w:pPr>
    <w:rPr>
      <w:rFonts w:ascii="宋体" w:eastAsia="宋体" w:hAnsi="宋体" w:cs="宋体"/>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6.xml" /><Relationship Id="rId11" Type="http://schemas.openxmlformats.org/officeDocument/2006/relationships/hyperlink" Target="https://d.book118.com/538001074053006044" TargetMode="External" /><Relationship Id="rId12" Type="http://schemas.openxmlformats.org/officeDocument/2006/relationships/header" Target="header7.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header" Target="header3.xml" /><Relationship Id="rId8" Type="http://schemas.openxmlformats.org/officeDocument/2006/relationships/header" Target="header4.xml" /><Relationship Id="rId9" Type="http://schemas.openxmlformats.org/officeDocument/2006/relationships/header" Target="header5.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2024-01-16T20:36:00Z</dcterms:created>
  <dcterms:modified xsi:type="dcterms:W3CDTF">2024-01-16T20:36:00Z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2007-12-21T00:00:00Z</vt:filetime>
  </property>
  <property fmtid="{D5CDD505-2E9C-101B-9397-08002B2CF9AE}" pid="3" name="Creator">
    <vt:lpwstr>Microsoft Office Word</vt:lpwstr>
  </property>
  <property fmtid="{D5CDD505-2E9C-101B-9397-08002B2CF9AE}" pid="4" name="LastSaved">
    <vt:filetime>2024-01-16T00:00:00Z</vt:filetime>
  </property>
</Properties>
</file>