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1、[题干]患者颈前喉结两旁结块，大小约1.5cm×2cm，质软，病起较缓，心悸不宁，心烦少寐，易出汗，手指颤动，眼干，目眩，倦怠乏力，舌质红，苔少，舌体颤动，脉弦细数，诊断为瘿病。其证候是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A.气郁痰阻证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B.痰结血瘀证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C.肝火旺盛证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D.心肝阴虚证。E,风阳内动证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2、[单选题]两种药物合用，能产生或增强毒性。这种配伍关系是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A.相杀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B.相畏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C.相恶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D.相反。E,相使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3、恶风寒，微发热，汗出，苔薄白，脉浮缓。属于(　)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A.风淫证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B.寒淫证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C.暑淫证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D.湿淫证。E,燥淫证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风淫证临床表现：恶风寒，微发热，汗出，苔薄白，脉浮缓。或有鼻塞、流清涕、喷嚏;或伴咽喉痒痛、咳嗽;或为突发皮肤瘙痒、丘疹;或为突发肌肤麻木、口眼斜;或肢关节游走作痛;或新起面睑、肢体浮肿等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4、[单选题]处理生理性黄疸最常用的方法是()。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A.光照治疗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B.使用酶诱导剂，苯巴比妥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C.应用白蛋白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D.停喂母乳。E,尽早喂奶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5、[题干]小儿染色体病中最常见的为()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A.18-三体综合征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B.13-三体综合征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C.5P-综合征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https://d.book118.com/538003036021006037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38003036021006037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