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pStyle w:val="Normal0"/>
        <w:jc w:val="center"/>
        <w:rPr>
          <w:rFonts w:hint="eastAsia"/>
          <w:b/>
          <w:sz w:val="32"/>
          <w:szCs w:val="32"/>
        </w:rPr>
      </w:pPr>
      <w:bookmarkStart w:id="0" w:name="_GoBack"/>
      <w:bookmarkEnd w:id="0"/>
      <w:r>
        <w:rPr>
          <w:rFonts w:hint="eastAsia"/>
          <w:b/>
          <w:sz w:val="32"/>
          <w:szCs w:val="32"/>
        </w:rPr>
        <w:t>星级酒店财务</w:t>
      </w:r>
      <w:r>
        <w:rPr>
          <w:rFonts w:hint="eastAsia"/>
          <w:b/>
          <w:sz w:val="32"/>
          <w:szCs w:val="32"/>
          <w:lang w:eastAsia="zh-CN"/>
        </w:rPr>
        <w:t>管理管控</w:t>
      </w:r>
      <w:r>
        <w:rPr>
          <w:rFonts w:hint="eastAsia"/>
          <w:b/>
          <w:sz w:val="32"/>
          <w:szCs w:val="32"/>
        </w:rPr>
        <w:t>制度</w:t>
      </w:r>
    </w:p>
    <w:p>
      <w:pPr>
        <w:pStyle w:val="Normal0"/>
        <w:spacing w:line="360" w:lineRule="auto"/>
        <w:rPr>
          <w:rFonts w:hint="eastAsia"/>
          <w:b/>
          <w:szCs w:val="21"/>
        </w:rPr>
      </w:pPr>
    </w:p>
    <w:p>
      <w:pPr>
        <w:pStyle w:val="Normal0"/>
        <w:spacing w:line="360" w:lineRule="auto"/>
        <w:jc w:val="center"/>
        <w:rPr>
          <w:rFonts w:hint="eastAsia"/>
          <w:b/>
          <w:sz w:val="28"/>
          <w:szCs w:val="28"/>
        </w:rPr>
      </w:pPr>
      <w:r>
        <w:rPr>
          <w:rFonts w:hint="eastAsia"/>
          <w:b/>
          <w:sz w:val="28"/>
          <w:szCs w:val="28"/>
        </w:rPr>
        <w:t>第一篇：财务会计制度</w:t>
      </w:r>
    </w:p>
    <w:p>
      <w:pPr>
        <w:pStyle w:val="Normal0"/>
        <w:spacing w:line="360" w:lineRule="auto"/>
        <w:rPr>
          <w:rFonts w:ascii="宋体" w:hAnsi="宋体" w:hint="eastAsia"/>
          <w:b/>
          <w:bCs/>
          <w:szCs w:val="21"/>
        </w:rPr>
      </w:pPr>
      <w:r>
        <w:rPr>
          <w:rFonts w:ascii="宋体" w:hAnsi="宋体" w:hint="eastAsia"/>
          <w:b/>
          <w:bCs/>
          <w:szCs w:val="21"/>
        </w:rPr>
        <w:t>第一章：总则</w:t>
      </w:r>
    </w:p>
    <w:p>
      <w:pPr>
        <w:pStyle w:val="Normal0"/>
        <w:spacing w:line="360" w:lineRule="auto"/>
        <w:ind w:left="420" w:hanging="420" w:hangingChars="200"/>
        <w:rPr>
          <w:rFonts w:ascii="宋体" w:hAnsi="宋体" w:hint="eastAsia"/>
          <w:szCs w:val="21"/>
        </w:rPr>
      </w:pPr>
      <w:r>
        <w:rPr>
          <w:rFonts w:ascii="宋体" w:hAnsi="宋体" w:hint="eastAsia"/>
          <w:szCs w:val="21"/>
        </w:rPr>
        <w:t>第一条：为加强酒店财务</w:t>
      </w:r>
      <w:r>
        <w:rPr>
          <w:rFonts w:ascii="宋体" w:hAnsi="宋体" w:hint="eastAsia"/>
          <w:szCs w:val="21"/>
          <w:lang w:eastAsia="zh-CN"/>
        </w:rPr>
        <w:t>管理管控</w:t>
      </w:r>
      <w:r>
        <w:rPr>
          <w:rFonts w:ascii="宋体" w:hAnsi="宋体" w:hint="eastAsia"/>
          <w:szCs w:val="21"/>
        </w:rPr>
        <w:t>，规范酒店财务行为，统一会计核算标准，保障会计信息的真实、完整。根据《中华人民共和国会计法》、《企业会计准则》、《旅游饮食企业财务制度》的有关规定，结合酒店实际情况，制定本制度。</w:t>
      </w:r>
    </w:p>
    <w:p>
      <w:pPr>
        <w:pStyle w:val="Normal0"/>
        <w:spacing w:line="360" w:lineRule="auto"/>
        <w:ind w:left="420" w:hanging="420" w:hangingChars="200"/>
        <w:rPr>
          <w:rFonts w:ascii="宋体" w:hAnsi="宋体" w:hint="eastAsia"/>
          <w:szCs w:val="21"/>
        </w:rPr>
      </w:pPr>
      <w:r>
        <w:rPr>
          <w:rFonts w:ascii="宋体" w:hAnsi="宋体" w:hint="eastAsia"/>
          <w:szCs w:val="21"/>
        </w:rPr>
        <w:t>第二条：酒店的财务会计工作，在总经理的领导下，授权财务经理负责</w:t>
      </w:r>
      <w:r>
        <w:rPr>
          <w:rFonts w:ascii="宋体" w:hAnsi="宋体" w:hint="eastAsia"/>
          <w:szCs w:val="21"/>
          <w:lang w:eastAsia="zh-CN"/>
        </w:rPr>
        <w:t>管理管控</w:t>
      </w:r>
      <w:r>
        <w:rPr>
          <w:rFonts w:ascii="宋体" w:hAnsi="宋体" w:hint="eastAsia"/>
          <w:szCs w:val="21"/>
        </w:rPr>
        <w:t>。财务部下设《会计核算、营业收入、收入审查、成本核算、采购工作、网络</w:t>
      </w:r>
      <w:r>
        <w:rPr>
          <w:rFonts w:ascii="宋体" w:hAnsi="宋体" w:hint="eastAsia"/>
          <w:szCs w:val="21"/>
          <w:lang w:eastAsia="zh-CN"/>
        </w:rPr>
        <w:t>管理管控</w:t>
      </w:r>
      <w:r>
        <w:rPr>
          <w:rFonts w:ascii="宋体" w:hAnsi="宋体" w:hint="eastAsia"/>
          <w:szCs w:val="21"/>
        </w:rPr>
        <w:t>》等部门，承担酒店物资采购、收支</w:t>
      </w:r>
      <w:r>
        <w:rPr>
          <w:rFonts w:ascii="宋体" w:hAnsi="宋体" w:hint="eastAsia"/>
          <w:szCs w:val="21"/>
          <w:lang w:eastAsia="zh-CN"/>
        </w:rPr>
        <w:t>管理管控</w:t>
      </w:r>
      <w:r>
        <w:rPr>
          <w:rFonts w:ascii="宋体" w:hAnsi="宋体" w:hint="eastAsia"/>
          <w:szCs w:val="21"/>
        </w:rPr>
        <w:t>、会计核算、网络信息</w:t>
      </w:r>
      <w:r>
        <w:rPr>
          <w:rFonts w:ascii="宋体" w:hAnsi="宋体" w:hint="eastAsia"/>
          <w:szCs w:val="21"/>
          <w:lang w:eastAsia="zh-CN"/>
        </w:rPr>
        <w:t>管理管控</w:t>
      </w:r>
      <w:r>
        <w:rPr>
          <w:rFonts w:ascii="宋体" w:hAnsi="宋体" w:hint="eastAsia"/>
          <w:szCs w:val="21"/>
        </w:rPr>
        <w:t>等工作，对总经理负责。</w:t>
      </w:r>
    </w:p>
    <w:p>
      <w:pPr>
        <w:pStyle w:val="Normal0"/>
        <w:spacing w:line="360" w:lineRule="auto"/>
        <w:ind w:left="420" w:hanging="420" w:hangingChars="200"/>
        <w:rPr>
          <w:rFonts w:ascii="宋体" w:hAnsi="宋体" w:hint="eastAsia"/>
          <w:szCs w:val="21"/>
        </w:rPr>
      </w:pPr>
      <w:r>
        <w:rPr>
          <w:rFonts w:ascii="宋体" w:hAnsi="宋体" w:hint="eastAsia"/>
          <w:szCs w:val="21"/>
        </w:rPr>
        <w:t>第三条：财务人员必须认真执行国家法律法规的规定，依法行使监督职权，认真做好会计核算工作和财务</w:t>
      </w:r>
      <w:r>
        <w:rPr>
          <w:rFonts w:ascii="宋体" w:hAnsi="宋体" w:hint="eastAsia"/>
          <w:szCs w:val="21"/>
          <w:lang w:eastAsia="zh-CN"/>
        </w:rPr>
        <w:t>管理管控</w:t>
      </w:r>
      <w:r>
        <w:rPr>
          <w:rFonts w:ascii="宋体" w:hAnsi="宋体" w:hint="eastAsia"/>
          <w:szCs w:val="21"/>
        </w:rPr>
        <w:t>工作。</w:t>
      </w:r>
    </w:p>
    <w:p>
      <w:pPr>
        <w:pStyle w:val="Normal0"/>
        <w:spacing w:line="360" w:lineRule="auto"/>
        <w:rPr>
          <w:rFonts w:ascii="宋体" w:hAnsi="宋体" w:hint="eastAsia"/>
          <w:b/>
          <w:bCs/>
          <w:szCs w:val="21"/>
        </w:rPr>
      </w:pPr>
      <w:r>
        <w:rPr>
          <w:rFonts w:ascii="宋体" w:hAnsi="宋体" w:hint="eastAsia"/>
          <w:b/>
          <w:bCs/>
          <w:szCs w:val="21"/>
        </w:rPr>
        <w:t>第二章：会计核算</w:t>
      </w:r>
    </w:p>
    <w:p>
      <w:pPr>
        <w:pStyle w:val="Normal0"/>
        <w:spacing w:line="360" w:lineRule="auto"/>
        <w:ind w:left="420" w:hanging="420" w:hangingChars="200"/>
        <w:rPr>
          <w:rFonts w:ascii="宋体" w:hAnsi="宋体" w:hint="eastAsia"/>
          <w:szCs w:val="21"/>
        </w:rPr>
      </w:pPr>
      <w:r>
        <w:rPr>
          <w:rFonts w:ascii="宋体" w:hAnsi="宋体" w:hint="eastAsia"/>
          <w:bCs/>
          <w:szCs w:val="21"/>
        </w:rPr>
        <w:t>第四条：根据</w:t>
      </w:r>
      <w:r>
        <w:rPr>
          <w:rFonts w:ascii="宋体" w:hAnsi="宋体" w:hint="eastAsia"/>
          <w:szCs w:val="21"/>
        </w:rPr>
        <w:t>《中华人民共和国会计法》、《企业财务通则》、《企业会计准则》、《旅游饮食企业财务制度》的有关规定，结合酒店实际情况，制定酒店会计核算政策和办理会计核算业务。</w:t>
      </w:r>
    </w:p>
    <w:p>
      <w:pPr>
        <w:pStyle w:val="Normal0"/>
        <w:spacing w:line="360" w:lineRule="auto"/>
        <w:rPr>
          <w:rFonts w:ascii="宋体" w:hAnsi="宋体" w:hint="eastAsia"/>
          <w:szCs w:val="21"/>
        </w:rPr>
      </w:pPr>
      <w:r>
        <w:rPr>
          <w:rFonts w:ascii="宋体" w:hAnsi="宋体" w:hint="eastAsia"/>
          <w:szCs w:val="21"/>
        </w:rPr>
        <w:t>第五条：酒店发生之经济业务，按规定填制会计凭证，登记会计账本，编制会计报表。</w:t>
      </w:r>
    </w:p>
    <w:p>
      <w:pPr>
        <w:pStyle w:val="Normal0"/>
        <w:spacing w:line="360" w:lineRule="auto"/>
        <w:ind w:left="420" w:hanging="420" w:hangingChars="200"/>
        <w:rPr>
          <w:rFonts w:ascii="宋体" w:hAnsi="宋体" w:hint="eastAsia"/>
          <w:bCs/>
          <w:szCs w:val="21"/>
        </w:rPr>
      </w:pPr>
      <w:r>
        <w:rPr>
          <w:rFonts w:ascii="宋体" w:hAnsi="宋体" w:hint="eastAsia"/>
          <w:bCs/>
          <w:szCs w:val="21"/>
        </w:rPr>
        <w:t>第六条：会计期间分为年度、季度和月度，年度会计期间自公历1月1日起至12月31日止，月度会计期间自每月的第一日起至最后一日止。</w:t>
      </w:r>
    </w:p>
    <w:p>
      <w:pPr>
        <w:pStyle w:val="Normal0"/>
        <w:spacing w:line="360" w:lineRule="auto"/>
        <w:rPr>
          <w:rFonts w:ascii="宋体" w:hAnsi="宋体" w:hint="eastAsia"/>
          <w:bCs/>
          <w:szCs w:val="21"/>
        </w:rPr>
      </w:pPr>
      <w:r>
        <w:rPr>
          <w:rFonts w:ascii="宋体" w:hAnsi="宋体" w:hint="eastAsia"/>
          <w:bCs/>
          <w:szCs w:val="21"/>
        </w:rPr>
        <w:t>第七条：会计核算</w:t>
      </w:r>
      <w:r>
        <w:rPr>
          <w:rFonts w:ascii="宋体" w:hAnsi="宋体" w:hint="eastAsia"/>
          <w:szCs w:val="21"/>
        </w:rPr>
        <w:t>以“人民币”为记账本位币。</w:t>
      </w:r>
      <w:r>
        <w:rPr>
          <w:rFonts w:ascii="宋体" w:hAnsi="宋体" w:hint="eastAsia"/>
          <w:bCs/>
          <w:szCs w:val="21"/>
        </w:rPr>
        <w:t>采用“借贷”复式记账法记账。</w:t>
      </w:r>
    </w:p>
    <w:p>
      <w:pPr>
        <w:pStyle w:val="Normal0"/>
        <w:spacing w:line="360" w:lineRule="auto"/>
        <w:rPr>
          <w:rFonts w:ascii="宋体" w:hAnsi="宋体" w:hint="eastAsia"/>
          <w:bCs/>
          <w:szCs w:val="21"/>
        </w:rPr>
      </w:pPr>
      <w:r>
        <w:rPr>
          <w:rFonts w:ascii="宋体" w:hAnsi="宋体" w:hint="eastAsia"/>
          <w:bCs/>
          <w:szCs w:val="21"/>
        </w:rPr>
        <w:t>第八条：按权责发生制原则核算，按《旅游饮食企业财务制度》设置会计科目。</w:t>
      </w:r>
    </w:p>
    <w:p>
      <w:pPr>
        <w:pStyle w:val="Normal0"/>
        <w:spacing w:line="360" w:lineRule="auto"/>
        <w:ind w:left="420" w:hanging="420" w:hangingChars="200"/>
        <w:rPr>
          <w:rFonts w:ascii="宋体" w:hAnsi="宋体" w:hint="eastAsia"/>
          <w:bCs/>
          <w:szCs w:val="21"/>
        </w:rPr>
      </w:pPr>
      <w:r>
        <w:rPr>
          <w:rFonts w:ascii="宋体" w:hAnsi="宋体" w:hint="eastAsia"/>
          <w:bCs/>
          <w:szCs w:val="21"/>
        </w:rPr>
        <w:t>第九条：会计凭证、会计账簿、财务会计报告和其他会计核算资料，必须符合国家统一会计制度规定，做到口径一致，相互可比。</w:t>
      </w:r>
    </w:p>
    <w:p>
      <w:pPr>
        <w:pStyle w:val="Normal0"/>
        <w:spacing w:line="360" w:lineRule="auto"/>
        <w:rPr>
          <w:rFonts w:ascii="宋体" w:hAnsi="宋体" w:hint="eastAsia"/>
          <w:bCs/>
          <w:szCs w:val="21"/>
        </w:rPr>
      </w:pPr>
      <w:r>
        <w:rPr>
          <w:rFonts w:ascii="宋体" w:hAnsi="宋体" w:hint="eastAsia"/>
          <w:bCs/>
          <w:szCs w:val="21"/>
        </w:rPr>
        <w:t>第十条：收入与成本费用应相互配比。</w:t>
      </w:r>
    </w:p>
    <w:p>
      <w:pPr>
        <w:pStyle w:val="Normal0"/>
        <w:spacing w:line="360" w:lineRule="auto"/>
        <w:rPr>
          <w:rFonts w:ascii="宋体" w:hAnsi="宋体" w:hint="eastAsia"/>
          <w:bCs/>
          <w:szCs w:val="21"/>
        </w:rPr>
      </w:pPr>
      <w:r>
        <w:rPr>
          <w:rFonts w:ascii="宋体" w:hAnsi="宋体" w:hint="eastAsia"/>
          <w:bCs/>
          <w:szCs w:val="21"/>
        </w:rPr>
        <w:t>第十一条：划分收益性支出和资本性支出。</w:t>
      </w:r>
    </w:p>
    <w:p>
      <w:pPr>
        <w:pStyle w:val="Normal0"/>
        <w:spacing w:line="360" w:lineRule="auto"/>
        <w:rPr>
          <w:rFonts w:ascii="宋体" w:hAnsi="宋体" w:hint="eastAsia"/>
          <w:bCs/>
          <w:szCs w:val="21"/>
        </w:rPr>
      </w:pPr>
      <w:r>
        <w:rPr>
          <w:rFonts w:ascii="宋体" w:hAnsi="宋体" w:hint="eastAsia"/>
          <w:bCs/>
          <w:szCs w:val="21"/>
        </w:rPr>
        <w:t>第十二条：各项财产物资均按取得时的实际成本计价。</w:t>
      </w:r>
    </w:p>
    <w:p>
      <w:pPr>
        <w:pStyle w:val="Normal0"/>
        <w:spacing w:line="360" w:lineRule="auto"/>
        <w:rPr>
          <w:rFonts w:ascii="宋体" w:hAnsi="宋体" w:hint="eastAsia"/>
          <w:bCs/>
          <w:szCs w:val="21"/>
        </w:rPr>
      </w:pPr>
      <w:r>
        <w:rPr>
          <w:rFonts w:ascii="宋体" w:hAnsi="宋体" w:hint="eastAsia"/>
          <w:bCs/>
          <w:szCs w:val="21"/>
        </w:rPr>
        <w:t>第十三条：会计核算政策</w:t>
      </w:r>
    </w:p>
    <w:p>
      <w:pPr>
        <w:pStyle w:val="Normal0"/>
        <w:numPr>
          <w:ilvl w:val="0"/>
          <w:numId w:val="1"/>
        </w:numPr>
        <w:spacing w:line="360" w:lineRule="auto"/>
        <w:rPr>
          <w:rFonts w:ascii="宋体" w:hAnsi="宋体" w:hint="eastAsia"/>
          <w:bCs/>
          <w:szCs w:val="21"/>
        </w:rPr>
      </w:pPr>
      <w:r>
        <w:rPr>
          <w:rFonts w:ascii="宋体" w:hAnsi="宋体" w:hint="eastAsia"/>
          <w:bCs/>
          <w:szCs w:val="21"/>
        </w:rPr>
        <w:t>存货按加权平均法核算；</w:t>
      </w:r>
    </w:p>
    <w:p>
      <w:pPr>
        <w:pStyle w:val="Normal0"/>
        <w:numPr>
          <w:ilvl w:val="0"/>
          <w:numId w:val="1"/>
        </w:numPr>
        <w:spacing w:line="360" w:lineRule="auto"/>
        <w:rPr>
          <w:rFonts w:ascii="宋体" w:hAnsi="宋体" w:hint="eastAsia"/>
          <w:bCs/>
          <w:szCs w:val="21"/>
        </w:rPr>
      </w:pPr>
      <w:r>
        <w:rPr>
          <w:rFonts w:ascii="宋体" w:hAnsi="宋体" w:hint="eastAsia"/>
          <w:bCs/>
          <w:szCs w:val="21"/>
        </w:rPr>
        <w:t>低值易耗品摊销采用一次摊销法和分期摊销法核算；</w:t>
      </w:r>
    </w:p>
    <w:p>
      <w:pPr>
        <w:pStyle w:val="Normal0"/>
        <w:numPr>
          <w:ilvl w:val="0"/>
          <w:numId w:val="1"/>
        </w:numPr>
        <w:spacing w:line="360" w:lineRule="auto"/>
        <w:rPr>
          <w:rFonts w:ascii="宋体" w:hAnsi="宋体" w:hint="eastAsia"/>
          <w:bCs/>
          <w:szCs w:val="21"/>
        </w:rPr>
        <w:sectPr>
          <w:headerReference w:type="default" r:id="rId5"/>
          <w:footerReference w:type="default" r:id="rId6"/>
          <w:pgSz w:w="11906" w:h="16838"/>
          <w:pgMar w:top="851" w:right="1466" w:bottom="1077" w:left="1800" w:header="720" w:footer="720" w:gutter="0"/>
          <w:cols w:num="1" w:space="720"/>
          <w:docGrid w:type="lines" w:linePitch="312" w:charSpace="0"/>
        </w:sectPr>
      </w:pPr>
      <w:r>
        <w:rPr>
          <w:rFonts w:ascii="宋体" w:hAnsi="宋体" w:hint="eastAsia"/>
          <w:bCs/>
          <w:szCs w:val="21"/>
        </w:rPr>
        <w:t>无形资产和递延资产在受益年限内平均摊销；</w:t>
      </w:r>
    </w:p>
    <w:p>
      <w:pPr>
        <w:pStyle w:val="Normal0"/>
        <w:numPr>
          <w:ilvl w:val="0"/>
          <w:numId w:val="1"/>
        </w:numPr>
        <w:spacing w:line="360" w:lineRule="auto"/>
        <w:rPr>
          <w:rFonts w:ascii="宋体" w:hAnsi="宋体" w:hint="eastAsia"/>
          <w:bCs/>
          <w:szCs w:val="21"/>
        </w:rPr>
      </w:pPr>
      <w:r>
        <w:rPr>
          <w:rFonts w:ascii="宋体" w:hAnsi="宋体" w:hint="eastAsia"/>
          <w:bCs/>
          <w:szCs w:val="21"/>
        </w:rPr>
        <w:t>固定资产采用平均年限法计提折旧；</w:t>
      </w:r>
    </w:p>
    <w:p>
      <w:pPr>
        <w:pStyle w:val="Normal0"/>
        <w:spacing w:line="360" w:lineRule="auto"/>
        <w:rPr>
          <w:rFonts w:ascii="宋体" w:hAnsi="宋体" w:hint="eastAsia"/>
          <w:bCs/>
          <w:szCs w:val="21"/>
        </w:rPr>
      </w:pPr>
      <w:r>
        <w:rPr>
          <w:rFonts w:ascii="宋体" w:hAnsi="宋体" w:hint="eastAsia"/>
          <w:bCs/>
          <w:szCs w:val="21"/>
        </w:rPr>
        <w:t>第十四条：记账程序</w:t>
      </w:r>
    </w:p>
    <w:p>
      <w:pPr>
        <w:pStyle w:val="Normal0"/>
        <w:numPr>
          <w:ilvl w:val="0"/>
          <w:numId w:val="2"/>
        </w:numPr>
        <w:spacing w:line="360" w:lineRule="auto"/>
        <w:rPr>
          <w:rFonts w:ascii="宋体" w:hAnsi="宋体" w:hint="eastAsia"/>
          <w:bCs/>
          <w:szCs w:val="21"/>
        </w:rPr>
      </w:pPr>
      <w:r>
        <w:rPr>
          <w:rFonts w:ascii="宋体" w:hAnsi="宋体" w:hint="eastAsia"/>
          <w:bCs/>
          <w:szCs w:val="21"/>
        </w:rPr>
        <w:t>酒店发生之经济业务按照先单据、后款项的原则办理。发生之经济业务必须凭审批有效的、手续完备的原始凭证记账。</w:t>
      </w:r>
    </w:p>
    <w:p>
      <w:pPr>
        <w:pStyle w:val="Normal0"/>
        <w:numPr>
          <w:ilvl w:val="0"/>
          <w:numId w:val="2"/>
        </w:numPr>
        <w:spacing w:line="360" w:lineRule="auto"/>
        <w:rPr>
          <w:rFonts w:ascii="宋体" w:hAnsi="宋体" w:hint="eastAsia"/>
          <w:bCs/>
          <w:szCs w:val="21"/>
        </w:rPr>
      </w:pPr>
      <w:r>
        <w:rPr>
          <w:rFonts w:ascii="宋体" w:hAnsi="宋体" w:hint="eastAsia"/>
          <w:bCs/>
          <w:szCs w:val="21"/>
        </w:rPr>
        <w:t>出纳凭审批有效的、手续完备的收支凭证办理收支业务，登记现金日记账和银行存款日记账。按</w:t>
      </w:r>
      <w:r>
        <w:rPr>
          <w:rFonts w:ascii="宋体" w:hAnsi="宋体" w:hint="eastAsia"/>
          <w:bCs/>
          <w:szCs w:val="21"/>
          <w:lang w:eastAsia="zh-CN"/>
        </w:rPr>
        <w:t>管理管控</w:t>
      </w:r>
      <w:r>
        <w:rPr>
          <w:rFonts w:ascii="宋体" w:hAnsi="宋体" w:hint="eastAsia"/>
          <w:bCs/>
          <w:szCs w:val="21"/>
        </w:rPr>
        <w:t>要求编制现金和银行存款收支日结表，将收支单据和日结表一并交会计审查和记账。</w:t>
      </w:r>
    </w:p>
    <w:p>
      <w:pPr>
        <w:pStyle w:val="Normal0"/>
        <w:numPr>
          <w:ilvl w:val="0"/>
          <w:numId w:val="2"/>
        </w:numPr>
        <w:spacing w:line="360" w:lineRule="auto"/>
        <w:rPr>
          <w:rFonts w:ascii="宋体" w:hAnsi="宋体" w:hint="eastAsia"/>
          <w:bCs/>
          <w:szCs w:val="21"/>
        </w:rPr>
      </w:pPr>
      <w:r>
        <w:rPr>
          <w:rFonts w:ascii="宋体" w:hAnsi="宋体" w:hint="eastAsia"/>
          <w:bCs/>
          <w:szCs w:val="21"/>
        </w:rPr>
        <w:t>会计审查收支日结表和收支凭证无误后，根据收支凭证填制记账凭证，经财务经理审核签字后，按记账凭证和记账凭证汇总表登记明细分类账和总分类账。</w:t>
      </w:r>
    </w:p>
    <w:p>
      <w:pPr>
        <w:pStyle w:val="Normal0"/>
        <w:numPr>
          <w:ilvl w:val="0"/>
          <w:numId w:val="2"/>
        </w:numPr>
        <w:spacing w:line="360" w:lineRule="auto"/>
        <w:rPr>
          <w:rFonts w:ascii="宋体" w:hAnsi="宋体" w:hint="eastAsia"/>
          <w:bCs/>
          <w:szCs w:val="21"/>
        </w:rPr>
      </w:pPr>
      <w:r>
        <w:rPr>
          <w:rFonts w:ascii="宋体" w:hAnsi="宋体" w:hint="eastAsia"/>
          <w:bCs/>
          <w:szCs w:val="21"/>
        </w:rPr>
        <w:t>会计根据明细分类账和总分类账编制会计报表，送财务经理审核签认，再呈总经理审批。</w:t>
      </w:r>
    </w:p>
    <w:p>
      <w:pPr>
        <w:pStyle w:val="Normal0"/>
        <w:numPr>
          <w:ilvl w:val="0"/>
          <w:numId w:val="2"/>
        </w:numPr>
        <w:spacing w:line="360" w:lineRule="auto"/>
        <w:rPr>
          <w:rFonts w:ascii="宋体" w:hAnsi="宋体" w:hint="eastAsia"/>
          <w:bCs/>
          <w:szCs w:val="21"/>
        </w:rPr>
      </w:pPr>
      <w:r>
        <w:rPr>
          <w:rFonts w:ascii="宋体" w:hAnsi="宋体" w:hint="eastAsia"/>
          <w:bCs/>
          <w:szCs w:val="21"/>
        </w:rPr>
        <w:t>会计应按时做好记账、对账和结账工作，按月、季、年编制财务会计报表。</w:t>
      </w:r>
    </w:p>
    <w:p>
      <w:pPr>
        <w:pStyle w:val="Normal0"/>
        <w:spacing w:line="360" w:lineRule="auto"/>
        <w:rPr>
          <w:rFonts w:ascii="宋体" w:hAnsi="宋体" w:hint="eastAsia"/>
          <w:b/>
          <w:bCs/>
          <w:szCs w:val="21"/>
        </w:rPr>
      </w:pPr>
      <w:r>
        <w:rPr>
          <w:rFonts w:ascii="宋体" w:hAnsi="宋体" w:hint="eastAsia"/>
          <w:b/>
          <w:bCs/>
          <w:szCs w:val="21"/>
        </w:rPr>
        <w:t>第三章：</w:t>
      </w:r>
      <w:r>
        <w:rPr>
          <w:rFonts w:ascii="宋体" w:hAnsi="宋体" w:hint="eastAsia"/>
          <w:b/>
          <w:bCs/>
          <w:szCs w:val="21"/>
          <w:lang w:eastAsia="zh-CN"/>
        </w:rPr>
        <w:t>相关计划管理管控</w:t>
      </w:r>
    </w:p>
    <w:p>
      <w:pPr>
        <w:pStyle w:val="Normal0"/>
        <w:spacing w:line="360" w:lineRule="auto"/>
        <w:ind w:left="420" w:hanging="420" w:hangingChars="200"/>
        <w:rPr>
          <w:rFonts w:ascii="宋体" w:hAnsi="宋体" w:hint="eastAsia"/>
          <w:bCs/>
          <w:szCs w:val="21"/>
        </w:rPr>
      </w:pPr>
      <w:r>
        <w:rPr>
          <w:rFonts w:ascii="宋体" w:hAnsi="宋体" w:hint="eastAsia"/>
          <w:bCs/>
          <w:szCs w:val="21"/>
        </w:rPr>
        <w:t>第十五条：按集团公司对酒店经营</w:t>
      </w:r>
      <w:r>
        <w:rPr>
          <w:rFonts w:ascii="宋体" w:hAnsi="宋体" w:hint="eastAsia"/>
          <w:bCs/>
          <w:szCs w:val="21"/>
          <w:lang w:eastAsia="zh-CN"/>
        </w:rPr>
        <w:t>管理管控</w:t>
      </w:r>
      <w:r>
        <w:rPr>
          <w:rFonts w:ascii="宋体" w:hAnsi="宋体" w:hint="eastAsia"/>
          <w:bCs/>
          <w:szCs w:val="21"/>
        </w:rPr>
        <w:t>目标的要求，在总经理的领导下，通过市场调查、对酒店经营情况的分析，确定酒店总体经营目标，各部门按经营目标编制经营</w:t>
      </w:r>
      <w:r>
        <w:rPr>
          <w:rFonts w:ascii="宋体" w:hAnsi="宋体" w:hint="eastAsia"/>
          <w:bCs/>
          <w:szCs w:val="21"/>
          <w:lang w:eastAsia="zh-CN"/>
        </w:rPr>
        <w:t>相关计划</w:t>
      </w:r>
      <w:r>
        <w:rPr>
          <w:rFonts w:ascii="宋体" w:hAnsi="宋体" w:hint="eastAsia"/>
          <w:bCs/>
          <w:szCs w:val="21"/>
        </w:rPr>
        <w:t>。</w:t>
      </w:r>
    </w:p>
    <w:p>
      <w:pPr>
        <w:pStyle w:val="Normal0"/>
        <w:spacing w:line="360" w:lineRule="auto"/>
        <w:rPr>
          <w:rFonts w:ascii="宋体" w:hAnsi="宋体" w:hint="eastAsia"/>
          <w:bCs/>
          <w:szCs w:val="21"/>
        </w:rPr>
      </w:pPr>
      <w:r>
        <w:rPr>
          <w:rFonts w:ascii="宋体" w:hAnsi="宋体" w:hint="eastAsia"/>
          <w:bCs/>
          <w:szCs w:val="21"/>
        </w:rPr>
        <w:t>第十六条：经营</w:t>
      </w:r>
      <w:r>
        <w:rPr>
          <w:rFonts w:ascii="宋体" w:hAnsi="宋体" w:hint="eastAsia"/>
          <w:bCs/>
          <w:szCs w:val="21"/>
          <w:lang w:eastAsia="zh-CN"/>
        </w:rPr>
        <w:t>相关计划</w:t>
      </w:r>
      <w:r>
        <w:rPr>
          <w:rFonts w:ascii="宋体" w:hAnsi="宋体" w:hint="eastAsia"/>
          <w:bCs/>
          <w:szCs w:val="21"/>
        </w:rPr>
        <w:t>经财务部审核汇总，报总经理审批后执行。</w:t>
      </w:r>
    </w:p>
    <w:p>
      <w:pPr>
        <w:pStyle w:val="Normal0"/>
        <w:spacing w:line="360" w:lineRule="auto"/>
        <w:ind w:left="420" w:hanging="420" w:hangingChars="200"/>
        <w:rPr>
          <w:rFonts w:ascii="宋体" w:hAnsi="宋体" w:hint="eastAsia"/>
          <w:bCs/>
          <w:szCs w:val="21"/>
        </w:rPr>
      </w:pPr>
      <w:r>
        <w:rPr>
          <w:rFonts w:ascii="宋体" w:hAnsi="宋体" w:hint="eastAsia"/>
          <w:bCs/>
          <w:szCs w:val="21"/>
        </w:rPr>
        <w:t>第十七条：酒店经营</w:t>
      </w:r>
      <w:r>
        <w:rPr>
          <w:rFonts w:ascii="宋体" w:hAnsi="宋体" w:hint="eastAsia"/>
          <w:bCs/>
          <w:szCs w:val="21"/>
          <w:lang w:eastAsia="zh-CN"/>
        </w:rPr>
        <w:t>相关计划</w:t>
      </w:r>
      <w:r>
        <w:rPr>
          <w:rFonts w:ascii="宋体" w:hAnsi="宋体" w:hint="eastAsia"/>
          <w:bCs/>
          <w:szCs w:val="21"/>
        </w:rPr>
        <w:t>包括营业</w:t>
      </w:r>
      <w:r>
        <w:rPr>
          <w:rFonts w:ascii="宋体" w:hAnsi="宋体" w:hint="eastAsia"/>
          <w:bCs/>
          <w:szCs w:val="21"/>
          <w:lang w:eastAsia="zh-CN"/>
        </w:rPr>
        <w:t>相关计划</w:t>
      </w:r>
      <w:r>
        <w:rPr>
          <w:rFonts w:ascii="宋体" w:hAnsi="宋体" w:hint="eastAsia"/>
          <w:bCs/>
          <w:szCs w:val="21"/>
        </w:rPr>
        <w:t>、成本费用</w:t>
      </w:r>
      <w:r>
        <w:rPr>
          <w:rFonts w:ascii="宋体" w:hAnsi="宋体" w:hint="eastAsia"/>
          <w:bCs/>
          <w:szCs w:val="21"/>
          <w:lang w:eastAsia="zh-CN"/>
        </w:rPr>
        <w:t>相关计划</w:t>
      </w:r>
      <w:r>
        <w:rPr>
          <w:rFonts w:ascii="宋体" w:hAnsi="宋体" w:hint="eastAsia"/>
          <w:bCs/>
          <w:szCs w:val="21"/>
        </w:rPr>
        <w:t>、利润</w:t>
      </w:r>
      <w:r>
        <w:rPr>
          <w:rFonts w:ascii="宋体" w:hAnsi="宋体" w:hint="eastAsia"/>
          <w:bCs/>
          <w:szCs w:val="21"/>
          <w:lang w:eastAsia="zh-CN"/>
        </w:rPr>
        <w:t>相关计划</w:t>
      </w:r>
      <w:r>
        <w:rPr>
          <w:rFonts w:ascii="宋体" w:hAnsi="宋体" w:hint="eastAsia"/>
          <w:bCs/>
          <w:szCs w:val="21"/>
        </w:rPr>
        <w:t>、资产购置</w:t>
      </w:r>
      <w:r>
        <w:rPr>
          <w:rFonts w:ascii="宋体" w:hAnsi="宋体" w:hint="eastAsia"/>
          <w:bCs/>
          <w:szCs w:val="21"/>
          <w:lang w:eastAsia="zh-CN"/>
        </w:rPr>
        <w:t>相关计划</w:t>
      </w:r>
      <w:r>
        <w:rPr>
          <w:rFonts w:ascii="宋体" w:hAnsi="宋体" w:hint="eastAsia"/>
          <w:bCs/>
          <w:szCs w:val="21"/>
        </w:rPr>
        <w:t>和财务收支</w:t>
      </w:r>
      <w:r>
        <w:rPr>
          <w:rFonts w:ascii="宋体" w:hAnsi="宋体" w:hint="eastAsia"/>
          <w:bCs/>
          <w:szCs w:val="21"/>
          <w:lang w:eastAsia="zh-CN"/>
        </w:rPr>
        <w:t>相关计划</w:t>
      </w:r>
      <w:r>
        <w:rPr>
          <w:rFonts w:ascii="宋体" w:hAnsi="宋体" w:hint="eastAsia"/>
          <w:bCs/>
          <w:szCs w:val="21"/>
        </w:rPr>
        <w:t>。</w:t>
      </w:r>
    </w:p>
    <w:p>
      <w:pPr>
        <w:pStyle w:val="Normal0"/>
        <w:spacing w:line="360" w:lineRule="auto"/>
        <w:ind w:left="420" w:hanging="420" w:hangingChars="200"/>
        <w:rPr>
          <w:rFonts w:ascii="宋体" w:hAnsi="宋体" w:hint="eastAsia"/>
          <w:bCs/>
          <w:szCs w:val="21"/>
        </w:rPr>
      </w:pPr>
      <w:r>
        <w:rPr>
          <w:rFonts w:ascii="宋体" w:hAnsi="宋体" w:hint="eastAsia"/>
          <w:bCs/>
          <w:szCs w:val="21"/>
        </w:rPr>
        <w:t>第十八条：年度经营</w:t>
      </w:r>
      <w:r>
        <w:rPr>
          <w:rFonts w:ascii="宋体" w:hAnsi="宋体" w:hint="eastAsia"/>
          <w:bCs/>
          <w:szCs w:val="21"/>
          <w:lang w:eastAsia="zh-CN"/>
        </w:rPr>
        <w:t>相关计划</w:t>
      </w:r>
      <w:r>
        <w:rPr>
          <w:rFonts w:ascii="宋体" w:hAnsi="宋体" w:hint="eastAsia"/>
          <w:bCs/>
          <w:szCs w:val="21"/>
        </w:rPr>
        <w:t>于每年11月中旬开始编制，12月下旬完成。月度资金</w:t>
      </w:r>
      <w:r>
        <w:rPr>
          <w:rFonts w:ascii="宋体" w:hAnsi="宋体" w:hint="eastAsia"/>
          <w:bCs/>
          <w:szCs w:val="21"/>
          <w:lang w:eastAsia="zh-CN"/>
        </w:rPr>
        <w:t>相关计划</w:t>
      </w:r>
      <w:r>
        <w:rPr>
          <w:rFonts w:ascii="宋体" w:hAnsi="宋体" w:hint="eastAsia"/>
          <w:bCs/>
          <w:szCs w:val="21"/>
        </w:rPr>
        <w:t>于上月末完成。</w:t>
      </w:r>
    </w:p>
    <w:p>
      <w:pPr>
        <w:pStyle w:val="Normal0"/>
        <w:spacing w:line="360" w:lineRule="auto"/>
        <w:rPr>
          <w:rFonts w:ascii="宋体" w:hAnsi="宋体" w:hint="eastAsia"/>
          <w:bCs/>
          <w:szCs w:val="21"/>
        </w:rPr>
      </w:pPr>
      <w:r>
        <w:rPr>
          <w:rFonts w:ascii="宋体" w:hAnsi="宋体" w:hint="eastAsia"/>
          <w:bCs/>
          <w:szCs w:val="21"/>
        </w:rPr>
        <w:t>第十九条：经营</w:t>
      </w:r>
      <w:r>
        <w:rPr>
          <w:rFonts w:ascii="宋体" w:hAnsi="宋体" w:hint="eastAsia"/>
          <w:bCs/>
          <w:szCs w:val="21"/>
          <w:lang w:eastAsia="zh-CN"/>
        </w:rPr>
        <w:t>相关计划</w:t>
      </w:r>
      <w:r>
        <w:rPr>
          <w:rFonts w:ascii="宋体" w:hAnsi="宋体" w:hint="eastAsia"/>
          <w:bCs/>
          <w:szCs w:val="21"/>
        </w:rPr>
        <w:t>经审批后下达至各部门执行。</w:t>
      </w:r>
    </w:p>
    <w:p>
      <w:pPr>
        <w:pStyle w:val="Normal0"/>
        <w:spacing w:line="360" w:lineRule="auto"/>
        <w:rPr>
          <w:rFonts w:ascii="宋体" w:hAnsi="宋体" w:hint="eastAsia"/>
          <w:b/>
          <w:bCs/>
          <w:szCs w:val="21"/>
        </w:rPr>
      </w:pPr>
      <w:r>
        <w:rPr>
          <w:rFonts w:ascii="宋体" w:hAnsi="宋体" w:hint="eastAsia"/>
          <w:b/>
          <w:bCs/>
          <w:szCs w:val="21"/>
        </w:rPr>
        <w:t>第四章：流动资产</w:t>
      </w:r>
      <w:r>
        <w:rPr>
          <w:rFonts w:ascii="宋体" w:hAnsi="宋体" w:hint="eastAsia"/>
          <w:b/>
          <w:bCs/>
          <w:szCs w:val="21"/>
          <w:lang w:eastAsia="zh-CN"/>
        </w:rPr>
        <w:t>管理管控</w:t>
      </w:r>
    </w:p>
    <w:p>
      <w:pPr>
        <w:pStyle w:val="Normal0"/>
        <w:spacing w:line="360" w:lineRule="auto"/>
        <w:ind w:left="420" w:hanging="420" w:hangingChars="200"/>
        <w:rPr>
          <w:rFonts w:ascii="宋体" w:hAnsi="宋体" w:hint="eastAsia"/>
          <w:bCs/>
          <w:szCs w:val="21"/>
        </w:rPr>
      </w:pPr>
      <w:r>
        <w:rPr>
          <w:rFonts w:ascii="宋体" w:hAnsi="宋体" w:hint="eastAsia"/>
          <w:bCs/>
          <w:szCs w:val="21"/>
        </w:rPr>
        <w:t>第二十条：酒店流动资产的</w:t>
      </w:r>
      <w:r>
        <w:rPr>
          <w:rFonts w:ascii="宋体" w:hAnsi="宋体" w:hint="eastAsia"/>
          <w:bCs/>
          <w:szCs w:val="21"/>
          <w:lang w:eastAsia="zh-CN"/>
        </w:rPr>
        <w:t>管理管控</w:t>
      </w:r>
      <w:r>
        <w:rPr>
          <w:rFonts w:ascii="宋体" w:hAnsi="宋体" w:hint="eastAsia"/>
          <w:bCs/>
          <w:szCs w:val="21"/>
        </w:rPr>
        <w:t>实行分工合作，相互牵制的原则，对各项流动资产及时核对、及时检查，不允许以“白条”抵库，货币资金做到日清月结。</w:t>
      </w:r>
    </w:p>
    <w:p>
      <w:pPr>
        <w:pStyle w:val="Normal0"/>
        <w:spacing w:line="360" w:lineRule="auto"/>
        <w:rPr>
          <w:rFonts w:ascii="宋体" w:hAnsi="宋体" w:hint="eastAsia"/>
          <w:bCs/>
          <w:szCs w:val="21"/>
        </w:rPr>
      </w:pPr>
      <w:r>
        <w:rPr>
          <w:rFonts w:ascii="宋体" w:hAnsi="宋体" w:hint="eastAsia"/>
          <w:bCs/>
          <w:szCs w:val="21"/>
        </w:rPr>
        <w:t>第二十一条：货币资金</w:t>
      </w:r>
      <w:r>
        <w:rPr>
          <w:rFonts w:ascii="宋体" w:hAnsi="宋体" w:hint="eastAsia"/>
          <w:bCs/>
          <w:szCs w:val="21"/>
          <w:lang w:eastAsia="zh-CN"/>
        </w:rPr>
        <w:t>管理管控</w:t>
      </w:r>
    </w:p>
    <w:p>
      <w:pPr>
        <w:pStyle w:val="Normal0"/>
        <w:spacing w:line="360" w:lineRule="auto"/>
        <w:ind w:left="718" w:hanging="300" w:leftChars="199"/>
        <w:rPr>
          <w:rFonts w:ascii="宋体" w:hAnsi="宋体" w:hint="eastAsia"/>
          <w:bCs/>
          <w:szCs w:val="21"/>
        </w:rPr>
      </w:pPr>
      <w:r>
        <w:rPr>
          <w:rFonts w:ascii="宋体" w:hAnsi="宋体" w:hint="eastAsia"/>
          <w:bCs/>
          <w:szCs w:val="21"/>
        </w:rPr>
        <w:t>1、按中国人民银行颁布的《现金</w:t>
      </w:r>
      <w:r>
        <w:rPr>
          <w:rFonts w:ascii="宋体" w:hAnsi="宋体" w:hint="eastAsia"/>
          <w:bCs/>
          <w:szCs w:val="21"/>
          <w:lang w:eastAsia="zh-CN"/>
        </w:rPr>
        <w:t>管理管控</w:t>
      </w:r>
      <w:r>
        <w:rPr>
          <w:rFonts w:ascii="宋体" w:hAnsi="宋体" w:hint="eastAsia"/>
          <w:bCs/>
          <w:szCs w:val="21"/>
        </w:rPr>
        <w:t>条例》和《支付结算办法》的规定进行</w:t>
      </w:r>
      <w:r>
        <w:rPr>
          <w:rFonts w:ascii="宋体" w:hAnsi="宋体" w:hint="eastAsia"/>
          <w:bCs/>
          <w:szCs w:val="21"/>
          <w:lang w:eastAsia="zh-CN"/>
        </w:rPr>
        <w:t>管理管控</w:t>
      </w:r>
      <w:r>
        <w:rPr>
          <w:rFonts w:ascii="宋体" w:hAnsi="宋体" w:hint="eastAsia"/>
          <w:bCs/>
          <w:szCs w:val="21"/>
        </w:rPr>
        <w:t>。</w:t>
      </w:r>
    </w:p>
    <w:p>
      <w:pPr>
        <w:pStyle w:val="Normal0"/>
        <w:spacing w:line="360" w:lineRule="auto"/>
        <w:ind w:left="718" w:hanging="300" w:leftChars="199"/>
        <w:rPr>
          <w:rFonts w:ascii="宋体" w:hAnsi="宋体" w:hint="eastAsia"/>
          <w:bCs/>
          <w:szCs w:val="21"/>
        </w:rPr>
      </w:pPr>
      <w:r>
        <w:rPr>
          <w:rFonts w:ascii="宋体" w:hAnsi="宋体" w:hint="eastAsia"/>
          <w:bCs/>
          <w:szCs w:val="21"/>
        </w:rPr>
        <w:t>2、资金的收付业务由财务部按程序、按</w:t>
      </w:r>
      <w:r>
        <w:rPr>
          <w:rFonts w:ascii="宋体" w:hAnsi="宋体" w:hint="eastAsia"/>
          <w:bCs/>
          <w:szCs w:val="21"/>
          <w:lang w:eastAsia="zh-CN"/>
        </w:rPr>
        <w:t>管理管控</w:t>
      </w:r>
      <w:r>
        <w:rPr>
          <w:rFonts w:ascii="宋体" w:hAnsi="宋体" w:hint="eastAsia"/>
          <w:bCs/>
          <w:szCs w:val="21"/>
        </w:rPr>
        <w:t>制度办理。严禁违规操作，严禁保留账外资金。</w:t>
      </w:r>
    </w:p>
    <w:p>
      <w:pPr>
        <w:pStyle w:val="Normal0"/>
        <w:spacing w:line="360" w:lineRule="auto"/>
        <w:ind w:left="718" w:hanging="300" w:leftChars="199"/>
        <w:rPr>
          <w:rFonts w:ascii="宋体" w:hAnsi="宋体" w:hint="eastAsia"/>
          <w:bCs/>
          <w:szCs w:val="21"/>
        </w:rPr>
        <w:sectPr>
          <w:headerReference w:type="default" r:id="rId7"/>
          <w:footerReference w:type="default" r:id="rId8"/>
          <w:type w:val="nextPage"/>
          <w:pgSz w:w="11906" w:h="16838"/>
          <w:pgMar w:top="851" w:right="1466" w:bottom="1077" w:left="1800" w:header="720" w:footer="720" w:gutter="0"/>
          <w:pgNumType w:start="2"/>
          <w:cols w:num="1" w:space="720"/>
          <w:titlePg w:val="0"/>
          <w:docGrid w:type="lines" w:linePitch="312" w:charSpace="0"/>
        </w:sectPr>
      </w:pPr>
      <w:r>
        <w:rPr>
          <w:rFonts w:ascii="宋体" w:hAnsi="宋体" w:hint="eastAsia"/>
          <w:bCs/>
          <w:szCs w:val="21"/>
        </w:rPr>
        <w:t>3、现金和银行存款设置日记账</w:t>
      </w:r>
      <w:r>
        <w:rPr>
          <w:rFonts w:ascii="宋体" w:hAnsi="宋体" w:hint="eastAsia"/>
          <w:bCs/>
          <w:szCs w:val="21"/>
          <w:lang w:eastAsia="zh-CN"/>
        </w:rPr>
        <w:t>管理管控</w:t>
      </w:r>
      <w:r>
        <w:rPr>
          <w:rFonts w:ascii="宋体" w:hAnsi="宋体" w:hint="eastAsia"/>
          <w:bCs/>
          <w:szCs w:val="21"/>
        </w:rPr>
        <w:t>，对发生的收支业务，按发生顺序逐笔序时登记。</w:t>
      </w:r>
    </w:p>
    <w:p>
      <w:pPr>
        <w:pStyle w:val="Normal0"/>
        <w:spacing w:line="360" w:lineRule="auto"/>
        <w:ind w:left="718" w:hanging="300" w:leftChars="199"/>
        <w:rPr>
          <w:rFonts w:ascii="宋体" w:hAnsi="宋体" w:hint="eastAsia"/>
          <w:bCs/>
          <w:szCs w:val="21"/>
        </w:rPr>
      </w:pPr>
      <w:r>
        <w:rPr>
          <w:rFonts w:ascii="宋体" w:hAnsi="宋体" w:hint="eastAsia"/>
          <w:bCs/>
          <w:szCs w:val="21"/>
        </w:rPr>
        <w:t>4、各项收支原始凭证在办理收付款业务后，应及时加盖“收、付款”章。出纳凭单登记日记账，会计凭单编制记账凭证。</w:t>
      </w:r>
    </w:p>
    <w:p>
      <w:pPr>
        <w:pStyle w:val="Normal0"/>
        <w:spacing w:line="360" w:lineRule="auto"/>
        <w:ind w:left="718" w:hanging="300" w:leftChars="199"/>
        <w:rPr>
          <w:rFonts w:ascii="宋体" w:hAnsi="宋体" w:hint="eastAsia"/>
          <w:bCs/>
          <w:szCs w:val="21"/>
        </w:rPr>
      </w:pPr>
      <w:r>
        <w:rPr>
          <w:rFonts w:ascii="宋体" w:hAnsi="宋体" w:hint="eastAsia"/>
          <w:bCs/>
          <w:szCs w:val="21"/>
        </w:rPr>
        <w:t>5、酒店货币资金的</w:t>
      </w:r>
      <w:r>
        <w:rPr>
          <w:rFonts w:ascii="宋体" w:hAnsi="宋体" w:hint="eastAsia"/>
          <w:bCs/>
          <w:szCs w:val="21"/>
          <w:lang w:eastAsia="zh-CN"/>
        </w:rPr>
        <w:t>管理管控</w:t>
      </w:r>
      <w:r>
        <w:rPr>
          <w:rFonts w:ascii="宋体" w:hAnsi="宋体" w:hint="eastAsia"/>
          <w:bCs/>
          <w:szCs w:val="21"/>
        </w:rPr>
        <w:t>按《资金</w:t>
      </w:r>
      <w:r>
        <w:rPr>
          <w:rFonts w:ascii="宋体" w:hAnsi="宋体" w:hint="eastAsia"/>
          <w:bCs/>
          <w:szCs w:val="21"/>
          <w:lang w:eastAsia="zh-CN"/>
        </w:rPr>
        <w:t>管理管控</w:t>
      </w:r>
      <w:r>
        <w:rPr>
          <w:rFonts w:ascii="宋体" w:hAnsi="宋体" w:hint="eastAsia"/>
          <w:bCs/>
          <w:szCs w:val="21"/>
        </w:rPr>
        <w:t>制度》、《费用报销</w:t>
      </w:r>
      <w:r>
        <w:rPr>
          <w:rFonts w:ascii="宋体" w:hAnsi="宋体" w:hint="eastAsia"/>
          <w:bCs/>
          <w:szCs w:val="21"/>
          <w:lang w:eastAsia="zh-CN"/>
        </w:rPr>
        <w:t>管理管控</w:t>
      </w:r>
      <w:r>
        <w:rPr>
          <w:rFonts w:ascii="宋体" w:hAnsi="宋体" w:hint="eastAsia"/>
          <w:bCs/>
          <w:szCs w:val="21"/>
        </w:rPr>
        <w:t>规定》、《审批权限</w:t>
      </w:r>
      <w:r>
        <w:rPr>
          <w:rFonts w:ascii="宋体" w:hAnsi="宋体" w:hint="eastAsia"/>
          <w:bCs/>
          <w:szCs w:val="21"/>
          <w:lang w:eastAsia="zh-CN"/>
        </w:rPr>
        <w:t>管理管控</w:t>
      </w:r>
      <w:r>
        <w:rPr>
          <w:rFonts w:ascii="宋体" w:hAnsi="宋体" w:hint="eastAsia"/>
          <w:bCs/>
          <w:szCs w:val="21"/>
        </w:rPr>
        <w:t>规定》等文件执行。</w:t>
      </w:r>
    </w:p>
    <w:p>
      <w:pPr>
        <w:pStyle w:val="Normal0"/>
        <w:spacing w:line="360" w:lineRule="auto"/>
        <w:rPr>
          <w:rFonts w:ascii="宋体" w:hAnsi="宋体" w:hint="eastAsia"/>
          <w:bCs/>
          <w:szCs w:val="21"/>
        </w:rPr>
      </w:pPr>
      <w:r>
        <w:rPr>
          <w:rFonts w:ascii="宋体" w:hAnsi="宋体" w:hint="eastAsia"/>
          <w:bCs/>
          <w:szCs w:val="21"/>
        </w:rPr>
        <w:t>第二十二条：应收账款</w:t>
      </w:r>
      <w:r>
        <w:rPr>
          <w:rFonts w:ascii="宋体" w:hAnsi="宋体" w:hint="eastAsia"/>
          <w:bCs/>
          <w:szCs w:val="21"/>
          <w:lang w:eastAsia="zh-CN"/>
        </w:rPr>
        <w:t>管理管控</w:t>
      </w:r>
    </w:p>
    <w:p>
      <w:pPr>
        <w:pStyle w:val="Normal0"/>
        <w:spacing w:line="360" w:lineRule="auto"/>
        <w:ind w:left="735" w:hanging="315" w:leftChars="200" w:hangingChars="150"/>
        <w:rPr>
          <w:rFonts w:ascii="宋体" w:hAnsi="宋体" w:hint="eastAsia"/>
          <w:bCs/>
          <w:szCs w:val="21"/>
        </w:rPr>
      </w:pPr>
      <w:r>
        <w:rPr>
          <w:rFonts w:ascii="宋体" w:hAnsi="宋体" w:hint="eastAsia"/>
          <w:bCs/>
          <w:szCs w:val="21"/>
        </w:rPr>
        <w:t>1、酒店应收账款按实际发生额记账，分明细核算。应收账款必须按有效原始凭证登记。</w:t>
      </w:r>
    </w:p>
    <w:p>
      <w:pPr>
        <w:pStyle w:val="Normal0"/>
        <w:spacing w:line="360" w:lineRule="auto"/>
        <w:ind w:left="735" w:hanging="315" w:leftChars="200" w:hangingChars="150"/>
        <w:rPr>
          <w:rFonts w:ascii="宋体" w:hAnsi="宋体" w:hint="eastAsia"/>
          <w:bCs/>
          <w:szCs w:val="21"/>
        </w:rPr>
      </w:pPr>
      <w:r>
        <w:rPr>
          <w:rFonts w:ascii="宋体" w:hAnsi="宋体" w:hint="eastAsia"/>
          <w:bCs/>
          <w:szCs w:val="21"/>
        </w:rPr>
        <w:t>2、应收账款应及时追收、按月清理、按期收回。</w:t>
      </w:r>
    </w:p>
    <w:p>
      <w:pPr>
        <w:pStyle w:val="Normal0"/>
        <w:spacing w:line="360" w:lineRule="auto"/>
        <w:ind w:left="735" w:hanging="315" w:leftChars="200" w:hangingChars="150"/>
        <w:rPr>
          <w:rFonts w:ascii="宋体" w:hAnsi="宋体" w:hint="eastAsia"/>
          <w:bCs/>
          <w:szCs w:val="21"/>
        </w:rPr>
      </w:pPr>
      <w:r>
        <w:rPr>
          <w:rFonts w:ascii="宋体" w:hAnsi="宋体" w:hint="eastAsia"/>
          <w:bCs/>
          <w:szCs w:val="21"/>
        </w:rPr>
        <w:t>3、对确实无法按时收回或无法收回的应收账款，由财务部提出处理意见，报总经理批准。</w:t>
      </w:r>
    </w:p>
    <w:p>
      <w:pPr>
        <w:pStyle w:val="Normal0"/>
        <w:spacing w:line="360" w:lineRule="auto"/>
        <w:ind w:left="735" w:hanging="315" w:leftChars="200" w:hangingChars="150"/>
        <w:rPr>
          <w:rFonts w:ascii="宋体" w:hAnsi="宋体" w:hint="eastAsia"/>
          <w:bCs/>
          <w:szCs w:val="21"/>
        </w:rPr>
      </w:pPr>
      <w:r>
        <w:rPr>
          <w:rFonts w:ascii="宋体" w:hAnsi="宋体" w:hint="eastAsia"/>
          <w:bCs/>
          <w:szCs w:val="21"/>
        </w:rPr>
        <w:t>4、会计凭总经理的审批意见作账务调整，对确认为坏账的应收账款记入当期</w:t>
      </w:r>
      <w:r>
        <w:rPr>
          <w:rFonts w:ascii="宋体" w:hAnsi="宋体" w:hint="eastAsia"/>
          <w:bCs/>
          <w:szCs w:val="21"/>
          <w:lang w:eastAsia="zh-CN"/>
        </w:rPr>
        <w:t>管理管控</w:t>
      </w:r>
      <w:r>
        <w:rPr>
          <w:rFonts w:ascii="宋体" w:hAnsi="宋体" w:hint="eastAsia"/>
          <w:bCs/>
          <w:szCs w:val="21"/>
        </w:rPr>
        <w:t>费用，冲减应收账款。</w:t>
      </w:r>
    </w:p>
    <w:p>
      <w:pPr>
        <w:pStyle w:val="Normal0"/>
        <w:spacing w:line="360" w:lineRule="auto"/>
        <w:ind w:left="735" w:hanging="315" w:leftChars="200" w:hangingChars="150"/>
        <w:rPr>
          <w:rFonts w:ascii="宋体" w:hAnsi="宋体" w:hint="eastAsia"/>
          <w:bCs/>
          <w:szCs w:val="21"/>
        </w:rPr>
      </w:pPr>
      <w:r>
        <w:rPr>
          <w:rFonts w:ascii="宋体" w:hAnsi="宋体" w:hint="eastAsia"/>
          <w:bCs/>
          <w:szCs w:val="21"/>
        </w:rPr>
        <w:t>5、对已确认为坏账的应收账款后又收回的，应先冲减当期</w:t>
      </w:r>
      <w:r>
        <w:rPr>
          <w:rFonts w:ascii="宋体" w:hAnsi="宋体" w:hint="eastAsia"/>
          <w:bCs/>
          <w:szCs w:val="21"/>
          <w:lang w:eastAsia="zh-CN"/>
        </w:rPr>
        <w:t>管理管控</w:t>
      </w:r>
      <w:r>
        <w:rPr>
          <w:rFonts w:ascii="宋体" w:hAnsi="宋体" w:hint="eastAsia"/>
          <w:bCs/>
          <w:szCs w:val="21"/>
        </w:rPr>
        <w:t>费用，冲回应收账款后再按规定冲减应收账款。</w:t>
      </w:r>
    </w:p>
    <w:p>
      <w:pPr>
        <w:pStyle w:val="Normal0"/>
        <w:spacing w:line="360" w:lineRule="auto"/>
        <w:rPr>
          <w:rFonts w:ascii="宋体" w:hAnsi="宋体" w:hint="eastAsia"/>
          <w:bCs/>
          <w:szCs w:val="21"/>
        </w:rPr>
      </w:pPr>
      <w:r>
        <w:rPr>
          <w:rFonts w:ascii="宋体" w:hAnsi="宋体" w:hint="eastAsia"/>
          <w:bCs/>
          <w:szCs w:val="21"/>
        </w:rPr>
        <w:t>第二十三条：存货</w:t>
      </w:r>
      <w:r>
        <w:rPr>
          <w:rFonts w:ascii="宋体" w:hAnsi="宋体" w:hint="eastAsia"/>
          <w:bCs/>
          <w:szCs w:val="21"/>
          <w:lang w:eastAsia="zh-CN"/>
        </w:rPr>
        <w:t>管理管控</w:t>
      </w:r>
    </w:p>
    <w:p>
      <w:pPr>
        <w:pStyle w:val="Normal0"/>
        <w:spacing w:line="360" w:lineRule="auto"/>
        <w:ind w:left="735" w:hanging="315" w:leftChars="200" w:hangingChars="150"/>
        <w:rPr>
          <w:rFonts w:ascii="宋体" w:hAnsi="宋体" w:hint="eastAsia"/>
          <w:bCs/>
          <w:szCs w:val="21"/>
        </w:rPr>
      </w:pPr>
      <w:r>
        <w:rPr>
          <w:rFonts w:ascii="宋体" w:hAnsi="宋体" w:hint="eastAsia"/>
          <w:bCs/>
          <w:szCs w:val="21"/>
        </w:rPr>
        <w:t>1、设置存货明细账，按存货收、发货程序序时登记。并定期盘点和对账，对账实不符的应查明原因，按规定处理。</w:t>
      </w:r>
    </w:p>
    <w:p>
      <w:pPr>
        <w:pStyle w:val="Normal0"/>
        <w:spacing w:line="360" w:lineRule="auto"/>
        <w:ind w:left="735" w:hanging="315" w:leftChars="200" w:hangingChars="150"/>
        <w:rPr>
          <w:rFonts w:ascii="宋体" w:hAnsi="宋体" w:hint="eastAsia"/>
          <w:bCs/>
          <w:szCs w:val="21"/>
        </w:rPr>
      </w:pPr>
      <w:r>
        <w:rPr>
          <w:rFonts w:ascii="宋体" w:hAnsi="宋体" w:hint="eastAsia"/>
          <w:bCs/>
          <w:szCs w:val="21"/>
        </w:rPr>
        <w:t>2、存货自取得、保管、到使用，都必须按程序办理相关手续。</w:t>
      </w:r>
    </w:p>
    <w:p>
      <w:pPr>
        <w:pStyle w:val="Normal0"/>
        <w:tabs>
          <w:tab w:val="left" w:pos="3795"/>
        </w:tabs>
        <w:spacing w:line="360" w:lineRule="auto"/>
        <w:ind w:left="735" w:hanging="315" w:leftChars="200" w:hangingChars="150"/>
        <w:rPr>
          <w:rFonts w:ascii="宋体" w:hAnsi="宋体" w:hint="eastAsia"/>
          <w:szCs w:val="21"/>
        </w:rPr>
      </w:pPr>
      <w:r>
        <w:rPr>
          <w:rFonts w:ascii="宋体" w:hAnsi="宋体" w:hint="eastAsia"/>
          <w:bCs/>
          <w:szCs w:val="21"/>
        </w:rPr>
        <w:t>3、存货按取得时的实际成本计价，</w:t>
      </w:r>
      <w:r>
        <w:rPr>
          <w:rFonts w:ascii="宋体" w:hAnsi="宋体" w:hint="eastAsia"/>
          <w:szCs w:val="21"/>
        </w:rPr>
        <w:t>外购存货按实际支付的价款和运输费、挑选整理费和合理损耗以及税费入账；自制存货按制造过程中发生的材料费、人工费、及其他各种支出入账；接受捐赠的存货按捐赠方提供的发票加运输费和挑选整理费及税费入账或按市价入账；盘盈的存货按市价入账；投资者投入的存货，按投资双方确认的价值入账。</w:t>
      </w:r>
    </w:p>
    <w:p>
      <w:pPr>
        <w:pStyle w:val="Normal0"/>
        <w:numPr>
          <w:ilvl w:val="0"/>
          <w:numId w:val="1"/>
        </w:numPr>
        <w:tabs>
          <w:tab w:val="left" w:pos="3795"/>
        </w:tabs>
        <w:spacing w:line="360" w:lineRule="auto"/>
        <w:rPr>
          <w:rFonts w:ascii="宋体" w:hAnsi="宋体" w:hint="eastAsia"/>
          <w:szCs w:val="21"/>
        </w:rPr>
      </w:pPr>
      <w:r>
        <w:rPr>
          <w:rFonts w:ascii="宋体" w:hAnsi="宋体" w:hint="eastAsia"/>
          <w:szCs w:val="21"/>
        </w:rPr>
        <w:t>领用存货按存货出仓手续办理，按实际成本核算。领用时借记成本费用账户，贷记存货账户。领用又退回的借记存货账户，贷记成本费用账户。月末盘点之部门在用结余存货，作假退料处理，借记存货账户，贷记成本费用账户。</w:t>
      </w:r>
    </w:p>
    <w:p>
      <w:pPr>
        <w:pStyle w:val="Normal0"/>
        <w:numPr>
          <w:ilvl w:val="0"/>
          <w:numId w:val="1"/>
        </w:numPr>
        <w:tabs>
          <w:tab w:val="left" w:pos="3795"/>
        </w:tabs>
        <w:spacing w:line="360" w:lineRule="auto"/>
        <w:rPr>
          <w:rFonts w:ascii="宋体" w:hAnsi="宋体" w:hint="eastAsia"/>
          <w:szCs w:val="21"/>
        </w:rPr>
      </w:pPr>
      <w:r>
        <w:rPr>
          <w:rFonts w:ascii="宋体" w:hAnsi="宋体" w:hint="eastAsia"/>
          <w:szCs w:val="21"/>
        </w:rPr>
        <w:t>存货必须按“先进先出”的原则发货。</w:t>
      </w:r>
    </w:p>
    <w:p>
      <w:pPr>
        <w:pStyle w:val="Normal0"/>
        <w:spacing w:line="360" w:lineRule="auto"/>
        <w:rPr>
          <w:rFonts w:ascii="宋体" w:hAnsi="宋体" w:hint="eastAsia"/>
          <w:bCs/>
          <w:szCs w:val="21"/>
        </w:rPr>
      </w:pPr>
      <w:r>
        <w:rPr>
          <w:rFonts w:ascii="宋体" w:hAnsi="宋体" w:hint="eastAsia"/>
          <w:bCs/>
          <w:szCs w:val="21"/>
        </w:rPr>
        <w:t>第二十四条：待摊费用核算</w:t>
      </w:r>
    </w:p>
    <w:p>
      <w:pPr>
        <w:pStyle w:val="Normal0"/>
        <w:spacing w:line="360" w:lineRule="auto"/>
        <w:ind w:firstLine="420"/>
        <w:rPr>
          <w:rFonts w:ascii="宋体" w:hAnsi="宋体" w:hint="eastAsia"/>
          <w:bCs/>
          <w:szCs w:val="21"/>
        </w:rPr>
      </w:pPr>
      <w:r>
        <w:rPr>
          <w:rFonts w:ascii="宋体" w:hAnsi="宋体" w:hint="eastAsia"/>
          <w:bCs/>
          <w:szCs w:val="21"/>
        </w:rPr>
        <w:t>1、待摊费用在受益期内平均摊销，但不得超过一年或一个营业周期。</w:t>
      </w:r>
    </w:p>
    <w:p>
      <w:pPr>
        <w:pStyle w:val="Normal0"/>
        <w:spacing w:line="360" w:lineRule="auto"/>
        <w:ind w:firstLine="420"/>
        <w:rPr>
          <w:rFonts w:ascii="宋体" w:hAnsi="宋体" w:hint="eastAsia"/>
          <w:bCs/>
          <w:szCs w:val="21"/>
        </w:rPr>
      </w:pPr>
      <w:r>
        <w:rPr>
          <w:rFonts w:ascii="宋体" w:hAnsi="宋体" w:hint="eastAsia"/>
          <w:bCs/>
          <w:szCs w:val="21"/>
        </w:rPr>
        <w:t>2、待摊费用摊销时，期间不得有间隔。</w:t>
      </w:r>
    </w:p>
    <w:p>
      <w:pPr>
        <w:pStyle w:val="Normal0"/>
        <w:spacing w:line="360" w:lineRule="auto"/>
        <w:rPr>
          <w:rFonts w:ascii="宋体" w:hAnsi="宋体" w:hint="eastAsia"/>
          <w:b/>
          <w:bCs/>
          <w:szCs w:val="21"/>
        </w:rPr>
      </w:pPr>
      <w:r>
        <w:rPr>
          <w:rFonts w:ascii="宋体" w:hAnsi="宋体" w:hint="eastAsia"/>
          <w:b/>
          <w:bCs/>
          <w:szCs w:val="21"/>
        </w:rPr>
        <w:t>第五章：固定资产</w:t>
      </w:r>
      <w:r>
        <w:rPr>
          <w:rFonts w:ascii="宋体" w:hAnsi="宋体" w:hint="eastAsia"/>
          <w:b/>
          <w:bCs/>
          <w:szCs w:val="21"/>
          <w:lang w:eastAsia="zh-CN"/>
        </w:rPr>
        <w:t>管理管控</w:t>
      </w:r>
    </w:p>
    <w:p>
      <w:pPr>
        <w:pStyle w:val="BodyText"/>
        <w:ind w:left="420" w:hanging="420" w:hangingChars="200"/>
        <w:rPr>
          <w:rFonts w:ascii="宋体" w:hAnsi="宋体" w:hint="eastAsia"/>
          <w:sz w:val="21"/>
          <w:szCs w:val="21"/>
        </w:rPr>
        <w:sectPr>
          <w:headerReference w:type="default" r:id="rId9"/>
          <w:footerReference w:type="default" r:id="rId10"/>
          <w:type w:val="nextPage"/>
          <w:pgSz w:w="11906" w:h="16838"/>
          <w:pgMar w:top="851" w:right="1466" w:bottom="1077" w:left="1800" w:header="720" w:footer="720" w:gutter="0"/>
          <w:pgNumType w:start="3"/>
          <w:cols w:num="1" w:space="720"/>
          <w:titlePg w:val="0"/>
          <w:docGrid w:type="lines" w:linePitch="312" w:charSpace="0"/>
        </w:sectPr>
      </w:pPr>
    </w:p>
    <w:p>
      <w:pPr>
        <w:pStyle w:val="BodyText"/>
        <w:ind w:left="420" w:hanging="420" w:hangingChars="200"/>
        <w:rPr>
          <w:rFonts w:ascii="宋体" w:hAnsi="宋体" w:hint="eastAsia"/>
          <w:sz w:val="21"/>
          <w:szCs w:val="21"/>
        </w:rPr>
      </w:pPr>
      <w:r>
        <w:rPr>
          <w:rFonts w:ascii="宋体" w:hAnsi="宋体" w:hint="eastAsia"/>
          <w:sz w:val="21"/>
          <w:szCs w:val="21"/>
        </w:rPr>
        <w:t>第二十五条：固定资产按国家法律规定的标准，按酒店的具体规定执行。酒店固定资产是指：单位价值在2000元以上，使用期限超过1年，且在使用过程中保持原有实物形态的资产。包括房屋、建筑物、机械动力设备、电器及音响设备、电脑系统、贵重家具、娱乐设施设备、厨房设施设备、运输工具以及其它与生产经营有关的设备、器具、工具等。</w:t>
      </w:r>
    </w:p>
    <w:p>
      <w:pPr>
        <w:pStyle w:val="Normal0"/>
        <w:spacing w:line="360" w:lineRule="auto"/>
        <w:rPr>
          <w:rFonts w:ascii="宋体" w:hAnsi="宋体" w:hint="eastAsia"/>
          <w:bCs/>
          <w:szCs w:val="21"/>
        </w:rPr>
      </w:pPr>
      <w:r>
        <w:rPr>
          <w:rFonts w:ascii="宋体" w:hAnsi="宋体" w:hint="eastAsia"/>
          <w:bCs/>
          <w:szCs w:val="21"/>
        </w:rPr>
        <w:t>第二十六条：固定资产按取得时的实际成本计价。</w:t>
      </w:r>
    </w:p>
    <w:p>
      <w:pPr>
        <w:pStyle w:val="Normal0"/>
        <w:numPr>
          <w:ilvl w:val="0"/>
          <w:numId w:val="57"/>
        </w:numPr>
        <w:tabs>
          <w:tab w:val="left" w:pos="3795"/>
        </w:tabs>
        <w:spacing w:line="360" w:lineRule="auto"/>
        <w:rPr>
          <w:rFonts w:ascii="宋体" w:hAnsi="宋体" w:hint="eastAsia"/>
          <w:szCs w:val="21"/>
        </w:rPr>
      </w:pPr>
      <w:r>
        <w:rPr>
          <w:rFonts w:ascii="宋体" w:hAnsi="宋体" w:hint="eastAsia"/>
          <w:szCs w:val="21"/>
        </w:rPr>
        <w:t>购入不需安装的固定资产，按实际支付的买价、运费、相关税费入账。</w:t>
      </w:r>
    </w:p>
    <w:p>
      <w:pPr>
        <w:pStyle w:val="Normal0"/>
        <w:numPr>
          <w:ilvl w:val="0"/>
          <w:numId w:val="57"/>
        </w:numPr>
        <w:tabs>
          <w:tab w:val="left" w:pos="3795"/>
        </w:tabs>
        <w:spacing w:line="360" w:lineRule="auto"/>
        <w:rPr>
          <w:rFonts w:ascii="宋体" w:hAnsi="宋体" w:hint="eastAsia"/>
          <w:szCs w:val="21"/>
        </w:rPr>
      </w:pPr>
      <w:r>
        <w:rPr>
          <w:rFonts w:ascii="宋体" w:hAnsi="宋体" w:hint="eastAsia"/>
          <w:szCs w:val="21"/>
        </w:rPr>
        <w:t>购入需要安装的固定资产，按实际支付的买价、运费、相关税费及支付的安装调试费入账。</w:t>
      </w:r>
    </w:p>
    <w:p>
      <w:pPr>
        <w:pStyle w:val="Normal0"/>
        <w:numPr>
          <w:ilvl w:val="0"/>
          <w:numId w:val="57"/>
        </w:numPr>
        <w:tabs>
          <w:tab w:val="left" w:pos="3795"/>
        </w:tabs>
        <w:spacing w:line="360" w:lineRule="auto"/>
        <w:rPr>
          <w:rFonts w:ascii="宋体" w:hAnsi="宋体" w:hint="eastAsia"/>
          <w:szCs w:val="21"/>
        </w:rPr>
      </w:pPr>
      <w:r>
        <w:rPr>
          <w:rFonts w:ascii="宋体" w:hAnsi="宋体" w:hint="eastAsia"/>
          <w:szCs w:val="21"/>
        </w:rPr>
        <w:t>投资转入的固定资产，按投资各方协议的价格入账。</w:t>
      </w:r>
    </w:p>
    <w:p>
      <w:pPr>
        <w:pStyle w:val="Normal0"/>
        <w:numPr>
          <w:ilvl w:val="0"/>
          <w:numId w:val="57"/>
        </w:numPr>
        <w:tabs>
          <w:tab w:val="left" w:pos="3795"/>
        </w:tabs>
        <w:spacing w:line="360" w:lineRule="auto"/>
        <w:rPr>
          <w:rFonts w:ascii="宋体" w:hAnsi="宋体" w:hint="eastAsia"/>
          <w:szCs w:val="21"/>
        </w:rPr>
      </w:pPr>
      <w:r>
        <w:rPr>
          <w:rFonts w:ascii="宋体" w:hAnsi="宋体" w:hint="eastAsia"/>
          <w:szCs w:val="21"/>
        </w:rPr>
        <w:t>捐赠者捐赠的固定资产，按捐赠者提供的发货票和由企业负担的各项费用入账。未提供发货票和有关价值的，按市场价值加上由企业负担的各项费用减去该项资产的新旧程度确定的折旧价值的余额入账。</w:t>
      </w:r>
    </w:p>
    <w:p>
      <w:pPr>
        <w:pStyle w:val="Normal0"/>
        <w:numPr>
          <w:ilvl w:val="0"/>
          <w:numId w:val="57"/>
        </w:numPr>
        <w:tabs>
          <w:tab w:val="left" w:pos="3795"/>
        </w:tabs>
        <w:spacing w:line="360" w:lineRule="auto"/>
        <w:rPr>
          <w:rFonts w:ascii="宋体" w:hAnsi="宋体" w:hint="eastAsia"/>
          <w:szCs w:val="21"/>
        </w:rPr>
      </w:pPr>
      <w:r>
        <w:rPr>
          <w:rFonts w:ascii="宋体" w:hAnsi="宋体" w:hint="eastAsia"/>
          <w:szCs w:val="21"/>
        </w:rPr>
        <w:t>盘盈的固定资产，按同类或类似固定资产的市场价格，减去按该项资产的新旧程度估计的价值损耗后的余值确定入账价值。</w:t>
      </w:r>
    </w:p>
    <w:p>
      <w:pPr>
        <w:pStyle w:val="Normal0"/>
        <w:numPr>
          <w:ilvl w:val="0"/>
          <w:numId w:val="57"/>
        </w:numPr>
        <w:tabs>
          <w:tab w:val="left" w:pos="3795"/>
        </w:tabs>
        <w:spacing w:line="360" w:lineRule="auto"/>
        <w:rPr>
          <w:rFonts w:ascii="宋体" w:hAnsi="宋体" w:hint="eastAsia"/>
          <w:szCs w:val="21"/>
        </w:rPr>
      </w:pPr>
      <w:r>
        <w:rPr>
          <w:rFonts w:ascii="宋体" w:hAnsi="宋体" w:hint="eastAsia"/>
          <w:szCs w:val="21"/>
        </w:rPr>
        <w:t>为固定资产的购建发生的专用借款，按借款费用资本化的有关规定计入资产价值。</w:t>
      </w:r>
    </w:p>
    <w:p>
      <w:pPr>
        <w:pStyle w:val="Normal0"/>
        <w:spacing w:line="360" w:lineRule="auto"/>
        <w:ind w:left="420" w:hanging="420" w:hangingChars="200"/>
        <w:rPr>
          <w:rFonts w:ascii="宋体" w:hAnsi="宋体" w:hint="eastAsia"/>
          <w:bCs/>
          <w:szCs w:val="21"/>
        </w:rPr>
      </w:pPr>
      <w:r>
        <w:rPr>
          <w:rFonts w:ascii="宋体" w:hAnsi="宋体" w:hint="eastAsia"/>
          <w:bCs/>
          <w:szCs w:val="21"/>
        </w:rPr>
        <w:t>第二十七条：固定资产按月计提折旧，折旧费用计入当期损益。酒店固定资产折旧采用平均年限法。</w:t>
      </w:r>
    </w:p>
    <w:p>
      <w:pPr>
        <w:pStyle w:val="Normal0"/>
        <w:tabs>
          <w:tab w:val="left" w:pos="3795"/>
        </w:tabs>
        <w:spacing w:line="360" w:lineRule="auto"/>
        <w:ind w:firstLine="735" w:firstLineChars="350"/>
        <w:rPr>
          <w:rFonts w:ascii="宋体" w:hAnsi="宋体" w:hint="eastAsia"/>
          <w:szCs w:val="21"/>
        </w:rPr>
      </w:pPr>
      <w:r>
        <w:rPr>
          <w:rFonts w:ascii="宋体" w:hAnsi="宋体" w:hint="eastAsia"/>
          <w:bCs/>
          <w:szCs w:val="21"/>
        </w:rPr>
        <w:t xml:space="preserve"> </w:t>
      </w:r>
      <w:r>
        <w:rPr>
          <w:rFonts w:ascii="宋体" w:hAnsi="宋体" w:hint="eastAsia"/>
          <w:szCs w:val="21"/>
        </w:rPr>
        <w:t>平均年限法的折旧率和折旧额的计算公式：</w:t>
      </w:r>
    </w:p>
    <w:p>
      <w:pPr>
        <w:pStyle w:val="NormalWeb"/>
        <w:spacing w:before="0" w:beforeAutospacing="0" w:after="0" w:afterAutospacing="0" w:line="360" w:lineRule="auto"/>
        <w:ind w:left="420"/>
        <w:rPr>
          <w:rFonts w:ascii="宋体" w:eastAsia="宋体" w:hAnsi="宋体" w:hint="eastAsia"/>
          <w:sz w:val="21"/>
          <w:szCs w:val="21"/>
        </w:rPr>
      </w:pPr>
      <w:r>
        <w:rPr>
          <w:rFonts w:ascii="宋体" w:eastAsia="宋体" w:hAnsi="宋体" w:hint="eastAsia"/>
          <w:sz w:val="21"/>
          <w:szCs w:val="21"/>
        </w:rPr>
        <w:t xml:space="preserve">    年折旧率＝（１－预计净残值率）／折旧年限</w:t>
      </w:r>
    </w:p>
    <w:p>
      <w:pPr>
        <w:pStyle w:val="NormalWeb"/>
        <w:spacing w:before="0" w:beforeAutospacing="0" w:after="0" w:afterAutospacing="0" w:line="360" w:lineRule="auto"/>
        <w:ind w:left="420" w:firstLine="420" w:leftChars="200" w:firstLineChars="200"/>
        <w:rPr>
          <w:rFonts w:ascii="宋体" w:eastAsia="宋体" w:hAnsi="宋体" w:hint="eastAsia"/>
          <w:sz w:val="21"/>
          <w:szCs w:val="21"/>
        </w:rPr>
      </w:pPr>
      <w:r>
        <w:rPr>
          <w:rFonts w:ascii="宋体" w:eastAsia="宋体" w:hAnsi="宋体" w:hint="eastAsia"/>
          <w:sz w:val="21"/>
          <w:szCs w:val="21"/>
        </w:rPr>
        <w:t>月折旧率＝年折旧率÷１２</w:t>
      </w:r>
    </w:p>
    <w:p>
      <w:pPr>
        <w:pStyle w:val="NormalWeb"/>
        <w:spacing w:before="0" w:beforeAutospacing="0" w:after="0" w:afterAutospacing="0" w:line="360" w:lineRule="auto"/>
        <w:ind w:left="420" w:firstLine="420" w:leftChars="200" w:firstLineChars="200"/>
        <w:rPr>
          <w:rFonts w:ascii="宋体" w:eastAsia="宋体" w:hAnsi="宋体" w:hint="eastAsia"/>
          <w:sz w:val="21"/>
          <w:szCs w:val="21"/>
        </w:rPr>
      </w:pPr>
      <w:r>
        <w:rPr>
          <w:rFonts w:ascii="宋体" w:eastAsia="宋体" w:hAnsi="宋体" w:hint="eastAsia"/>
          <w:sz w:val="21"/>
          <w:szCs w:val="21"/>
        </w:rPr>
        <w:t>月折旧额＝固定资产原值×月折旧率</w:t>
      </w:r>
    </w:p>
    <w:p>
      <w:pPr>
        <w:pStyle w:val="Normal0"/>
        <w:tabs>
          <w:tab w:val="left" w:pos="3795"/>
        </w:tabs>
        <w:spacing w:line="360" w:lineRule="auto"/>
        <w:ind w:left="420" w:hanging="420" w:hangingChars="200"/>
        <w:rPr>
          <w:rFonts w:ascii="宋体" w:hAnsi="宋体" w:hint="eastAsia"/>
          <w:szCs w:val="21"/>
        </w:rPr>
      </w:pPr>
      <w:r>
        <w:rPr>
          <w:rFonts w:ascii="宋体" w:hAnsi="宋体" w:hint="eastAsia"/>
          <w:szCs w:val="21"/>
        </w:rPr>
        <w:t>第二十八条：净残值率按固定资产原值的３％确定；房屋装修列入固定资产的不计残值；地毯不计残值。</w:t>
      </w:r>
    </w:p>
    <w:p>
      <w:pPr>
        <w:pStyle w:val="Normal0"/>
        <w:spacing w:line="360" w:lineRule="auto"/>
        <w:rPr>
          <w:rFonts w:ascii="宋体" w:hAnsi="宋体" w:hint="eastAsia"/>
          <w:bCs/>
          <w:szCs w:val="21"/>
        </w:rPr>
      </w:pPr>
      <w:r>
        <w:rPr>
          <w:rFonts w:ascii="宋体" w:hAnsi="宋体" w:hint="eastAsia"/>
          <w:bCs/>
          <w:szCs w:val="21"/>
        </w:rPr>
        <w:t>第二十九条：计提折旧须遵循以下原则：</w:t>
      </w:r>
    </w:p>
    <w:p>
      <w:pPr>
        <w:pStyle w:val="Normal0"/>
        <w:numPr>
          <w:ilvl w:val="0"/>
          <w:numId w:val="4"/>
        </w:numPr>
        <w:tabs>
          <w:tab w:val="left" w:pos="3795"/>
        </w:tabs>
        <w:spacing w:line="360" w:lineRule="auto"/>
        <w:rPr>
          <w:rFonts w:ascii="宋体" w:hAnsi="宋体" w:hint="eastAsia"/>
          <w:szCs w:val="21"/>
        </w:rPr>
      </w:pPr>
      <w:r>
        <w:rPr>
          <w:rFonts w:ascii="宋体" w:hAnsi="宋体" w:hint="eastAsia"/>
          <w:szCs w:val="21"/>
        </w:rPr>
        <w:t>当月入账的固定资产，当月不提折旧，自次月起计提折旧。</w:t>
      </w:r>
    </w:p>
    <w:p>
      <w:pPr>
        <w:pStyle w:val="Normal0"/>
        <w:numPr>
          <w:ilvl w:val="0"/>
          <w:numId w:val="4"/>
        </w:numPr>
        <w:tabs>
          <w:tab w:val="left" w:pos="3795"/>
        </w:tabs>
        <w:spacing w:line="360" w:lineRule="auto"/>
        <w:rPr>
          <w:rFonts w:ascii="宋体" w:hAnsi="宋体" w:hint="eastAsia"/>
          <w:szCs w:val="21"/>
        </w:rPr>
      </w:pPr>
      <w:r>
        <w:rPr>
          <w:rFonts w:ascii="宋体" w:hAnsi="宋体" w:hint="eastAsia"/>
          <w:szCs w:val="21"/>
        </w:rPr>
        <w:t>当月转出的固定资产，当月照提折旧。</w:t>
      </w:r>
    </w:p>
    <w:p>
      <w:pPr>
        <w:pStyle w:val="Normal0"/>
        <w:numPr>
          <w:ilvl w:val="0"/>
          <w:numId w:val="4"/>
        </w:numPr>
        <w:tabs>
          <w:tab w:val="left" w:pos="3795"/>
        </w:tabs>
        <w:spacing w:line="360" w:lineRule="auto"/>
        <w:rPr>
          <w:rFonts w:ascii="宋体" w:hAnsi="宋体" w:hint="eastAsia"/>
          <w:szCs w:val="21"/>
        </w:rPr>
      </w:pPr>
      <w:r>
        <w:rPr>
          <w:rFonts w:ascii="宋体" w:hAnsi="宋体" w:hint="eastAsia"/>
          <w:szCs w:val="21"/>
        </w:rPr>
        <w:t>已提足折旧的固定资产，如能继续使用的，不再计提折旧。</w:t>
      </w:r>
    </w:p>
    <w:p>
      <w:pPr>
        <w:pStyle w:val="Normal0"/>
        <w:numPr>
          <w:ilvl w:val="0"/>
          <w:numId w:val="4"/>
        </w:numPr>
        <w:tabs>
          <w:tab w:val="left" w:pos="3795"/>
        </w:tabs>
        <w:spacing w:line="360" w:lineRule="auto"/>
        <w:rPr>
          <w:rFonts w:ascii="宋体" w:hAnsi="宋体" w:hint="eastAsia"/>
          <w:szCs w:val="21"/>
        </w:rPr>
      </w:pPr>
      <w:r>
        <w:rPr>
          <w:rFonts w:ascii="宋体" w:hAnsi="宋体" w:hint="eastAsia"/>
          <w:szCs w:val="21"/>
        </w:rPr>
        <w:t>以经营方式租入的固定资产不提折旧。</w:t>
      </w:r>
    </w:p>
    <w:p>
      <w:pPr>
        <w:pStyle w:val="Normal0"/>
        <w:numPr>
          <w:ilvl w:val="0"/>
          <w:numId w:val="4"/>
        </w:numPr>
        <w:tabs>
          <w:tab w:val="left" w:pos="3795"/>
        </w:tabs>
        <w:spacing w:line="360" w:lineRule="auto"/>
        <w:rPr>
          <w:rFonts w:ascii="宋体" w:hAnsi="宋体" w:hint="eastAsia"/>
          <w:szCs w:val="21"/>
        </w:rPr>
      </w:pPr>
      <w:r>
        <w:rPr>
          <w:rFonts w:ascii="宋体" w:hAnsi="宋体" w:hint="eastAsia"/>
          <w:szCs w:val="21"/>
        </w:rPr>
        <w:t>按规定单独估价作为固定资产入账的土地不提折旧。</w:t>
      </w:r>
    </w:p>
    <w:p>
      <w:pPr>
        <w:pStyle w:val="Normal0"/>
        <w:numPr>
          <w:ilvl w:val="0"/>
          <w:numId w:val="4"/>
        </w:numPr>
        <w:tabs>
          <w:tab w:val="left" w:pos="3795"/>
        </w:tabs>
        <w:spacing w:line="360" w:lineRule="auto"/>
        <w:rPr>
          <w:rFonts w:ascii="宋体" w:hAnsi="宋体" w:hint="eastAsia"/>
          <w:szCs w:val="21"/>
        </w:rPr>
        <w:sectPr>
          <w:headerReference w:type="default" r:id="rId11"/>
          <w:footerReference w:type="default" r:id="rId12"/>
          <w:type w:val="nextPage"/>
          <w:pgSz w:w="11906" w:h="16838"/>
          <w:pgMar w:top="851" w:right="1466" w:bottom="1077" w:left="1800" w:header="720" w:footer="720" w:gutter="0"/>
          <w:pgNumType w:start="4"/>
          <w:cols w:num="1" w:space="720"/>
          <w:titlePg w:val="0"/>
          <w:docGrid w:type="lines" w:linePitch="312" w:charSpace="0"/>
        </w:sectPr>
      </w:pPr>
      <w:r>
        <w:rPr>
          <w:rFonts w:ascii="宋体" w:hAnsi="宋体" w:hint="eastAsia"/>
          <w:szCs w:val="21"/>
        </w:rPr>
        <w:t>房屋、建筑物以外的未使用、不需用的固定资产。</w:t>
      </w:r>
    </w:p>
    <w:p>
      <w:pPr>
        <w:pStyle w:val="Normal0"/>
        <w:tabs>
          <w:tab w:val="left" w:pos="3795"/>
        </w:tabs>
        <w:spacing w:line="360" w:lineRule="auto"/>
        <w:rPr>
          <w:rFonts w:ascii="宋体" w:hAnsi="宋体" w:hint="eastAsia"/>
          <w:szCs w:val="21"/>
        </w:rPr>
      </w:pPr>
      <w:r>
        <w:rPr>
          <w:rFonts w:ascii="宋体" w:hAnsi="宋体" w:hint="eastAsia"/>
          <w:szCs w:val="21"/>
        </w:rPr>
        <w:t>第三十条：固定资产的分类和折旧年限：</w:t>
      </w:r>
    </w:p>
    <w:p>
      <w:pPr>
        <w:pStyle w:val="Normal0"/>
        <w:tabs>
          <w:tab w:val="left" w:pos="3795"/>
        </w:tabs>
        <w:spacing w:line="360" w:lineRule="auto"/>
        <w:rPr>
          <w:rFonts w:ascii="宋体" w:hAnsi="宋体" w:hint="eastAsia"/>
          <w:b/>
          <w:szCs w:val="21"/>
        </w:rPr>
      </w:pPr>
      <w:r>
        <w:rPr>
          <w:rFonts w:ascii="宋体" w:hAnsi="宋体" w:hint="eastAsia"/>
          <w:szCs w:val="21"/>
        </w:rPr>
        <w:t xml:space="preserve">         </w:t>
      </w:r>
      <w:r>
        <w:rPr>
          <w:rFonts w:ascii="宋体" w:hAnsi="宋体" w:hint="eastAsia"/>
          <w:b/>
          <w:szCs w:val="21"/>
        </w:rPr>
        <w:t>资产类别                      折旧年限</w:t>
      </w:r>
    </w:p>
    <w:p>
      <w:pPr>
        <w:pStyle w:val="Normal0"/>
        <w:tabs>
          <w:tab w:val="left" w:pos="3795"/>
        </w:tabs>
        <w:spacing w:line="360" w:lineRule="auto"/>
        <w:rPr>
          <w:rFonts w:ascii="宋体" w:hAnsi="宋体" w:hint="eastAsia"/>
          <w:szCs w:val="21"/>
        </w:rPr>
      </w:pPr>
      <w:r>
        <w:rPr>
          <w:rFonts w:ascii="宋体" w:hAnsi="宋体" w:hint="eastAsia"/>
          <w:szCs w:val="21"/>
        </w:rPr>
        <w:t xml:space="preserve">     一、房屋建筑物                    20-30年</w:t>
      </w:r>
    </w:p>
    <w:p>
      <w:pPr>
        <w:pStyle w:val="Normal0"/>
        <w:tabs>
          <w:tab w:val="left" w:pos="3795"/>
        </w:tabs>
        <w:spacing w:line="360" w:lineRule="auto"/>
        <w:rPr>
          <w:rFonts w:ascii="宋体" w:hAnsi="宋体" w:hint="eastAsia"/>
          <w:szCs w:val="21"/>
        </w:rPr>
      </w:pPr>
      <w:r>
        <w:rPr>
          <w:rFonts w:ascii="宋体" w:hAnsi="宋体" w:hint="eastAsia"/>
          <w:szCs w:val="21"/>
        </w:rPr>
        <w:t xml:space="preserve">     二、机械动力设备                  6-8年</w:t>
      </w:r>
    </w:p>
    <w:p>
      <w:pPr>
        <w:pStyle w:val="Normal0"/>
        <w:tabs>
          <w:tab w:val="left" w:pos="3795"/>
        </w:tabs>
        <w:spacing w:line="360" w:lineRule="auto"/>
        <w:rPr>
          <w:rFonts w:ascii="宋体" w:hAnsi="宋体" w:hint="eastAsia"/>
          <w:szCs w:val="21"/>
        </w:rPr>
      </w:pPr>
      <w:r>
        <w:rPr>
          <w:rFonts w:ascii="宋体" w:hAnsi="宋体" w:hint="eastAsia"/>
          <w:szCs w:val="21"/>
        </w:rPr>
        <w:t xml:space="preserve">     三、电器及音响设备                5年</w:t>
      </w:r>
    </w:p>
    <w:p>
      <w:pPr>
        <w:pStyle w:val="Normal0"/>
        <w:tabs>
          <w:tab w:val="left" w:pos="3795"/>
        </w:tabs>
        <w:spacing w:line="360" w:lineRule="auto"/>
        <w:rPr>
          <w:rFonts w:ascii="宋体" w:hAnsi="宋体" w:hint="eastAsia"/>
          <w:szCs w:val="21"/>
        </w:rPr>
      </w:pPr>
      <w:r>
        <w:rPr>
          <w:rFonts w:ascii="宋体" w:hAnsi="宋体" w:hint="eastAsia"/>
          <w:szCs w:val="21"/>
        </w:rPr>
        <w:t xml:space="preserve">     四、电脑系统                      5年</w:t>
      </w:r>
    </w:p>
    <w:p>
      <w:pPr>
        <w:pStyle w:val="Normal0"/>
        <w:tabs>
          <w:tab w:val="left" w:pos="3795"/>
        </w:tabs>
        <w:spacing w:line="360" w:lineRule="auto"/>
        <w:rPr>
          <w:rFonts w:ascii="宋体" w:hAnsi="宋体" w:hint="eastAsia"/>
          <w:szCs w:val="21"/>
        </w:rPr>
      </w:pPr>
      <w:r>
        <w:rPr>
          <w:rFonts w:ascii="宋体" w:hAnsi="宋体" w:hint="eastAsia"/>
          <w:szCs w:val="21"/>
        </w:rPr>
        <w:t xml:space="preserve">     五、家具                          5年</w:t>
      </w:r>
    </w:p>
    <w:p>
      <w:pPr>
        <w:pStyle w:val="Normal0"/>
        <w:tabs>
          <w:tab w:val="left" w:pos="3795"/>
        </w:tabs>
        <w:spacing w:line="360" w:lineRule="auto"/>
        <w:rPr>
          <w:rFonts w:ascii="宋体" w:hAnsi="宋体" w:hint="eastAsia"/>
          <w:szCs w:val="21"/>
        </w:rPr>
      </w:pPr>
      <w:r>
        <w:rPr>
          <w:rFonts w:ascii="宋体" w:hAnsi="宋体" w:hint="eastAsia"/>
          <w:szCs w:val="21"/>
        </w:rPr>
        <w:t xml:space="preserve">     六、康娱设施、设备                5-6年</w:t>
      </w:r>
    </w:p>
    <w:p>
      <w:pPr>
        <w:pStyle w:val="Normal0"/>
        <w:tabs>
          <w:tab w:val="left" w:pos="3795"/>
        </w:tabs>
        <w:spacing w:line="360" w:lineRule="auto"/>
        <w:rPr>
          <w:rFonts w:ascii="宋体" w:hAnsi="宋体" w:hint="eastAsia"/>
          <w:szCs w:val="21"/>
        </w:rPr>
      </w:pPr>
      <w:r>
        <w:rPr>
          <w:rFonts w:ascii="宋体" w:hAnsi="宋体" w:hint="eastAsia"/>
          <w:szCs w:val="21"/>
        </w:rPr>
        <w:t xml:space="preserve">     七、厨房设施、设备                5-6年</w:t>
      </w:r>
    </w:p>
    <w:p>
      <w:pPr>
        <w:pStyle w:val="Normal0"/>
        <w:tabs>
          <w:tab w:val="left" w:pos="3795"/>
        </w:tabs>
        <w:spacing w:line="360" w:lineRule="auto"/>
        <w:rPr>
          <w:rFonts w:ascii="宋体" w:hAnsi="宋体" w:hint="eastAsia"/>
          <w:szCs w:val="21"/>
        </w:rPr>
      </w:pPr>
      <w:r>
        <w:rPr>
          <w:rFonts w:ascii="宋体" w:hAnsi="宋体" w:hint="eastAsia"/>
          <w:szCs w:val="21"/>
        </w:rPr>
        <w:t xml:space="preserve">     八、运输工具                      5-8年</w:t>
      </w:r>
    </w:p>
    <w:p>
      <w:pPr>
        <w:pStyle w:val="Normal0"/>
        <w:tabs>
          <w:tab w:val="left" w:pos="3795"/>
        </w:tabs>
        <w:spacing w:line="360" w:lineRule="auto"/>
        <w:rPr>
          <w:rFonts w:ascii="宋体" w:hAnsi="宋体" w:hint="eastAsia"/>
          <w:szCs w:val="21"/>
        </w:rPr>
      </w:pPr>
      <w:r>
        <w:rPr>
          <w:rFonts w:ascii="宋体" w:hAnsi="宋体" w:hint="eastAsia"/>
          <w:szCs w:val="21"/>
        </w:rPr>
        <w:t xml:space="preserve">     九、地毯                          3-5年</w:t>
      </w:r>
    </w:p>
    <w:p>
      <w:pPr>
        <w:pStyle w:val="Normal0"/>
        <w:tabs>
          <w:tab w:val="left" w:pos="3795"/>
        </w:tabs>
        <w:spacing w:line="360" w:lineRule="auto"/>
        <w:rPr>
          <w:rFonts w:ascii="宋体" w:hAnsi="宋体" w:hint="eastAsia"/>
          <w:szCs w:val="21"/>
        </w:rPr>
      </w:pPr>
      <w:r>
        <w:rPr>
          <w:rFonts w:ascii="宋体" w:hAnsi="宋体" w:hint="eastAsia"/>
          <w:szCs w:val="21"/>
        </w:rPr>
        <w:t xml:space="preserve">     十、其他                          4-5年</w:t>
      </w:r>
    </w:p>
    <w:p>
      <w:pPr>
        <w:pStyle w:val="NormalWeb"/>
        <w:spacing w:before="0" w:beforeAutospacing="0" w:after="0" w:afterAutospacing="0" w:line="360" w:lineRule="auto"/>
        <w:ind w:left="420" w:hanging="420" w:hangingChars="200"/>
        <w:rPr>
          <w:rFonts w:ascii="宋体" w:eastAsia="宋体" w:hAnsi="宋体" w:hint="eastAsia"/>
          <w:sz w:val="21"/>
          <w:szCs w:val="21"/>
        </w:rPr>
      </w:pPr>
      <w:r>
        <w:rPr>
          <w:rFonts w:ascii="宋体" w:eastAsia="宋体" w:hAnsi="宋体" w:hint="eastAsia"/>
          <w:bCs/>
          <w:sz w:val="21"/>
          <w:szCs w:val="21"/>
        </w:rPr>
        <w:t>第三十一条：</w:t>
      </w:r>
      <w:r>
        <w:rPr>
          <w:rFonts w:ascii="宋体" w:eastAsia="宋体" w:hAnsi="宋体" w:hint="eastAsia"/>
          <w:sz w:val="21"/>
          <w:szCs w:val="21"/>
        </w:rPr>
        <w:t>折旧方法和折旧年限一经确定，不得随意变更。确需变更的，由酒店提出申请，报主管财政、税务机关批准。清产核资后折旧办法按有关规定执行。</w:t>
      </w:r>
    </w:p>
    <w:p>
      <w:pPr>
        <w:pStyle w:val="Normal0"/>
        <w:spacing w:line="360" w:lineRule="auto"/>
        <w:ind w:left="420" w:hanging="420" w:hangingChars="200"/>
        <w:rPr>
          <w:rFonts w:ascii="宋体" w:hAnsi="宋体" w:hint="eastAsia"/>
          <w:bCs/>
          <w:szCs w:val="21"/>
        </w:rPr>
      </w:pPr>
      <w:r>
        <w:rPr>
          <w:rFonts w:ascii="宋体" w:hAnsi="宋体" w:hint="eastAsia"/>
          <w:bCs/>
          <w:szCs w:val="21"/>
        </w:rPr>
        <w:t>第三十二条：固定资产应定期清查和盘点，对账实不符的应查明原因，按规定处理并作相应的账务调整。</w:t>
      </w:r>
    </w:p>
    <w:p>
      <w:pPr>
        <w:pStyle w:val="Normal0"/>
        <w:spacing w:line="360" w:lineRule="auto"/>
        <w:ind w:left="420" w:hanging="420" w:hangingChars="200"/>
        <w:rPr>
          <w:rFonts w:ascii="宋体" w:hAnsi="宋体" w:hint="eastAsia"/>
          <w:bCs/>
          <w:szCs w:val="21"/>
        </w:rPr>
      </w:pPr>
      <w:r>
        <w:rPr>
          <w:rFonts w:ascii="宋体" w:hAnsi="宋体" w:hint="eastAsia"/>
          <w:bCs/>
          <w:szCs w:val="21"/>
        </w:rPr>
        <w:t>第三十三条：固定资产实行分级建账、分级</w:t>
      </w:r>
      <w:r>
        <w:rPr>
          <w:rFonts w:ascii="宋体" w:hAnsi="宋体" w:hint="eastAsia"/>
          <w:bCs/>
          <w:szCs w:val="21"/>
          <w:lang w:eastAsia="zh-CN"/>
        </w:rPr>
        <w:t>管理管控</w:t>
      </w:r>
      <w:r>
        <w:rPr>
          <w:rFonts w:ascii="宋体" w:hAnsi="宋体" w:hint="eastAsia"/>
          <w:bCs/>
          <w:szCs w:val="21"/>
        </w:rPr>
        <w:t xml:space="preserve">、责任到人的原则，做到账实相符、账证相符、账账相符。 </w:t>
      </w:r>
    </w:p>
    <w:p>
      <w:pPr>
        <w:pStyle w:val="Normal0"/>
        <w:spacing w:line="360" w:lineRule="auto"/>
        <w:rPr>
          <w:rFonts w:ascii="宋体" w:hAnsi="宋体" w:hint="eastAsia"/>
          <w:b/>
          <w:bCs/>
          <w:szCs w:val="21"/>
        </w:rPr>
      </w:pPr>
      <w:r>
        <w:rPr>
          <w:rFonts w:ascii="宋体" w:hAnsi="宋体" w:hint="eastAsia"/>
          <w:b/>
          <w:bCs/>
          <w:szCs w:val="21"/>
        </w:rPr>
        <w:t>第六章：在建工程的</w:t>
      </w:r>
      <w:r>
        <w:rPr>
          <w:rFonts w:ascii="宋体" w:hAnsi="宋体" w:hint="eastAsia"/>
          <w:b/>
          <w:bCs/>
          <w:szCs w:val="21"/>
          <w:lang w:eastAsia="zh-CN"/>
        </w:rPr>
        <w:t>管理管控</w:t>
      </w:r>
    </w:p>
    <w:p>
      <w:pPr>
        <w:pStyle w:val="Normal0"/>
        <w:spacing w:line="360" w:lineRule="auto"/>
        <w:ind w:left="420" w:hanging="420" w:hangingChars="200"/>
        <w:rPr>
          <w:rFonts w:ascii="宋体" w:hAnsi="宋体" w:hint="eastAsia"/>
          <w:bCs/>
          <w:szCs w:val="21"/>
        </w:rPr>
      </w:pPr>
      <w:r>
        <w:rPr>
          <w:rFonts w:ascii="宋体" w:hAnsi="宋体" w:hint="eastAsia"/>
          <w:bCs/>
          <w:szCs w:val="21"/>
        </w:rPr>
        <w:t>第三十四条：</w:t>
      </w:r>
      <w:r>
        <w:rPr>
          <w:rFonts w:ascii="宋体" w:hAnsi="宋体" w:hint="eastAsia"/>
          <w:szCs w:val="21"/>
        </w:rPr>
        <w:t>在建工程按工程建设过程中发生的实际支出计价，工程中发生的残料收入，冲减在建工程成本。</w:t>
      </w:r>
    </w:p>
    <w:p>
      <w:pPr>
        <w:pStyle w:val="Normal0"/>
        <w:tabs>
          <w:tab w:val="left" w:pos="3795"/>
        </w:tabs>
        <w:spacing w:line="360" w:lineRule="auto"/>
        <w:ind w:left="420" w:hanging="420" w:hangingChars="200"/>
        <w:rPr>
          <w:rFonts w:ascii="宋体" w:hAnsi="宋体" w:hint="eastAsia"/>
          <w:szCs w:val="21"/>
        </w:rPr>
      </w:pPr>
      <w:r>
        <w:rPr>
          <w:rFonts w:ascii="宋体" w:hAnsi="宋体" w:hint="eastAsia"/>
          <w:szCs w:val="21"/>
        </w:rPr>
        <w:t>第三十五条：在建工程交付使用前，因试经营产生的收入或支出，不得计入工程成本。收入与支出的差额计入当期损益。</w:t>
      </w:r>
    </w:p>
    <w:p>
      <w:pPr>
        <w:pStyle w:val="Normal0"/>
        <w:tabs>
          <w:tab w:val="left" w:pos="3795"/>
        </w:tabs>
        <w:spacing w:line="360" w:lineRule="auto"/>
        <w:ind w:left="420" w:hanging="420" w:hangingChars="200"/>
        <w:rPr>
          <w:rFonts w:ascii="宋体" w:hAnsi="宋体" w:hint="eastAsia"/>
          <w:szCs w:val="21"/>
        </w:rPr>
      </w:pPr>
      <w:r>
        <w:rPr>
          <w:rFonts w:ascii="宋体" w:hAnsi="宋体" w:hint="eastAsia"/>
          <w:szCs w:val="21"/>
        </w:rPr>
        <w:t>第三十六条：已交付使用，但尚未办理竣工决算手续的，按工程预算造价或工程成本资料估算转入固定资产，并计提折旧。待决算完毕后，按实际数调整原暂估价值及折旧。</w:t>
      </w:r>
    </w:p>
    <w:p>
      <w:pPr>
        <w:pStyle w:val="Normal0"/>
        <w:tabs>
          <w:tab w:val="left" w:pos="3795"/>
        </w:tabs>
        <w:spacing w:line="360" w:lineRule="auto"/>
        <w:ind w:left="420" w:hanging="420" w:hangingChars="200"/>
        <w:rPr>
          <w:rFonts w:ascii="宋体" w:hAnsi="宋体" w:hint="eastAsia"/>
          <w:szCs w:val="21"/>
        </w:rPr>
      </w:pPr>
      <w:r>
        <w:rPr>
          <w:rFonts w:ascii="宋体" w:hAnsi="宋体" w:hint="eastAsia"/>
          <w:szCs w:val="21"/>
        </w:rPr>
        <w:t>第三十七条：发生的工程</w:t>
      </w:r>
      <w:r>
        <w:rPr>
          <w:rFonts w:ascii="宋体" w:hAnsi="宋体" w:hint="eastAsia"/>
          <w:szCs w:val="21"/>
          <w:lang w:eastAsia="zh-CN"/>
        </w:rPr>
        <w:t>相关项目</w:t>
      </w:r>
      <w:r>
        <w:rPr>
          <w:rFonts w:ascii="宋体" w:hAnsi="宋体" w:hint="eastAsia"/>
          <w:szCs w:val="21"/>
        </w:rPr>
        <w:t>的借款利息，在资产尚未交付使用前，按借款费用资本化的规定计入工程成本。</w:t>
      </w:r>
    </w:p>
    <w:p>
      <w:pPr>
        <w:pStyle w:val="Normal0"/>
        <w:tabs>
          <w:tab w:val="left" w:pos="3795"/>
        </w:tabs>
        <w:spacing w:line="360" w:lineRule="auto"/>
        <w:ind w:left="420" w:hanging="420" w:hangingChars="200"/>
        <w:rPr>
          <w:rFonts w:ascii="宋体" w:hAnsi="宋体" w:hint="eastAsia"/>
          <w:szCs w:val="21"/>
        </w:rPr>
        <w:sectPr>
          <w:headerReference w:type="default" r:id="rId13"/>
          <w:footerReference w:type="default" r:id="rId14"/>
          <w:type w:val="nextPage"/>
          <w:pgSz w:w="11906" w:h="16838"/>
          <w:pgMar w:top="851" w:right="1466" w:bottom="1077" w:left="1800" w:header="720" w:footer="720" w:gutter="0"/>
          <w:pgNumType w:start="5"/>
          <w:cols w:num="1" w:space="720"/>
          <w:titlePg w:val="0"/>
          <w:docGrid w:type="lines" w:linePitch="312" w:charSpace="0"/>
        </w:sectPr>
      </w:pPr>
      <w:r>
        <w:rPr>
          <w:rFonts w:ascii="宋体" w:hAnsi="宋体" w:hint="eastAsia"/>
          <w:szCs w:val="21"/>
        </w:rPr>
        <w:t>第三十八条：在建工程发生报废或毁损的，在扣除残料价值和过失人或保险公司赔偿后的损失，计入施工工程成本。由于非常原因造成的损失，计入开办费。</w:t>
      </w:r>
    </w:p>
    <w:p>
      <w:pPr>
        <w:pStyle w:val="Normal0"/>
        <w:tabs>
          <w:tab w:val="left" w:pos="3795"/>
        </w:tabs>
        <w:spacing w:line="360" w:lineRule="auto"/>
        <w:rPr>
          <w:rFonts w:ascii="宋体" w:hAnsi="宋体" w:hint="eastAsia"/>
          <w:b/>
          <w:szCs w:val="21"/>
        </w:rPr>
      </w:pPr>
      <w:r>
        <w:rPr>
          <w:rFonts w:ascii="宋体" w:hAnsi="宋体" w:hint="eastAsia"/>
          <w:b/>
          <w:szCs w:val="21"/>
        </w:rPr>
        <w:t>第七章：无形资产及递延资产的</w:t>
      </w:r>
      <w:r>
        <w:rPr>
          <w:rFonts w:ascii="宋体" w:hAnsi="宋体" w:hint="eastAsia"/>
          <w:b/>
          <w:szCs w:val="21"/>
          <w:lang w:eastAsia="zh-CN"/>
        </w:rPr>
        <w:t>管理管控</w:t>
      </w:r>
    </w:p>
    <w:p>
      <w:pPr>
        <w:pStyle w:val="Normal0"/>
        <w:spacing w:line="360" w:lineRule="auto"/>
        <w:rPr>
          <w:rFonts w:ascii="宋体" w:hAnsi="宋体" w:hint="eastAsia"/>
          <w:bCs/>
          <w:szCs w:val="21"/>
        </w:rPr>
      </w:pPr>
      <w:r>
        <w:rPr>
          <w:rFonts w:ascii="宋体" w:hAnsi="宋体" w:hint="eastAsia"/>
          <w:bCs/>
          <w:szCs w:val="21"/>
        </w:rPr>
        <w:t>第三十九条：无形资产的</w:t>
      </w:r>
      <w:r>
        <w:rPr>
          <w:rFonts w:ascii="宋体" w:hAnsi="宋体" w:hint="eastAsia"/>
          <w:bCs/>
          <w:szCs w:val="21"/>
          <w:lang w:eastAsia="zh-CN"/>
        </w:rPr>
        <w:t>管理管控</w:t>
      </w:r>
    </w:p>
    <w:p>
      <w:pPr>
        <w:pStyle w:val="Normal0"/>
        <w:numPr>
          <w:ilvl w:val="0"/>
          <w:numId w:val="58"/>
        </w:numPr>
        <w:tabs>
          <w:tab w:val="left" w:pos="3795"/>
        </w:tabs>
        <w:spacing w:line="360" w:lineRule="auto"/>
        <w:rPr>
          <w:rFonts w:ascii="宋体" w:hAnsi="宋体" w:hint="eastAsia"/>
          <w:szCs w:val="21"/>
        </w:rPr>
      </w:pPr>
      <w:r>
        <w:rPr>
          <w:rFonts w:ascii="宋体" w:hAnsi="宋体" w:hint="eastAsia"/>
          <w:szCs w:val="21"/>
        </w:rPr>
        <w:t>无形资产按取得时的实际成本入账或按市场同类价格评估确认的价值入账。</w:t>
      </w:r>
    </w:p>
    <w:p>
      <w:pPr>
        <w:pStyle w:val="Normal0"/>
        <w:numPr>
          <w:ilvl w:val="0"/>
          <w:numId w:val="58"/>
        </w:numPr>
        <w:tabs>
          <w:tab w:val="left" w:pos="3795"/>
        </w:tabs>
        <w:spacing w:line="360" w:lineRule="auto"/>
        <w:rPr>
          <w:rFonts w:ascii="宋体" w:hAnsi="宋体" w:hint="eastAsia"/>
          <w:szCs w:val="21"/>
        </w:rPr>
      </w:pPr>
      <w:r>
        <w:rPr>
          <w:rFonts w:ascii="宋体" w:hAnsi="宋体" w:hint="eastAsia"/>
          <w:szCs w:val="21"/>
        </w:rPr>
        <w:t>无形资产于取得当月起在受益期内平均摊销，计入</w:t>
      </w:r>
      <w:r>
        <w:rPr>
          <w:rFonts w:ascii="宋体" w:hAnsi="宋体" w:hint="eastAsia"/>
          <w:szCs w:val="21"/>
          <w:lang w:eastAsia="zh-CN"/>
        </w:rPr>
        <w:t>管理管控</w:t>
      </w:r>
      <w:r>
        <w:rPr>
          <w:rFonts w:ascii="宋体" w:hAnsi="宋体" w:hint="eastAsia"/>
          <w:szCs w:val="21"/>
        </w:rPr>
        <w:t>费用。</w:t>
      </w:r>
    </w:p>
    <w:p>
      <w:pPr>
        <w:pStyle w:val="Normal0"/>
        <w:numPr>
          <w:ilvl w:val="0"/>
          <w:numId w:val="58"/>
        </w:numPr>
        <w:tabs>
          <w:tab w:val="left" w:pos="3795"/>
        </w:tabs>
        <w:spacing w:line="360" w:lineRule="auto"/>
        <w:rPr>
          <w:rFonts w:ascii="宋体" w:hAnsi="宋体" w:hint="eastAsia"/>
          <w:szCs w:val="21"/>
        </w:rPr>
      </w:pPr>
      <w:r>
        <w:rPr>
          <w:rFonts w:ascii="宋体" w:hAnsi="宋体" w:hint="eastAsia"/>
          <w:szCs w:val="21"/>
        </w:rPr>
        <w:t>摊销期限一经确定，不得随意变更。确因经营环境变化需要变更的，应将该变更作为会计估计变更处理。</w:t>
      </w:r>
    </w:p>
    <w:p>
      <w:pPr>
        <w:pStyle w:val="Normal0"/>
        <w:numPr>
          <w:ilvl w:val="0"/>
          <w:numId w:val="58"/>
        </w:numPr>
        <w:tabs>
          <w:tab w:val="left" w:pos="3795"/>
        </w:tabs>
        <w:spacing w:line="360" w:lineRule="auto"/>
        <w:rPr>
          <w:rFonts w:ascii="宋体" w:hAnsi="宋体" w:hint="eastAsia"/>
          <w:szCs w:val="21"/>
        </w:rPr>
      </w:pPr>
      <w:r>
        <w:rPr>
          <w:rFonts w:ascii="宋体" w:hAnsi="宋体" w:hint="eastAsia"/>
          <w:szCs w:val="21"/>
        </w:rPr>
        <w:t>出售、转让无形资产，按实际收到的价款减去无形资产摊余价值后的余额计入营业外收入。</w:t>
      </w:r>
    </w:p>
    <w:p>
      <w:pPr>
        <w:pStyle w:val="Normal0"/>
        <w:numPr>
          <w:ilvl w:val="0"/>
          <w:numId w:val="58"/>
        </w:numPr>
        <w:tabs>
          <w:tab w:val="left" w:pos="3795"/>
        </w:tabs>
        <w:spacing w:line="360" w:lineRule="auto"/>
        <w:rPr>
          <w:rFonts w:ascii="宋体" w:hAnsi="宋体" w:hint="eastAsia"/>
          <w:szCs w:val="21"/>
        </w:rPr>
      </w:pPr>
      <w:r>
        <w:rPr>
          <w:rFonts w:ascii="宋体" w:hAnsi="宋体" w:hint="eastAsia"/>
          <w:szCs w:val="21"/>
        </w:rPr>
        <w:t>无形资产预期不能为酒店带来经济利益的，应将其余值一次性转销。</w:t>
      </w:r>
    </w:p>
    <w:p>
      <w:pPr>
        <w:pStyle w:val="Normal0"/>
        <w:spacing w:line="360" w:lineRule="auto"/>
        <w:rPr>
          <w:rFonts w:ascii="宋体" w:hAnsi="宋体" w:hint="eastAsia"/>
          <w:bCs/>
          <w:szCs w:val="21"/>
        </w:rPr>
      </w:pPr>
      <w:r>
        <w:rPr>
          <w:rFonts w:ascii="宋体" w:hAnsi="宋体" w:hint="eastAsia"/>
          <w:bCs/>
          <w:szCs w:val="21"/>
        </w:rPr>
        <w:t>第四十条：递延资产的</w:t>
      </w:r>
      <w:r>
        <w:rPr>
          <w:rFonts w:ascii="宋体" w:hAnsi="宋体" w:hint="eastAsia"/>
          <w:bCs/>
          <w:szCs w:val="21"/>
          <w:lang w:eastAsia="zh-CN"/>
        </w:rPr>
        <w:t>管理管控</w:t>
      </w:r>
    </w:p>
    <w:p>
      <w:pPr>
        <w:pStyle w:val="Normal0"/>
        <w:numPr>
          <w:ilvl w:val="0"/>
          <w:numId w:val="6"/>
        </w:numPr>
        <w:spacing w:line="360" w:lineRule="auto"/>
        <w:rPr>
          <w:rFonts w:ascii="宋体" w:hAnsi="宋体" w:hint="eastAsia"/>
          <w:szCs w:val="21"/>
        </w:rPr>
      </w:pPr>
      <w:r>
        <w:rPr>
          <w:rFonts w:ascii="宋体" w:hAnsi="宋体" w:hint="eastAsia"/>
          <w:szCs w:val="21"/>
        </w:rPr>
        <w:t>开办费：按国家会计政策规定，开办费应于企业开始经营的当月一次性摊入当期</w:t>
      </w:r>
      <w:r>
        <w:rPr>
          <w:rFonts w:ascii="宋体" w:hAnsi="宋体" w:hint="eastAsia"/>
          <w:szCs w:val="21"/>
          <w:lang w:eastAsia="zh-CN"/>
        </w:rPr>
        <w:t>管理管控</w:t>
      </w:r>
      <w:r>
        <w:rPr>
          <w:rFonts w:ascii="宋体" w:hAnsi="宋体" w:hint="eastAsia"/>
          <w:szCs w:val="21"/>
        </w:rPr>
        <w:t>费用。但根据本酒店的实际情况，开办费在酒店开始经营的当月起按不超过5年的期限平均摊销，计入</w:t>
      </w:r>
      <w:r>
        <w:rPr>
          <w:rFonts w:ascii="宋体" w:hAnsi="宋体" w:hint="eastAsia"/>
          <w:szCs w:val="21"/>
          <w:lang w:eastAsia="zh-CN"/>
        </w:rPr>
        <w:t>管理管控</w:t>
      </w:r>
      <w:r>
        <w:rPr>
          <w:rFonts w:ascii="宋体" w:hAnsi="宋体" w:hint="eastAsia"/>
          <w:szCs w:val="21"/>
        </w:rPr>
        <w:t>费用。</w:t>
      </w:r>
    </w:p>
    <w:p>
      <w:pPr>
        <w:pStyle w:val="Normal0"/>
        <w:numPr>
          <w:ilvl w:val="0"/>
          <w:numId w:val="6"/>
        </w:numPr>
        <w:spacing w:line="360" w:lineRule="auto"/>
        <w:rPr>
          <w:rFonts w:ascii="宋体" w:hAnsi="宋体" w:hint="eastAsia"/>
          <w:bCs/>
          <w:szCs w:val="21"/>
        </w:rPr>
      </w:pPr>
      <w:r>
        <w:rPr>
          <w:rFonts w:ascii="宋体" w:hAnsi="宋体" w:hint="eastAsia"/>
          <w:bCs/>
          <w:szCs w:val="21"/>
        </w:rPr>
        <w:t>长期待摊费用在其受益期内平均摊销。</w:t>
      </w:r>
    </w:p>
    <w:p>
      <w:pPr>
        <w:pStyle w:val="Normal0"/>
        <w:numPr>
          <w:ilvl w:val="0"/>
          <w:numId w:val="6"/>
        </w:numPr>
        <w:spacing w:line="360" w:lineRule="auto"/>
        <w:rPr>
          <w:rFonts w:ascii="宋体" w:hAnsi="宋体" w:hint="eastAsia"/>
          <w:bCs/>
          <w:szCs w:val="21"/>
        </w:rPr>
      </w:pPr>
      <w:r>
        <w:rPr>
          <w:rFonts w:ascii="宋体" w:hAnsi="宋体" w:hint="eastAsia"/>
          <w:szCs w:val="21"/>
        </w:rPr>
        <w:t>长期待摊费用的</w:t>
      </w:r>
      <w:r>
        <w:rPr>
          <w:rFonts w:ascii="宋体" w:hAnsi="宋体" w:hint="eastAsia"/>
          <w:szCs w:val="21"/>
          <w:lang w:eastAsia="zh-CN"/>
        </w:rPr>
        <w:t>相关项目</w:t>
      </w:r>
      <w:r>
        <w:rPr>
          <w:rFonts w:ascii="宋体" w:hAnsi="宋体" w:hint="eastAsia"/>
          <w:szCs w:val="21"/>
        </w:rPr>
        <w:t>不能使以后会计期间受益的，应将尚未摊销余值全部转入当期损益。</w:t>
      </w:r>
    </w:p>
    <w:p>
      <w:pPr>
        <w:pStyle w:val="Normal0"/>
        <w:tabs>
          <w:tab w:val="left" w:pos="3795"/>
        </w:tabs>
        <w:spacing w:line="360" w:lineRule="auto"/>
        <w:rPr>
          <w:rFonts w:ascii="宋体" w:hAnsi="宋体" w:hint="eastAsia"/>
          <w:b/>
          <w:szCs w:val="21"/>
        </w:rPr>
      </w:pPr>
      <w:r>
        <w:rPr>
          <w:rFonts w:ascii="宋体" w:hAnsi="宋体" w:hint="eastAsia"/>
          <w:b/>
          <w:szCs w:val="21"/>
        </w:rPr>
        <w:t>第八章：流动负债</w:t>
      </w:r>
      <w:r>
        <w:rPr>
          <w:rFonts w:ascii="宋体" w:hAnsi="宋体" w:hint="eastAsia"/>
          <w:b/>
          <w:szCs w:val="21"/>
          <w:lang w:eastAsia="zh-CN"/>
        </w:rPr>
        <w:t>管理管控</w:t>
      </w:r>
    </w:p>
    <w:p>
      <w:pPr>
        <w:pStyle w:val="BodyText"/>
        <w:tabs>
          <w:tab w:val="left" w:pos="3795"/>
        </w:tabs>
        <w:ind w:left="420" w:hanging="420" w:hangingChars="200"/>
        <w:rPr>
          <w:rFonts w:ascii="宋体" w:hAnsi="宋体" w:hint="eastAsia"/>
          <w:sz w:val="21"/>
          <w:szCs w:val="21"/>
        </w:rPr>
      </w:pPr>
      <w:r>
        <w:rPr>
          <w:rFonts w:ascii="宋体" w:hAnsi="宋体" w:hint="eastAsia"/>
          <w:sz w:val="21"/>
          <w:szCs w:val="21"/>
        </w:rPr>
        <w:t>第四十一条：流动负债是指将于一年内或超过一年的一个营业周期内偿还的债务，以及于一年内到期的长期债务。</w:t>
      </w:r>
    </w:p>
    <w:p>
      <w:pPr>
        <w:pStyle w:val="Normal0"/>
        <w:tabs>
          <w:tab w:val="left" w:pos="3795"/>
        </w:tabs>
        <w:spacing w:line="360" w:lineRule="auto"/>
        <w:rPr>
          <w:rFonts w:ascii="宋体" w:hAnsi="宋体" w:hint="eastAsia"/>
          <w:szCs w:val="21"/>
        </w:rPr>
      </w:pPr>
      <w:r>
        <w:rPr>
          <w:rFonts w:ascii="宋体" w:hAnsi="宋体" w:hint="eastAsia"/>
          <w:szCs w:val="21"/>
        </w:rPr>
        <w:t>第四十二条：流动负债以实际发生的业务凭证为依据，按实际发生额记账，按类别分明细核算。</w:t>
      </w:r>
    </w:p>
    <w:p>
      <w:pPr>
        <w:pStyle w:val="Normal0"/>
        <w:tabs>
          <w:tab w:val="left" w:pos="3795"/>
        </w:tabs>
        <w:spacing w:line="360" w:lineRule="auto"/>
        <w:ind w:left="735" w:hanging="315" w:leftChars="200" w:hangingChars="150"/>
        <w:rPr>
          <w:rFonts w:ascii="宋体" w:hAnsi="宋体" w:hint="eastAsia"/>
          <w:szCs w:val="21"/>
        </w:rPr>
      </w:pPr>
      <w:r>
        <w:rPr>
          <w:rFonts w:ascii="宋体" w:hAnsi="宋体" w:hint="eastAsia"/>
          <w:szCs w:val="21"/>
        </w:rPr>
        <w:t>1、短期借款，按实际发生额记账，产生之利息计入当期损益。</w:t>
      </w:r>
    </w:p>
    <w:p>
      <w:pPr>
        <w:pStyle w:val="Normal0"/>
        <w:tabs>
          <w:tab w:val="left" w:pos="3795"/>
        </w:tabs>
        <w:spacing w:line="360" w:lineRule="auto"/>
        <w:ind w:left="735" w:hanging="315" w:leftChars="200" w:hangingChars="150"/>
        <w:rPr>
          <w:rFonts w:ascii="宋体" w:hAnsi="宋体" w:hint="eastAsia"/>
          <w:szCs w:val="21"/>
        </w:rPr>
      </w:pPr>
      <w:r>
        <w:rPr>
          <w:rFonts w:ascii="宋体" w:hAnsi="宋体" w:hint="eastAsia"/>
          <w:szCs w:val="21"/>
        </w:rPr>
        <w:t>2、应付账款，酒店按相关业务流程，按实际发生之经济业务记账。应付账款分明细核算，支付应付账款时逐笔核销。</w:t>
      </w:r>
    </w:p>
    <w:p>
      <w:pPr>
        <w:pStyle w:val="Normal0"/>
        <w:tabs>
          <w:tab w:val="left" w:pos="3795"/>
        </w:tabs>
        <w:spacing w:line="360" w:lineRule="auto"/>
        <w:ind w:left="735" w:hanging="315" w:leftChars="200" w:hangingChars="150"/>
        <w:rPr>
          <w:rFonts w:ascii="宋体" w:hAnsi="宋体" w:hint="eastAsia"/>
          <w:szCs w:val="21"/>
        </w:rPr>
      </w:pPr>
      <w:r>
        <w:rPr>
          <w:rFonts w:ascii="宋体" w:hAnsi="宋体" w:hint="eastAsia"/>
          <w:szCs w:val="21"/>
        </w:rPr>
        <w:t>3、应交税金，反映酒店应交未交的各项税费。应交税金按实际营业情况按月预提，按期缴交。</w:t>
      </w:r>
    </w:p>
    <w:p>
      <w:pPr>
        <w:pStyle w:val="Normal0"/>
        <w:tabs>
          <w:tab w:val="left" w:pos="3795"/>
        </w:tabs>
        <w:spacing w:line="360" w:lineRule="auto"/>
        <w:ind w:left="735" w:hanging="315" w:leftChars="200" w:hangingChars="150"/>
        <w:rPr>
          <w:rFonts w:ascii="宋体" w:hAnsi="宋体" w:hint="eastAsia"/>
          <w:szCs w:val="21"/>
        </w:rPr>
      </w:pPr>
      <w:r>
        <w:rPr>
          <w:rFonts w:ascii="宋体" w:hAnsi="宋体" w:hint="eastAsia"/>
          <w:szCs w:val="21"/>
        </w:rPr>
        <w:t>4、应付工资，反映酒店应付未付给职工的工资、津贴、奖金及其他与工资有关的各项费用。该账户按月预提，按期支付。</w:t>
      </w:r>
    </w:p>
    <w:p>
      <w:pPr>
        <w:pStyle w:val="Normal0"/>
        <w:tabs>
          <w:tab w:val="left" w:pos="3795"/>
        </w:tabs>
        <w:spacing w:line="360" w:lineRule="auto"/>
        <w:ind w:left="735" w:hanging="315" w:leftChars="200" w:hangingChars="150"/>
        <w:rPr>
          <w:rFonts w:ascii="宋体" w:hAnsi="宋体" w:hint="eastAsia"/>
          <w:szCs w:val="21"/>
        </w:rPr>
        <w:sectPr>
          <w:headerReference w:type="default" r:id="rId15"/>
          <w:footerReference w:type="default" r:id="rId16"/>
          <w:type w:val="nextPage"/>
          <w:pgSz w:w="11906" w:h="16838"/>
          <w:pgMar w:top="851" w:right="1466" w:bottom="1077" w:left="1800" w:header="720" w:footer="720" w:gutter="0"/>
          <w:pgNumType w:start="6"/>
          <w:cols w:num="1" w:space="720"/>
          <w:titlePg w:val="0"/>
          <w:docGrid w:type="lines" w:linePitch="312" w:charSpace="0"/>
        </w:sectPr>
      </w:pPr>
      <w:r>
        <w:rPr>
          <w:rFonts w:ascii="宋体" w:hAnsi="宋体" w:hint="eastAsia"/>
          <w:szCs w:val="21"/>
        </w:rPr>
        <w:t>5、其他应付款，反映与酒店购销业务没有直接关系的应付、暂收款。该账户分明细核算，按实际发生的业务凭证记账。</w:t>
      </w:r>
    </w:p>
    <w:p>
      <w:pPr>
        <w:pStyle w:val="Normal0"/>
        <w:tabs>
          <w:tab w:val="left" w:pos="3795"/>
        </w:tabs>
        <w:spacing w:line="360" w:lineRule="auto"/>
        <w:rPr>
          <w:rFonts w:ascii="宋体" w:hAnsi="宋体" w:hint="eastAsia"/>
          <w:szCs w:val="21"/>
        </w:rPr>
      </w:pPr>
      <w:r>
        <w:rPr>
          <w:rFonts w:ascii="宋体" w:hAnsi="宋体" w:hint="eastAsia"/>
          <w:szCs w:val="21"/>
        </w:rPr>
        <w:t>第四十三条：流动负债应定期清理、按期结算，应付账款账户应定期与债权单位核对。</w:t>
      </w:r>
    </w:p>
    <w:p>
      <w:pPr>
        <w:pStyle w:val="Normal0"/>
        <w:tabs>
          <w:tab w:val="left" w:pos="3795"/>
        </w:tabs>
        <w:spacing w:line="360" w:lineRule="auto"/>
        <w:rPr>
          <w:rFonts w:ascii="宋体" w:hAnsi="宋体" w:hint="eastAsia"/>
          <w:b/>
          <w:szCs w:val="21"/>
        </w:rPr>
      </w:pPr>
      <w:r>
        <w:rPr>
          <w:rFonts w:ascii="宋体" w:hAnsi="宋体" w:hint="eastAsia"/>
          <w:b/>
          <w:szCs w:val="21"/>
        </w:rPr>
        <w:t>第九章：长期负债</w:t>
      </w:r>
      <w:r>
        <w:rPr>
          <w:rFonts w:ascii="宋体" w:hAnsi="宋体" w:hint="eastAsia"/>
          <w:b/>
          <w:szCs w:val="21"/>
          <w:lang w:eastAsia="zh-CN"/>
        </w:rPr>
        <w:t>管理管控</w:t>
      </w:r>
    </w:p>
    <w:p>
      <w:pPr>
        <w:pStyle w:val="Normal0"/>
        <w:tabs>
          <w:tab w:val="left" w:pos="3795"/>
        </w:tabs>
        <w:spacing w:line="360" w:lineRule="auto"/>
        <w:rPr>
          <w:rFonts w:ascii="宋体" w:hAnsi="宋体" w:hint="eastAsia"/>
          <w:szCs w:val="21"/>
        </w:rPr>
      </w:pPr>
      <w:r>
        <w:rPr>
          <w:rFonts w:ascii="宋体" w:hAnsi="宋体" w:hint="eastAsia"/>
          <w:szCs w:val="21"/>
        </w:rPr>
        <w:t>第四十四条：长期负债是指偿还期限在一年以上或超过一个营业周期以上的债务。</w:t>
      </w:r>
    </w:p>
    <w:p>
      <w:pPr>
        <w:pStyle w:val="Normal0"/>
        <w:tabs>
          <w:tab w:val="left" w:pos="3795"/>
        </w:tabs>
        <w:spacing w:line="360" w:lineRule="auto"/>
        <w:ind w:left="420" w:hanging="420" w:hangingChars="200"/>
        <w:rPr>
          <w:rFonts w:ascii="宋体" w:hAnsi="宋体" w:hint="eastAsia"/>
          <w:szCs w:val="21"/>
        </w:rPr>
      </w:pPr>
      <w:r>
        <w:rPr>
          <w:rFonts w:ascii="宋体" w:hAnsi="宋体" w:hint="eastAsia"/>
          <w:szCs w:val="21"/>
        </w:rPr>
        <w:t>第四十五条：长期负债以实际发生额记账。长期负债发生的应付利息、外币折算差额，均应与债务本金一并记入同一账户。</w:t>
      </w:r>
    </w:p>
    <w:p>
      <w:pPr>
        <w:pStyle w:val="Normal0"/>
        <w:tabs>
          <w:tab w:val="left" w:pos="3795"/>
        </w:tabs>
        <w:spacing w:line="360" w:lineRule="auto"/>
        <w:rPr>
          <w:rFonts w:ascii="宋体" w:hAnsi="宋体" w:hint="eastAsia"/>
          <w:szCs w:val="21"/>
        </w:rPr>
      </w:pPr>
      <w:r>
        <w:rPr>
          <w:rFonts w:ascii="宋体" w:hAnsi="宋体" w:hint="eastAsia"/>
          <w:szCs w:val="21"/>
        </w:rPr>
        <w:t>第四十六条：支付长期负债利息和结转汇兑差额时，冲减长期负债本金账户。</w:t>
      </w:r>
    </w:p>
    <w:p>
      <w:pPr>
        <w:pStyle w:val="Normal0"/>
        <w:tabs>
          <w:tab w:val="left" w:pos="3795"/>
        </w:tabs>
        <w:spacing w:line="360" w:lineRule="auto"/>
        <w:ind w:left="420" w:hanging="420" w:hangingChars="200"/>
        <w:rPr>
          <w:rFonts w:ascii="宋体" w:hAnsi="宋体" w:hint="eastAsia"/>
          <w:szCs w:val="21"/>
        </w:rPr>
      </w:pPr>
      <w:r>
        <w:rPr>
          <w:rFonts w:ascii="宋体" w:hAnsi="宋体" w:hint="eastAsia"/>
          <w:szCs w:val="21"/>
        </w:rPr>
        <w:t>第四十七条：长期负债分明细核算。将于一年内到期或一个营业周期内到期的长期负债，在会计报表中应作为流动负债反映。</w:t>
      </w:r>
    </w:p>
    <w:p>
      <w:pPr>
        <w:pStyle w:val="Normal0"/>
        <w:tabs>
          <w:tab w:val="left" w:pos="3795"/>
        </w:tabs>
        <w:spacing w:line="360" w:lineRule="auto"/>
        <w:rPr>
          <w:rFonts w:ascii="宋体" w:hAnsi="宋体" w:hint="eastAsia"/>
          <w:b/>
          <w:szCs w:val="21"/>
        </w:rPr>
      </w:pPr>
      <w:r>
        <w:rPr>
          <w:rFonts w:ascii="宋体" w:hAnsi="宋体" w:hint="eastAsia"/>
          <w:b/>
          <w:szCs w:val="21"/>
        </w:rPr>
        <w:t>第十章：所有者权益</w:t>
      </w:r>
    </w:p>
    <w:p>
      <w:pPr>
        <w:pStyle w:val="Normal0"/>
        <w:tabs>
          <w:tab w:val="left" w:pos="3795"/>
        </w:tabs>
        <w:spacing w:line="360" w:lineRule="auto"/>
        <w:ind w:left="420" w:hanging="420" w:hangingChars="200"/>
        <w:rPr>
          <w:rFonts w:ascii="宋体" w:hAnsi="宋体" w:hint="eastAsia"/>
          <w:szCs w:val="21"/>
        </w:rPr>
      </w:pPr>
      <w:r>
        <w:rPr>
          <w:rFonts w:ascii="宋体" w:hAnsi="宋体" w:hint="eastAsia"/>
          <w:szCs w:val="21"/>
        </w:rPr>
        <w:t>第四十八条：所有者权益是指投资者对酒店净资产享有的权利。包括实收资本（或股本）、资本公积和未分配利润。</w:t>
      </w:r>
    </w:p>
    <w:p>
      <w:pPr>
        <w:pStyle w:val="Normal0"/>
        <w:tabs>
          <w:tab w:val="left" w:pos="3795"/>
        </w:tabs>
        <w:spacing w:line="360" w:lineRule="auto"/>
        <w:ind w:left="735" w:hanging="315" w:leftChars="200" w:hangingChars="150"/>
        <w:rPr>
          <w:rFonts w:ascii="宋体" w:hAnsi="宋体" w:hint="eastAsia"/>
          <w:szCs w:val="21"/>
        </w:rPr>
      </w:pPr>
      <w:r>
        <w:rPr>
          <w:rFonts w:ascii="宋体" w:hAnsi="宋体" w:hint="eastAsia"/>
          <w:szCs w:val="21"/>
        </w:rPr>
        <w:t>1、实收资本（股本），是指酒店实际收到投资者投入的资本，酒店按实际收到投资金额入账，实收资本（股本）账户分明细核算。</w:t>
      </w:r>
    </w:p>
    <w:p>
      <w:pPr>
        <w:pStyle w:val="Normal0"/>
        <w:tabs>
          <w:tab w:val="left" w:pos="3795"/>
        </w:tabs>
        <w:spacing w:line="360" w:lineRule="auto"/>
        <w:ind w:left="735" w:hanging="315" w:leftChars="200" w:hangingChars="150"/>
        <w:rPr>
          <w:rFonts w:ascii="宋体" w:hAnsi="宋体" w:hint="eastAsia"/>
          <w:szCs w:val="21"/>
        </w:rPr>
      </w:pPr>
      <w:r>
        <w:rPr>
          <w:rFonts w:ascii="宋体" w:hAnsi="宋体" w:hint="eastAsia"/>
          <w:szCs w:val="21"/>
        </w:rPr>
        <w:t>2、资本公积，指酒店接受捐赠、资本溢价、法定财产重估增值或减值部份、资本折算差额等</w:t>
      </w:r>
      <w:r>
        <w:rPr>
          <w:rFonts w:ascii="宋体" w:hAnsi="宋体" w:hint="eastAsia"/>
          <w:szCs w:val="21"/>
          <w:lang w:eastAsia="zh-CN"/>
        </w:rPr>
        <w:t>合适的内容</w:t>
      </w:r>
      <w:r>
        <w:rPr>
          <w:rFonts w:ascii="宋体" w:hAnsi="宋体" w:hint="eastAsia"/>
          <w:szCs w:val="21"/>
        </w:rPr>
        <w:t>。酒店接受捐赠时，按捐赠方提供的发票及有关证明资产价值的文件确定价值；没有发票及证明文件的，按市场同类物资价格及资产的新旧程度确定其价值。</w:t>
      </w:r>
    </w:p>
    <w:p>
      <w:pPr>
        <w:pStyle w:val="Normal0"/>
        <w:tabs>
          <w:tab w:val="left" w:pos="3795"/>
        </w:tabs>
        <w:spacing w:line="360" w:lineRule="auto"/>
        <w:ind w:left="735" w:hanging="315" w:leftChars="200" w:hangingChars="150"/>
        <w:rPr>
          <w:rFonts w:ascii="宋体" w:hAnsi="宋体" w:hint="eastAsia"/>
          <w:szCs w:val="21"/>
        </w:rPr>
      </w:pPr>
      <w:r>
        <w:rPr>
          <w:rFonts w:ascii="宋体" w:hAnsi="宋体" w:hint="eastAsia"/>
          <w:szCs w:val="21"/>
        </w:rPr>
        <w:t>3、未分配利润，是指酒店实际税后利润尚未分配的部份。在利润分配账户下专设未分配利润明细账户核算。年度终了，进行利润分配后贷方余额为未分配利润，借方余额为未弥补的亏损。</w:t>
      </w:r>
    </w:p>
    <w:p>
      <w:pPr>
        <w:pStyle w:val="Normal0"/>
        <w:tabs>
          <w:tab w:val="left" w:pos="3795"/>
        </w:tabs>
        <w:spacing w:line="360" w:lineRule="auto"/>
        <w:ind w:left="735" w:hanging="315" w:leftChars="200" w:hangingChars="150"/>
        <w:rPr>
          <w:rFonts w:ascii="宋体" w:hAnsi="宋体" w:hint="eastAsia"/>
          <w:szCs w:val="21"/>
        </w:rPr>
      </w:pPr>
      <w:r>
        <w:rPr>
          <w:rFonts w:ascii="宋体" w:hAnsi="宋体" w:hint="eastAsia"/>
          <w:szCs w:val="21"/>
        </w:rPr>
        <w:t>4、酒店按法定程序经批准将资本公积转增资本时，借记“资本公积”账户、贷记“实收资本”账户。</w:t>
      </w:r>
    </w:p>
    <w:p>
      <w:pPr>
        <w:pStyle w:val="Normal0"/>
        <w:tabs>
          <w:tab w:val="left" w:pos="3795"/>
        </w:tabs>
        <w:spacing w:line="360" w:lineRule="auto"/>
        <w:rPr>
          <w:rFonts w:ascii="宋体" w:hAnsi="宋体" w:hint="eastAsia"/>
          <w:szCs w:val="21"/>
        </w:rPr>
      </w:pPr>
      <w:r>
        <w:rPr>
          <w:rFonts w:ascii="宋体" w:hAnsi="宋体" w:hint="eastAsia"/>
          <w:szCs w:val="21"/>
        </w:rPr>
        <w:t>第四十九条：酒店按法定程序报经批准增加或减少资本，在实际发生时，需进行账务处理。</w:t>
      </w:r>
    </w:p>
    <w:p>
      <w:pPr>
        <w:pStyle w:val="Normal0"/>
        <w:spacing w:line="360" w:lineRule="auto"/>
        <w:rPr>
          <w:rFonts w:ascii="宋体" w:hAnsi="宋体" w:hint="eastAsia"/>
          <w:b/>
          <w:bCs/>
          <w:szCs w:val="21"/>
        </w:rPr>
      </w:pPr>
      <w:r>
        <w:rPr>
          <w:rFonts w:ascii="宋体" w:hAnsi="宋体" w:hint="eastAsia"/>
          <w:b/>
          <w:bCs/>
          <w:szCs w:val="21"/>
        </w:rPr>
        <w:t>第十一章：成本和费用</w:t>
      </w:r>
    </w:p>
    <w:p>
      <w:pPr>
        <w:pStyle w:val="Normal0"/>
        <w:spacing w:line="360" w:lineRule="auto"/>
        <w:rPr>
          <w:rFonts w:ascii="宋体" w:hAnsi="宋体" w:hint="eastAsia"/>
          <w:color w:val="333333"/>
          <w:szCs w:val="21"/>
        </w:rPr>
      </w:pPr>
      <w:r>
        <w:rPr>
          <w:rFonts w:ascii="宋体" w:hAnsi="宋体" w:hint="eastAsia"/>
          <w:color w:val="333333"/>
          <w:szCs w:val="21"/>
        </w:rPr>
        <w:t>第五十条：成本费用的核算应遵守国家法律法规的规定，按制度执行。应遵循下列原则：</w:t>
      </w:r>
    </w:p>
    <w:p>
      <w:pPr>
        <w:pStyle w:val="Normal0"/>
        <w:spacing w:line="360" w:lineRule="auto"/>
        <w:ind w:left="735" w:hanging="315" w:leftChars="200" w:hangingChars="150"/>
        <w:rPr>
          <w:rFonts w:ascii="宋体" w:hAnsi="宋体" w:hint="eastAsia"/>
          <w:color w:val="333333"/>
          <w:szCs w:val="21"/>
        </w:rPr>
      </w:pPr>
      <w:r>
        <w:rPr>
          <w:rFonts w:ascii="宋体" w:hAnsi="宋体" w:hint="eastAsia"/>
          <w:color w:val="333333"/>
          <w:szCs w:val="21"/>
        </w:rPr>
        <w:t>1、实际成本计价原则，酒店对各种原料、商品及物料用品的耗用和低值易耗品的摊销，按实际采购价格核算；对能源费用、工资费用、劳务费用等按相关的仪器仪表、工时考勤记录、劳务合约等核算。对于部份预提费用，在计算期内按实际资料或实际发生额调整。</w:t>
      </w:r>
    </w:p>
    <w:p>
      <w:pPr>
        <w:pStyle w:val="Normal0"/>
        <w:spacing w:line="360" w:lineRule="auto"/>
        <w:ind w:left="735" w:hanging="315" w:leftChars="200" w:hangingChars="150"/>
        <w:rPr>
          <w:rFonts w:ascii="宋体" w:hAnsi="宋体" w:hint="eastAsia"/>
          <w:color w:val="333333"/>
          <w:szCs w:val="21"/>
        </w:rPr>
        <w:sectPr>
          <w:headerReference w:type="default" r:id="rId17"/>
          <w:footerReference w:type="default" r:id="rId18"/>
          <w:type w:val="nextPage"/>
          <w:pgSz w:w="11906" w:h="16838"/>
          <w:pgMar w:top="851" w:right="1466" w:bottom="1077" w:left="1800" w:header="720" w:footer="720" w:gutter="0"/>
          <w:pgNumType w:start="7"/>
          <w:cols w:num="1" w:space="720"/>
          <w:titlePg w:val="0"/>
          <w:docGrid w:type="lines" w:linePitch="312" w:charSpace="0"/>
        </w:sectPr>
      </w:pPr>
      <w:r>
        <w:rPr>
          <w:rFonts w:ascii="宋体" w:hAnsi="宋体" w:hint="eastAsia"/>
          <w:color w:val="333333"/>
          <w:szCs w:val="21"/>
        </w:rPr>
        <w:t>2、分期核算原则，成本费用核算按公历历月制，在成本和费用计算期内，按实际资料和价格 ，按权责发生制原则核算。</w:t>
      </w:r>
    </w:p>
    <w:p>
      <w:pPr>
        <w:pStyle w:val="Normal0"/>
        <w:spacing w:line="360" w:lineRule="auto"/>
        <w:ind w:left="735" w:hanging="315" w:leftChars="200" w:hangingChars="150"/>
        <w:rPr>
          <w:rFonts w:ascii="宋体" w:hAnsi="宋体" w:hint="eastAsia"/>
          <w:color w:val="333333"/>
          <w:szCs w:val="21"/>
        </w:rPr>
      </w:pPr>
      <w:r>
        <w:rPr>
          <w:rFonts w:ascii="宋体" w:hAnsi="宋体" w:hint="eastAsia"/>
          <w:color w:val="333333"/>
          <w:szCs w:val="21"/>
        </w:rPr>
        <w:t>3、合法性原则，凡计入成本费用的支出，必须符合国家的法律、法规和制度规定，符合酒店财务制度的规定，对不符合规定的不得记入成本费用。</w:t>
      </w:r>
    </w:p>
    <w:p>
      <w:pPr>
        <w:pStyle w:val="Normal0"/>
        <w:numPr>
          <w:ilvl w:val="0"/>
          <w:numId w:val="7"/>
        </w:numPr>
        <w:spacing w:line="360" w:lineRule="auto"/>
        <w:rPr>
          <w:rFonts w:ascii="宋体" w:hAnsi="宋体" w:hint="eastAsia"/>
          <w:color w:val="333333"/>
          <w:szCs w:val="21"/>
        </w:rPr>
      </w:pPr>
      <w:r>
        <w:rPr>
          <w:rFonts w:ascii="宋体" w:hAnsi="宋体" w:hint="eastAsia"/>
          <w:color w:val="333333"/>
          <w:szCs w:val="21"/>
        </w:rPr>
        <w:t>一贯性原则，与成本和费用核算有关的会计处理方法，应保持前后一致，相互可比。</w:t>
      </w:r>
    </w:p>
    <w:p>
      <w:pPr>
        <w:pStyle w:val="Normal0"/>
        <w:numPr>
          <w:ilvl w:val="0"/>
          <w:numId w:val="7"/>
        </w:numPr>
        <w:spacing w:line="360" w:lineRule="auto"/>
        <w:rPr>
          <w:rFonts w:ascii="宋体" w:hAnsi="宋体" w:hint="eastAsia"/>
          <w:color w:val="333333"/>
          <w:szCs w:val="21"/>
        </w:rPr>
      </w:pPr>
      <w:r>
        <w:rPr>
          <w:rFonts w:ascii="宋体" w:hAnsi="宋体" w:hint="eastAsia"/>
          <w:color w:val="333333"/>
          <w:szCs w:val="21"/>
        </w:rPr>
        <w:t>成本和费用配比原则，按因果关系确认，对于一项支出的发生与某种收入存在明显因果关系的，应在该收入实现时，确认为营业成本和费用，并与之配比；按受益期分配原则，对于支出的效益涉及若干会计年度的资本性支出，应在与支出效益相关的各受益期，按合理的方式分配确认为费用，分别与各受益期的收入配比；按发生的时期立即确认，对既无明显因果关系，又难以按受益原则进行分配的支出，在发生的当期立即确认，作为期间费用与发生当期的收入配比。</w:t>
      </w:r>
    </w:p>
    <w:p>
      <w:pPr>
        <w:pStyle w:val="Normal0"/>
        <w:numPr>
          <w:ilvl w:val="0"/>
          <w:numId w:val="7"/>
        </w:numPr>
        <w:spacing w:line="360" w:lineRule="auto"/>
        <w:rPr>
          <w:rFonts w:ascii="宋体" w:hAnsi="宋体" w:hint="eastAsia"/>
          <w:color w:val="333333"/>
          <w:szCs w:val="21"/>
        </w:rPr>
      </w:pPr>
      <w:r>
        <w:rPr>
          <w:rFonts w:ascii="宋体" w:hAnsi="宋体" w:hint="eastAsia"/>
          <w:color w:val="333333"/>
          <w:szCs w:val="21"/>
        </w:rPr>
        <w:t>权责发生制原则，在进行成本费用核算时，应遵循权责发生制原则。</w:t>
      </w:r>
    </w:p>
    <w:p>
      <w:pPr>
        <w:pStyle w:val="Normal0"/>
        <w:spacing w:line="360" w:lineRule="auto"/>
        <w:rPr>
          <w:rFonts w:ascii="宋体" w:hAnsi="宋体" w:hint="eastAsia"/>
          <w:color w:val="333333"/>
          <w:szCs w:val="21"/>
        </w:rPr>
      </w:pPr>
      <w:r>
        <w:rPr>
          <w:rFonts w:ascii="宋体" w:hAnsi="宋体" w:hint="eastAsia"/>
          <w:color w:val="333333"/>
          <w:szCs w:val="21"/>
        </w:rPr>
        <w:t>第五十一条：为正确核算成本和费用，应当划清成本和费用的界限：</w:t>
      </w:r>
    </w:p>
    <w:p>
      <w:pPr>
        <w:pStyle w:val="Normal0"/>
        <w:spacing w:line="360" w:lineRule="auto"/>
        <w:ind w:left="735" w:hanging="315" w:leftChars="200" w:hangingChars="150"/>
        <w:rPr>
          <w:rFonts w:ascii="宋体" w:hAnsi="宋体" w:hint="eastAsia"/>
          <w:color w:val="333333"/>
          <w:szCs w:val="21"/>
        </w:rPr>
      </w:pPr>
      <w:r>
        <w:rPr>
          <w:rFonts w:ascii="宋体" w:hAnsi="宋体" w:hint="eastAsia"/>
          <w:color w:val="333333"/>
          <w:szCs w:val="21"/>
        </w:rPr>
        <w:t>1、划清本期成本费用和下期成本费用界限，凡当期领用存货计入当期成本和费用（大额低值易耗品除外）。</w:t>
      </w:r>
    </w:p>
    <w:p>
      <w:pPr>
        <w:pStyle w:val="Normal0"/>
        <w:spacing w:line="360" w:lineRule="auto"/>
        <w:ind w:left="735" w:hanging="315" w:leftChars="200" w:hangingChars="150"/>
        <w:rPr>
          <w:rFonts w:ascii="宋体" w:hAnsi="宋体" w:hint="eastAsia"/>
          <w:color w:val="333333"/>
          <w:szCs w:val="21"/>
        </w:rPr>
      </w:pPr>
      <w:r>
        <w:rPr>
          <w:rFonts w:ascii="宋体" w:hAnsi="宋体" w:hint="eastAsia"/>
          <w:color w:val="333333"/>
          <w:szCs w:val="21"/>
        </w:rPr>
        <w:t>2、划清营业成本和期间费用界限，凡能直接确认为某一销售收入对象的原料和物料支出作为成本核算，凡不能直确认为某一销售收入对象的原料和物料支出作为费用核算。</w:t>
      </w:r>
    </w:p>
    <w:p>
      <w:pPr>
        <w:pStyle w:val="Normal0"/>
        <w:spacing w:line="360" w:lineRule="auto"/>
        <w:ind w:left="735" w:hanging="315" w:leftChars="200" w:hangingChars="150"/>
        <w:rPr>
          <w:rFonts w:ascii="宋体" w:hAnsi="宋体" w:hint="eastAsia"/>
          <w:color w:val="333333"/>
          <w:szCs w:val="21"/>
        </w:rPr>
      </w:pPr>
      <w:r>
        <w:rPr>
          <w:rFonts w:ascii="宋体" w:hAnsi="宋体" w:hint="eastAsia"/>
          <w:color w:val="333333"/>
          <w:szCs w:val="21"/>
        </w:rPr>
        <w:t>3、划分资本性支出与收益性支出界限，凡支出受益期限涉及几个经营年度的作为资本性支出，凡支出受益于当期的作为经营性支出。</w:t>
      </w:r>
    </w:p>
    <w:p>
      <w:pPr>
        <w:pStyle w:val="Normal0"/>
        <w:spacing w:line="360" w:lineRule="auto"/>
        <w:ind w:left="420" w:hanging="420" w:hangingChars="200"/>
        <w:rPr>
          <w:rFonts w:ascii="宋体" w:hAnsi="宋体" w:hint="eastAsia"/>
          <w:color w:val="333333"/>
          <w:szCs w:val="21"/>
        </w:rPr>
      </w:pPr>
      <w:r>
        <w:rPr>
          <w:rFonts w:ascii="宋体" w:hAnsi="宋体" w:hint="eastAsia"/>
          <w:color w:val="333333"/>
          <w:szCs w:val="21"/>
        </w:rPr>
        <w:t>第五十二条：成本和费用核算的</w:t>
      </w:r>
      <w:r>
        <w:rPr>
          <w:rFonts w:ascii="宋体" w:hAnsi="宋体" w:hint="eastAsia"/>
          <w:color w:val="333333"/>
          <w:szCs w:val="21"/>
          <w:lang w:eastAsia="zh-CN"/>
        </w:rPr>
        <w:t>合适的内容</w:t>
      </w:r>
      <w:r>
        <w:rPr>
          <w:rFonts w:ascii="宋体" w:hAnsi="宋体" w:hint="eastAsia"/>
          <w:color w:val="333333"/>
          <w:szCs w:val="21"/>
        </w:rPr>
        <w:t>，根据《旅游饮食服务企业财务制度》规定，酒店将成本和费用划分为：营业成本、营业费用、</w:t>
      </w:r>
      <w:r>
        <w:rPr>
          <w:rFonts w:ascii="宋体" w:hAnsi="宋体" w:hint="eastAsia"/>
          <w:color w:val="333333"/>
          <w:szCs w:val="21"/>
          <w:lang w:eastAsia="zh-CN"/>
        </w:rPr>
        <w:t>管理管控</w:t>
      </w:r>
      <w:r>
        <w:rPr>
          <w:rFonts w:ascii="宋体" w:hAnsi="宋体" w:hint="eastAsia"/>
          <w:color w:val="333333"/>
          <w:szCs w:val="21"/>
        </w:rPr>
        <w:t>费用和财务费用。</w:t>
      </w:r>
    </w:p>
    <w:p>
      <w:pPr>
        <w:pStyle w:val="Normal0"/>
        <w:spacing w:line="360" w:lineRule="auto"/>
        <w:ind w:left="735" w:hanging="315" w:leftChars="200" w:hangingChars="150"/>
        <w:rPr>
          <w:rFonts w:ascii="宋体" w:hAnsi="宋体" w:hint="eastAsia"/>
          <w:color w:val="333333"/>
          <w:szCs w:val="21"/>
        </w:rPr>
      </w:pPr>
      <w:r>
        <w:rPr>
          <w:rFonts w:ascii="宋体" w:hAnsi="宋体" w:hint="eastAsia"/>
          <w:color w:val="333333"/>
          <w:szCs w:val="21"/>
        </w:rPr>
        <w:t>1、营业成本，指在经营活动过程中发生的与收入有直接关系的支出。包括餐饮部直接耗用的食品原材料、调味料、各种配料成本；娱乐、客房、康乐等部门直销的各种商品成本；已计入营业收入的车辆出租费用支出、电话费支出、洗衣费支出，已计入收入的其他直接支出。</w:t>
      </w:r>
    </w:p>
    <w:p>
      <w:pPr>
        <w:pStyle w:val="Normal0"/>
        <w:spacing w:line="360" w:lineRule="auto"/>
        <w:ind w:left="735" w:hanging="315" w:leftChars="200" w:hangingChars="150"/>
        <w:rPr>
          <w:rFonts w:ascii="宋体" w:hAnsi="宋体" w:hint="eastAsia"/>
          <w:color w:val="333333"/>
          <w:szCs w:val="21"/>
        </w:rPr>
      </w:pPr>
      <w:r>
        <w:rPr>
          <w:rFonts w:ascii="宋体" w:hAnsi="宋体" w:hint="eastAsia"/>
          <w:color w:val="333333"/>
          <w:szCs w:val="21"/>
        </w:rPr>
        <w:t>2、营业费用，指各营业部门在营业活动过程中发生的其他耗费。包括物料消耗、能源费用消耗、低值易耗品摊销、营业用固定资产折旧、房屋租金、修理费支出、制服及布草洗涤费、直接归属部门的广告宣传费、差旅费、通信费、营业人员工资、工作餐费、住宿费、员工福利支出、为某特定</w:t>
      </w:r>
      <w:r>
        <w:rPr>
          <w:rFonts w:ascii="宋体" w:hAnsi="宋体" w:hint="eastAsia"/>
          <w:color w:val="333333"/>
          <w:szCs w:val="21"/>
          <w:lang w:eastAsia="zh-CN"/>
        </w:rPr>
        <w:t>相关项目</w:t>
      </w:r>
      <w:r>
        <w:rPr>
          <w:rFonts w:ascii="宋体" w:hAnsi="宋体" w:hint="eastAsia"/>
          <w:color w:val="333333"/>
          <w:szCs w:val="21"/>
        </w:rPr>
        <w:t>支出的政府规费，以及为营业活动支出的其他费用。</w:t>
      </w:r>
    </w:p>
    <w:p>
      <w:pPr>
        <w:pStyle w:val="Normal0"/>
        <w:spacing w:line="360" w:lineRule="auto"/>
        <w:ind w:left="735" w:hanging="315" w:leftChars="200" w:hangingChars="150"/>
        <w:rPr>
          <w:rFonts w:ascii="宋体" w:hAnsi="宋体" w:hint="eastAsia"/>
          <w:color w:val="333333"/>
          <w:szCs w:val="21"/>
        </w:rPr>
        <w:sectPr>
          <w:headerReference w:type="default" r:id="rId19"/>
          <w:footerReference w:type="default" r:id="rId20"/>
          <w:type w:val="nextPage"/>
          <w:pgSz w:w="11906" w:h="16838"/>
          <w:pgMar w:top="851" w:right="1466" w:bottom="1077" w:left="1800" w:header="720" w:footer="720" w:gutter="0"/>
          <w:pgNumType w:start="8"/>
          <w:cols w:num="1" w:space="720"/>
          <w:titlePg w:val="0"/>
          <w:docGrid w:type="lines" w:linePitch="312" w:charSpace="0"/>
        </w:sectPr>
      </w:pPr>
      <w:r>
        <w:rPr>
          <w:rFonts w:ascii="宋体" w:hAnsi="宋体" w:hint="eastAsia"/>
          <w:color w:val="333333"/>
          <w:szCs w:val="21"/>
        </w:rPr>
        <w:t>3、</w:t>
      </w:r>
      <w:r>
        <w:rPr>
          <w:rFonts w:ascii="宋体" w:hAnsi="宋体" w:hint="eastAsia"/>
          <w:color w:val="333333"/>
          <w:szCs w:val="21"/>
          <w:lang w:eastAsia="zh-CN"/>
        </w:rPr>
        <w:t>管理管控</w:t>
      </w:r>
      <w:r>
        <w:rPr>
          <w:rFonts w:ascii="宋体" w:hAnsi="宋体" w:hint="eastAsia"/>
          <w:color w:val="333333"/>
          <w:szCs w:val="21"/>
        </w:rPr>
        <w:t>费用，指为</w:t>
      </w:r>
      <w:r>
        <w:rPr>
          <w:rFonts w:ascii="宋体" w:hAnsi="宋体" w:hint="eastAsia"/>
          <w:color w:val="333333"/>
          <w:szCs w:val="21"/>
          <w:lang w:eastAsia="zh-CN"/>
        </w:rPr>
        <w:t>管理管控</w:t>
      </w:r>
      <w:r>
        <w:rPr>
          <w:rFonts w:ascii="宋体" w:hAnsi="宋体" w:hint="eastAsia"/>
          <w:color w:val="333333"/>
          <w:szCs w:val="21"/>
        </w:rPr>
        <w:t>活动而发生的各项支出。包括</w:t>
      </w:r>
      <w:r>
        <w:rPr>
          <w:rFonts w:ascii="宋体" w:hAnsi="宋体" w:hint="eastAsia"/>
          <w:color w:val="333333"/>
          <w:szCs w:val="21"/>
          <w:lang w:eastAsia="zh-CN"/>
        </w:rPr>
        <w:t>管理管控</w:t>
      </w:r>
    </w:p>
    <w:p>
      <w:pPr>
        <w:pStyle w:val="Normal0"/>
        <w:spacing w:line="360" w:lineRule="auto"/>
        <w:ind w:left="735" w:hanging="315" w:leftChars="200" w:hangingChars="150"/>
        <w:rPr>
          <w:rFonts w:ascii="宋体" w:hAnsi="宋体" w:hint="eastAsia"/>
          <w:color w:val="333333"/>
          <w:szCs w:val="21"/>
        </w:rPr>
      </w:pPr>
      <w:r>
        <w:rPr>
          <w:rFonts w:ascii="宋体" w:hAnsi="宋体" w:hint="eastAsia"/>
          <w:color w:val="333333"/>
          <w:szCs w:val="21"/>
        </w:rPr>
        <w:t>部门的物料消耗、低值易耗品摊销、</w:t>
      </w:r>
      <w:r>
        <w:rPr>
          <w:rFonts w:ascii="宋体" w:hAnsi="宋体" w:hint="eastAsia"/>
          <w:color w:val="333333"/>
          <w:szCs w:val="21"/>
          <w:lang w:eastAsia="zh-CN"/>
        </w:rPr>
        <w:t>管理管控</w:t>
      </w:r>
      <w:r>
        <w:rPr>
          <w:rFonts w:ascii="宋体" w:hAnsi="宋体" w:hint="eastAsia"/>
          <w:color w:val="333333"/>
          <w:szCs w:val="21"/>
        </w:rPr>
        <w:t>部门固定资产折旧、能源消耗、</w:t>
      </w:r>
      <w:r>
        <w:rPr>
          <w:rFonts w:ascii="宋体" w:hAnsi="宋体" w:hint="eastAsia"/>
          <w:color w:val="333333"/>
          <w:szCs w:val="21"/>
          <w:lang w:eastAsia="zh-CN"/>
        </w:rPr>
        <w:t>管理管控</w:t>
      </w:r>
      <w:r>
        <w:rPr>
          <w:rFonts w:ascii="宋体" w:hAnsi="宋体" w:hint="eastAsia"/>
          <w:color w:val="333333"/>
          <w:szCs w:val="21"/>
        </w:rPr>
        <w:t>人员工资、工作餐费、住宿费、福利费、办公费、差旅费、修理费、劳动保险费、财产保险费、租赁费、审计费、诉讼费、排污费、绿货费、房产税、车船使用税、印花税、无形资产摊销、开办费摊销、交际应酬费、存货盘亏和毁损及其他</w:t>
      </w:r>
      <w:r>
        <w:rPr>
          <w:rFonts w:ascii="宋体" w:hAnsi="宋体" w:hint="eastAsia"/>
          <w:color w:val="333333"/>
          <w:szCs w:val="21"/>
          <w:lang w:eastAsia="zh-CN"/>
        </w:rPr>
        <w:t>管理管控</w:t>
      </w:r>
      <w:r>
        <w:rPr>
          <w:rFonts w:ascii="宋体" w:hAnsi="宋体" w:hint="eastAsia"/>
          <w:color w:val="333333"/>
          <w:szCs w:val="21"/>
        </w:rPr>
        <w:t>费用。</w:t>
      </w:r>
    </w:p>
    <w:p>
      <w:pPr>
        <w:pStyle w:val="Normal0"/>
        <w:spacing w:line="360" w:lineRule="auto"/>
        <w:ind w:left="735" w:hanging="315" w:leftChars="200" w:hangingChars="150"/>
        <w:rPr>
          <w:rFonts w:ascii="宋体" w:hAnsi="宋体" w:hint="eastAsia"/>
          <w:color w:val="333333"/>
          <w:szCs w:val="21"/>
        </w:rPr>
      </w:pPr>
      <w:r>
        <w:rPr>
          <w:rFonts w:ascii="宋体" w:hAnsi="宋体" w:hint="eastAsia"/>
          <w:color w:val="333333"/>
          <w:szCs w:val="21"/>
        </w:rPr>
        <w:t>4、财务费用，指支付给金融机构的手续费、利息费用及汇兑损益。</w:t>
      </w:r>
    </w:p>
    <w:p>
      <w:pPr>
        <w:pStyle w:val="Normal0"/>
        <w:ind w:left="420" w:hanging="420" w:hangingChars="200"/>
        <w:rPr>
          <w:rFonts w:ascii="宋体" w:hAnsi="宋体" w:hint="eastAsia"/>
          <w:szCs w:val="21"/>
        </w:rPr>
      </w:pPr>
      <w:r>
        <w:rPr>
          <w:rFonts w:ascii="宋体" w:hAnsi="宋体" w:hint="eastAsia"/>
          <w:szCs w:val="21"/>
        </w:rPr>
        <w:t>第五十三条：酒店发生之各项成本费用，应严加控制，接</w:t>
      </w:r>
      <w:r>
        <w:rPr>
          <w:rFonts w:ascii="宋体" w:hAnsi="宋体" w:hint="eastAsia"/>
          <w:szCs w:val="21"/>
          <w:lang w:eastAsia="zh-CN"/>
        </w:rPr>
        <w:t>相关计划</w:t>
      </w:r>
      <w:r>
        <w:rPr>
          <w:rFonts w:ascii="宋体" w:hAnsi="宋体" w:hint="eastAsia"/>
          <w:szCs w:val="21"/>
        </w:rPr>
        <w:t>执行。对无</w:t>
      </w:r>
      <w:r>
        <w:rPr>
          <w:rFonts w:ascii="宋体" w:hAnsi="宋体" w:hint="eastAsia"/>
          <w:szCs w:val="21"/>
          <w:lang w:eastAsia="zh-CN"/>
        </w:rPr>
        <w:t>相关计划</w:t>
      </w:r>
      <w:r>
        <w:rPr>
          <w:rFonts w:ascii="宋体" w:hAnsi="宋体" w:hint="eastAsia"/>
          <w:szCs w:val="21"/>
        </w:rPr>
        <w:t>应按规定经审批后执行。</w:t>
      </w:r>
    </w:p>
    <w:p>
      <w:pPr>
        <w:pStyle w:val="Normal0"/>
        <w:spacing w:line="360" w:lineRule="auto"/>
        <w:rPr>
          <w:rFonts w:ascii="宋体" w:hAnsi="宋体" w:hint="eastAsia"/>
          <w:b/>
          <w:bCs/>
          <w:szCs w:val="21"/>
        </w:rPr>
      </w:pPr>
      <w:r>
        <w:rPr>
          <w:rFonts w:ascii="宋体" w:hAnsi="宋体" w:hint="eastAsia"/>
          <w:b/>
          <w:bCs/>
          <w:szCs w:val="21"/>
        </w:rPr>
        <w:t>第十二章：收入、利润和利润分配</w:t>
      </w:r>
    </w:p>
    <w:p>
      <w:pPr>
        <w:pStyle w:val="Normal0"/>
        <w:tabs>
          <w:tab w:val="left" w:pos="3795"/>
        </w:tabs>
        <w:spacing w:line="360" w:lineRule="auto"/>
        <w:ind w:left="420" w:hanging="420" w:hangingChars="200"/>
        <w:rPr>
          <w:rFonts w:ascii="宋体" w:hAnsi="宋体" w:hint="eastAsia"/>
          <w:szCs w:val="21"/>
        </w:rPr>
      </w:pPr>
      <w:r>
        <w:rPr>
          <w:rFonts w:ascii="宋体" w:hAnsi="宋体" w:hint="eastAsia"/>
          <w:szCs w:val="21"/>
        </w:rPr>
        <w:t>第五十四条：营业收入，是指酒店在经营活动和提供劳务服务活动过程中形成的经济利益的总流入。包括主营业务收入和其他业务收入。</w:t>
      </w:r>
    </w:p>
    <w:p>
      <w:pPr>
        <w:pStyle w:val="Normal0"/>
        <w:tabs>
          <w:tab w:val="left" w:pos="3795"/>
        </w:tabs>
        <w:spacing w:line="360" w:lineRule="auto"/>
        <w:rPr>
          <w:rFonts w:ascii="宋体" w:hAnsi="宋体" w:hint="eastAsia"/>
          <w:szCs w:val="21"/>
        </w:rPr>
      </w:pPr>
      <w:r>
        <w:rPr>
          <w:rFonts w:ascii="宋体" w:hAnsi="宋体" w:hint="eastAsia"/>
          <w:szCs w:val="21"/>
        </w:rPr>
        <w:t>第五十五条：营业收入的确认原则：</w:t>
      </w:r>
    </w:p>
    <w:p>
      <w:pPr>
        <w:pStyle w:val="Normal0"/>
        <w:numPr>
          <w:ilvl w:val="0"/>
          <w:numId w:val="59"/>
        </w:numPr>
        <w:tabs>
          <w:tab w:val="left" w:pos="3795"/>
        </w:tabs>
        <w:spacing w:line="360" w:lineRule="auto"/>
        <w:rPr>
          <w:rFonts w:ascii="宋体" w:hAnsi="宋体" w:hint="eastAsia"/>
          <w:szCs w:val="21"/>
        </w:rPr>
      </w:pPr>
      <w:r>
        <w:rPr>
          <w:rFonts w:ascii="宋体" w:hAnsi="宋体" w:hint="eastAsia"/>
          <w:szCs w:val="21"/>
        </w:rPr>
        <w:t>当某项经营活动、劳务服务活动一经提供，同时收到账款或已取得收取账款的权利时，确认为收入。</w:t>
      </w:r>
    </w:p>
    <w:p>
      <w:pPr>
        <w:pStyle w:val="Normal0"/>
        <w:numPr>
          <w:ilvl w:val="0"/>
          <w:numId w:val="59"/>
        </w:numPr>
        <w:tabs>
          <w:tab w:val="left" w:pos="3795"/>
        </w:tabs>
        <w:spacing w:line="360" w:lineRule="auto"/>
        <w:rPr>
          <w:rFonts w:ascii="宋体" w:hAnsi="宋体" w:hint="eastAsia"/>
          <w:szCs w:val="21"/>
        </w:rPr>
      </w:pPr>
      <w:r>
        <w:rPr>
          <w:rFonts w:ascii="宋体" w:hAnsi="宋体" w:hint="eastAsia"/>
          <w:szCs w:val="21"/>
        </w:rPr>
        <w:t>本月实现之营业收入，记入本月账内，并相应结转与本月有关的成本费用和税金。发生的销售折扣和折让，直接冲减本期收入。</w:t>
      </w:r>
    </w:p>
    <w:p>
      <w:pPr>
        <w:pStyle w:val="Normal0"/>
        <w:numPr>
          <w:ilvl w:val="0"/>
          <w:numId w:val="59"/>
        </w:numPr>
        <w:tabs>
          <w:tab w:val="left" w:pos="3795"/>
        </w:tabs>
        <w:spacing w:line="360" w:lineRule="auto"/>
        <w:rPr>
          <w:rFonts w:ascii="宋体" w:hAnsi="宋体" w:hint="eastAsia"/>
          <w:szCs w:val="21"/>
        </w:rPr>
      </w:pPr>
      <w:r>
        <w:rPr>
          <w:rFonts w:ascii="宋体" w:hAnsi="宋体" w:hint="eastAsia"/>
          <w:szCs w:val="21"/>
        </w:rPr>
        <w:t>各项预收款及暂收款不能作为收入入账，应作为负债</w:t>
      </w:r>
      <w:r>
        <w:rPr>
          <w:rFonts w:ascii="宋体" w:hAnsi="宋体" w:hint="eastAsia"/>
          <w:szCs w:val="21"/>
          <w:lang w:eastAsia="zh-CN"/>
        </w:rPr>
        <w:t>相关项目</w:t>
      </w:r>
      <w:r>
        <w:rPr>
          <w:rFonts w:ascii="宋体" w:hAnsi="宋体" w:hint="eastAsia"/>
          <w:szCs w:val="21"/>
        </w:rPr>
        <w:t>反映。当实际消费发生时，再将其转入收入账内。</w:t>
      </w:r>
    </w:p>
    <w:p>
      <w:pPr>
        <w:pStyle w:val="Normal0"/>
        <w:numPr>
          <w:ilvl w:val="0"/>
          <w:numId w:val="59"/>
        </w:numPr>
        <w:tabs>
          <w:tab w:val="left" w:pos="3795"/>
        </w:tabs>
        <w:spacing w:line="360" w:lineRule="auto"/>
        <w:rPr>
          <w:rFonts w:ascii="宋体" w:hAnsi="宋体" w:hint="eastAsia"/>
          <w:szCs w:val="21"/>
        </w:rPr>
      </w:pPr>
      <w:r>
        <w:rPr>
          <w:rFonts w:ascii="宋体" w:hAnsi="宋体" w:hint="eastAsia"/>
          <w:szCs w:val="21"/>
        </w:rPr>
        <w:t>各项罚没收入或其他不属营业性质的收入，应作为营业外收入核算。不得列入营业收入账内。</w:t>
      </w:r>
    </w:p>
    <w:p>
      <w:pPr>
        <w:pStyle w:val="Normal0"/>
        <w:numPr>
          <w:ilvl w:val="0"/>
          <w:numId w:val="59"/>
        </w:numPr>
        <w:tabs>
          <w:tab w:val="left" w:pos="3795"/>
        </w:tabs>
        <w:spacing w:line="360" w:lineRule="auto"/>
        <w:rPr>
          <w:rFonts w:ascii="宋体" w:hAnsi="宋体" w:hint="eastAsia"/>
          <w:szCs w:val="21"/>
        </w:rPr>
      </w:pPr>
      <w:r>
        <w:rPr>
          <w:rFonts w:ascii="宋体" w:hAnsi="宋体" w:hint="eastAsia"/>
          <w:szCs w:val="21"/>
        </w:rPr>
        <w:t>营业收入分明细核算，月终将营业收入科目余额转入本年利润科目。</w:t>
      </w:r>
    </w:p>
    <w:p>
      <w:pPr>
        <w:pStyle w:val="Normal0"/>
        <w:spacing w:line="360" w:lineRule="auto"/>
        <w:ind w:left="420" w:hanging="420" w:hangingChars="200"/>
        <w:rPr>
          <w:rFonts w:ascii="宋体" w:hAnsi="宋体" w:hint="eastAsia"/>
          <w:szCs w:val="21"/>
        </w:rPr>
      </w:pPr>
      <w:r>
        <w:rPr>
          <w:rFonts w:ascii="宋体" w:hAnsi="宋体" w:hint="eastAsia"/>
          <w:szCs w:val="21"/>
        </w:rPr>
        <w:t>第五十六条：营业外收入，是指与酒店营业活动没有直接关系的收入，包括出租房屋收入、各项</w:t>
      </w:r>
      <w:r>
        <w:rPr>
          <w:rFonts w:ascii="宋体" w:hAnsi="宋体" w:hint="eastAsia"/>
          <w:szCs w:val="21"/>
          <w:lang w:eastAsia="zh-CN"/>
        </w:rPr>
        <w:t>管理管控</w:t>
      </w:r>
      <w:r>
        <w:rPr>
          <w:rFonts w:ascii="宋体" w:hAnsi="宋体" w:hint="eastAsia"/>
          <w:szCs w:val="21"/>
        </w:rPr>
        <w:t>费收入、赔偿收入、罚款收入、处理固定资产净收益、固定资产盘盈等。</w:t>
      </w:r>
    </w:p>
    <w:p>
      <w:pPr>
        <w:pStyle w:val="Normal0"/>
        <w:spacing w:line="360" w:lineRule="auto"/>
        <w:ind w:firstLine="420" w:firstLineChars="200"/>
        <w:rPr>
          <w:rFonts w:ascii="宋体" w:hAnsi="宋体" w:hint="eastAsia"/>
          <w:szCs w:val="21"/>
        </w:rPr>
      </w:pPr>
      <w:r>
        <w:rPr>
          <w:rFonts w:ascii="宋体" w:hAnsi="宋体" w:hint="eastAsia"/>
          <w:szCs w:val="21"/>
        </w:rPr>
        <w:t>1、营业外收入分明细科目核算。</w:t>
      </w:r>
    </w:p>
    <w:p>
      <w:pPr>
        <w:pStyle w:val="Normal0"/>
        <w:spacing w:line="360" w:lineRule="auto"/>
        <w:ind w:firstLine="420" w:firstLineChars="200"/>
        <w:rPr>
          <w:rFonts w:ascii="宋体" w:hAnsi="宋体" w:hint="eastAsia"/>
          <w:szCs w:val="21"/>
        </w:rPr>
      </w:pPr>
      <w:r>
        <w:rPr>
          <w:rFonts w:ascii="宋体" w:hAnsi="宋体" w:hint="eastAsia"/>
          <w:szCs w:val="21"/>
        </w:rPr>
        <w:t>2、月终将营业外收入科目余额转入本年利润科目。</w:t>
      </w:r>
    </w:p>
    <w:p>
      <w:pPr>
        <w:pStyle w:val="Normal0"/>
        <w:tabs>
          <w:tab w:val="left" w:pos="3795"/>
        </w:tabs>
        <w:spacing w:line="360" w:lineRule="auto"/>
        <w:ind w:left="420" w:hanging="420" w:hangingChars="200"/>
        <w:rPr>
          <w:rFonts w:ascii="宋体" w:hAnsi="宋体" w:hint="eastAsia"/>
          <w:szCs w:val="21"/>
        </w:rPr>
      </w:pPr>
      <w:r>
        <w:rPr>
          <w:rFonts w:ascii="宋体" w:hAnsi="宋体" w:hint="eastAsia"/>
          <w:szCs w:val="21"/>
        </w:rPr>
        <w:t>第五十七条：营业外支出，是指与酒店营业活动没有直接关系的各项支出，包括固定资产盘亏、处理固定资产净损失、非常损失及各项罚没支出等。</w:t>
      </w:r>
    </w:p>
    <w:p>
      <w:pPr>
        <w:pStyle w:val="Normal0"/>
        <w:tabs>
          <w:tab w:val="left" w:pos="3795"/>
        </w:tabs>
        <w:spacing w:line="360" w:lineRule="auto"/>
        <w:ind w:firstLine="420" w:firstLineChars="200"/>
        <w:rPr>
          <w:rFonts w:ascii="宋体" w:hAnsi="宋体" w:hint="eastAsia"/>
          <w:szCs w:val="21"/>
        </w:rPr>
      </w:pPr>
      <w:r>
        <w:rPr>
          <w:rFonts w:ascii="宋体" w:hAnsi="宋体" w:hint="eastAsia"/>
          <w:szCs w:val="21"/>
        </w:rPr>
        <w:t>1、营业外支出分明细科目核算。</w:t>
      </w:r>
    </w:p>
    <w:p>
      <w:pPr>
        <w:pStyle w:val="Normal0"/>
        <w:tabs>
          <w:tab w:val="left" w:pos="3795"/>
        </w:tabs>
        <w:spacing w:line="360" w:lineRule="auto"/>
        <w:ind w:firstLine="420" w:firstLineChars="200"/>
        <w:rPr>
          <w:rFonts w:ascii="宋体" w:hAnsi="宋体" w:hint="eastAsia"/>
          <w:szCs w:val="21"/>
        </w:rPr>
      </w:pPr>
      <w:r>
        <w:rPr>
          <w:rFonts w:ascii="宋体" w:hAnsi="宋体" w:hint="eastAsia"/>
          <w:szCs w:val="21"/>
        </w:rPr>
        <w:t>2、月终将营业外支出科目余额转入本年利润科目。</w:t>
      </w:r>
    </w:p>
    <w:p>
      <w:pPr>
        <w:pStyle w:val="Normal0"/>
        <w:tabs>
          <w:tab w:val="left" w:pos="3795"/>
        </w:tabs>
        <w:spacing w:line="360" w:lineRule="auto"/>
        <w:ind w:left="420" w:hanging="420" w:hangingChars="200"/>
        <w:rPr>
          <w:rFonts w:ascii="宋体" w:hAnsi="宋体" w:hint="eastAsia"/>
          <w:szCs w:val="21"/>
        </w:rPr>
        <w:sectPr>
          <w:headerReference w:type="default" r:id="rId21"/>
          <w:footerReference w:type="default" r:id="rId22"/>
          <w:type w:val="nextPage"/>
          <w:pgSz w:w="11906" w:h="16838"/>
          <w:pgMar w:top="851" w:right="1466" w:bottom="1077" w:left="1800" w:header="720" w:footer="720" w:gutter="0"/>
          <w:pgNumType w:start="9"/>
          <w:cols w:num="1" w:space="720"/>
          <w:titlePg w:val="0"/>
          <w:docGrid w:type="lines" w:linePitch="312" w:charSpace="0"/>
        </w:sectPr>
      </w:pPr>
      <w:r>
        <w:rPr>
          <w:rFonts w:ascii="宋体" w:hAnsi="宋体" w:hint="eastAsia"/>
          <w:szCs w:val="21"/>
        </w:rPr>
        <w:t>第五十八条：利润，是指酒店在一定时期内生产经营的成果。包括营业利润、投资收益和营业   外收支净额、利润总额和未分配利润。</w:t>
      </w:r>
    </w:p>
    <w:p>
      <w:pPr>
        <w:pStyle w:val="Normal0"/>
        <w:tabs>
          <w:tab w:val="left" w:pos="3795"/>
        </w:tabs>
        <w:spacing w:line="360" w:lineRule="auto"/>
        <w:ind w:left="735" w:hanging="315" w:leftChars="200" w:hangingChars="150"/>
        <w:rPr>
          <w:rFonts w:ascii="宋体" w:hAnsi="宋体" w:hint="eastAsia"/>
          <w:szCs w:val="21"/>
        </w:rPr>
      </w:pPr>
      <w:r>
        <w:rPr>
          <w:rFonts w:ascii="宋体" w:hAnsi="宋体" w:hint="eastAsia"/>
          <w:szCs w:val="21"/>
        </w:rPr>
        <w:t>1、营业利润，是指营业收入减去营业成本、营业费用、营业税金、</w:t>
      </w:r>
      <w:r>
        <w:rPr>
          <w:rFonts w:ascii="宋体" w:hAnsi="宋体" w:hint="eastAsia"/>
          <w:szCs w:val="21"/>
          <w:lang w:eastAsia="zh-CN"/>
        </w:rPr>
        <w:t>管理管控</w:t>
      </w:r>
      <w:r>
        <w:rPr>
          <w:rFonts w:ascii="宋体" w:hAnsi="宋体" w:hint="eastAsia"/>
          <w:szCs w:val="21"/>
        </w:rPr>
        <w:t>费用、财务费用后的净额。</w:t>
      </w:r>
    </w:p>
    <w:p>
      <w:pPr>
        <w:pStyle w:val="Normal0"/>
        <w:tabs>
          <w:tab w:val="left" w:pos="3795"/>
        </w:tabs>
        <w:spacing w:line="360" w:lineRule="auto"/>
        <w:ind w:left="735" w:hanging="315" w:leftChars="200" w:hangingChars="150"/>
        <w:rPr>
          <w:rFonts w:ascii="宋体" w:hAnsi="宋体" w:hint="eastAsia"/>
          <w:szCs w:val="21"/>
        </w:rPr>
      </w:pPr>
      <w:r>
        <w:rPr>
          <w:rFonts w:ascii="宋体" w:hAnsi="宋体" w:hint="eastAsia"/>
          <w:szCs w:val="21"/>
        </w:rPr>
        <w:t>2、投资收益，是指对外投资取得的利润、利息等，扣除发生的投资损失后的净额。</w:t>
      </w:r>
    </w:p>
    <w:p>
      <w:pPr>
        <w:pStyle w:val="Normal0"/>
        <w:tabs>
          <w:tab w:val="left" w:pos="3795"/>
        </w:tabs>
        <w:spacing w:line="360" w:lineRule="auto"/>
        <w:ind w:left="735" w:hanging="315" w:leftChars="200" w:hangingChars="150"/>
        <w:rPr>
          <w:rFonts w:ascii="宋体" w:hAnsi="宋体" w:hint="eastAsia"/>
          <w:szCs w:val="21"/>
        </w:rPr>
      </w:pPr>
      <w:r>
        <w:rPr>
          <w:rFonts w:ascii="宋体" w:hAnsi="宋体" w:hint="eastAsia"/>
          <w:szCs w:val="21"/>
        </w:rPr>
        <w:t>3、营业外收支净额，是指营业外收入减去营业外支出的净额。</w:t>
      </w:r>
    </w:p>
    <w:p>
      <w:pPr>
        <w:pStyle w:val="Normal0"/>
        <w:tabs>
          <w:tab w:val="left" w:pos="3795"/>
        </w:tabs>
        <w:spacing w:line="360" w:lineRule="auto"/>
        <w:ind w:left="735" w:hanging="315" w:leftChars="200" w:hangingChars="150"/>
        <w:rPr>
          <w:rFonts w:ascii="宋体" w:hAnsi="宋体" w:hint="eastAsia"/>
          <w:szCs w:val="21"/>
        </w:rPr>
      </w:pPr>
      <w:r>
        <w:rPr>
          <w:rFonts w:ascii="宋体" w:hAnsi="宋体" w:hint="eastAsia"/>
          <w:szCs w:val="21"/>
        </w:rPr>
        <w:t>4、利润总额，是指营业利润、投资收益、营业外收支净额的总和。</w:t>
      </w:r>
    </w:p>
    <w:p>
      <w:pPr>
        <w:pStyle w:val="Normal0"/>
        <w:tabs>
          <w:tab w:val="left" w:pos="3795"/>
        </w:tabs>
        <w:spacing w:line="360" w:lineRule="auto"/>
        <w:ind w:left="735" w:hanging="315" w:leftChars="200" w:hangingChars="150"/>
        <w:rPr>
          <w:rFonts w:ascii="宋体" w:hAnsi="宋体" w:hint="eastAsia"/>
          <w:szCs w:val="21"/>
        </w:rPr>
      </w:pPr>
      <w:r>
        <w:rPr>
          <w:rFonts w:ascii="宋体" w:hAnsi="宋体" w:hint="eastAsia"/>
          <w:szCs w:val="21"/>
        </w:rPr>
        <w:t>5、净利润，是指利润总额减去所得税后的利润。</w:t>
      </w:r>
    </w:p>
    <w:p>
      <w:pPr>
        <w:pStyle w:val="Normal0"/>
        <w:tabs>
          <w:tab w:val="left" w:pos="3795"/>
        </w:tabs>
        <w:spacing w:line="360" w:lineRule="auto"/>
        <w:ind w:left="420" w:hanging="420" w:hangingChars="200"/>
        <w:rPr>
          <w:rFonts w:ascii="宋体" w:hAnsi="宋体" w:hint="eastAsia"/>
          <w:szCs w:val="21"/>
        </w:rPr>
      </w:pPr>
      <w:r>
        <w:rPr>
          <w:rFonts w:ascii="宋体" w:hAnsi="宋体" w:hint="eastAsia"/>
          <w:szCs w:val="21"/>
        </w:rPr>
        <w:t>第五十九条：年终结账后，发现以前年度会计事项处理错误，涉及年度损益的，应在“以前年度损益调整”科目调整计入本年的损益。</w:t>
      </w:r>
    </w:p>
    <w:p>
      <w:pPr>
        <w:pStyle w:val="Normal0"/>
        <w:spacing w:line="360" w:lineRule="auto"/>
        <w:rPr>
          <w:rFonts w:ascii="宋体" w:hAnsi="宋体" w:hint="eastAsia"/>
          <w:b/>
          <w:bCs/>
          <w:szCs w:val="21"/>
        </w:rPr>
      </w:pPr>
      <w:r>
        <w:rPr>
          <w:rFonts w:ascii="宋体" w:hAnsi="宋体" w:hint="eastAsia"/>
          <w:szCs w:val="21"/>
        </w:rPr>
        <w:t>第六十条：实现的利润和利润分配应分别核算。对未分配利润应在未分配利润科目中反映。</w:t>
      </w:r>
    </w:p>
    <w:p>
      <w:pPr>
        <w:pStyle w:val="Normal0"/>
        <w:spacing w:line="360" w:lineRule="auto"/>
        <w:rPr>
          <w:rFonts w:ascii="宋体" w:hAnsi="宋体" w:hint="eastAsia"/>
          <w:b/>
          <w:bCs/>
          <w:szCs w:val="21"/>
        </w:rPr>
      </w:pPr>
      <w:r>
        <w:rPr>
          <w:rFonts w:ascii="宋体" w:hAnsi="宋体" w:hint="eastAsia"/>
          <w:b/>
          <w:bCs/>
          <w:szCs w:val="21"/>
        </w:rPr>
        <w:t>第十三章：会计报表</w:t>
      </w:r>
    </w:p>
    <w:p>
      <w:pPr>
        <w:pStyle w:val="BodyText"/>
        <w:tabs>
          <w:tab w:val="left" w:pos="3795"/>
        </w:tabs>
        <w:ind w:left="420" w:hanging="420" w:hangingChars="200"/>
        <w:rPr>
          <w:rFonts w:ascii="宋体" w:hAnsi="宋体" w:hint="eastAsia"/>
          <w:sz w:val="21"/>
          <w:szCs w:val="21"/>
        </w:rPr>
      </w:pPr>
      <w:r>
        <w:rPr>
          <w:rFonts w:ascii="宋体" w:hAnsi="宋体" w:hint="eastAsia"/>
          <w:sz w:val="21"/>
          <w:szCs w:val="21"/>
        </w:rPr>
        <w:t>第六十一条：酒店按《企业会计报告制度》的要求，真实、准确、及时、完整地编制财务报告，并做到说明清楚、报送及时。</w:t>
      </w:r>
    </w:p>
    <w:p>
      <w:pPr>
        <w:pStyle w:val="Normal0"/>
        <w:tabs>
          <w:tab w:val="left" w:pos="3795"/>
        </w:tabs>
        <w:spacing w:line="360" w:lineRule="auto"/>
        <w:rPr>
          <w:rFonts w:ascii="宋体" w:hAnsi="宋体" w:hint="eastAsia"/>
          <w:szCs w:val="21"/>
        </w:rPr>
      </w:pPr>
      <w:r>
        <w:rPr>
          <w:rFonts w:ascii="宋体" w:hAnsi="宋体" w:hint="eastAsia"/>
          <w:szCs w:val="21"/>
        </w:rPr>
        <w:t>第六十二条：会计报告由会计报表和财务情况说明书组成，会计报表包括：</w:t>
      </w:r>
    </w:p>
    <w:p>
      <w:pPr>
        <w:pStyle w:val="Normal0"/>
        <w:numPr>
          <w:ilvl w:val="1"/>
          <w:numId w:val="60"/>
        </w:numPr>
        <w:tabs>
          <w:tab w:val="left" w:pos="3795"/>
        </w:tabs>
        <w:spacing w:line="360" w:lineRule="auto"/>
        <w:rPr>
          <w:rFonts w:ascii="宋体" w:hAnsi="宋体" w:hint="eastAsia"/>
          <w:szCs w:val="21"/>
        </w:rPr>
      </w:pPr>
      <w:r>
        <w:rPr>
          <w:rFonts w:ascii="宋体" w:hAnsi="宋体" w:hint="eastAsia"/>
          <w:szCs w:val="21"/>
        </w:rPr>
        <w:t>资产负债表</w:t>
      </w:r>
    </w:p>
    <w:p>
      <w:pPr>
        <w:pStyle w:val="Normal0"/>
        <w:numPr>
          <w:ilvl w:val="1"/>
          <w:numId w:val="60"/>
        </w:numPr>
        <w:tabs>
          <w:tab w:val="left" w:pos="3795"/>
        </w:tabs>
        <w:spacing w:line="360" w:lineRule="auto"/>
        <w:rPr>
          <w:rFonts w:ascii="宋体" w:hAnsi="宋体" w:hint="eastAsia"/>
          <w:szCs w:val="21"/>
        </w:rPr>
      </w:pPr>
      <w:r>
        <w:rPr>
          <w:rFonts w:ascii="宋体" w:hAnsi="宋体" w:hint="eastAsia"/>
          <w:szCs w:val="21"/>
        </w:rPr>
        <w:t>损益表</w:t>
      </w:r>
    </w:p>
    <w:p>
      <w:pPr>
        <w:pStyle w:val="Normal0"/>
        <w:numPr>
          <w:ilvl w:val="1"/>
          <w:numId w:val="60"/>
        </w:numPr>
        <w:tabs>
          <w:tab w:val="left" w:pos="3795"/>
        </w:tabs>
        <w:spacing w:line="360" w:lineRule="auto"/>
        <w:rPr>
          <w:rFonts w:ascii="宋体" w:hAnsi="宋体" w:hint="eastAsia"/>
          <w:szCs w:val="21"/>
        </w:rPr>
      </w:pPr>
      <w:r>
        <w:rPr>
          <w:rFonts w:ascii="宋体" w:hAnsi="宋体" w:hint="eastAsia"/>
          <w:szCs w:val="21"/>
        </w:rPr>
        <w:t>有关附表</w:t>
      </w:r>
    </w:p>
    <w:p>
      <w:pPr>
        <w:pStyle w:val="Normal0"/>
        <w:tabs>
          <w:tab w:val="left" w:pos="3795"/>
        </w:tabs>
        <w:spacing w:line="360" w:lineRule="auto"/>
        <w:ind w:left="420" w:hanging="420" w:hangingChars="200"/>
        <w:rPr>
          <w:rFonts w:ascii="宋体" w:hAnsi="宋体" w:hint="eastAsia"/>
          <w:szCs w:val="21"/>
        </w:rPr>
      </w:pPr>
      <w:r>
        <w:rPr>
          <w:rFonts w:ascii="宋体" w:hAnsi="宋体" w:hint="eastAsia"/>
          <w:szCs w:val="21"/>
        </w:rPr>
        <w:t>第六十三条：会计报表按财政、税务等部门的要求编制，准时报送。对外报表在月份终了后10日内报出，年度报表于月份终了后20日报出。对内报表于月份终了后10日前报出，年度报表于月份终了后20日报出。</w:t>
      </w:r>
    </w:p>
    <w:p>
      <w:pPr>
        <w:pStyle w:val="Normal0"/>
        <w:tabs>
          <w:tab w:val="left" w:pos="3795"/>
        </w:tabs>
        <w:spacing w:line="360" w:lineRule="auto"/>
        <w:ind w:left="420" w:hanging="420" w:hangingChars="200"/>
        <w:rPr>
          <w:rFonts w:ascii="宋体" w:hAnsi="宋体" w:hint="eastAsia"/>
          <w:szCs w:val="21"/>
        </w:rPr>
      </w:pPr>
      <w:r>
        <w:rPr>
          <w:rFonts w:ascii="宋体" w:hAnsi="宋体" w:hint="eastAsia"/>
          <w:szCs w:val="21"/>
        </w:rPr>
        <w:t>第六十四条：各种会计报表之间、</w:t>
      </w:r>
      <w:r>
        <w:rPr>
          <w:rFonts w:ascii="宋体" w:hAnsi="宋体" w:hint="eastAsia"/>
          <w:szCs w:val="21"/>
          <w:lang w:eastAsia="zh-CN"/>
        </w:rPr>
        <w:t>相关项目</w:t>
      </w:r>
      <w:r>
        <w:rPr>
          <w:rFonts w:ascii="宋体" w:hAnsi="宋体" w:hint="eastAsia"/>
          <w:szCs w:val="21"/>
        </w:rPr>
        <w:t>之间，凡有对应关系的数字，应相互一致，本期报表与上期报表之间的有关数字应相互衔接，各个年度会计报表中各</w:t>
      </w:r>
      <w:r>
        <w:rPr>
          <w:rFonts w:ascii="宋体" w:hAnsi="宋体" w:hint="eastAsia"/>
          <w:szCs w:val="21"/>
          <w:lang w:eastAsia="zh-CN"/>
        </w:rPr>
        <w:t>相关项目合适的内容</w:t>
      </w:r>
      <w:r>
        <w:rPr>
          <w:rFonts w:ascii="宋体" w:hAnsi="宋体" w:hint="eastAsia"/>
          <w:szCs w:val="21"/>
        </w:rPr>
        <w:t>和核算方法如有变动，应在年度会计报表中加以说明。</w:t>
      </w:r>
    </w:p>
    <w:p>
      <w:pPr>
        <w:pStyle w:val="Normal0"/>
        <w:tabs>
          <w:tab w:val="left" w:pos="3795"/>
        </w:tabs>
        <w:spacing w:line="360" w:lineRule="auto"/>
        <w:rPr>
          <w:rFonts w:ascii="宋体" w:hAnsi="宋体" w:hint="eastAsia"/>
          <w:szCs w:val="21"/>
        </w:rPr>
      </w:pPr>
      <w:r>
        <w:rPr>
          <w:rFonts w:ascii="宋体" w:hAnsi="宋体" w:hint="eastAsia"/>
          <w:szCs w:val="21"/>
        </w:rPr>
        <w:t>第六十五条：各种会计报表中所规定的补充资料，应填列齐全，不得遗漏。</w:t>
      </w:r>
    </w:p>
    <w:p>
      <w:pPr>
        <w:pStyle w:val="Normal0"/>
        <w:tabs>
          <w:tab w:val="left" w:pos="3795"/>
        </w:tabs>
        <w:spacing w:line="360" w:lineRule="auto"/>
        <w:rPr>
          <w:rFonts w:ascii="宋体" w:hAnsi="宋体" w:hint="eastAsia"/>
          <w:szCs w:val="21"/>
        </w:rPr>
      </w:pPr>
      <w:r>
        <w:rPr>
          <w:rFonts w:ascii="宋体" w:hAnsi="宋体" w:hint="eastAsia"/>
          <w:szCs w:val="21"/>
        </w:rPr>
        <w:t>第六十六条：向外报送的会计报表应依次编定页数，按有关部门的要求办理。</w:t>
      </w:r>
    </w:p>
    <w:p>
      <w:pPr>
        <w:pStyle w:val="Normal0"/>
        <w:spacing w:line="360" w:lineRule="auto"/>
        <w:rPr>
          <w:rFonts w:ascii="宋体" w:hAnsi="宋体" w:hint="eastAsia"/>
          <w:b/>
          <w:bCs/>
          <w:szCs w:val="21"/>
        </w:rPr>
      </w:pPr>
      <w:r>
        <w:rPr>
          <w:rFonts w:ascii="宋体" w:hAnsi="宋体" w:hint="eastAsia"/>
          <w:b/>
          <w:bCs/>
          <w:szCs w:val="21"/>
        </w:rPr>
        <w:t>第十四章：票据</w:t>
      </w:r>
      <w:r>
        <w:rPr>
          <w:rFonts w:ascii="宋体" w:hAnsi="宋体" w:hint="eastAsia"/>
          <w:b/>
          <w:bCs/>
          <w:szCs w:val="21"/>
          <w:lang w:eastAsia="zh-CN"/>
        </w:rPr>
        <w:t>管理管控</w:t>
      </w:r>
    </w:p>
    <w:p>
      <w:pPr>
        <w:pStyle w:val="Normal0"/>
        <w:spacing w:line="360" w:lineRule="auto"/>
        <w:ind w:left="420" w:hanging="420" w:hangingChars="200"/>
        <w:rPr>
          <w:rFonts w:ascii="宋体" w:hAnsi="宋体" w:hint="eastAsia"/>
          <w:bCs/>
          <w:szCs w:val="21"/>
        </w:rPr>
      </w:pPr>
      <w:r>
        <w:rPr>
          <w:rFonts w:ascii="宋体" w:hAnsi="宋体" w:hint="eastAsia"/>
          <w:bCs/>
          <w:szCs w:val="21"/>
        </w:rPr>
        <w:t>第六十七条：酒店票据包括酒店用于业务结算的支汇、汇票；用于经营</w:t>
      </w:r>
      <w:r>
        <w:rPr>
          <w:rFonts w:ascii="宋体" w:hAnsi="宋体" w:hint="eastAsia"/>
          <w:bCs/>
          <w:szCs w:val="21"/>
          <w:lang w:eastAsia="zh-CN"/>
        </w:rPr>
        <w:t>管理管控</w:t>
      </w:r>
      <w:r>
        <w:rPr>
          <w:rFonts w:ascii="宋体" w:hAnsi="宋体" w:hint="eastAsia"/>
          <w:bCs/>
          <w:szCs w:val="21"/>
        </w:rPr>
        <w:t>活动的发票、收款收据，用于经营活动的有价票券和赠券。</w:t>
      </w:r>
    </w:p>
    <w:p>
      <w:pPr>
        <w:pStyle w:val="Normal0"/>
        <w:spacing w:line="360" w:lineRule="auto"/>
        <w:ind w:left="735" w:hanging="315" w:leftChars="200" w:hangingChars="150"/>
        <w:rPr>
          <w:rFonts w:ascii="宋体" w:hAnsi="宋体" w:hint="eastAsia"/>
          <w:bCs/>
          <w:szCs w:val="21"/>
        </w:rPr>
      </w:pPr>
      <w:r>
        <w:rPr>
          <w:rFonts w:ascii="宋体" w:hAnsi="宋体" w:hint="eastAsia"/>
          <w:bCs/>
          <w:szCs w:val="21"/>
        </w:rPr>
        <w:t>1、支票、汇票是酒店的重要结算凭证，由专人</w:t>
      </w:r>
      <w:r>
        <w:rPr>
          <w:rFonts w:ascii="宋体" w:hAnsi="宋体" w:hint="eastAsia"/>
          <w:bCs/>
          <w:szCs w:val="21"/>
          <w:lang w:eastAsia="zh-CN"/>
        </w:rPr>
        <w:t>管理管控</w:t>
      </w:r>
      <w:r>
        <w:rPr>
          <w:rFonts w:ascii="宋体" w:hAnsi="宋体" w:hint="eastAsia"/>
          <w:bCs/>
          <w:szCs w:val="21"/>
        </w:rPr>
        <w:t>、由会计监督。</w:t>
      </w:r>
    </w:p>
    <w:p>
      <w:pPr>
        <w:pStyle w:val="Normal0"/>
        <w:spacing w:line="360" w:lineRule="auto"/>
        <w:ind w:firstLine="420"/>
        <w:rPr>
          <w:rFonts w:ascii="宋体" w:hAnsi="宋体" w:hint="eastAsia"/>
          <w:bCs/>
          <w:szCs w:val="21"/>
        </w:rPr>
        <w:sectPr>
          <w:headerReference w:type="default" r:id="rId23"/>
          <w:footerReference w:type="default" r:id="rId24"/>
          <w:type w:val="nextPage"/>
          <w:pgSz w:w="11906" w:h="16838"/>
          <w:pgMar w:top="851" w:right="1466" w:bottom="1077" w:left="1800" w:header="720" w:footer="720" w:gutter="0"/>
          <w:pgNumType w:start="10"/>
          <w:cols w:num="1" w:space="720"/>
          <w:titlePg w:val="0"/>
          <w:docGrid w:type="lines" w:linePitch="312" w:charSpace="0"/>
        </w:sectPr>
      </w:pPr>
      <w:r>
        <w:rPr>
          <w:rFonts w:ascii="宋体" w:hAnsi="宋体" w:hint="eastAsia"/>
          <w:bCs/>
          <w:szCs w:val="21"/>
        </w:rPr>
        <w:t>2、发票、收款收据是用于证明经济业务发生的重要凭证，由会计部负责</w:t>
      </w:r>
      <w:r>
        <w:rPr>
          <w:rFonts w:ascii="宋体" w:hAnsi="宋体" w:hint="eastAsia"/>
          <w:bCs/>
          <w:szCs w:val="21"/>
          <w:lang w:eastAsia="zh-CN"/>
        </w:rPr>
        <w:t>管理管控</w:t>
      </w:r>
      <w:r>
        <w:rPr>
          <w:rFonts w:ascii="宋体" w:hAnsi="宋体" w:hint="eastAsia"/>
          <w:bCs/>
          <w:szCs w:val="21"/>
        </w:rPr>
        <w:t>和核销。</w:t>
      </w:r>
    </w:p>
    <w:p>
      <w:pPr>
        <w:pStyle w:val="Normal0"/>
        <w:spacing w:line="360" w:lineRule="auto"/>
        <w:ind w:left="735" w:hanging="315" w:leftChars="200" w:hangingChars="150"/>
        <w:rPr>
          <w:rFonts w:ascii="宋体" w:hAnsi="宋体" w:hint="eastAsia"/>
          <w:bCs/>
          <w:szCs w:val="21"/>
        </w:rPr>
      </w:pPr>
      <w:r>
        <w:rPr>
          <w:rFonts w:ascii="宋体" w:hAnsi="宋体" w:hint="eastAsia"/>
          <w:bCs/>
          <w:szCs w:val="21"/>
        </w:rPr>
        <w:t>3、有价票券和赠券是用于酒店经营活动，在酒店范围内使用的结算票券，由财务部统一</w:t>
      </w:r>
      <w:r>
        <w:rPr>
          <w:rFonts w:ascii="宋体" w:hAnsi="宋体" w:hint="eastAsia"/>
          <w:bCs/>
          <w:szCs w:val="21"/>
          <w:lang w:eastAsia="zh-CN"/>
        </w:rPr>
        <w:t>管理管控</w:t>
      </w:r>
      <w:r>
        <w:rPr>
          <w:rFonts w:ascii="宋体" w:hAnsi="宋体" w:hint="eastAsia"/>
          <w:bCs/>
          <w:szCs w:val="21"/>
        </w:rPr>
        <w:t>、统一发放。</w:t>
      </w:r>
    </w:p>
    <w:p>
      <w:pPr>
        <w:pStyle w:val="Normal0"/>
        <w:spacing w:line="360" w:lineRule="auto"/>
        <w:rPr>
          <w:rFonts w:ascii="宋体" w:hAnsi="宋体" w:hint="eastAsia"/>
          <w:b/>
          <w:bCs/>
          <w:szCs w:val="21"/>
        </w:rPr>
      </w:pPr>
      <w:r>
        <w:rPr>
          <w:rFonts w:ascii="宋体" w:hAnsi="宋体" w:hint="eastAsia"/>
          <w:b/>
          <w:bCs/>
          <w:szCs w:val="21"/>
        </w:rPr>
        <w:t>第十五章：会计档案</w:t>
      </w:r>
    </w:p>
    <w:p>
      <w:pPr>
        <w:pStyle w:val="Normal0"/>
        <w:spacing w:line="360" w:lineRule="auto"/>
        <w:ind w:left="420" w:hanging="420" w:hangingChars="200"/>
        <w:rPr>
          <w:rFonts w:ascii="宋体" w:hAnsi="宋体" w:hint="eastAsia"/>
          <w:bCs/>
          <w:szCs w:val="21"/>
        </w:rPr>
      </w:pPr>
      <w:r>
        <w:rPr>
          <w:rFonts w:ascii="宋体" w:hAnsi="宋体" w:hint="eastAsia"/>
          <w:bCs/>
          <w:szCs w:val="21"/>
        </w:rPr>
        <w:t>第六十八条：会计档案包括记账凭证、会计账本、会计报表、财务会计文件、预算表和其他有价值的会计资料。</w:t>
      </w:r>
    </w:p>
    <w:p>
      <w:pPr>
        <w:pStyle w:val="Normal0"/>
        <w:spacing w:line="360" w:lineRule="auto"/>
        <w:rPr>
          <w:rFonts w:ascii="宋体" w:hAnsi="宋体" w:hint="eastAsia"/>
          <w:bCs/>
          <w:szCs w:val="21"/>
        </w:rPr>
      </w:pPr>
      <w:r>
        <w:rPr>
          <w:rFonts w:ascii="宋体" w:hAnsi="宋体" w:hint="eastAsia"/>
          <w:bCs/>
          <w:szCs w:val="21"/>
        </w:rPr>
        <w:t>第六十九条：会计档案由会计负责</w:t>
      </w:r>
      <w:r>
        <w:rPr>
          <w:rFonts w:ascii="宋体" w:hAnsi="宋体" w:hint="eastAsia"/>
          <w:bCs/>
          <w:szCs w:val="21"/>
          <w:lang w:eastAsia="zh-CN"/>
        </w:rPr>
        <w:t>管理管控</w:t>
      </w:r>
      <w:r>
        <w:rPr>
          <w:rFonts w:ascii="宋体" w:hAnsi="宋体" w:hint="eastAsia"/>
          <w:bCs/>
          <w:szCs w:val="21"/>
        </w:rPr>
        <w:t>，财务主管人员监督。会计离职时应办理移交手续。</w:t>
      </w:r>
    </w:p>
    <w:p>
      <w:pPr>
        <w:pStyle w:val="Normal0"/>
        <w:spacing w:line="360" w:lineRule="auto"/>
        <w:rPr>
          <w:rFonts w:ascii="宋体" w:hAnsi="宋体" w:hint="eastAsia"/>
          <w:bCs/>
          <w:szCs w:val="21"/>
        </w:rPr>
      </w:pPr>
      <w:r>
        <w:rPr>
          <w:rFonts w:ascii="宋体" w:hAnsi="宋体" w:hint="eastAsia"/>
          <w:bCs/>
          <w:szCs w:val="21"/>
        </w:rPr>
        <w:t>第七十条：会计档案应按时间、按类别、按顺序装订成册，编号列表保管。</w:t>
      </w:r>
    </w:p>
    <w:p>
      <w:pPr>
        <w:pStyle w:val="Normal0"/>
        <w:spacing w:line="360" w:lineRule="auto"/>
        <w:rPr>
          <w:rFonts w:ascii="宋体" w:hAnsi="宋体" w:hint="eastAsia"/>
          <w:bCs/>
          <w:szCs w:val="21"/>
        </w:rPr>
      </w:pPr>
      <w:r>
        <w:rPr>
          <w:rFonts w:ascii="宋体" w:hAnsi="宋体" w:hint="eastAsia"/>
          <w:bCs/>
          <w:szCs w:val="21"/>
        </w:rPr>
        <w:t>第七十一条：会计档案保管时间按国家档案</w:t>
      </w:r>
      <w:r>
        <w:rPr>
          <w:rFonts w:ascii="宋体" w:hAnsi="宋体" w:hint="eastAsia"/>
          <w:bCs/>
          <w:szCs w:val="21"/>
          <w:lang w:eastAsia="zh-CN"/>
        </w:rPr>
        <w:t>管理管控</w:t>
      </w:r>
      <w:r>
        <w:rPr>
          <w:rFonts w:ascii="宋体" w:hAnsi="宋体" w:hint="eastAsia"/>
          <w:bCs/>
          <w:szCs w:val="21"/>
        </w:rPr>
        <w:t>规定执行。</w:t>
      </w:r>
    </w:p>
    <w:p>
      <w:pPr>
        <w:pStyle w:val="Normal0"/>
        <w:spacing w:line="360" w:lineRule="auto"/>
        <w:rPr>
          <w:rFonts w:ascii="宋体" w:hAnsi="宋体" w:hint="eastAsia"/>
          <w:bCs/>
          <w:szCs w:val="21"/>
        </w:rPr>
      </w:pPr>
      <w:r>
        <w:rPr>
          <w:rFonts w:ascii="宋体" w:hAnsi="宋体" w:hint="eastAsia"/>
          <w:bCs/>
          <w:szCs w:val="21"/>
        </w:rPr>
        <w:t>第七十二条：会计档案不得外借，内部借阅应经财务经理同意后办理借阅手续。</w:t>
      </w:r>
    </w:p>
    <w:p>
      <w:pPr>
        <w:pStyle w:val="Normal0"/>
        <w:spacing w:line="360" w:lineRule="auto"/>
        <w:ind w:left="420" w:hanging="420" w:hangingChars="200"/>
        <w:rPr>
          <w:rFonts w:ascii="宋体" w:hAnsi="宋体" w:hint="eastAsia"/>
          <w:bCs/>
          <w:szCs w:val="21"/>
        </w:rPr>
      </w:pPr>
      <w:r>
        <w:rPr>
          <w:rFonts w:ascii="宋体" w:hAnsi="宋体" w:hint="eastAsia"/>
          <w:bCs/>
          <w:szCs w:val="21"/>
        </w:rPr>
        <w:t>第七十三条：会计档案保管期满需销毁时，应填写销毁清册呈报审批，经审批后由财务人员和总经办人员共同销毁，并在销毁清册上签名盖章。</w:t>
      </w:r>
    </w:p>
    <w:p>
      <w:pPr>
        <w:pStyle w:val="Normal0"/>
        <w:spacing w:line="360" w:lineRule="auto"/>
        <w:rPr>
          <w:rFonts w:ascii="宋体" w:hAnsi="宋体" w:hint="eastAsia"/>
          <w:b/>
          <w:bCs/>
          <w:szCs w:val="21"/>
        </w:rPr>
      </w:pPr>
      <w:r>
        <w:rPr>
          <w:rFonts w:ascii="宋体" w:hAnsi="宋体" w:hint="eastAsia"/>
          <w:b/>
          <w:bCs/>
          <w:szCs w:val="21"/>
        </w:rPr>
        <w:t>第十六章：附则</w:t>
      </w:r>
    </w:p>
    <w:p>
      <w:pPr>
        <w:pStyle w:val="Normal0"/>
        <w:spacing w:line="360" w:lineRule="auto"/>
        <w:rPr>
          <w:rFonts w:ascii="宋体" w:hAnsi="宋体" w:hint="eastAsia"/>
          <w:szCs w:val="21"/>
        </w:rPr>
      </w:pPr>
      <w:r>
        <w:rPr>
          <w:rFonts w:ascii="宋体" w:hAnsi="宋体" w:hint="eastAsia"/>
          <w:szCs w:val="21"/>
        </w:rPr>
        <w:t>第七十四条：本制度经审批后执行。</w:t>
      </w:r>
    </w:p>
    <w:p>
      <w:pPr>
        <w:pStyle w:val="Normal0"/>
        <w:spacing w:line="360" w:lineRule="auto"/>
        <w:rPr>
          <w:rFonts w:ascii="宋体" w:hAnsi="宋体" w:hint="eastAsia"/>
          <w:szCs w:val="21"/>
        </w:rPr>
      </w:pPr>
      <w:r>
        <w:rPr>
          <w:rFonts w:ascii="宋体" w:hAnsi="宋体" w:hint="eastAsia"/>
          <w:szCs w:val="21"/>
        </w:rPr>
        <w:t>第七十五条：本制度由财务部解释和修订，修订</w:t>
      </w:r>
      <w:r>
        <w:rPr>
          <w:rFonts w:ascii="宋体" w:hAnsi="宋体" w:hint="eastAsia"/>
          <w:szCs w:val="21"/>
          <w:lang w:eastAsia="zh-CN"/>
        </w:rPr>
        <w:t>合适的内容</w:t>
      </w:r>
      <w:r>
        <w:rPr>
          <w:rFonts w:ascii="宋体" w:hAnsi="宋体" w:hint="eastAsia"/>
          <w:szCs w:val="21"/>
        </w:rPr>
        <w:t>报总经理和集团财务部审批。</w:t>
      </w:r>
    </w:p>
    <w:p>
      <w:pPr>
        <w:pStyle w:val="Normal0"/>
        <w:spacing w:line="720" w:lineRule="auto"/>
        <w:jc w:val="center"/>
        <w:rPr>
          <w:rFonts w:ascii="宋体" w:hAnsi="宋体" w:hint="eastAsia"/>
          <w:b/>
          <w:sz w:val="28"/>
          <w:szCs w:val="28"/>
        </w:rPr>
      </w:pPr>
      <w:r>
        <w:rPr>
          <w:rFonts w:ascii="宋体" w:hAnsi="宋体" w:hint="eastAsia"/>
          <w:b/>
          <w:sz w:val="28"/>
          <w:szCs w:val="28"/>
        </w:rPr>
        <w:t>第二篇：</w:t>
      </w:r>
      <w:r>
        <w:rPr>
          <w:rFonts w:ascii="宋体" w:hAnsi="宋体" w:hint="eastAsia"/>
          <w:b/>
          <w:sz w:val="28"/>
          <w:szCs w:val="28"/>
          <w:lang w:eastAsia="zh-CN"/>
        </w:rPr>
        <w:t>相关计划管理管控</w:t>
      </w:r>
      <w:r>
        <w:rPr>
          <w:rFonts w:ascii="宋体" w:hAnsi="宋体" w:hint="eastAsia"/>
          <w:b/>
          <w:sz w:val="28"/>
          <w:szCs w:val="28"/>
        </w:rPr>
        <w:t>制度</w:t>
      </w:r>
    </w:p>
    <w:p>
      <w:pPr>
        <w:pStyle w:val="Normal0"/>
        <w:spacing w:line="360" w:lineRule="auto"/>
        <w:rPr>
          <w:rFonts w:ascii="宋体" w:hAnsi="宋体" w:hint="eastAsia"/>
          <w:b/>
          <w:bCs/>
          <w:szCs w:val="21"/>
        </w:rPr>
      </w:pPr>
      <w:r>
        <w:rPr>
          <w:rFonts w:ascii="宋体" w:hAnsi="宋体" w:hint="eastAsia"/>
          <w:b/>
          <w:bCs/>
          <w:szCs w:val="21"/>
        </w:rPr>
        <w:t>第一章：总则</w:t>
      </w:r>
    </w:p>
    <w:p>
      <w:pPr>
        <w:pStyle w:val="Normal0"/>
        <w:spacing w:line="360" w:lineRule="auto"/>
        <w:ind w:left="420" w:hanging="420" w:hangingChars="200"/>
        <w:rPr>
          <w:rFonts w:ascii="宋体" w:hAnsi="宋体" w:hint="eastAsia"/>
          <w:bCs/>
          <w:szCs w:val="21"/>
        </w:rPr>
      </w:pPr>
      <w:r>
        <w:rPr>
          <w:rFonts w:ascii="宋体" w:hAnsi="宋体" w:hint="eastAsia"/>
          <w:bCs/>
          <w:szCs w:val="21"/>
        </w:rPr>
        <w:t>第一条：为促进酒店经营</w:t>
      </w:r>
      <w:r>
        <w:rPr>
          <w:rFonts w:ascii="宋体" w:hAnsi="宋体" w:hint="eastAsia"/>
          <w:bCs/>
          <w:szCs w:val="21"/>
          <w:lang w:eastAsia="zh-CN"/>
        </w:rPr>
        <w:t>管理管控</w:t>
      </w:r>
      <w:r>
        <w:rPr>
          <w:rFonts w:ascii="宋体" w:hAnsi="宋体" w:hint="eastAsia"/>
          <w:bCs/>
          <w:szCs w:val="21"/>
        </w:rPr>
        <w:t>，做好财务</w:t>
      </w:r>
      <w:r>
        <w:rPr>
          <w:rFonts w:ascii="宋体" w:hAnsi="宋体" w:hint="eastAsia"/>
          <w:bCs/>
          <w:szCs w:val="21"/>
          <w:lang w:eastAsia="zh-CN"/>
        </w:rPr>
        <w:t>相关计划</w:t>
      </w:r>
      <w:r>
        <w:rPr>
          <w:rFonts w:ascii="宋体" w:hAnsi="宋体" w:hint="eastAsia"/>
          <w:bCs/>
          <w:szCs w:val="21"/>
        </w:rPr>
        <w:t>工作，充分发挥</w:t>
      </w:r>
      <w:r>
        <w:rPr>
          <w:rFonts w:ascii="宋体" w:hAnsi="宋体" w:hint="eastAsia"/>
          <w:bCs/>
          <w:szCs w:val="21"/>
          <w:lang w:eastAsia="zh-CN"/>
        </w:rPr>
        <w:t>相关计划</w:t>
      </w:r>
      <w:r>
        <w:rPr>
          <w:rFonts w:ascii="宋体" w:hAnsi="宋体" w:hint="eastAsia"/>
          <w:bCs/>
          <w:szCs w:val="21"/>
        </w:rPr>
        <w:t>的控制与</w:t>
      </w:r>
      <w:r>
        <w:rPr>
          <w:rFonts w:ascii="宋体" w:hAnsi="宋体" w:hint="eastAsia"/>
          <w:bCs/>
          <w:szCs w:val="21"/>
          <w:lang w:eastAsia="zh-CN"/>
        </w:rPr>
        <w:t>管理管控</w:t>
      </w:r>
      <w:r>
        <w:rPr>
          <w:rFonts w:ascii="宋体" w:hAnsi="宋体" w:hint="eastAsia"/>
          <w:bCs/>
          <w:szCs w:val="21"/>
        </w:rPr>
        <w:t>作用，保障酒店经济活动有序进行，根据财务</w:t>
      </w:r>
      <w:r>
        <w:rPr>
          <w:rFonts w:ascii="宋体" w:hAnsi="宋体" w:hint="eastAsia"/>
          <w:bCs/>
          <w:szCs w:val="21"/>
          <w:lang w:eastAsia="zh-CN"/>
        </w:rPr>
        <w:t>管理管控</w:t>
      </w:r>
      <w:r>
        <w:rPr>
          <w:rFonts w:ascii="宋体" w:hAnsi="宋体" w:hint="eastAsia"/>
          <w:bCs/>
          <w:szCs w:val="21"/>
        </w:rPr>
        <w:t>制度规定，制定本制度。</w:t>
      </w:r>
    </w:p>
    <w:p>
      <w:pPr>
        <w:pStyle w:val="Normal0"/>
        <w:spacing w:line="360" w:lineRule="auto"/>
        <w:ind w:left="420" w:hanging="420" w:hangingChars="200"/>
        <w:rPr>
          <w:rFonts w:ascii="宋体" w:hAnsi="宋体" w:hint="eastAsia"/>
          <w:bCs/>
          <w:szCs w:val="21"/>
        </w:rPr>
      </w:pPr>
      <w:r>
        <w:rPr>
          <w:rFonts w:ascii="宋体" w:hAnsi="宋体" w:hint="eastAsia"/>
          <w:bCs/>
          <w:szCs w:val="21"/>
        </w:rPr>
        <w:t>第二条：财务</w:t>
      </w:r>
      <w:r>
        <w:rPr>
          <w:rFonts w:ascii="宋体" w:hAnsi="宋体" w:hint="eastAsia"/>
          <w:bCs/>
          <w:szCs w:val="21"/>
          <w:lang w:eastAsia="zh-CN"/>
        </w:rPr>
        <w:t>相关计划</w:t>
      </w:r>
      <w:r>
        <w:rPr>
          <w:rFonts w:ascii="宋体" w:hAnsi="宋体" w:hint="eastAsia"/>
          <w:bCs/>
          <w:szCs w:val="21"/>
        </w:rPr>
        <w:t>应根据酒店实际情况，结合市场动态，按董事会对酒店经营和</w:t>
      </w:r>
      <w:r>
        <w:rPr>
          <w:rFonts w:ascii="宋体" w:hAnsi="宋体" w:hint="eastAsia"/>
          <w:bCs/>
          <w:szCs w:val="21"/>
          <w:lang w:eastAsia="zh-CN"/>
        </w:rPr>
        <w:t>管理管控</w:t>
      </w:r>
      <w:r>
        <w:rPr>
          <w:rFonts w:ascii="宋体" w:hAnsi="宋体" w:hint="eastAsia"/>
          <w:bCs/>
          <w:szCs w:val="21"/>
        </w:rPr>
        <w:t>目标的要求，以激励员工的机制，并按全体员工的共同努力可以实现或达到的目标为基础，以科学的方法编制各项预算。</w:t>
      </w:r>
    </w:p>
    <w:p>
      <w:pPr>
        <w:pStyle w:val="Normal0"/>
        <w:spacing w:line="360" w:lineRule="auto"/>
        <w:ind w:left="420" w:hanging="420" w:hangingChars="200"/>
        <w:rPr>
          <w:rFonts w:ascii="宋体" w:hAnsi="宋体" w:hint="eastAsia"/>
          <w:bCs/>
          <w:szCs w:val="21"/>
        </w:rPr>
      </w:pPr>
      <w:r>
        <w:rPr>
          <w:rFonts w:ascii="宋体" w:hAnsi="宋体" w:hint="eastAsia"/>
          <w:bCs/>
          <w:szCs w:val="21"/>
        </w:rPr>
        <w:t>第三条：预算由下而上编制，以全员参与为目的，以能充分调动员工积极性和主观能动性为要求，做到不虚报、不浮夸，切合实际进行编制。</w:t>
      </w:r>
    </w:p>
    <w:p>
      <w:pPr>
        <w:pStyle w:val="Normal0"/>
        <w:spacing w:line="360" w:lineRule="auto"/>
        <w:ind w:left="420" w:hanging="420" w:hangingChars="200"/>
        <w:rPr>
          <w:rFonts w:ascii="宋体" w:hAnsi="宋体" w:hint="eastAsia"/>
          <w:bCs/>
          <w:szCs w:val="21"/>
        </w:rPr>
      </w:pPr>
      <w:r>
        <w:rPr>
          <w:rFonts w:ascii="宋体" w:hAnsi="宋体" w:hint="eastAsia"/>
          <w:bCs/>
          <w:szCs w:val="21"/>
        </w:rPr>
        <w:t>第四条：预算经财务部审核和修正，由总经理批准，并委托财务部以</w:t>
      </w:r>
      <w:r>
        <w:rPr>
          <w:rFonts w:ascii="宋体" w:hAnsi="宋体" w:hint="eastAsia"/>
          <w:bCs/>
          <w:szCs w:val="21"/>
          <w:lang w:eastAsia="zh-CN"/>
        </w:rPr>
        <w:t>相关计划</w:t>
      </w:r>
      <w:r>
        <w:rPr>
          <w:rFonts w:ascii="宋体" w:hAnsi="宋体" w:hint="eastAsia"/>
          <w:bCs/>
          <w:szCs w:val="21"/>
        </w:rPr>
        <w:t>方式下达至各部门执行，并定期进行考核。</w:t>
      </w:r>
    </w:p>
    <w:p>
      <w:pPr>
        <w:pStyle w:val="Normal0"/>
        <w:spacing w:line="360" w:lineRule="auto"/>
        <w:ind w:left="420" w:hanging="420" w:hangingChars="200"/>
        <w:rPr>
          <w:rFonts w:ascii="宋体" w:hAnsi="宋体" w:hint="eastAsia"/>
          <w:bCs/>
          <w:szCs w:val="21"/>
        </w:rPr>
        <w:sectPr>
          <w:headerReference w:type="default" r:id="rId25"/>
          <w:footerReference w:type="default" r:id="rId26"/>
          <w:type w:val="nextPage"/>
          <w:pgSz w:w="11906" w:h="16838"/>
          <w:pgMar w:top="851" w:right="1466" w:bottom="1077" w:left="1800" w:header="720" w:footer="720" w:gutter="0"/>
          <w:pgNumType w:start="11"/>
          <w:cols w:num="1" w:space="720"/>
          <w:titlePg w:val="0"/>
          <w:docGrid w:type="lines" w:linePitch="312" w:charSpace="0"/>
        </w:sectPr>
      </w:pPr>
      <w:r>
        <w:rPr>
          <w:rFonts w:ascii="宋体" w:hAnsi="宋体" w:hint="eastAsia"/>
          <w:bCs/>
          <w:szCs w:val="21"/>
        </w:rPr>
        <w:t>第五条：</w:t>
      </w:r>
      <w:r>
        <w:rPr>
          <w:rFonts w:ascii="宋体" w:hAnsi="宋体" w:hint="eastAsia"/>
          <w:bCs/>
          <w:szCs w:val="21"/>
          <w:lang w:eastAsia="zh-CN"/>
        </w:rPr>
        <w:t>相关计划</w:t>
      </w:r>
      <w:r>
        <w:rPr>
          <w:rFonts w:ascii="宋体" w:hAnsi="宋体" w:hint="eastAsia"/>
          <w:bCs/>
          <w:szCs w:val="21"/>
        </w:rPr>
        <w:t>分为年度</w:t>
      </w:r>
      <w:r>
        <w:rPr>
          <w:rFonts w:ascii="宋体" w:hAnsi="宋体" w:hint="eastAsia"/>
          <w:bCs/>
          <w:szCs w:val="21"/>
          <w:lang w:eastAsia="zh-CN"/>
        </w:rPr>
        <w:t>相关计划</w:t>
      </w:r>
      <w:r>
        <w:rPr>
          <w:rFonts w:ascii="宋体" w:hAnsi="宋体" w:hint="eastAsia"/>
          <w:bCs/>
          <w:szCs w:val="21"/>
        </w:rPr>
        <w:t>、季度</w:t>
      </w:r>
      <w:r>
        <w:rPr>
          <w:rFonts w:ascii="宋体" w:hAnsi="宋体" w:hint="eastAsia"/>
          <w:bCs/>
          <w:szCs w:val="21"/>
          <w:lang w:eastAsia="zh-CN"/>
        </w:rPr>
        <w:t>相关计划</w:t>
      </w:r>
      <w:r>
        <w:rPr>
          <w:rFonts w:ascii="宋体" w:hAnsi="宋体" w:hint="eastAsia"/>
          <w:bCs/>
          <w:szCs w:val="21"/>
        </w:rPr>
        <w:t>、月度</w:t>
      </w:r>
      <w:r>
        <w:rPr>
          <w:rFonts w:ascii="宋体" w:hAnsi="宋体" w:hint="eastAsia"/>
          <w:bCs/>
          <w:szCs w:val="21"/>
          <w:lang w:eastAsia="zh-CN"/>
        </w:rPr>
        <w:t>相关计划</w:t>
      </w:r>
      <w:r>
        <w:rPr>
          <w:rFonts w:ascii="宋体" w:hAnsi="宋体" w:hint="eastAsia"/>
          <w:bCs/>
          <w:szCs w:val="21"/>
        </w:rPr>
        <w:t>，年度</w:t>
      </w:r>
      <w:r>
        <w:rPr>
          <w:rFonts w:ascii="宋体" w:hAnsi="宋体" w:hint="eastAsia"/>
          <w:bCs/>
          <w:szCs w:val="21"/>
          <w:lang w:eastAsia="zh-CN"/>
        </w:rPr>
        <w:t>相关计划</w:t>
      </w:r>
      <w:r>
        <w:rPr>
          <w:rFonts w:ascii="宋体" w:hAnsi="宋体" w:hint="eastAsia"/>
          <w:bCs/>
          <w:szCs w:val="21"/>
        </w:rPr>
        <w:t>于每年12月中旬完成，季度</w:t>
      </w:r>
      <w:r>
        <w:rPr>
          <w:rFonts w:ascii="宋体" w:hAnsi="宋体" w:hint="eastAsia"/>
          <w:bCs/>
          <w:szCs w:val="21"/>
          <w:lang w:eastAsia="zh-CN"/>
        </w:rPr>
        <w:t>相关计划</w:t>
      </w:r>
      <w:r>
        <w:rPr>
          <w:rFonts w:ascii="宋体" w:hAnsi="宋体" w:hint="eastAsia"/>
          <w:bCs/>
          <w:szCs w:val="21"/>
        </w:rPr>
        <w:t>于季度末最后一个月的下旬完成，月度</w:t>
      </w:r>
      <w:r>
        <w:rPr>
          <w:rFonts w:ascii="宋体" w:hAnsi="宋体" w:hint="eastAsia"/>
          <w:bCs/>
          <w:szCs w:val="21"/>
          <w:lang w:eastAsia="zh-CN"/>
        </w:rPr>
        <w:t>相关计划</w:t>
      </w:r>
      <w:r>
        <w:rPr>
          <w:rFonts w:ascii="宋体" w:hAnsi="宋体" w:hint="eastAsia"/>
          <w:bCs/>
          <w:szCs w:val="21"/>
        </w:rPr>
        <w:t>于每月25-31日内完成。</w:t>
      </w:r>
    </w:p>
    <w:p>
      <w:pPr>
        <w:pStyle w:val="Normal0"/>
        <w:spacing w:line="360" w:lineRule="auto"/>
        <w:rPr>
          <w:rFonts w:ascii="宋体" w:hAnsi="宋体" w:hint="eastAsia"/>
          <w:b/>
          <w:bCs/>
          <w:szCs w:val="21"/>
        </w:rPr>
      </w:pPr>
      <w:r>
        <w:rPr>
          <w:rFonts w:ascii="宋体" w:hAnsi="宋体" w:hint="eastAsia"/>
          <w:b/>
          <w:bCs/>
          <w:szCs w:val="21"/>
        </w:rPr>
        <w:t>第二章：</w:t>
      </w:r>
      <w:r>
        <w:rPr>
          <w:rFonts w:ascii="宋体" w:hAnsi="宋体" w:hint="eastAsia"/>
          <w:b/>
          <w:bCs/>
          <w:szCs w:val="21"/>
          <w:lang w:eastAsia="zh-CN"/>
        </w:rPr>
        <w:t>相关计划</w:t>
      </w:r>
      <w:r>
        <w:rPr>
          <w:rFonts w:ascii="宋体" w:hAnsi="宋体" w:hint="eastAsia"/>
          <w:b/>
          <w:bCs/>
          <w:szCs w:val="21"/>
        </w:rPr>
        <w:t>的</w:t>
      </w:r>
      <w:r>
        <w:rPr>
          <w:rFonts w:ascii="宋体" w:hAnsi="宋体" w:hint="eastAsia"/>
          <w:b/>
          <w:bCs/>
          <w:szCs w:val="21"/>
          <w:lang w:eastAsia="zh-CN"/>
        </w:rPr>
        <w:t>合适的内容</w:t>
      </w:r>
    </w:p>
    <w:p>
      <w:pPr>
        <w:pStyle w:val="Normal0"/>
        <w:spacing w:line="360" w:lineRule="auto"/>
        <w:jc w:val="left"/>
        <w:rPr>
          <w:rFonts w:ascii="宋体" w:hAnsi="宋体" w:hint="eastAsia"/>
          <w:bCs/>
          <w:szCs w:val="21"/>
        </w:rPr>
      </w:pPr>
      <w:r>
        <w:rPr>
          <w:rFonts w:ascii="宋体" w:hAnsi="宋体" w:hint="eastAsia"/>
          <w:bCs/>
          <w:szCs w:val="21"/>
        </w:rPr>
        <w:t>第六条：</w:t>
      </w:r>
      <w:r>
        <w:rPr>
          <w:rFonts w:ascii="宋体" w:hAnsi="宋体" w:hint="eastAsia"/>
          <w:bCs/>
          <w:szCs w:val="21"/>
          <w:lang w:eastAsia="zh-CN"/>
        </w:rPr>
        <w:t>相关计划合适的内容</w:t>
      </w:r>
      <w:r>
        <w:rPr>
          <w:rFonts w:ascii="宋体" w:hAnsi="宋体" w:hint="eastAsia"/>
          <w:bCs/>
          <w:szCs w:val="21"/>
        </w:rPr>
        <w:t>包括“营业</w:t>
      </w:r>
      <w:r>
        <w:rPr>
          <w:rFonts w:ascii="宋体" w:hAnsi="宋体" w:hint="eastAsia"/>
          <w:bCs/>
          <w:szCs w:val="21"/>
          <w:lang w:eastAsia="zh-CN"/>
        </w:rPr>
        <w:t>相关计划</w:t>
      </w:r>
      <w:r>
        <w:rPr>
          <w:rFonts w:ascii="宋体" w:hAnsi="宋体" w:hint="eastAsia"/>
          <w:bCs/>
          <w:szCs w:val="21"/>
        </w:rPr>
        <w:t>、费用</w:t>
      </w:r>
      <w:r>
        <w:rPr>
          <w:rFonts w:ascii="宋体" w:hAnsi="宋体" w:hint="eastAsia"/>
          <w:bCs/>
          <w:szCs w:val="21"/>
          <w:lang w:eastAsia="zh-CN"/>
        </w:rPr>
        <w:t>相关计划</w:t>
      </w:r>
      <w:r>
        <w:rPr>
          <w:rFonts w:ascii="宋体" w:hAnsi="宋体" w:hint="eastAsia"/>
          <w:bCs/>
          <w:szCs w:val="21"/>
        </w:rPr>
        <w:t>、利润</w:t>
      </w:r>
      <w:r>
        <w:rPr>
          <w:rFonts w:ascii="宋体" w:hAnsi="宋体" w:hint="eastAsia"/>
          <w:bCs/>
          <w:szCs w:val="21"/>
          <w:lang w:eastAsia="zh-CN"/>
        </w:rPr>
        <w:t>相关计划</w:t>
      </w:r>
      <w:r>
        <w:rPr>
          <w:rFonts w:ascii="宋体" w:hAnsi="宋体" w:hint="eastAsia"/>
          <w:bCs/>
          <w:szCs w:val="21"/>
        </w:rPr>
        <w:t>、资产购置</w:t>
      </w:r>
      <w:r>
        <w:rPr>
          <w:rFonts w:ascii="宋体" w:hAnsi="宋体" w:hint="eastAsia"/>
          <w:bCs/>
          <w:szCs w:val="21"/>
          <w:lang w:eastAsia="zh-CN"/>
        </w:rPr>
        <w:t>相关计划</w:t>
      </w:r>
      <w:r>
        <w:rPr>
          <w:rFonts w:ascii="宋体" w:hAnsi="宋体" w:hint="eastAsia"/>
          <w:bCs/>
          <w:szCs w:val="21"/>
        </w:rPr>
        <w:t>、财务</w:t>
      </w:r>
      <w:r>
        <w:rPr>
          <w:rFonts w:ascii="宋体" w:hAnsi="宋体" w:hint="eastAsia"/>
          <w:bCs/>
          <w:szCs w:val="21"/>
          <w:lang w:eastAsia="zh-CN"/>
        </w:rPr>
        <w:t>相关计划</w:t>
      </w:r>
      <w:r>
        <w:rPr>
          <w:rFonts w:ascii="宋体" w:hAnsi="宋体" w:hint="eastAsia"/>
          <w:bCs/>
          <w:szCs w:val="21"/>
        </w:rPr>
        <w:t>”。</w:t>
      </w:r>
    </w:p>
    <w:p>
      <w:pPr>
        <w:pStyle w:val="Normal0"/>
        <w:spacing w:line="360" w:lineRule="auto"/>
        <w:jc w:val="left"/>
        <w:rPr>
          <w:rFonts w:ascii="宋体" w:hAnsi="宋体" w:hint="eastAsia"/>
          <w:bCs/>
          <w:szCs w:val="21"/>
        </w:rPr>
      </w:pPr>
      <w:r>
        <w:rPr>
          <w:rFonts w:ascii="宋体" w:hAnsi="宋体" w:hint="eastAsia"/>
          <w:bCs/>
          <w:szCs w:val="21"/>
        </w:rPr>
        <w:t>第七条：各项</w:t>
      </w:r>
      <w:r>
        <w:rPr>
          <w:rFonts w:ascii="宋体" w:hAnsi="宋体" w:hint="eastAsia"/>
          <w:bCs/>
          <w:szCs w:val="21"/>
          <w:lang w:eastAsia="zh-CN"/>
        </w:rPr>
        <w:t>相关计划</w:t>
      </w:r>
      <w:r>
        <w:rPr>
          <w:rFonts w:ascii="宋体" w:hAnsi="宋体" w:hint="eastAsia"/>
          <w:bCs/>
          <w:szCs w:val="21"/>
        </w:rPr>
        <w:t>通过编制预算制定，酒店预算的</w:t>
      </w:r>
      <w:r>
        <w:rPr>
          <w:rFonts w:ascii="宋体" w:hAnsi="宋体" w:hint="eastAsia"/>
          <w:bCs/>
          <w:szCs w:val="21"/>
          <w:lang w:eastAsia="zh-CN"/>
        </w:rPr>
        <w:t>合适的内容</w:t>
      </w:r>
      <w:r>
        <w:rPr>
          <w:rFonts w:ascii="宋体" w:hAnsi="宋体" w:hint="eastAsia"/>
          <w:bCs/>
          <w:szCs w:val="21"/>
        </w:rPr>
        <w:t>包括：</w:t>
      </w:r>
    </w:p>
    <w:p>
      <w:pPr>
        <w:pStyle w:val="Normal0"/>
        <w:numPr>
          <w:ilvl w:val="0"/>
          <w:numId w:val="61"/>
        </w:numPr>
        <w:spacing w:line="360" w:lineRule="auto"/>
        <w:jc w:val="left"/>
        <w:rPr>
          <w:rFonts w:ascii="宋体" w:hAnsi="宋体" w:hint="eastAsia"/>
          <w:bCs/>
          <w:szCs w:val="21"/>
        </w:rPr>
      </w:pPr>
      <w:r>
        <w:rPr>
          <w:rFonts w:ascii="宋体" w:hAnsi="宋体" w:hint="eastAsia"/>
          <w:bCs/>
          <w:szCs w:val="21"/>
        </w:rPr>
        <w:t>营业预算，指按酒店</w:t>
      </w:r>
      <w:r>
        <w:rPr>
          <w:rFonts w:ascii="宋体" w:hAnsi="宋体" w:hint="eastAsia"/>
          <w:bCs/>
          <w:szCs w:val="21"/>
          <w:lang w:eastAsia="zh-CN"/>
        </w:rPr>
        <w:t>管理管控</w:t>
      </w:r>
      <w:r>
        <w:rPr>
          <w:rFonts w:ascii="宋体" w:hAnsi="宋体" w:hint="eastAsia"/>
          <w:bCs/>
          <w:szCs w:val="21"/>
        </w:rPr>
        <w:t>当局的要求，对营业收入、营业成本和毛利的期望值进行的预测。由各营业部门按近期实际营业情况和市场发展状况，结合酒店的期望目标编制。具体指标有：营业收入预算、毛利率和成本预算。</w:t>
      </w:r>
    </w:p>
    <w:p>
      <w:pPr>
        <w:pStyle w:val="Normal0"/>
        <w:numPr>
          <w:ilvl w:val="0"/>
          <w:numId w:val="61"/>
        </w:numPr>
        <w:spacing w:line="360" w:lineRule="auto"/>
        <w:jc w:val="left"/>
        <w:rPr>
          <w:rFonts w:ascii="宋体" w:hAnsi="宋体" w:hint="eastAsia"/>
          <w:bCs/>
          <w:szCs w:val="21"/>
        </w:rPr>
      </w:pPr>
      <w:r>
        <w:rPr>
          <w:rFonts w:ascii="宋体" w:hAnsi="宋体" w:hint="eastAsia"/>
          <w:bCs/>
          <w:szCs w:val="21"/>
        </w:rPr>
        <w:t>费用预算，指按酒店</w:t>
      </w:r>
      <w:r>
        <w:rPr>
          <w:rFonts w:ascii="宋体" w:hAnsi="宋体" w:hint="eastAsia"/>
          <w:bCs/>
          <w:szCs w:val="21"/>
          <w:lang w:eastAsia="zh-CN"/>
        </w:rPr>
        <w:t>管理管控</w:t>
      </w:r>
      <w:r>
        <w:rPr>
          <w:rFonts w:ascii="宋体" w:hAnsi="宋体" w:hint="eastAsia"/>
          <w:bCs/>
          <w:szCs w:val="21"/>
        </w:rPr>
        <w:t>当局的要求，对费用支出控制的期望值进行的预测，由各职能部门按实际经营情况和市场发展状况，结合酒店的期望目标编制。具体指标有：物耗费用预算、人工费用预算、能源费用预算及其他费用预算。</w:t>
      </w:r>
    </w:p>
    <w:p>
      <w:pPr>
        <w:pStyle w:val="Normal0"/>
        <w:numPr>
          <w:ilvl w:val="0"/>
          <w:numId w:val="61"/>
        </w:numPr>
        <w:spacing w:line="360" w:lineRule="auto"/>
        <w:jc w:val="left"/>
        <w:rPr>
          <w:rFonts w:ascii="宋体" w:hAnsi="宋体" w:hint="eastAsia"/>
          <w:bCs/>
          <w:szCs w:val="21"/>
        </w:rPr>
      </w:pPr>
      <w:r>
        <w:rPr>
          <w:rFonts w:ascii="宋体" w:hAnsi="宋体" w:hint="eastAsia"/>
          <w:bCs/>
          <w:szCs w:val="21"/>
        </w:rPr>
        <w:t>利润预算，指按酒店</w:t>
      </w:r>
      <w:r>
        <w:rPr>
          <w:rFonts w:ascii="宋体" w:hAnsi="宋体" w:hint="eastAsia"/>
          <w:bCs/>
          <w:szCs w:val="21"/>
          <w:lang w:eastAsia="zh-CN"/>
        </w:rPr>
        <w:t>管理管控</w:t>
      </w:r>
      <w:r>
        <w:rPr>
          <w:rFonts w:ascii="宋体" w:hAnsi="宋体" w:hint="eastAsia"/>
          <w:bCs/>
          <w:szCs w:val="21"/>
        </w:rPr>
        <w:t>当局的目标要求，对酒店经营成果预期目标进行的预测，按营业预算、费用预算和其他预算综合分析编制。具体指标有：主营业务利润预算、其他业务利润预算、投资收益和利润总额预算。</w:t>
      </w:r>
    </w:p>
    <w:p>
      <w:pPr>
        <w:pStyle w:val="Normal0"/>
        <w:numPr>
          <w:ilvl w:val="0"/>
          <w:numId w:val="61"/>
        </w:numPr>
        <w:spacing w:line="360" w:lineRule="auto"/>
        <w:jc w:val="left"/>
        <w:rPr>
          <w:rFonts w:ascii="宋体" w:hAnsi="宋体" w:hint="eastAsia"/>
          <w:bCs/>
          <w:szCs w:val="21"/>
        </w:rPr>
      </w:pPr>
      <w:r>
        <w:rPr>
          <w:rFonts w:ascii="宋体" w:hAnsi="宋体" w:hint="eastAsia"/>
          <w:bCs/>
          <w:szCs w:val="21"/>
        </w:rPr>
        <w:t>资产购置预算，指按酒店的经营和发展需要，对固定资产和低值易耗品的添置和更新的预算。具体包括固定资产和低值易耗品的添置和更新预算、餐具瓷器和制服布草的添置与更新预算。重大设备和基建</w:t>
      </w:r>
      <w:r>
        <w:rPr>
          <w:rFonts w:ascii="宋体" w:hAnsi="宋体" w:hint="eastAsia"/>
          <w:bCs/>
          <w:szCs w:val="21"/>
          <w:lang w:eastAsia="zh-CN"/>
        </w:rPr>
        <w:t>相关项目</w:t>
      </w:r>
      <w:r>
        <w:rPr>
          <w:rFonts w:ascii="宋体" w:hAnsi="宋体" w:hint="eastAsia"/>
          <w:bCs/>
          <w:szCs w:val="21"/>
        </w:rPr>
        <w:t>预算由董事会决定。</w:t>
      </w:r>
    </w:p>
    <w:p>
      <w:pPr>
        <w:pStyle w:val="Normal0"/>
        <w:numPr>
          <w:ilvl w:val="0"/>
          <w:numId w:val="61"/>
        </w:numPr>
        <w:spacing w:line="360" w:lineRule="auto"/>
        <w:jc w:val="left"/>
        <w:rPr>
          <w:rFonts w:ascii="宋体" w:hAnsi="宋体" w:hint="eastAsia"/>
          <w:bCs/>
          <w:szCs w:val="21"/>
        </w:rPr>
      </w:pPr>
      <w:r>
        <w:rPr>
          <w:rFonts w:ascii="宋体" w:hAnsi="宋体" w:hint="eastAsia"/>
          <w:bCs/>
          <w:szCs w:val="21"/>
        </w:rPr>
        <w:t>财务预算，指对资金收支安排编制的预算，由财务部按营业预算、费用预算、利润预算、资产购置预算及上期财务报表数据综合分析编制的资金收支预算。具体指标有：流动资金预算、固定资金预算、专项资金预算、偿债资金预算及其他资金预算。</w:t>
      </w:r>
    </w:p>
    <w:p>
      <w:pPr>
        <w:pStyle w:val="Normal0"/>
        <w:numPr>
          <w:ilvl w:val="0"/>
          <w:numId w:val="61"/>
        </w:numPr>
        <w:spacing w:line="360" w:lineRule="auto"/>
        <w:jc w:val="left"/>
        <w:rPr>
          <w:rFonts w:ascii="宋体" w:hAnsi="宋体" w:hint="eastAsia"/>
          <w:bCs/>
          <w:szCs w:val="21"/>
        </w:rPr>
      </w:pPr>
      <w:r>
        <w:rPr>
          <w:rFonts w:ascii="宋体" w:hAnsi="宋体" w:hint="eastAsia"/>
          <w:bCs/>
          <w:szCs w:val="21"/>
        </w:rPr>
        <w:t>物资采购预算，指各职能部门按营业预算、费用预算、资产购置预算和实际经营情况综合分析编制的物资采购预算。包括物资采购数量预算和采购金额预算。</w:t>
      </w:r>
    </w:p>
    <w:p>
      <w:pPr>
        <w:pStyle w:val="Normal0"/>
        <w:numPr>
          <w:ilvl w:val="0"/>
          <w:numId w:val="61"/>
        </w:numPr>
        <w:spacing w:line="360" w:lineRule="auto"/>
        <w:jc w:val="left"/>
        <w:rPr>
          <w:rFonts w:ascii="宋体" w:hAnsi="宋体" w:hint="eastAsia"/>
          <w:bCs/>
          <w:szCs w:val="21"/>
        </w:rPr>
      </w:pPr>
      <w:r>
        <w:rPr>
          <w:rFonts w:ascii="宋体" w:hAnsi="宋体" w:hint="eastAsia"/>
          <w:bCs/>
          <w:szCs w:val="21"/>
        </w:rPr>
        <w:t>资金支出预算，指酒店各部门按营业需要，除采购资金以外的其他临时资金支出的预算。由各职能部门按实际情况编制，报财务部和总经理审核。</w:t>
      </w:r>
    </w:p>
    <w:p>
      <w:pPr>
        <w:pStyle w:val="Normal0"/>
        <w:spacing w:line="360" w:lineRule="auto"/>
        <w:ind w:left="420" w:hanging="420" w:hangingChars="200"/>
        <w:jc w:val="left"/>
        <w:rPr>
          <w:rFonts w:ascii="宋体" w:hAnsi="宋体" w:hint="eastAsia"/>
          <w:bCs/>
          <w:szCs w:val="21"/>
        </w:rPr>
      </w:pPr>
      <w:r>
        <w:rPr>
          <w:rFonts w:ascii="宋体" w:hAnsi="宋体" w:hint="eastAsia"/>
          <w:bCs/>
          <w:szCs w:val="21"/>
        </w:rPr>
        <w:t>第八条：各职能部门应按财务部的要求编制，报财务部审核和汇总、经研究确定后报总经理和董事长审批。预算经批准后列为</w:t>
      </w:r>
      <w:r>
        <w:rPr>
          <w:rFonts w:ascii="宋体" w:hAnsi="宋体" w:hint="eastAsia"/>
          <w:bCs/>
          <w:szCs w:val="21"/>
          <w:lang w:eastAsia="zh-CN"/>
        </w:rPr>
        <w:t>相关计划</w:t>
      </w:r>
      <w:r>
        <w:rPr>
          <w:rFonts w:ascii="宋体" w:hAnsi="宋体" w:hint="eastAsia"/>
          <w:bCs/>
          <w:szCs w:val="21"/>
        </w:rPr>
        <w:t>执行。对未在</w:t>
      </w:r>
      <w:r>
        <w:rPr>
          <w:rFonts w:ascii="宋体" w:hAnsi="宋体" w:hint="eastAsia"/>
          <w:bCs/>
          <w:szCs w:val="21"/>
          <w:lang w:eastAsia="zh-CN"/>
        </w:rPr>
        <w:t>相关计划</w:t>
      </w:r>
      <w:r>
        <w:rPr>
          <w:rFonts w:ascii="宋体" w:hAnsi="宋体" w:hint="eastAsia"/>
          <w:bCs/>
          <w:szCs w:val="21"/>
        </w:rPr>
        <w:t>之列的各项支出应先申请，经审核批准后执行，否则不予执行。</w:t>
      </w:r>
    </w:p>
    <w:p>
      <w:pPr>
        <w:pStyle w:val="Normal0"/>
        <w:spacing w:line="360" w:lineRule="auto"/>
        <w:ind w:left="420" w:hanging="420" w:hangingChars="200"/>
        <w:jc w:val="left"/>
        <w:rPr>
          <w:rFonts w:ascii="宋体" w:hAnsi="宋体" w:hint="eastAsia"/>
          <w:bCs/>
          <w:szCs w:val="21"/>
        </w:rPr>
      </w:pPr>
      <w:r>
        <w:rPr>
          <w:rFonts w:ascii="宋体" w:hAnsi="宋体" w:hint="eastAsia"/>
          <w:bCs/>
          <w:szCs w:val="21"/>
        </w:rPr>
        <w:t>第九条：</w:t>
      </w:r>
      <w:r>
        <w:rPr>
          <w:rFonts w:ascii="宋体" w:hAnsi="宋体" w:hint="eastAsia"/>
          <w:bCs/>
          <w:szCs w:val="21"/>
          <w:lang w:eastAsia="zh-CN"/>
        </w:rPr>
        <w:t>相关计划</w:t>
      </w:r>
      <w:r>
        <w:rPr>
          <w:rFonts w:ascii="宋体" w:hAnsi="宋体" w:hint="eastAsia"/>
          <w:bCs/>
          <w:szCs w:val="21"/>
        </w:rPr>
        <w:t>一经确定，原则上不予变动。确因经营环境改变需要变动的，应于季度结束后调整。流动资金</w:t>
      </w:r>
      <w:r>
        <w:rPr>
          <w:rFonts w:ascii="宋体" w:hAnsi="宋体" w:hint="eastAsia"/>
          <w:bCs/>
          <w:szCs w:val="21"/>
          <w:lang w:eastAsia="zh-CN"/>
        </w:rPr>
        <w:t>相关计划</w:t>
      </w:r>
      <w:r>
        <w:rPr>
          <w:rFonts w:ascii="宋体" w:hAnsi="宋体" w:hint="eastAsia"/>
          <w:bCs/>
          <w:szCs w:val="21"/>
        </w:rPr>
        <w:t>可按实际经营情况在合理范围内按月调整。</w:t>
      </w:r>
    </w:p>
    <w:p>
      <w:pPr>
        <w:pStyle w:val="Normal0"/>
        <w:spacing w:line="360" w:lineRule="auto"/>
        <w:rPr>
          <w:rFonts w:ascii="宋体" w:hAnsi="宋体" w:hint="eastAsia"/>
          <w:b/>
          <w:bCs/>
          <w:szCs w:val="21"/>
        </w:rPr>
        <w:sectPr>
          <w:headerReference w:type="default" r:id="rId27"/>
          <w:footerReference w:type="default" r:id="rId28"/>
          <w:type w:val="nextPage"/>
          <w:pgSz w:w="11906" w:h="16838"/>
          <w:pgMar w:top="851" w:right="1466" w:bottom="1077" w:left="1800" w:header="720" w:footer="720" w:gutter="0"/>
          <w:pgNumType w:start="12"/>
          <w:cols w:num="1" w:space="720"/>
          <w:titlePg w:val="0"/>
          <w:docGrid w:type="lines" w:linePitch="312" w:charSpace="0"/>
        </w:sectPr>
      </w:pPr>
      <w:r>
        <w:rPr>
          <w:rFonts w:ascii="宋体" w:hAnsi="宋体" w:hint="eastAsia"/>
          <w:b/>
          <w:bCs/>
          <w:szCs w:val="21"/>
        </w:rPr>
        <w:t>第三章：编制预算</w:t>
      </w:r>
    </w:p>
    <w:p>
      <w:pPr>
        <w:pStyle w:val="Normal0"/>
        <w:spacing w:line="360" w:lineRule="auto"/>
        <w:ind w:left="420" w:hanging="420" w:hangingChars="200"/>
        <w:rPr>
          <w:rFonts w:ascii="宋体" w:hAnsi="宋体" w:hint="eastAsia"/>
          <w:bCs/>
          <w:szCs w:val="21"/>
        </w:rPr>
      </w:pPr>
      <w:r>
        <w:rPr>
          <w:rFonts w:ascii="宋体" w:hAnsi="宋体" w:hint="eastAsia"/>
          <w:bCs/>
          <w:szCs w:val="21"/>
        </w:rPr>
        <w:t>第十条：编制预算应确定编制前提（即经营假设）、编制基础（即编制依据）和编制方法（即计算方法），不能凭空设想，随便捏造。</w:t>
      </w:r>
    </w:p>
    <w:p>
      <w:pPr>
        <w:pStyle w:val="Normal0"/>
        <w:numPr>
          <w:ilvl w:val="0"/>
          <w:numId w:val="62"/>
        </w:numPr>
        <w:spacing w:line="360" w:lineRule="auto"/>
        <w:rPr>
          <w:rFonts w:ascii="宋体" w:hAnsi="宋体" w:hint="eastAsia"/>
          <w:bCs/>
          <w:szCs w:val="21"/>
        </w:rPr>
      </w:pPr>
      <w:r>
        <w:rPr>
          <w:rFonts w:ascii="宋体" w:hAnsi="宋体" w:hint="eastAsia"/>
          <w:bCs/>
          <w:szCs w:val="21"/>
        </w:rPr>
        <w:t>编制前提（即经营假设），是指在编制预算时应设定的经营环境。经营假设可按近期经营状况分为好、正常、一般三种情况设定。</w:t>
      </w:r>
    </w:p>
    <w:p>
      <w:pPr>
        <w:pStyle w:val="Normal0"/>
        <w:numPr>
          <w:ilvl w:val="0"/>
          <w:numId w:val="62"/>
        </w:numPr>
        <w:spacing w:line="360" w:lineRule="auto"/>
        <w:rPr>
          <w:rFonts w:ascii="宋体" w:hAnsi="宋体" w:hint="eastAsia"/>
          <w:bCs/>
          <w:szCs w:val="21"/>
        </w:rPr>
      </w:pPr>
      <w:r>
        <w:rPr>
          <w:rFonts w:ascii="宋体" w:hAnsi="宋体" w:hint="eastAsia"/>
          <w:bCs/>
          <w:szCs w:val="21"/>
        </w:rPr>
        <w:t>编制基础（即数据支持），是指在编制预算时以什么样的数据为基础，以什么样的市场为条件。可按历史数据和近期数据编制，也可按市场情况从零开始编制。</w:t>
      </w:r>
    </w:p>
    <w:p>
      <w:pPr>
        <w:pStyle w:val="Normal0"/>
        <w:numPr>
          <w:ilvl w:val="0"/>
          <w:numId w:val="62"/>
        </w:numPr>
        <w:spacing w:line="360" w:lineRule="auto"/>
        <w:rPr>
          <w:rFonts w:ascii="宋体" w:hAnsi="宋体" w:hint="eastAsia"/>
          <w:bCs/>
          <w:szCs w:val="21"/>
        </w:rPr>
      </w:pPr>
      <w:r>
        <w:rPr>
          <w:rFonts w:ascii="宋体" w:hAnsi="宋体" w:hint="eastAsia"/>
          <w:bCs/>
          <w:szCs w:val="21"/>
        </w:rPr>
        <w:t>编制方法（即计算方法），是指编制预算时以什么样的方法来计算数据，而不是凭空设想、胡编乱造的。如固定费用预算可采用“零基预算”方法编制，变动费用预算可按预期的成本费用控制率编制，半固定半变动费用预算可综合以上两种方法编制。</w:t>
      </w:r>
    </w:p>
    <w:p>
      <w:pPr>
        <w:pStyle w:val="Normal0"/>
        <w:spacing w:line="360" w:lineRule="auto"/>
        <w:rPr>
          <w:rFonts w:ascii="宋体" w:hAnsi="宋体" w:hint="eastAsia"/>
          <w:bCs/>
          <w:szCs w:val="21"/>
        </w:rPr>
      </w:pPr>
      <w:r>
        <w:rPr>
          <w:rFonts w:ascii="宋体" w:hAnsi="宋体" w:hint="eastAsia"/>
          <w:bCs/>
          <w:szCs w:val="21"/>
        </w:rPr>
        <w:t>第十一条：各部门应编制的预算有：</w:t>
      </w:r>
    </w:p>
    <w:p>
      <w:pPr>
        <w:pStyle w:val="Normal0"/>
        <w:numPr>
          <w:ilvl w:val="0"/>
          <w:numId w:val="11"/>
        </w:numPr>
        <w:spacing w:line="360" w:lineRule="auto"/>
        <w:rPr>
          <w:rFonts w:ascii="宋体" w:hAnsi="宋体" w:hint="eastAsia"/>
          <w:bCs/>
          <w:szCs w:val="21"/>
        </w:rPr>
      </w:pPr>
      <w:r>
        <w:rPr>
          <w:rFonts w:ascii="宋体" w:hAnsi="宋体" w:hint="eastAsia"/>
          <w:bCs/>
          <w:szCs w:val="21"/>
        </w:rPr>
        <w:t>销售部、房务部应编制客源预算、客房营业预算、会议接待预算、费用预算、客房利润预算、月资金支出预算。</w:t>
      </w:r>
    </w:p>
    <w:p>
      <w:pPr>
        <w:pStyle w:val="Normal0"/>
        <w:numPr>
          <w:ilvl w:val="0"/>
          <w:numId w:val="11"/>
        </w:numPr>
        <w:spacing w:line="360" w:lineRule="auto"/>
        <w:rPr>
          <w:rFonts w:ascii="宋体" w:hAnsi="宋体" w:hint="eastAsia"/>
          <w:bCs/>
          <w:szCs w:val="21"/>
        </w:rPr>
      </w:pPr>
      <w:r>
        <w:rPr>
          <w:rFonts w:ascii="宋体" w:hAnsi="宋体" w:hint="eastAsia"/>
          <w:bCs/>
          <w:szCs w:val="21"/>
        </w:rPr>
        <w:t>房务部应编制客房用品预算、布草更新预算、工衣工鞋预算、设备和低值易耗品添置和维修预算、清洁用品预算、洗涤用品预算。</w:t>
      </w:r>
    </w:p>
    <w:p>
      <w:pPr>
        <w:pStyle w:val="Normal0"/>
        <w:numPr>
          <w:ilvl w:val="0"/>
          <w:numId w:val="11"/>
        </w:numPr>
        <w:spacing w:line="360" w:lineRule="auto"/>
        <w:rPr>
          <w:rFonts w:ascii="宋体" w:hAnsi="宋体" w:hint="eastAsia"/>
          <w:bCs/>
          <w:szCs w:val="21"/>
        </w:rPr>
      </w:pPr>
      <w:r>
        <w:rPr>
          <w:rFonts w:ascii="宋体" w:hAnsi="宋体" w:hint="eastAsia"/>
          <w:bCs/>
          <w:szCs w:val="21"/>
        </w:rPr>
        <w:t>餐饮部应编制营业预算、费用预算、毛利预算、部门利润预算、餐具瓷器添置及更新预算、贵重餐料用量预算、设备和低值易耗品添置和维修预算、洗洁用品预算、餐厅布草更新预算、月资金支出预算。</w:t>
      </w:r>
    </w:p>
    <w:p>
      <w:pPr>
        <w:pStyle w:val="Normal0"/>
        <w:numPr>
          <w:ilvl w:val="0"/>
          <w:numId w:val="11"/>
        </w:numPr>
        <w:spacing w:line="360" w:lineRule="auto"/>
        <w:rPr>
          <w:rFonts w:ascii="宋体" w:hAnsi="宋体" w:hint="eastAsia"/>
          <w:bCs/>
          <w:szCs w:val="21"/>
        </w:rPr>
      </w:pPr>
      <w:r>
        <w:rPr>
          <w:rFonts w:ascii="宋体" w:hAnsi="宋体" w:hint="eastAsia"/>
          <w:bCs/>
          <w:szCs w:val="21"/>
        </w:rPr>
        <w:t>总经办、人事部、财务部、工程部、保安部、销售部应编制部门费用预算、设备和低值耗易耗品添置和更新预算、月资金支出预算。</w:t>
      </w:r>
    </w:p>
    <w:p>
      <w:pPr>
        <w:pStyle w:val="Normal0"/>
        <w:numPr>
          <w:ilvl w:val="0"/>
          <w:numId w:val="11"/>
        </w:numPr>
        <w:spacing w:line="360" w:lineRule="auto"/>
        <w:rPr>
          <w:rFonts w:ascii="宋体" w:hAnsi="宋体" w:hint="eastAsia"/>
          <w:bCs/>
          <w:szCs w:val="21"/>
        </w:rPr>
      </w:pPr>
      <w:r>
        <w:rPr>
          <w:rFonts w:ascii="宋体" w:hAnsi="宋体" w:hint="eastAsia"/>
          <w:bCs/>
          <w:szCs w:val="21"/>
        </w:rPr>
        <w:t>销售部应编制酒店广告宣传费用预算、招待应酬费用预算，并交总经办统筹。</w:t>
      </w:r>
    </w:p>
    <w:p>
      <w:pPr>
        <w:pStyle w:val="Normal0"/>
        <w:numPr>
          <w:ilvl w:val="0"/>
          <w:numId w:val="11"/>
        </w:numPr>
        <w:spacing w:line="360" w:lineRule="auto"/>
        <w:rPr>
          <w:rFonts w:ascii="宋体" w:hAnsi="宋体" w:hint="eastAsia"/>
          <w:bCs/>
          <w:szCs w:val="21"/>
        </w:rPr>
      </w:pPr>
      <w:r>
        <w:rPr>
          <w:rFonts w:ascii="宋体" w:hAnsi="宋体" w:hint="eastAsia"/>
          <w:bCs/>
          <w:szCs w:val="21"/>
        </w:rPr>
        <w:t>人事部应编制工资费用预算、培训费和招聘费支出预算、员工福利费支出预算、员工餐费预算、宿舍费用预算。</w:t>
      </w:r>
    </w:p>
    <w:p>
      <w:pPr>
        <w:pStyle w:val="Normal0"/>
        <w:numPr>
          <w:ilvl w:val="0"/>
          <w:numId w:val="11"/>
        </w:numPr>
        <w:spacing w:line="360" w:lineRule="auto"/>
        <w:rPr>
          <w:rFonts w:ascii="宋体" w:hAnsi="宋体" w:hint="eastAsia"/>
          <w:bCs/>
          <w:szCs w:val="21"/>
        </w:rPr>
      </w:pPr>
      <w:r>
        <w:rPr>
          <w:rFonts w:ascii="宋体" w:hAnsi="宋体" w:hint="eastAsia"/>
          <w:bCs/>
          <w:szCs w:val="21"/>
        </w:rPr>
        <w:t>工程部应编制能源费用预算、设备中修和大修费用预算、零配件预算、工具购置预算。</w:t>
      </w:r>
    </w:p>
    <w:p>
      <w:pPr>
        <w:pStyle w:val="Normal0"/>
        <w:numPr>
          <w:ilvl w:val="0"/>
          <w:numId w:val="11"/>
        </w:numPr>
        <w:spacing w:line="360" w:lineRule="auto"/>
        <w:rPr>
          <w:rFonts w:ascii="宋体" w:hAnsi="宋体" w:hint="eastAsia"/>
          <w:bCs/>
          <w:szCs w:val="21"/>
        </w:rPr>
      </w:pPr>
      <w:r>
        <w:rPr>
          <w:rFonts w:ascii="宋体" w:hAnsi="宋体" w:hint="eastAsia"/>
          <w:bCs/>
          <w:szCs w:val="21"/>
        </w:rPr>
        <w:t>财务部应编制酒店经营预算、成本费用预算、利润预算、流动资金收支预算、固定资金预算、物资采购预算。</w:t>
      </w:r>
    </w:p>
    <w:p>
      <w:pPr>
        <w:pStyle w:val="Normal0"/>
        <w:numPr>
          <w:ilvl w:val="0"/>
          <w:numId w:val="11"/>
        </w:numPr>
        <w:spacing w:line="360" w:lineRule="auto"/>
        <w:rPr>
          <w:rFonts w:ascii="宋体" w:hAnsi="宋体" w:hint="eastAsia"/>
          <w:bCs/>
          <w:szCs w:val="21"/>
        </w:rPr>
      </w:pPr>
      <w:r>
        <w:rPr>
          <w:rFonts w:ascii="宋体" w:hAnsi="宋体" w:hint="eastAsia"/>
          <w:bCs/>
          <w:szCs w:val="21"/>
        </w:rPr>
        <w:t>采购应编制物资采购预算。</w:t>
      </w:r>
    </w:p>
    <w:p>
      <w:pPr>
        <w:pStyle w:val="Normal0"/>
        <w:spacing w:line="360" w:lineRule="auto"/>
        <w:ind w:left="420" w:hanging="420" w:hangingChars="200"/>
        <w:rPr>
          <w:rFonts w:ascii="宋体" w:hAnsi="宋体" w:hint="eastAsia"/>
          <w:bCs/>
          <w:szCs w:val="21"/>
        </w:rPr>
      </w:pPr>
      <w:r>
        <w:rPr>
          <w:rFonts w:ascii="宋体" w:hAnsi="宋体" w:hint="eastAsia"/>
          <w:bCs/>
          <w:szCs w:val="21"/>
        </w:rPr>
        <w:t>第十二条：编制预算应切合实际，避免浮夸和过于谨慎，以免流于形式，失去编制预算的作用和意义。预算经审核确定后列为</w:t>
      </w:r>
      <w:r>
        <w:rPr>
          <w:rFonts w:ascii="宋体" w:hAnsi="宋体" w:hint="eastAsia"/>
          <w:bCs/>
          <w:szCs w:val="21"/>
          <w:lang w:eastAsia="zh-CN"/>
        </w:rPr>
        <w:t>相关计划</w:t>
      </w:r>
      <w:r>
        <w:rPr>
          <w:rFonts w:ascii="宋体" w:hAnsi="宋体" w:hint="eastAsia"/>
          <w:bCs/>
          <w:szCs w:val="21"/>
        </w:rPr>
        <w:t>。</w:t>
      </w:r>
    </w:p>
    <w:p>
      <w:pPr>
        <w:pStyle w:val="Normal0"/>
        <w:spacing w:line="360" w:lineRule="auto"/>
        <w:rPr>
          <w:rFonts w:ascii="宋体" w:hAnsi="宋体" w:hint="eastAsia"/>
          <w:b/>
          <w:bCs/>
          <w:szCs w:val="21"/>
        </w:rPr>
        <w:sectPr>
          <w:headerReference w:type="default" r:id="rId29"/>
          <w:footerReference w:type="default" r:id="rId30"/>
          <w:type w:val="nextPage"/>
          <w:pgSz w:w="11906" w:h="16838"/>
          <w:pgMar w:top="851" w:right="1466" w:bottom="1077" w:left="1800" w:header="720" w:footer="720" w:gutter="0"/>
          <w:pgNumType w:start="13"/>
          <w:cols w:num="1" w:space="720"/>
          <w:titlePg w:val="0"/>
          <w:docGrid w:type="lines" w:linePitch="312" w:charSpace="0"/>
        </w:sectPr>
      </w:pPr>
      <w:r>
        <w:rPr>
          <w:rFonts w:ascii="宋体" w:hAnsi="宋体" w:hint="eastAsia"/>
          <w:b/>
          <w:bCs/>
          <w:szCs w:val="21"/>
        </w:rPr>
        <w:t>第四章：</w:t>
      </w:r>
      <w:r>
        <w:rPr>
          <w:rFonts w:ascii="宋体" w:hAnsi="宋体" w:hint="eastAsia"/>
          <w:b/>
          <w:bCs/>
          <w:szCs w:val="21"/>
          <w:lang w:eastAsia="zh-CN"/>
        </w:rPr>
        <w:t>相关计划</w:t>
      </w:r>
      <w:r>
        <w:rPr>
          <w:rFonts w:ascii="宋体" w:hAnsi="宋体" w:hint="eastAsia"/>
          <w:b/>
          <w:bCs/>
          <w:szCs w:val="21"/>
        </w:rPr>
        <w:t>的执行与考核</w:t>
      </w:r>
    </w:p>
    <w:p>
      <w:pPr>
        <w:pStyle w:val="Normal0"/>
        <w:spacing w:line="360" w:lineRule="auto"/>
        <w:ind w:left="420" w:hanging="420" w:hangingChars="200"/>
        <w:rPr>
          <w:rFonts w:ascii="宋体" w:hAnsi="宋体" w:hint="eastAsia"/>
          <w:bCs/>
          <w:szCs w:val="21"/>
        </w:rPr>
      </w:pPr>
      <w:r>
        <w:rPr>
          <w:rFonts w:ascii="宋体" w:hAnsi="宋体" w:hint="eastAsia"/>
          <w:bCs/>
          <w:szCs w:val="21"/>
        </w:rPr>
        <w:t>第十三条：</w:t>
      </w:r>
      <w:r>
        <w:rPr>
          <w:rFonts w:ascii="宋体" w:hAnsi="宋体" w:hint="eastAsia"/>
          <w:bCs/>
          <w:szCs w:val="21"/>
          <w:lang w:eastAsia="zh-CN"/>
        </w:rPr>
        <w:t>相关计划</w:t>
      </w:r>
      <w:r>
        <w:rPr>
          <w:rFonts w:ascii="宋体" w:hAnsi="宋体" w:hint="eastAsia"/>
          <w:bCs/>
          <w:szCs w:val="21"/>
        </w:rPr>
        <w:t>经确定后下达至各部门执行，由财务部按月进行考核。财务部按实际经营情况与</w:t>
      </w:r>
      <w:r>
        <w:rPr>
          <w:rFonts w:ascii="宋体" w:hAnsi="宋体" w:hint="eastAsia"/>
          <w:bCs/>
          <w:szCs w:val="21"/>
          <w:lang w:eastAsia="zh-CN"/>
        </w:rPr>
        <w:t>相关计划</w:t>
      </w:r>
      <w:r>
        <w:rPr>
          <w:rFonts w:ascii="宋体" w:hAnsi="宋体" w:hint="eastAsia"/>
          <w:bCs/>
          <w:szCs w:val="21"/>
        </w:rPr>
        <w:t>进行对比，查找差异原因，确定考核范围。</w:t>
      </w:r>
    </w:p>
    <w:p>
      <w:pPr>
        <w:pStyle w:val="Normal0"/>
        <w:spacing w:line="360" w:lineRule="auto"/>
        <w:ind w:left="420" w:hanging="420" w:hangingChars="200"/>
        <w:rPr>
          <w:rFonts w:ascii="宋体" w:hAnsi="宋体" w:hint="eastAsia"/>
          <w:bCs/>
          <w:szCs w:val="21"/>
        </w:rPr>
      </w:pPr>
      <w:r>
        <w:rPr>
          <w:rFonts w:ascii="宋体" w:hAnsi="宋体" w:hint="eastAsia"/>
          <w:bCs/>
          <w:szCs w:val="21"/>
        </w:rPr>
        <w:t>第十四条：各部门应积极配合财务部的工作，认真检讨差异发生的原因，经专题会议讨论后确定考核对象。</w:t>
      </w:r>
    </w:p>
    <w:p>
      <w:pPr>
        <w:pStyle w:val="Normal0"/>
        <w:spacing w:line="360" w:lineRule="auto"/>
        <w:ind w:left="420" w:hanging="420" w:hangingChars="200"/>
        <w:rPr>
          <w:rFonts w:ascii="宋体" w:hAnsi="宋体" w:hint="eastAsia"/>
          <w:bCs/>
          <w:szCs w:val="21"/>
        </w:rPr>
      </w:pPr>
      <w:r>
        <w:rPr>
          <w:rFonts w:ascii="宋体" w:hAnsi="宋体" w:hint="eastAsia"/>
          <w:bCs/>
          <w:szCs w:val="21"/>
        </w:rPr>
        <w:t>第十五条：考核结果由财务部上报总经理批准后执行，每季度兑现一次。具体考核办法视实际情况而定。</w:t>
      </w:r>
    </w:p>
    <w:p>
      <w:pPr>
        <w:pStyle w:val="Normal0"/>
        <w:spacing w:line="360" w:lineRule="auto"/>
        <w:rPr>
          <w:rFonts w:ascii="宋体" w:hAnsi="宋体" w:hint="eastAsia"/>
          <w:b/>
          <w:bCs/>
          <w:szCs w:val="21"/>
        </w:rPr>
      </w:pPr>
      <w:r>
        <w:rPr>
          <w:rFonts w:ascii="宋体" w:hAnsi="宋体" w:hint="eastAsia"/>
          <w:b/>
          <w:bCs/>
          <w:szCs w:val="21"/>
        </w:rPr>
        <w:t>第五章：附则</w:t>
      </w:r>
    </w:p>
    <w:p>
      <w:pPr>
        <w:pStyle w:val="Normal0"/>
        <w:spacing w:line="360" w:lineRule="auto"/>
        <w:rPr>
          <w:rFonts w:ascii="宋体" w:hAnsi="宋体" w:hint="eastAsia"/>
          <w:bCs/>
          <w:szCs w:val="21"/>
        </w:rPr>
      </w:pPr>
      <w:r>
        <w:rPr>
          <w:rFonts w:ascii="宋体" w:hAnsi="宋体" w:hint="eastAsia"/>
          <w:bCs/>
          <w:szCs w:val="21"/>
        </w:rPr>
        <w:t>第十六条：本</w:t>
      </w:r>
      <w:r>
        <w:rPr>
          <w:rFonts w:ascii="宋体" w:hAnsi="宋体" w:hint="eastAsia"/>
          <w:bCs/>
          <w:szCs w:val="21"/>
          <w:lang w:eastAsia="zh-CN"/>
        </w:rPr>
        <w:t>相关计划管理管控</w:t>
      </w:r>
      <w:r>
        <w:rPr>
          <w:rFonts w:ascii="宋体" w:hAnsi="宋体" w:hint="eastAsia"/>
          <w:bCs/>
          <w:szCs w:val="21"/>
        </w:rPr>
        <w:t>制度自审批日起执行。</w:t>
      </w:r>
    </w:p>
    <w:p>
      <w:pPr>
        <w:pStyle w:val="Normal0"/>
        <w:spacing w:line="360" w:lineRule="auto"/>
        <w:rPr>
          <w:rFonts w:ascii="宋体" w:hAnsi="宋体" w:hint="eastAsia"/>
          <w:bCs/>
          <w:szCs w:val="21"/>
        </w:rPr>
        <w:sectPr>
          <w:headerReference w:type="default" r:id="rId31"/>
          <w:footerReference w:type="default" r:id="rId32"/>
          <w:type w:val="nextPage"/>
          <w:pgSz w:w="11906" w:h="16838"/>
          <w:pgMar w:top="851" w:right="1466" w:bottom="1077" w:left="1800" w:header="720" w:footer="720" w:gutter="0"/>
          <w:pgNumType w:start="14"/>
          <w:cols w:num="1" w:space="720"/>
          <w:titlePg w:val="0"/>
          <w:docGrid w:type="lines" w:linePitch="312" w:charSpace="0"/>
        </w:sectPr>
      </w:pPr>
      <w:r>
        <w:rPr>
          <w:rFonts w:ascii="宋体" w:hAnsi="宋体" w:hint="eastAsia"/>
          <w:bCs/>
          <w:szCs w:val="21"/>
        </w:rPr>
        <w:t>第十七条：本制度由总经理办公室解释和修订。</w:t>
      </w:r>
    </w:p>
    <w:p>
      <w:pPr>
        <w:pStyle w:val="Normal0"/>
        <w:pageBreakBefore/>
        <w:spacing w:line="720" w:lineRule="auto"/>
        <w:jc w:val="center"/>
        <w:rPr>
          <w:rFonts w:hint="eastAsia"/>
          <w:b/>
          <w:sz w:val="28"/>
          <w:szCs w:val="28"/>
        </w:rPr>
      </w:pPr>
      <w:r>
        <w:rPr>
          <w:rFonts w:hint="eastAsia"/>
          <w:b/>
          <w:sz w:val="28"/>
          <w:szCs w:val="28"/>
        </w:rPr>
        <w:t>第三篇：资金</w:t>
      </w:r>
      <w:r>
        <w:rPr>
          <w:rFonts w:hint="eastAsia"/>
          <w:b/>
          <w:sz w:val="28"/>
          <w:szCs w:val="28"/>
          <w:lang w:eastAsia="zh-CN"/>
        </w:rPr>
        <w:t>管理管控</w:t>
      </w:r>
      <w:r>
        <w:rPr>
          <w:rFonts w:hint="eastAsia"/>
          <w:b/>
          <w:sz w:val="28"/>
          <w:szCs w:val="28"/>
        </w:rPr>
        <w:t>制度</w:t>
      </w:r>
    </w:p>
    <w:p>
      <w:pPr>
        <w:pStyle w:val="Normal0"/>
        <w:spacing w:before="156" w:beforeLines="50" w:line="400" w:lineRule="exact"/>
        <w:rPr>
          <w:rFonts w:ascii="宋体" w:hAnsi="宋体" w:hint="eastAsia"/>
          <w:szCs w:val="21"/>
        </w:rPr>
      </w:pPr>
      <w:r>
        <w:rPr>
          <w:rFonts w:ascii="宋体" w:hAnsi="宋体" w:hint="eastAsia"/>
          <w:b/>
          <w:bCs/>
          <w:szCs w:val="21"/>
        </w:rPr>
        <w:t>第一章：总则</w:t>
      </w:r>
    </w:p>
    <w:p>
      <w:pPr>
        <w:pStyle w:val="Normal0"/>
        <w:spacing w:line="360" w:lineRule="auto"/>
        <w:ind w:left="420" w:hanging="420" w:hangingChars="200"/>
        <w:rPr>
          <w:rFonts w:ascii="宋体" w:hAnsi="宋体" w:hint="eastAsia"/>
          <w:szCs w:val="21"/>
        </w:rPr>
      </w:pPr>
      <w:r>
        <w:rPr>
          <w:rFonts w:ascii="宋体" w:hAnsi="宋体" w:hint="eastAsia"/>
          <w:bCs/>
          <w:szCs w:val="21"/>
        </w:rPr>
        <w:t>第一条：</w:t>
      </w:r>
      <w:r>
        <w:rPr>
          <w:rFonts w:ascii="宋体" w:hAnsi="宋体" w:hint="eastAsia"/>
          <w:szCs w:val="21"/>
        </w:rPr>
        <w:t>为搞好酒店资金</w:t>
      </w:r>
      <w:r>
        <w:rPr>
          <w:rFonts w:ascii="宋体" w:hAnsi="宋体" w:hint="eastAsia"/>
          <w:szCs w:val="21"/>
          <w:lang w:eastAsia="zh-CN"/>
        </w:rPr>
        <w:t>管理管控</w:t>
      </w:r>
      <w:r>
        <w:rPr>
          <w:rFonts w:ascii="宋体" w:hAnsi="宋体" w:hint="eastAsia"/>
          <w:szCs w:val="21"/>
        </w:rPr>
        <w:t>，加速酒店资金周转，减少不合理的占用，保障资金安全，提高酒店经济效益，结合酒店经营特点和</w:t>
      </w:r>
      <w:r>
        <w:rPr>
          <w:rFonts w:ascii="宋体" w:hAnsi="宋体" w:hint="eastAsia"/>
          <w:szCs w:val="21"/>
          <w:lang w:eastAsia="zh-CN"/>
        </w:rPr>
        <w:t>管理管控</w:t>
      </w:r>
      <w:r>
        <w:rPr>
          <w:rFonts w:ascii="宋体" w:hAnsi="宋体" w:hint="eastAsia"/>
          <w:szCs w:val="21"/>
        </w:rPr>
        <w:t>要求，制定本制度。</w:t>
      </w:r>
    </w:p>
    <w:p>
      <w:pPr>
        <w:pStyle w:val="Normal0"/>
        <w:spacing w:line="360" w:lineRule="auto"/>
        <w:rPr>
          <w:rFonts w:ascii="宋体" w:hAnsi="宋体" w:hint="eastAsia"/>
          <w:szCs w:val="21"/>
        </w:rPr>
      </w:pPr>
      <w:r>
        <w:rPr>
          <w:rFonts w:ascii="宋体" w:hAnsi="宋体" w:hint="eastAsia"/>
          <w:bCs/>
          <w:szCs w:val="21"/>
        </w:rPr>
        <w:t>第二条：</w:t>
      </w:r>
      <w:r>
        <w:rPr>
          <w:rFonts w:ascii="宋体" w:hAnsi="宋体" w:hint="eastAsia"/>
          <w:szCs w:val="21"/>
        </w:rPr>
        <w:t>本制度所指资金包括酒店拥有的现金、银行存款、其他货币资金、结算资金。</w:t>
      </w:r>
    </w:p>
    <w:p>
      <w:pPr>
        <w:pStyle w:val="Normal0"/>
        <w:spacing w:line="360" w:lineRule="auto"/>
        <w:rPr>
          <w:rFonts w:ascii="宋体" w:hAnsi="宋体" w:hint="eastAsia"/>
          <w:b/>
          <w:bCs/>
          <w:szCs w:val="21"/>
        </w:rPr>
      </w:pPr>
      <w:r>
        <w:rPr>
          <w:rFonts w:ascii="宋体" w:hAnsi="宋体" w:hint="eastAsia"/>
          <w:b/>
          <w:bCs/>
          <w:szCs w:val="21"/>
        </w:rPr>
        <w:t>第二章：现金</w:t>
      </w:r>
      <w:r>
        <w:rPr>
          <w:rFonts w:ascii="宋体" w:hAnsi="宋体" w:hint="eastAsia"/>
          <w:b/>
          <w:bCs/>
          <w:szCs w:val="21"/>
          <w:lang w:eastAsia="zh-CN"/>
        </w:rPr>
        <w:t>管理管控</w:t>
      </w:r>
    </w:p>
    <w:p>
      <w:pPr>
        <w:pStyle w:val="Normal0"/>
        <w:spacing w:line="360" w:lineRule="auto"/>
        <w:rPr>
          <w:rFonts w:ascii="宋体" w:hAnsi="宋体" w:hint="eastAsia"/>
          <w:szCs w:val="21"/>
        </w:rPr>
      </w:pPr>
      <w:r>
        <w:rPr>
          <w:rFonts w:ascii="宋体" w:hAnsi="宋体" w:hint="eastAsia"/>
          <w:bCs/>
          <w:szCs w:val="21"/>
        </w:rPr>
        <w:t>第三条：</w:t>
      </w:r>
      <w:r>
        <w:rPr>
          <w:rFonts w:ascii="宋体" w:hAnsi="宋体" w:hint="eastAsia"/>
          <w:szCs w:val="21"/>
        </w:rPr>
        <w:t>酒店按照国家《现金</w:t>
      </w:r>
      <w:r>
        <w:rPr>
          <w:rFonts w:ascii="宋体" w:hAnsi="宋体" w:hint="eastAsia"/>
          <w:szCs w:val="21"/>
          <w:lang w:eastAsia="zh-CN"/>
        </w:rPr>
        <w:t>管理管控</w:t>
      </w:r>
      <w:r>
        <w:rPr>
          <w:rFonts w:ascii="宋体" w:hAnsi="宋体" w:hint="eastAsia"/>
          <w:szCs w:val="21"/>
        </w:rPr>
        <w:t>暂行条例》规定的现金使用范围使用现金。</w:t>
      </w:r>
    </w:p>
    <w:p>
      <w:pPr>
        <w:pStyle w:val="Normal0"/>
        <w:spacing w:line="360" w:lineRule="auto"/>
        <w:rPr>
          <w:rFonts w:ascii="宋体" w:hAnsi="宋体" w:hint="eastAsia"/>
          <w:szCs w:val="21"/>
        </w:rPr>
      </w:pPr>
      <w:r>
        <w:rPr>
          <w:rFonts w:ascii="宋体" w:hAnsi="宋体" w:hint="eastAsia"/>
          <w:bCs/>
          <w:szCs w:val="21"/>
        </w:rPr>
        <w:t>第四条：</w:t>
      </w:r>
      <w:r>
        <w:rPr>
          <w:rFonts w:ascii="宋体" w:hAnsi="宋体" w:hint="eastAsia"/>
          <w:szCs w:val="21"/>
        </w:rPr>
        <w:t>现金的使用范围如下：</w:t>
      </w:r>
    </w:p>
    <w:p>
      <w:pPr>
        <w:pStyle w:val="Normal0"/>
        <w:numPr>
          <w:ilvl w:val="0"/>
          <w:numId w:val="63"/>
        </w:numPr>
        <w:spacing w:line="360" w:lineRule="auto"/>
        <w:rPr>
          <w:rFonts w:ascii="宋体" w:hAnsi="宋体" w:hint="eastAsia"/>
          <w:szCs w:val="21"/>
        </w:rPr>
      </w:pPr>
      <w:r>
        <w:rPr>
          <w:rFonts w:ascii="宋体" w:hAnsi="宋体" w:hint="eastAsia"/>
          <w:szCs w:val="21"/>
        </w:rPr>
        <w:t>支付职工工资、津贴；</w:t>
      </w:r>
    </w:p>
    <w:p>
      <w:pPr>
        <w:pStyle w:val="Normal0"/>
        <w:numPr>
          <w:ilvl w:val="0"/>
          <w:numId w:val="63"/>
        </w:numPr>
        <w:spacing w:line="360" w:lineRule="auto"/>
        <w:rPr>
          <w:rFonts w:ascii="宋体" w:hAnsi="宋体" w:hint="eastAsia"/>
          <w:szCs w:val="21"/>
        </w:rPr>
      </w:pPr>
      <w:r>
        <w:rPr>
          <w:rFonts w:ascii="宋体" w:hAnsi="宋体" w:hint="eastAsia"/>
          <w:szCs w:val="21"/>
        </w:rPr>
        <w:t>支付个人劳务报酬；</w:t>
      </w:r>
    </w:p>
    <w:p>
      <w:pPr>
        <w:pStyle w:val="Normal0"/>
        <w:numPr>
          <w:ilvl w:val="0"/>
          <w:numId w:val="63"/>
        </w:numPr>
        <w:spacing w:line="360" w:lineRule="auto"/>
        <w:rPr>
          <w:rFonts w:ascii="宋体" w:hAnsi="宋体" w:hint="eastAsia"/>
          <w:szCs w:val="21"/>
        </w:rPr>
      </w:pPr>
      <w:r>
        <w:rPr>
          <w:rFonts w:ascii="宋体" w:hAnsi="宋体" w:hint="eastAsia"/>
          <w:szCs w:val="21"/>
        </w:rPr>
        <w:t>支付发给个人的各项奖金，及酒店处理紧急事项的支出；</w:t>
      </w:r>
    </w:p>
    <w:p>
      <w:pPr>
        <w:pStyle w:val="Normal0"/>
        <w:numPr>
          <w:ilvl w:val="0"/>
          <w:numId w:val="63"/>
        </w:numPr>
        <w:spacing w:line="360" w:lineRule="auto"/>
        <w:rPr>
          <w:rFonts w:ascii="宋体" w:hAnsi="宋体" w:hint="eastAsia"/>
          <w:szCs w:val="21"/>
        </w:rPr>
      </w:pPr>
      <w:r>
        <w:rPr>
          <w:rFonts w:ascii="宋体" w:hAnsi="宋体" w:hint="eastAsia"/>
          <w:szCs w:val="21"/>
        </w:rPr>
        <w:t>支付各项劳保、福利费用，以及按规定支付给个人的其他支出；</w:t>
      </w:r>
    </w:p>
    <w:p>
      <w:pPr>
        <w:pStyle w:val="Normal0"/>
        <w:numPr>
          <w:ilvl w:val="0"/>
          <w:numId w:val="63"/>
        </w:numPr>
        <w:spacing w:line="360" w:lineRule="auto"/>
        <w:rPr>
          <w:rFonts w:ascii="宋体" w:hAnsi="宋体" w:hint="eastAsia"/>
          <w:szCs w:val="21"/>
        </w:rPr>
      </w:pPr>
      <w:r>
        <w:rPr>
          <w:rFonts w:ascii="宋体" w:hAnsi="宋体" w:hint="eastAsia"/>
          <w:szCs w:val="21"/>
        </w:rPr>
        <w:t>支付向个人收购农副产品和其他物资的价款；</w:t>
      </w:r>
    </w:p>
    <w:p>
      <w:pPr>
        <w:pStyle w:val="Normal0"/>
        <w:numPr>
          <w:ilvl w:val="0"/>
          <w:numId w:val="63"/>
        </w:numPr>
        <w:spacing w:line="360" w:lineRule="auto"/>
        <w:rPr>
          <w:rFonts w:ascii="宋体" w:hAnsi="宋体" w:hint="eastAsia"/>
          <w:szCs w:val="21"/>
        </w:rPr>
      </w:pPr>
      <w:r>
        <w:rPr>
          <w:rFonts w:ascii="宋体" w:hAnsi="宋体" w:hint="eastAsia"/>
          <w:szCs w:val="21"/>
        </w:rPr>
        <w:t>支付出差人员必须随身携带的差旅费；</w:t>
      </w:r>
    </w:p>
    <w:p>
      <w:pPr>
        <w:pStyle w:val="Normal0"/>
        <w:numPr>
          <w:ilvl w:val="0"/>
          <w:numId w:val="63"/>
        </w:numPr>
        <w:spacing w:line="360" w:lineRule="auto"/>
        <w:rPr>
          <w:rFonts w:ascii="宋体" w:hAnsi="宋体" w:hint="eastAsia"/>
          <w:szCs w:val="21"/>
        </w:rPr>
      </w:pPr>
      <w:r>
        <w:rPr>
          <w:rFonts w:ascii="宋体" w:hAnsi="宋体" w:hint="eastAsia"/>
          <w:szCs w:val="21"/>
        </w:rPr>
        <w:t>支付转账结算起点以下的零星开支；</w:t>
      </w:r>
    </w:p>
    <w:p>
      <w:pPr>
        <w:pStyle w:val="Normal0"/>
        <w:numPr>
          <w:ilvl w:val="0"/>
          <w:numId w:val="63"/>
        </w:numPr>
        <w:spacing w:line="360" w:lineRule="auto"/>
        <w:rPr>
          <w:rFonts w:ascii="宋体" w:hAnsi="宋体" w:hint="eastAsia"/>
          <w:szCs w:val="21"/>
        </w:rPr>
      </w:pPr>
      <w:r>
        <w:rPr>
          <w:rFonts w:ascii="宋体" w:hAnsi="宋体" w:hint="eastAsia"/>
          <w:szCs w:val="21"/>
        </w:rPr>
        <w:t>中国人民银行确定需要支付现金的其他支出；</w:t>
      </w:r>
    </w:p>
    <w:p>
      <w:pPr>
        <w:pStyle w:val="Normal0"/>
        <w:spacing w:line="360" w:lineRule="auto"/>
        <w:ind w:left="420" w:hanging="420" w:hangingChars="200"/>
        <w:rPr>
          <w:rFonts w:ascii="宋体" w:hAnsi="宋体" w:hint="eastAsia"/>
          <w:szCs w:val="21"/>
        </w:rPr>
      </w:pPr>
      <w:r>
        <w:rPr>
          <w:rFonts w:ascii="宋体" w:hAnsi="宋体" w:hint="eastAsia"/>
          <w:bCs/>
          <w:szCs w:val="21"/>
        </w:rPr>
        <w:t>第五条：</w:t>
      </w:r>
      <w:r>
        <w:rPr>
          <w:rFonts w:ascii="宋体" w:hAnsi="宋体" w:hint="eastAsia"/>
          <w:szCs w:val="21"/>
        </w:rPr>
        <w:t>酒店按业务要求，实施现金核算和</w:t>
      </w:r>
      <w:r>
        <w:rPr>
          <w:rFonts w:ascii="宋体" w:hAnsi="宋体" w:hint="eastAsia"/>
          <w:szCs w:val="21"/>
          <w:lang w:eastAsia="zh-CN"/>
        </w:rPr>
        <w:t>管理管控</w:t>
      </w:r>
      <w:r>
        <w:rPr>
          <w:rFonts w:ascii="宋体" w:hAnsi="宋体" w:hint="eastAsia"/>
          <w:szCs w:val="21"/>
        </w:rPr>
        <w:t>分开的原则，分开设置现金</w:t>
      </w:r>
      <w:r>
        <w:rPr>
          <w:rFonts w:ascii="宋体" w:hAnsi="宋体" w:hint="eastAsia"/>
          <w:szCs w:val="21"/>
          <w:lang w:eastAsia="zh-CN"/>
        </w:rPr>
        <w:t>管理管控</w:t>
      </w:r>
      <w:r>
        <w:rPr>
          <w:rFonts w:ascii="宋体" w:hAnsi="宋体" w:hint="eastAsia"/>
          <w:szCs w:val="21"/>
        </w:rPr>
        <w:t>岗位和记账岗位（不包括现金日记账），即坚持“钱账分管”的内部牵制原则。</w:t>
      </w:r>
    </w:p>
    <w:p>
      <w:pPr>
        <w:pStyle w:val="Normal0"/>
        <w:spacing w:line="360" w:lineRule="auto"/>
        <w:ind w:left="420" w:hanging="420" w:hangingChars="200"/>
        <w:rPr>
          <w:rFonts w:ascii="宋体" w:hAnsi="宋体" w:hint="eastAsia"/>
          <w:szCs w:val="21"/>
        </w:rPr>
      </w:pPr>
      <w:r>
        <w:rPr>
          <w:rFonts w:ascii="宋体" w:hAnsi="宋体" w:hint="eastAsia"/>
          <w:bCs/>
          <w:szCs w:val="21"/>
        </w:rPr>
        <w:t>第六条：</w:t>
      </w:r>
      <w:r>
        <w:rPr>
          <w:rFonts w:ascii="宋体" w:hAnsi="宋体" w:hint="eastAsia"/>
          <w:szCs w:val="21"/>
        </w:rPr>
        <w:t>酒店在银行核定的库存限额内保管现金，超过限额的部份及时送存银行。不得坐支现金，特殊情况确需坐支现金的，需报总经理批准。</w:t>
      </w:r>
    </w:p>
    <w:p>
      <w:pPr>
        <w:pStyle w:val="Normal0"/>
        <w:spacing w:line="360" w:lineRule="auto"/>
        <w:ind w:left="420" w:hanging="420" w:hangingChars="200"/>
        <w:rPr>
          <w:rFonts w:ascii="宋体" w:hAnsi="宋体" w:hint="eastAsia"/>
          <w:szCs w:val="21"/>
        </w:rPr>
      </w:pPr>
      <w:r>
        <w:rPr>
          <w:rFonts w:ascii="宋体" w:hAnsi="宋体" w:hint="eastAsia"/>
          <w:bCs/>
          <w:szCs w:val="21"/>
        </w:rPr>
        <w:t>第七条：</w:t>
      </w:r>
      <w:r>
        <w:rPr>
          <w:rFonts w:ascii="宋体" w:hAnsi="宋体" w:hint="eastAsia"/>
          <w:szCs w:val="21"/>
        </w:rPr>
        <w:t>酒店各项现金收支核算，做到先凭证后款项，收付款凭证必须经过稽核或审核批准后方可办理收付款业务。同时认真审核原始单据和记账凭证的真实性与合法性，凡不符合制度规定或手续不完善的，一律不予办理。</w:t>
      </w:r>
    </w:p>
    <w:p>
      <w:pPr>
        <w:pStyle w:val="Normal0"/>
        <w:spacing w:line="360" w:lineRule="auto"/>
        <w:ind w:left="420" w:hanging="420" w:hangingChars="200"/>
        <w:rPr>
          <w:rFonts w:ascii="宋体" w:hAnsi="宋体" w:hint="eastAsia"/>
          <w:szCs w:val="21"/>
        </w:rPr>
      </w:pPr>
      <w:r>
        <w:rPr>
          <w:rFonts w:ascii="宋体" w:hAnsi="宋体" w:hint="eastAsia"/>
          <w:bCs/>
          <w:szCs w:val="21"/>
        </w:rPr>
        <w:t>第八条：</w:t>
      </w:r>
      <w:r>
        <w:rPr>
          <w:rFonts w:ascii="宋体" w:hAnsi="宋体" w:hint="eastAsia"/>
          <w:szCs w:val="21"/>
        </w:rPr>
        <w:t>酒店的空白现金支票、转账支票等结算凭证，由出纳保管在保险柜中。出纳不保管印鉴，不得在空白支票和转账凭证上予盖印鉴。</w:t>
      </w:r>
    </w:p>
    <w:p>
      <w:pPr>
        <w:pStyle w:val="Normal0"/>
        <w:spacing w:line="360" w:lineRule="auto"/>
        <w:ind w:left="420" w:hanging="420" w:hangingChars="200"/>
        <w:rPr>
          <w:rFonts w:ascii="宋体" w:hAnsi="宋体" w:hint="eastAsia"/>
          <w:szCs w:val="21"/>
        </w:rPr>
      </w:pPr>
      <w:r>
        <w:rPr>
          <w:rFonts w:ascii="宋体" w:hAnsi="宋体" w:hint="eastAsia"/>
          <w:bCs/>
          <w:szCs w:val="21"/>
        </w:rPr>
        <w:t>第九条：</w:t>
      </w:r>
      <w:r>
        <w:rPr>
          <w:rFonts w:ascii="宋体" w:hAnsi="宋体" w:hint="eastAsia"/>
          <w:szCs w:val="21"/>
        </w:rPr>
        <w:t>酒店因采购材料地点不固定，交通不方便，以及其他特殊原因必须使用现金的，须经总经理批准后使用。</w:t>
      </w:r>
    </w:p>
    <w:p>
      <w:pPr>
        <w:pStyle w:val="Normal0"/>
        <w:spacing w:line="360" w:lineRule="auto"/>
        <w:ind w:left="420" w:hanging="420" w:hangingChars="200"/>
        <w:rPr>
          <w:rFonts w:ascii="宋体" w:hAnsi="宋体" w:hint="eastAsia"/>
          <w:szCs w:val="21"/>
        </w:rPr>
        <w:sectPr>
          <w:headerReference w:type="default" r:id="rId33"/>
          <w:footerReference w:type="default" r:id="rId34"/>
          <w:type w:val="nextPage"/>
          <w:pgSz w:w="11906" w:h="16838"/>
          <w:pgMar w:top="851" w:right="1466" w:bottom="1077" w:left="1800" w:header="720" w:footer="720" w:gutter="0"/>
          <w:pgNumType w:start="15"/>
          <w:cols w:num="1" w:space="720"/>
          <w:titlePg w:val="0"/>
          <w:docGrid w:type="lines" w:linePitch="312" w:charSpace="0"/>
        </w:sectPr>
      </w:pPr>
      <w:r>
        <w:rPr>
          <w:rFonts w:ascii="宋体" w:hAnsi="宋体" w:hint="eastAsia"/>
          <w:bCs/>
          <w:szCs w:val="21"/>
        </w:rPr>
        <w:t>第十条：</w:t>
      </w:r>
    </w:p>
    <w:p>
      <w:pPr>
        <w:pStyle w:val="Normal0"/>
        <w:spacing w:line="360" w:lineRule="auto"/>
        <w:ind w:left="420" w:hanging="420" w:hangingChars="200"/>
        <w:rPr>
          <w:rFonts w:ascii="宋体" w:hAnsi="宋体" w:hint="eastAsia"/>
          <w:szCs w:val="21"/>
        </w:rPr>
      </w:pPr>
      <w:r>
        <w:rPr>
          <w:rFonts w:ascii="宋体" w:hAnsi="宋体" w:hint="eastAsia"/>
          <w:szCs w:val="21"/>
        </w:rPr>
        <w:t>收付现金后必须在发票、收付款单据或原始凭证上加盖有日期的“现金收讫”或“现金付讫”戳记。出纳人员必须逐日逐笔按现金收支业务登记现金日记账，每天编制现金收支日结表，并核对库存现金，将原始凭证连同日结表交会计复核和记账，月终明细账与总账核对相符。做到日清月结，确保账款一致。</w:t>
      </w:r>
    </w:p>
    <w:p>
      <w:pPr>
        <w:pStyle w:val="Normal0"/>
        <w:spacing w:line="360" w:lineRule="auto"/>
        <w:ind w:left="420" w:hanging="420" w:hangingChars="200"/>
        <w:rPr>
          <w:rFonts w:ascii="宋体" w:hAnsi="宋体" w:hint="eastAsia"/>
          <w:szCs w:val="21"/>
        </w:rPr>
      </w:pPr>
      <w:r>
        <w:rPr>
          <w:rFonts w:ascii="宋体" w:hAnsi="宋体" w:hint="eastAsia"/>
          <w:bCs/>
          <w:szCs w:val="21"/>
        </w:rPr>
        <w:t>第十一条：</w:t>
      </w:r>
      <w:r>
        <w:rPr>
          <w:rFonts w:ascii="宋体" w:hAnsi="宋体" w:hint="eastAsia"/>
          <w:szCs w:val="21"/>
        </w:rPr>
        <w:t>会计人员应定期和不定期对库存现金进行检查、盘点，防止“白条”抵库，坐支、挪用现金，或公款私存等行为发生。发现现金长、短款时，应立即作好记录、及时列账，并查明原因、明确责任，按照审批权限核批后处理。</w:t>
      </w:r>
    </w:p>
    <w:p>
      <w:pPr>
        <w:pStyle w:val="Normal0"/>
        <w:spacing w:line="360" w:lineRule="auto"/>
        <w:ind w:left="420" w:hanging="420" w:hangingChars="200"/>
        <w:rPr>
          <w:rFonts w:ascii="宋体" w:hAnsi="宋体" w:hint="eastAsia"/>
          <w:szCs w:val="21"/>
        </w:rPr>
      </w:pPr>
      <w:r>
        <w:rPr>
          <w:rFonts w:ascii="宋体" w:hAnsi="宋体" w:hint="eastAsia"/>
          <w:bCs/>
          <w:szCs w:val="21"/>
        </w:rPr>
        <w:t>第十二条：</w:t>
      </w:r>
      <w:r>
        <w:rPr>
          <w:rFonts w:ascii="宋体" w:hAnsi="宋体" w:hint="eastAsia"/>
          <w:szCs w:val="21"/>
        </w:rPr>
        <w:t>任何部门不准私设小金库，一切现金收入包括废旧物资出售和其他现金收入都必须交回财务部。任何部门或个人不准私自截留，自行处理，更不能贪污挪用。营业收入现金必须及时缴交至收银台；收银台现金必须及时投款到保险库，收银台不许留存现金过夜。保险库之资金由出纳和收银主管每日收缴。出纳保管之现金必须每日在银行下班前送存。</w:t>
      </w:r>
    </w:p>
    <w:p>
      <w:pPr>
        <w:pStyle w:val="Normal0"/>
        <w:spacing w:line="360" w:lineRule="auto"/>
        <w:ind w:left="420" w:hanging="420" w:hangingChars="200"/>
        <w:rPr>
          <w:rFonts w:ascii="宋体" w:hAnsi="宋体" w:hint="eastAsia"/>
          <w:szCs w:val="21"/>
        </w:rPr>
      </w:pPr>
      <w:r>
        <w:rPr>
          <w:rFonts w:ascii="宋体" w:hAnsi="宋体" w:hint="eastAsia"/>
          <w:bCs/>
          <w:szCs w:val="21"/>
        </w:rPr>
        <w:t>第十三条：</w:t>
      </w:r>
      <w:r>
        <w:rPr>
          <w:rFonts w:ascii="宋体" w:hAnsi="宋体" w:hint="eastAsia"/>
          <w:szCs w:val="21"/>
        </w:rPr>
        <w:t>各收银点找零的备用金和采购用的备用金，除月终盘点外，还应不定期进行抽查和清点。备用金若无必要继续使用的，应及时收回销账。收银台备用金应按规定</w:t>
      </w:r>
      <w:r>
        <w:rPr>
          <w:rFonts w:ascii="宋体" w:hAnsi="宋体" w:hint="eastAsia"/>
          <w:szCs w:val="21"/>
          <w:lang w:eastAsia="zh-CN"/>
        </w:rPr>
        <w:t>管理管控</w:t>
      </w:r>
      <w:r>
        <w:rPr>
          <w:rFonts w:ascii="宋体" w:hAnsi="宋体" w:hint="eastAsia"/>
          <w:szCs w:val="21"/>
        </w:rPr>
        <w:t>。</w:t>
      </w:r>
    </w:p>
    <w:p>
      <w:pPr>
        <w:pStyle w:val="Normal0"/>
        <w:spacing w:line="360" w:lineRule="auto"/>
        <w:rPr>
          <w:rFonts w:ascii="宋体" w:hAnsi="宋体" w:hint="eastAsia"/>
          <w:szCs w:val="21"/>
        </w:rPr>
      </w:pPr>
      <w:r>
        <w:rPr>
          <w:rFonts w:ascii="宋体" w:hAnsi="宋体" w:hint="eastAsia"/>
          <w:bCs/>
          <w:szCs w:val="21"/>
        </w:rPr>
        <w:t>第十四条</w:t>
      </w:r>
      <w:r>
        <w:rPr>
          <w:rFonts w:ascii="宋体" w:hAnsi="宋体" w:hint="eastAsia"/>
          <w:szCs w:val="21"/>
        </w:rPr>
        <w:t>：严格执行财务安全</w:t>
      </w:r>
      <w:r>
        <w:rPr>
          <w:rFonts w:ascii="宋体" w:hAnsi="宋体" w:hint="eastAsia"/>
          <w:szCs w:val="21"/>
          <w:lang w:eastAsia="zh-CN"/>
        </w:rPr>
        <w:t>管理管控</w:t>
      </w:r>
      <w:r>
        <w:rPr>
          <w:rFonts w:ascii="宋体" w:hAnsi="宋体" w:hint="eastAsia"/>
          <w:szCs w:val="21"/>
        </w:rPr>
        <w:t>规定，确保现金的安全。</w:t>
      </w:r>
    </w:p>
    <w:p>
      <w:pPr>
        <w:pStyle w:val="Normal0"/>
        <w:spacing w:line="360" w:lineRule="auto"/>
        <w:ind w:left="420" w:hanging="420" w:hangingChars="200"/>
        <w:rPr>
          <w:rFonts w:ascii="宋体" w:hAnsi="宋体" w:hint="eastAsia"/>
          <w:szCs w:val="21"/>
        </w:rPr>
      </w:pPr>
      <w:r>
        <w:rPr>
          <w:rFonts w:ascii="宋体" w:hAnsi="宋体" w:hint="eastAsia"/>
          <w:bCs/>
          <w:szCs w:val="21"/>
        </w:rPr>
        <w:t>第十五条</w:t>
      </w:r>
      <w:r>
        <w:rPr>
          <w:rFonts w:ascii="宋体" w:hAnsi="宋体" w:hint="eastAsia"/>
          <w:szCs w:val="21"/>
        </w:rPr>
        <w:t>：现金保险柜不准存放私人物品，酒店现金不准私自借出、不准挪用、不允许用支票套取现金，不准用酒店银行账户代他人收取和支取现金。出纳人员工作调离或离职，必须严格办理交接手续。</w:t>
      </w:r>
    </w:p>
    <w:p>
      <w:pPr>
        <w:pStyle w:val="Normal0"/>
        <w:spacing w:line="360" w:lineRule="auto"/>
        <w:rPr>
          <w:rFonts w:ascii="宋体" w:hAnsi="宋体" w:hint="eastAsia"/>
          <w:b/>
          <w:bCs/>
          <w:szCs w:val="21"/>
        </w:rPr>
      </w:pPr>
      <w:r>
        <w:rPr>
          <w:rFonts w:ascii="宋体" w:hAnsi="宋体" w:hint="eastAsia"/>
          <w:b/>
          <w:bCs/>
          <w:szCs w:val="21"/>
        </w:rPr>
        <w:t>第三章：银行存款</w:t>
      </w:r>
      <w:r>
        <w:rPr>
          <w:rFonts w:ascii="宋体" w:hAnsi="宋体" w:hint="eastAsia"/>
          <w:b/>
          <w:bCs/>
          <w:szCs w:val="21"/>
          <w:lang w:eastAsia="zh-CN"/>
        </w:rPr>
        <w:t>管理管控</w:t>
      </w:r>
    </w:p>
    <w:p>
      <w:pPr>
        <w:pStyle w:val="Normal0"/>
        <w:spacing w:line="360" w:lineRule="auto"/>
        <w:ind w:left="420" w:hanging="420" w:hangingChars="200"/>
        <w:rPr>
          <w:rFonts w:ascii="宋体" w:hAnsi="宋体" w:hint="eastAsia"/>
          <w:b/>
          <w:bCs/>
          <w:szCs w:val="21"/>
        </w:rPr>
      </w:pPr>
      <w:r>
        <w:rPr>
          <w:rFonts w:ascii="宋体" w:hAnsi="宋体" w:hint="eastAsia"/>
          <w:bCs/>
          <w:szCs w:val="21"/>
        </w:rPr>
        <w:t>第十六条：</w:t>
      </w:r>
      <w:r>
        <w:rPr>
          <w:rFonts w:ascii="宋体" w:hAnsi="宋体" w:hint="eastAsia"/>
          <w:szCs w:val="21"/>
        </w:rPr>
        <w:t>酒店发生之经济往来，除按照《现金</w:t>
      </w:r>
      <w:r>
        <w:rPr>
          <w:rFonts w:ascii="宋体" w:hAnsi="宋体" w:hint="eastAsia"/>
          <w:szCs w:val="21"/>
          <w:lang w:eastAsia="zh-CN"/>
        </w:rPr>
        <w:t>管理管控</w:t>
      </w:r>
      <w:r>
        <w:rPr>
          <w:rFonts w:ascii="宋体" w:hAnsi="宋体" w:hint="eastAsia"/>
          <w:szCs w:val="21"/>
        </w:rPr>
        <w:t>暂行条例》规定可以使用现金外，都必须通过银行转账结算。</w:t>
      </w:r>
    </w:p>
    <w:p>
      <w:pPr>
        <w:pStyle w:val="Normal0"/>
        <w:spacing w:line="360" w:lineRule="auto"/>
        <w:ind w:left="420" w:hanging="420" w:hangingChars="200"/>
        <w:rPr>
          <w:rFonts w:ascii="宋体" w:hAnsi="宋体" w:hint="eastAsia"/>
          <w:szCs w:val="21"/>
        </w:rPr>
      </w:pPr>
      <w:r>
        <w:rPr>
          <w:rFonts w:ascii="宋体" w:hAnsi="宋体" w:hint="eastAsia"/>
          <w:bCs/>
          <w:szCs w:val="21"/>
        </w:rPr>
        <w:t>第十七条：</w:t>
      </w:r>
      <w:r>
        <w:rPr>
          <w:rFonts w:ascii="宋体" w:hAnsi="宋体" w:hint="eastAsia"/>
          <w:szCs w:val="21"/>
        </w:rPr>
        <w:t>酒店在银行开立基本账户和一般存款账户，上述账户只供酒店经营业务范围内的资金收付使用，酒店不得出租、出借或转让给其他单位或个人使用。</w:t>
      </w:r>
    </w:p>
    <w:p>
      <w:pPr>
        <w:pStyle w:val="Normal0"/>
        <w:spacing w:line="360" w:lineRule="auto"/>
        <w:ind w:left="420" w:hanging="420" w:hangingChars="200"/>
        <w:rPr>
          <w:rFonts w:ascii="宋体" w:hAnsi="宋体" w:hint="eastAsia"/>
          <w:b/>
          <w:bCs/>
          <w:szCs w:val="21"/>
        </w:rPr>
      </w:pPr>
      <w:r>
        <w:rPr>
          <w:rFonts w:ascii="宋体" w:hAnsi="宋体" w:hint="eastAsia"/>
          <w:szCs w:val="21"/>
        </w:rPr>
        <w:t>第十八条：送存银行的款项（含现金和支票），必须填制送款单连同现金、支票及其他转账凭证一起送存银行，取得银行回单后据实入账。</w:t>
      </w:r>
    </w:p>
    <w:p>
      <w:pPr>
        <w:pStyle w:val="Normal0"/>
        <w:spacing w:line="360" w:lineRule="auto"/>
        <w:ind w:left="420" w:hanging="420" w:hangingChars="200"/>
        <w:rPr>
          <w:rFonts w:ascii="宋体" w:hAnsi="宋体" w:hint="eastAsia"/>
          <w:b/>
          <w:bCs/>
          <w:szCs w:val="21"/>
        </w:rPr>
      </w:pPr>
      <w:r>
        <w:rPr>
          <w:rFonts w:ascii="宋体" w:hAnsi="宋体" w:hint="eastAsia"/>
          <w:bCs/>
          <w:szCs w:val="21"/>
        </w:rPr>
        <w:t>第十九条：</w:t>
      </w:r>
      <w:r>
        <w:rPr>
          <w:rFonts w:ascii="宋体" w:hAnsi="宋体" w:hint="eastAsia"/>
          <w:szCs w:val="21"/>
        </w:rPr>
        <w:t>出纳对发生的结算业务，应根据合法、正确和完整的收支凭证，依业务发生的先后顺序登记入账，编制银行存款日结表，结出每日余额。月份终了，银行存款日记账必须与银行对账单核对并编制“银行存款余额调节表”，对于“未达账项”应及时查明原因，妥善做出处理，防止出现差错。银行存款的对账工作由会计负责。</w:t>
      </w:r>
    </w:p>
    <w:p>
      <w:pPr>
        <w:pStyle w:val="Normal0"/>
        <w:spacing w:line="360" w:lineRule="auto"/>
        <w:ind w:left="420" w:hanging="420" w:hangingChars="200"/>
        <w:rPr>
          <w:rFonts w:ascii="宋体" w:hAnsi="宋体" w:hint="eastAsia"/>
          <w:b/>
          <w:bCs/>
          <w:szCs w:val="21"/>
        </w:rPr>
        <w:sectPr>
          <w:headerReference w:type="default" r:id="rId35"/>
          <w:footerReference w:type="default" r:id="rId36"/>
          <w:type w:val="nextPage"/>
          <w:pgSz w:w="11906" w:h="16838"/>
          <w:pgMar w:top="851" w:right="1466" w:bottom="1077" w:left="1800" w:header="720" w:footer="720" w:gutter="0"/>
          <w:pgNumType w:start="16"/>
          <w:cols w:num="1" w:space="720"/>
          <w:titlePg w:val="0"/>
          <w:docGrid w:type="lines" w:linePitch="312" w:charSpace="0"/>
        </w:sectPr>
      </w:pPr>
      <w:r>
        <w:rPr>
          <w:rFonts w:ascii="宋体" w:hAnsi="宋体" w:hint="eastAsia"/>
          <w:bCs/>
          <w:szCs w:val="21"/>
        </w:rPr>
        <w:t>第二十条：</w:t>
      </w:r>
      <w:r>
        <w:rPr>
          <w:rFonts w:ascii="宋体" w:hAnsi="宋体" w:hint="eastAsia"/>
          <w:szCs w:val="21"/>
        </w:rPr>
        <w:t>严格按照《支付结算办法》、《银行账户</w:t>
      </w:r>
      <w:r>
        <w:rPr>
          <w:rFonts w:ascii="宋体" w:hAnsi="宋体" w:hint="eastAsia"/>
          <w:szCs w:val="21"/>
          <w:lang w:eastAsia="zh-CN"/>
        </w:rPr>
        <w:t>管理管控</w:t>
      </w:r>
    </w:p>
    <w:p>
      <w:pPr>
        <w:pStyle w:val="Normal0"/>
        <w:spacing w:line="360" w:lineRule="auto"/>
        <w:ind w:left="420" w:hanging="420" w:hangingChars="200"/>
        <w:rPr>
          <w:rFonts w:ascii="宋体" w:hAnsi="宋体" w:hint="eastAsia"/>
          <w:b/>
          <w:bCs/>
          <w:szCs w:val="21"/>
        </w:rPr>
      </w:pPr>
      <w:r>
        <w:rPr>
          <w:rFonts w:ascii="宋体" w:hAnsi="宋体" w:hint="eastAsia"/>
          <w:szCs w:val="21"/>
        </w:rPr>
        <w:t>办法》和《中华人民共和国票据法》的有关规定，办理银行开户，银行票据结算业务，不得违规开立和使用账户，不得签发空头支票和远期支票，不得无理拒付，不得签发、取得和转让无债权债务或真实交易的票据。</w:t>
      </w:r>
    </w:p>
    <w:p>
      <w:pPr>
        <w:pStyle w:val="Normal0"/>
        <w:spacing w:line="360" w:lineRule="auto"/>
        <w:rPr>
          <w:rFonts w:ascii="宋体" w:hAnsi="宋体" w:hint="eastAsia"/>
          <w:b/>
          <w:bCs/>
          <w:szCs w:val="21"/>
        </w:rPr>
      </w:pPr>
      <w:r>
        <w:rPr>
          <w:rFonts w:ascii="宋体" w:hAnsi="宋体" w:hint="eastAsia"/>
          <w:bCs/>
          <w:szCs w:val="21"/>
        </w:rPr>
        <w:t>第二十一条：</w:t>
      </w:r>
      <w:r>
        <w:rPr>
          <w:rFonts w:ascii="宋体" w:hAnsi="宋体" w:hint="eastAsia"/>
          <w:szCs w:val="21"/>
        </w:rPr>
        <w:t>支票采用记名方式，签发支票必须注明接受单位名称或个人姓名以及用途。</w:t>
      </w:r>
    </w:p>
    <w:p>
      <w:pPr>
        <w:pStyle w:val="Normal0"/>
        <w:spacing w:line="360" w:lineRule="auto"/>
        <w:ind w:left="420" w:hanging="420" w:hangingChars="200"/>
        <w:rPr>
          <w:rFonts w:ascii="宋体" w:hAnsi="宋体" w:hint="eastAsia"/>
          <w:b/>
          <w:bCs/>
          <w:szCs w:val="21"/>
        </w:rPr>
      </w:pPr>
      <w:r>
        <w:rPr>
          <w:rFonts w:ascii="宋体" w:hAnsi="宋体" w:hint="eastAsia"/>
          <w:bCs/>
          <w:szCs w:val="21"/>
        </w:rPr>
        <w:t>第二十二条：</w:t>
      </w:r>
      <w:r>
        <w:rPr>
          <w:rFonts w:ascii="宋体" w:hAnsi="宋体" w:hint="eastAsia"/>
          <w:szCs w:val="21"/>
        </w:rPr>
        <w:t>原则上不准携带盖好印鉴的空白支票外出采购，不准将支票给供货单位代为签发。如确需携带盖好印鉴的空白支票时，一定要填写好签发日期，收款单位名称和最高结算限额，并督促经办人员及时报销。</w:t>
      </w:r>
    </w:p>
    <w:p>
      <w:pPr>
        <w:pStyle w:val="Normal0"/>
        <w:spacing w:line="360" w:lineRule="auto"/>
        <w:ind w:left="420" w:hanging="420" w:hangingChars="200"/>
        <w:rPr>
          <w:rFonts w:ascii="宋体" w:hAnsi="宋体" w:hint="eastAsia"/>
          <w:b/>
          <w:bCs/>
          <w:szCs w:val="21"/>
        </w:rPr>
      </w:pPr>
      <w:r>
        <w:rPr>
          <w:rFonts w:ascii="宋体" w:hAnsi="宋体" w:hint="eastAsia"/>
          <w:bCs/>
          <w:szCs w:val="21"/>
        </w:rPr>
        <w:t>第二十三条：</w:t>
      </w:r>
      <w:r>
        <w:rPr>
          <w:rFonts w:ascii="宋体" w:hAnsi="宋体" w:hint="eastAsia"/>
          <w:szCs w:val="21"/>
        </w:rPr>
        <w:t>结算凭证（如汇票、支票等）丢失的，经办人必须立即报告财务经理和总经理，以便及时采取挂失止付等补救措施，防止冒领和诈骗行为发生。如造成经济损失的，由当事人自已承担。</w:t>
      </w:r>
    </w:p>
    <w:p>
      <w:pPr>
        <w:pStyle w:val="Normal0"/>
        <w:spacing w:line="360" w:lineRule="auto"/>
        <w:ind w:left="420" w:hanging="420" w:hangingChars="200"/>
        <w:rPr>
          <w:rFonts w:ascii="宋体" w:hAnsi="宋体" w:hint="eastAsia"/>
          <w:b/>
          <w:bCs/>
          <w:szCs w:val="21"/>
        </w:rPr>
      </w:pPr>
      <w:r>
        <w:rPr>
          <w:rFonts w:ascii="宋体" w:hAnsi="宋体" w:hint="eastAsia"/>
          <w:bCs/>
          <w:szCs w:val="21"/>
        </w:rPr>
        <w:t>第二十四条：</w:t>
      </w:r>
      <w:r>
        <w:rPr>
          <w:rFonts w:ascii="宋体" w:hAnsi="宋体" w:hint="eastAsia"/>
          <w:szCs w:val="21"/>
        </w:rPr>
        <w:t>预付款应按照已签订</w:t>
      </w:r>
      <w:r>
        <w:rPr>
          <w:rFonts w:ascii="宋体" w:hAnsi="宋体" w:hint="eastAsia"/>
          <w:szCs w:val="21"/>
          <w:lang w:eastAsia="zh-CN"/>
        </w:rPr>
        <w:t>合同合约</w:t>
      </w:r>
      <w:r>
        <w:rPr>
          <w:rFonts w:ascii="宋体" w:hAnsi="宋体" w:hint="eastAsia"/>
          <w:szCs w:val="21"/>
        </w:rPr>
        <w:t>的付款</w:t>
      </w:r>
      <w:r>
        <w:rPr>
          <w:rFonts w:ascii="宋体" w:hAnsi="宋体" w:hint="eastAsia"/>
          <w:szCs w:val="21"/>
          <w:lang w:eastAsia="zh-CN"/>
        </w:rPr>
        <w:t>条约条款</w:t>
      </w:r>
      <w:r>
        <w:rPr>
          <w:rFonts w:ascii="宋体" w:hAnsi="宋体" w:hint="eastAsia"/>
          <w:szCs w:val="21"/>
        </w:rPr>
        <w:t>，填制用款申请单，按酒店审批权限审批后。填制转账支票，办理付款手续。</w:t>
      </w:r>
    </w:p>
    <w:p>
      <w:pPr>
        <w:pStyle w:val="Normal0"/>
        <w:spacing w:line="360" w:lineRule="auto"/>
        <w:ind w:left="420" w:hanging="420" w:hangingChars="200"/>
        <w:rPr>
          <w:rFonts w:ascii="宋体" w:hAnsi="宋体" w:hint="eastAsia"/>
          <w:b/>
          <w:bCs/>
          <w:szCs w:val="21"/>
        </w:rPr>
      </w:pPr>
      <w:r>
        <w:rPr>
          <w:rFonts w:ascii="宋体" w:hAnsi="宋体" w:hint="eastAsia"/>
          <w:bCs/>
          <w:szCs w:val="21"/>
        </w:rPr>
        <w:t>第二十五条：</w:t>
      </w:r>
      <w:r>
        <w:rPr>
          <w:rFonts w:ascii="宋体" w:hAnsi="宋体" w:hint="eastAsia"/>
          <w:szCs w:val="21"/>
        </w:rPr>
        <w:t>凡办理预付款手续的</w:t>
      </w:r>
      <w:r>
        <w:rPr>
          <w:rFonts w:ascii="宋体" w:hAnsi="宋体" w:hint="eastAsia"/>
          <w:szCs w:val="21"/>
          <w:lang w:eastAsia="zh-CN"/>
        </w:rPr>
        <w:t>合同合约</w:t>
      </w:r>
      <w:r>
        <w:rPr>
          <w:rFonts w:ascii="宋体" w:hAnsi="宋体" w:hint="eastAsia"/>
          <w:szCs w:val="21"/>
        </w:rPr>
        <w:t>事项及采购事项，款项一经付出，经办人应督促</w:t>
      </w:r>
      <w:r>
        <w:rPr>
          <w:rFonts w:ascii="宋体" w:hAnsi="宋体" w:hint="eastAsia"/>
          <w:szCs w:val="21"/>
          <w:lang w:eastAsia="zh-CN"/>
        </w:rPr>
        <w:t>合同合约</w:t>
      </w:r>
      <w:r>
        <w:rPr>
          <w:rFonts w:ascii="宋体" w:hAnsi="宋体" w:hint="eastAsia"/>
          <w:szCs w:val="21"/>
        </w:rPr>
        <w:t xml:space="preserve">或采购事项的落实情况，业务结算时应及时清回余款。否则造成之损失由经办人负责。 </w:t>
      </w:r>
    </w:p>
    <w:p>
      <w:pPr>
        <w:pStyle w:val="Normal0"/>
        <w:spacing w:line="360" w:lineRule="auto"/>
        <w:rPr>
          <w:rFonts w:ascii="宋体" w:hAnsi="宋体" w:hint="eastAsia"/>
          <w:b/>
          <w:bCs/>
          <w:szCs w:val="21"/>
        </w:rPr>
      </w:pPr>
      <w:r>
        <w:rPr>
          <w:rFonts w:ascii="宋体" w:hAnsi="宋体" w:hint="eastAsia"/>
          <w:bCs/>
          <w:szCs w:val="21"/>
        </w:rPr>
        <w:t>第二十六条：</w:t>
      </w:r>
      <w:r>
        <w:rPr>
          <w:rFonts w:ascii="宋体" w:hAnsi="宋体" w:hint="eastAsia"/>
          <w:szCs w:val="21"/>
        </w:rPr>
        <w:t>不得违反银行结算法律法规和制度，不得贪污挪用公款。</w:t>
      </w:r>
    </w:p>
    <w:p>
      <w:pPr>
        <w:pStyle w:val="Normal0"/>
        <w:spacing w:line="360" w:lineRule="auto"/>
        <w:ind w:left="420" w:hanging="420" w:hangingChars="200"/>
        <w:rPr>
          <w:rFonts w:ascii="宋体" w:hAnsi="宋体" w:hint="eastAsia"/>
          <w:szCs w:val="21"/>
        </w:rPr>
      </w:pPr>
      <w:r>
        <w:rPr>
          <w:rFonts w:ascii="宋体" w:hAnsi="宋体" w:hint="eastAsia"/>
          <w:bCs/>
          <w:szCs w:val="21"/>
        </w:rPr>
        <w:t>第二十七条：</w:t>
      </w:r>
      <w:r>
        <w:rPr>
          <w:rFonts w:ascii="宋体" w:hAnsi="宋体" w:hint="eastAsia"/>
          <w:szCs w:val="21"/>
        </w:rPr>
        <w:t>财务经理负责组织人员抽查现金、银行存款的使用及结余情况。检查支票的使用情况及结存情况。防止不当行为的发生。</w:t>
      </w:r>
    </w:p>
    <w:p>
      <w:pPr>
        <w:pStyle w:val="Normal0"/>
        <w:spacing w:line="360" w:lineRule="auto"/>
        <w:rPr>
          <w:rFonts w:ascii="宋体" w:hAnsi="宋体" w:hint="eastAsia"/>
          <w:b/>
          <w:bCs/>
          <w:szCs w:val="21"/>
        </w:rPr>
      </w:pPr>
      <w:r>
        <w:rPr>
          <w:rFonts w:ascii="宋体" w:hAnsi="宋体" w:hint="eastAsia"/>
          <w:b/>
          <w:bCs/>
          <w:szCs w:val="21"/>
        </w:rPr>
        <w:t>第四章：结算资金</w:t>
      </w:r>
      <w:r>
        <w:rPr>
          <w:rFonts w:ascii="宋体" w:hAnsi="宋体" w:hint="eastAsia"/>
          <w:b/>
          <w:bCs/>
          <w:szCs w:val="21"/>
          <w:lang w:eastAsia="zh-CN"/>
        </w:rPr>
        <w:t>管理管控</w:t>
      </w:r>
    </w:p>
    <w:p>
      <w:pPr>
        <w:pStyle w:val="Normal0"/>
        <w:spacing w:line="360" w:lineRule="auto"/>
        <w:ind w:left="420" w:hanging="420" w:hangingChars="200"/>
        <w:rPr>
          <w:rFonts w:ascii="宋体" w:hAnsi="宋体" w:hint="eastAsia"/>
          <w:b/>
          <w:bCs/>
          <w:szCs w:val="21"/>
        </w:rPr>
      </w:pPr>
      <w:r>
        <w:rPr>
          <w:rFonts w:ascii="宋体" w:hAnsi="宋体" w:hint="eastAsia"/>
          <w:bCs/>
          <w:szCs w:val="21"/>
        </w:rPr>
        <w:t>第二十八条：</w:t>
      </w:r>
      <w:r>
        <w:rPr>
          <w:rFonts w:ascii="宋体" w:hAnsi="宋体" w:hint="eastAsia"/>
          <w:szCs w:val="21"/>
        </w:rPr>
        <w:t>有效控制结算资金的占用，及时追收、清理应收账款，加速资金回笼是酒店结算资金</w:t>
      </w:r>
      <w:r>
        <w:rPr>
          <w:rFonts w:ascii="宋体" w:hAnsi="宋体" w:hint="eastAsia"/>
          <w:szCs w:val="21"/>
          <w:lang w:eastAsia="zh-CN"/>
        </w:rPr>
        <w:t>管理管控</w:t>
      </w:r>
      <w:r>
        <w:rPr>
          <w:rFonts w:ascii="宋体" w:hAnsi="宋体" w:hint="eastAsia"/>
          <w:szCs w:val="21"/>
        </w:rPr>
        <w:t>的原则。酒店长包房房租应每月结算一次或按合约或协议及时结算；团队会议消费，应于接待业务完成后及时结算。</w:t>
      </w:r>
    </w:p>
    <w:p>
      <w:pPr>
        <w:pStyle w:val="Normal0"/>
        <w:spacing w:line="360" w:lineRule="auto"/>
        <w:ind w:left="420" w:hanging="420" w:hangingChars="200"/>
        <w:rPr>
          <w:rFonts w:ascii="宋体" w:hAnsi="宋体" w:hint="eastAsia"/>
          <w:b/>
          <w:bCs/>
          <w:szCs w:val="21"/>
        </w:rPr>
      </w:pPr>
      <w:r>
        <w:rPr>
          <w:rFonts w:ascii="宋体" w:hAnsi="宋体" w:hint="eastAsia"/>
          <w:bCs/>
          <w:szCs w:val="21"/>
        </w:rPr>
        <w:t>第二十九条：</w:t>
      </w:r>
      <w:r>
        <w:rPr>
          <w:rFonts w:ascii="宋体" w:hAnsi="宋体" w:hint="eastAsia"/>
          <w:szCs w:val="21"/>
        </w:rPr>
        <w:t>应收账款应按签单协议及时追收，防止呆坏账的发生。对收款有困难、逾期未收回的应收账款，应请营业部门协助追收。必要时可通过法律途径解决。</w:t>
      </w:r>
    </w:p>
    <w:p>
      <w:pPr>
        <w:pStyle w:val="Normal0"/>
        <w:spacing w:line="360" w:lineRule="auto"/>
        <w:ind w:left="420" w:hanging="420" w:hangingChars="200"/>
        <w:rPr>
          <w:rFonts w:ascii="宋体" w:hAnsi="宋体" w:hint="eastAsia"/>
          <w:b/>
          <w:bCs/>
          <w:szCs w:val="21"/>
        </w:rPr>
      </w:pPr>
      <w:r>
        <w:rPr>
          <w:rFonts w:ascii="宋体" w:hAnsi="宋体" w:hint="eastAsia"/>
          <w:bCs/>
          <w:szCs w:val="21"/>
        </w:rPr>
        <w:t>第三十条：</w:t>
      </w:r>
      <w:r>
        <w:rPr>
          <w:rFonts w:ascii="宋体" w:hAnsi="宋体" w:hint="eastAsia"/>
          <w:szCs w:val="21"/>
        </w:rPr>
        <w:t>对各项采购款项，原则上应采用月结的形式结算，</w:t>
      </w:r>
      <w:r>
        <w:rPr>
          <w:rFonts w:ascii="宋体" w:hAnsi="宋体" w:hint="eastAsia"/>
          <w:szCs w:val="21"/>
          <w:lang w:eastAsia="zh-CN"/>
        </w:rPr>
        <w:t>合同合约</w:t>
      </w:r>
      <w:r>
        <w:rPr>
          <w:rFonts w:ascii="宋体" w:hAnsi="宋体" w:hint="eastAsia"/>
          <w:szCs w:val="21"/>
        </w:rPr>
        <w:t>或协议有规定的按</w:t>
      </w:r>
      <w:r>
        <w:rPr>
          <w:rFonts w:ascii="宋体" w:hAnsi="宋体" w:hint="eastAsia"/>
          <w:szCs w:val="21"/>
          <w:lang w:eastAsia="zh-CN"/>
        </w:rPr>
        <w:t>合同合约</w:t>
      </w:r>
      <w:r>
        <w:rPr>
          <w:rFonts w:ascii="宋体" w:hAnsi="宋体" w:hint="eastAsia"/>
          <w:szCs w:val="21"/>
        </w:rPr>
        <w:t xml:space="preserve">或协议执行。各项采购付款不得办理预付款（紧急采购物资除外）。 </w:t>
      </w:r>
    </w:p>
    <w:p>
      <w:pPr>
        <w:pStyle w:val="Normal0"/>
        <w:spacing w:line="360" w:lineRule="auto"/>
        <w:ind w:left="420" w:hanging="420" w:hangingChars="200"/>
        <w:rPr>
          <w:rFonts w:ascii="宋体" w:hAnsi="宋体" w:hint="eastAsia"/>
          <w:b/>
          <w:bCs/>
          <w:szCs w:val="21"/>
        </w:rPr>
      </w:pPr>
      <w:r>
        <w:rPr>
          <w:rFonts w:ascii="宋体" w:hAnsi="宋体" w:hint="eastAsia"/>
          <w:bCs/>
          <w:szCs w:val="21"/>
        </w:rPr>
        <w:t>第三十一条：</w:t>
      </w:r>
      <w:r>
        <w:rPr>
          <w:rFonts w:ascii="宋体" w:hAnsi="宋体" w:hint="eastAsia"/>
          <w:szCs w:val="21"/>
        </w:rPr>
        <w:t>工程</w:t>
      </w:r>
      <w:r>
        <w:rPr>
          <w:rFonts w:ascii="宋体" w:hAnsi="宋体" w:hint="eastAsia"/>
          <w:szCs w:val="21"/>
          <w:lang w:eastAsia="zh-CN"/>
        </w:rPr>
        <w:t>相关项目</w:t>
      </w:r>
      <w:r>
        <w:rPr>
          <w:rFonts w:ascii="宋体" w:hAnsi="宋体" w:hint="eastAsia"/>
          <w:szCs w:val="21"/>
        </w:rPr>
        <w:t>结算，应根据工程</w:t>
      </w:r>
      <w:r>
        <w:rPr>
          <w:rFonts w:ascii="宋体" w:hAnsi="宋体" w:hint="eastAsia"/>
          <w:szCs w:val="21"/>
          <w:lang w:eastAsia="zh-CN"/>
        </w:rPr>
        <w:t>合同合约</w:t>
      </w:r>
      <w:r>
        <w:rPr>
          <w:rFonts w:ascii="宋体" w:hAnsi="宋体" w:hint="eastAsia"/>
          <w:szCs w:val="21"/>
        </w:rPr>
        <w:t>在工程</w:t>
      </w:r>
      <w:r>
        <w:rPr>
          <w:rFonts w:ascii="宋体" w:hAnsi="宋体" w:hint="eastAsia"/>
          <w:szCs w:val="21"/>
          <w:lang w:eastAsia="zh-CN"/>
        </w:rPr>
        <w:t>相关项目</w:t>
      </w:r>
      <w:r>
        <w:rPr>
          <w:rFonts w:ascii="宋体" w:hAnsi="宋体" w:hint="eastAsia"/>
          <w:szCs w:val="21"/>
        </w:rPr>
        <w:t>竣工验收后三至六个月内结算。零星维修工程于工程完工验收后三个月内结算。</w:t>
      </w:r>
      <w:r>
        <w:rPr>
          <w:rFonts w:ascii="宋体" w:hAnsi="宋体" w:hint="eastAsia"/>
          <w:szCs w:val="21"/>
          <w:lang w:eastAsia="zh-CN"/>
        </w:rPr>
        <w:t>合同合约</w:t>
      </w:r>
      <w:r>
        <w:rPr>
          <w:rFonts w:ascii="宋体" w:hAnsi="宋体" w:hint="eastAsia"/>
          <w:szCs w:val="21"/>
        </w:rPr>
        <w:t>规定了结算期限及结算方式的按</w:t>
      </w:r>
      <w:r>
        <w:rPr>
          <w:rFonts w:ascii="宋体" w:hAnsi="宋体" w:hint="eastAsia"/>
          <w:szCs w:val="21"/>
          <w:lang w:eastAsia="zh-CN"/>
        </w:rPr>
        <w:t>合同合约</w:t>
      </w:r>
      <w:r>
        <w:rPr>
          <w:rFonts w:ascii="宋体" w:hAnsi="宋体" w:hint="eastAsia"/>
          <w:szCs w:val="21"/>
        </w:rPr>
        <w:t>执行。</w:t>
      </w:r>
    </w:p>
    <w:p>
      <w:pPr>
        <w:pStyle w:val="Normal0"/>
        <w:spacing w:line="360" w:lineRule="auto"/>
        <w:ind w:left="420" w:hanging="420" w:hangingChars="200"/>
        <w:rPr>
          <w:rFonts w:ascii="宋体" w:hAnsi="宋体" w:hint="eastAsia"/>
          <w:b/>
          <w:bCs/>
          <w:szCs w:val="21"/>
        </w:rPr>
        <w:sectPr>
          <w:headerReference w:type="default" r:id="rId37"/>
          <w:footerReference w:type="default" r:id="rId38"/>
          <w:type w:val="nextPage"/>
          <w:pgSz w:w="11906" w:h="16838"/>
          <w:pgMar w:top="851" w:right="1466" w:bottom="1077" w:left="1800" w:header="720" w:footer="720" w:gutter="0"/>
          <w:pgNumType w:start="17"/>
          <w:cols w:num="1" w:space="720"/>
          <w:titlePg w:val="0"/>
          <w:docGrid w:type="lines" w:linePitch="312" w:charSpace="0"/>
        </w:sectPr>
      </w:pPr>
      <w:r>
        <w:rPr>
          <w:rFonts w:ascii="宋体" w:hAnsi="宋体" w:hint="eastAsia"/>
          <w:bCs/>
          <w:szCs w:val="21"/>
        </w:rPr>
        <w:t>第三十二条：酒店发生的</w:t>
      </w:r>
      <w:r>
        <w:rPr>
          <w:rFonts w:ascii="宋体" w:hAnsi="宋体" w:hint="eastAsia"/>
          <w:szCs w:val="21"/>
        </w:rPr>
        <w:t>往来业务，应分别不同情况，分科目设立账户核算。往来账户应逐笔登记，账款结算后应逐笔核销。</w:t>
      </w:r>
    </w:p>
    <w:p>
      <w:pPr>
        <w:pStyle w:val="Normal0"/>
        <w:spacing w:line="360" w:lineRule="auto"/>
        <w:ind w:left="420" w:hanging="420" w:hangingChars="200"/>
        <w:rPr>
          <w:rFonts w:ascii="宋体" w:hAnsi="宋体" w:hint="eastAsia"/>
          <w:szCs w:val="21"/>
        </w:rPr>
      </w:pPr>
      <w:r>
        <w:rPr>
          <w:rFonts w:ascii="宋体" w:hAnsi="宋体" w:hint="eastAsia"/>
          <w:bCs/>
          <w:szCs w:val="21"/>
        </w:rPr>
        <w:t>第三十三条：</w:t>
      </w:r>
      <w:r>
        <w:rPr>
          <w:rFonts w:ascii="宋体" w:hAnsi="宋体" w:hint="eastAsia"/>
          <w:szCs w:val="21"/>
        </w:rPr>
        <w:t>个人出差借款或采购借款，出差人员或采购人员在出差归来或采购活动结束后七日内必须至财务部办理报账手续，逾期不报者不得继续借款，同时将从其工资内扣回。</w:t>
      </w:r>
    </w:p>
    <w:p>
      <w:pPr>
        <w:pStyle w:val="Normal0"/>
        <w:spacing w:line="360" w:lineRule="auto"/>
        <w:rPr>
          <w:rFonts w:ascii="宋体" w:hAnsi="宋体" w:hint="eastAsia"/>
          <w:b/>
          <w:bCs/>
          <w:szCs w:val="21"/>
        </w:rPr>
      </w:pPr>
      <w:r>
        <w:rPr>
          <w:rFonts w:ascii="宋体" w:hAnsi="宋体" w:hint="eastAsia"/>
          <w:b/>
          <w:bCs/>
          <w:szCs w:val="21"/>
        </w:rPr>
        <w:t>第五章：工资结算</w:t>
      </w:r>
      <w:r>
        <w:rPr>
          <w:rFonts w:ascii="宋体" w:hAnsi="宋体" w:hint="eastAsia"/>
          <w:b/>
          <w:bCs/>
          <w:szCs w:val="21"/>
          <w:lang w:eastAsia="zh-CN"/>
        </w:rPr>
        <w:t>管理管控</w:t>
      </w:r>
    </w:p>
    <w:p>
      <w:pPr>
        <w:pStyle w:val="Normal0"/>
        <w:spacing w:line="360" w:lineRule="auto"/>
        <w:rPr>
          <w:rFonts w:ascii="宋体" w:hAnsi="宋体" w:hint="eastAsia"/>
          <w:b/>
          <w:bCs/>
          <w:szCs w:val="21"/>
        </w:rPr>
      </w:pPr>
      <w:r>
        <w:rPr>
          <w:rFonts w:ascii="宋体" w:hAnsi="宋体" w:hint="eastAsia"/>
          <w:bCs/>
          <w:szCs w:val="21"/>
        </w:rPr>
        <w:t>第三十四条：</w:t>
      </w:r>
      <w:r>
        <w:rPr>
          <w:rFonts w:ascii="宋体" w:hAnsi="宋体" w:hint="eastAsia"/>
          <w:szCs w:val="21"/>
        </w:rPr>
        <w:t>酒店职工的工资、奖金、津贴，以及其他工资性收入，纳入工资总额核算。</w:t>
      </w:r>
    </w:p>
    <w:p>
      <w:pPr>
        <w:pStyle w:val="Normal0"/>
        <w:spacing w:line="360" w:lineRule="auto"/>
        <w:ind w:left="420" w:hanging="420" w:hangingChars="200"/>
        <w:rPr>
          <w:rFonts w:ascii="宋体" w:hAnsi="宋体" w:hint="eastAsia"/>
          <w:b/>
          <w:bCs/>
          <w:szCs w:val="21"/>
        </w:rPr>
      </w:pPr>
      <w:r>
        <w:rPr>
          <w:rFonts w:ascii="宋体" w:hAnsi="宋体" w:hint="eastAsia"/>
          <w:bCs/>
          <w:szCs w:val="21"/>
        </w:rPr>
        <w:t>第三十五条：</w:t>
      </w:r>
      <w:r>
        <w:rPr>
          <w:rFonts w:ascii="宋体" w:hAnsi="宋体" w:hint="eastAsia"/>
          <w:szCs w:val="21"/>
        </w:rPr>
        <w:t>按人事部门核定的工资</w:t>
      </w:r>
      <w:r>
        <w:rPr>
          <w:rFonts w:ascii="宋体" w:hAnsi="宋体" w:hint="eastAsia"/>
          <w:szCs w:val="21"/>
          <w:lang w:eastAsia="zh-CN"/>
        </w:rPr>
        <w:t>相关计划</w:t>
      </w:r>
      <w:r>
        <w:rPr>
          <w:rFonts w:ascii="宋体" w:hAnsi="宋体" w:hint="eastAsia"/>
          <w:szCs w:val="21"/>
        </w:rPr>
        <w:t>，严格进行控制。各部门应按人事部门的要求，每月在规定的时间内提供部门员工扣款资料及代扣款项资料，人事部按实有在职人数和工资标准等资料计算应发工资和实发工资，连同相关资料报财务部门审核。</w:t>
      </w:r>
    </w:p>
    <w:p>
      <w:pPr>
        <w:pStyle w:val="Normal0"/>
        <w:spacing w:line="360" w:lineRule="auto"/>
        <w:ind w:left="420" w:hanging="420" w:hangingChars="200"/>
        <w:rPr>
          <w:rFonts w:ascii="宋体" w:hAnsi="宋体" w:hint="eastAsia"/>
          <w:b/>
          <w:bCs/>
          <w:szCs w:val="21"/>
        </w:rPr>
      </w:pPr>
      <w:r>
        <w:rPr>
          <w:rFonts w:ascii="宋体" w:hAnsi="宋体" w:hint="eastAsia"/>
          <w:bCs/>
          <w:szCs w:val="21"/>
        </w:rPr>
        <w:t>第三十六条：</w:t>
      </w:r>
      <w:r>
        <w:rPr>
          <w:rFonts w:ascii="宋体" w:hAnsi="宋体" w:hint="eastAsia"/>
          <w:szCs w:val="21"/>
        </w:rPr>
        <w:t>财务部按人事部核定的实有人数和工资额，编制工资发放汇总表，计算代扣款项，列出工资发放清单，打印员工工资条，员工在领取工资时必须在工资条上签名或盖章。人事部为员工提供扣款及代扣款证明清单。</w:t>
      </w:r>
    </w:p>
    <w:p>
      <w:pPr>
        <w:pStyle w:val="Normal0"/>
        <w:spacing w:line="360" w:lineRule="auto"/>
        <w:ind w:left="420" w:hanging="420" w:hangingChars="200"/>
        <w:rPr>
          <w:rFonts w:ascii="宋体" w:hAnsi="宋体" w:hint="eastAsia"/>
          <w:b/>
          <w:bCs/>
          <w:szCs w:val="21"/>
        </w:rPr>
      </w:pPr>
      <w:r>
        <w:rPr>
          <w:rFonts w:ascii="宋体" w:hAnsi="宋体" w:hint="eastAsia"/>
          <w:bCs/>
          <w:szCs w:val="21"/>
        </w:rPr>
        <w:t>第三十七条：</w:t>
      </w:r>
      <w:r>
        <w:rPr>
          <w:rFonts w:ascii="宋体" w:hAnsi="宋体" w:hint="eastAsia"/>
          <w:szCs w:val="21"/>
        </w:rPr>
        <w:t>酒店通过银行储蓄卡形式发放工资。员工工资每月由财务部在规定的时间内存入银行，员工接财务部通知后至银行领取。新员工工资卡的建立，由人事部提前一星期将新员工的详细资料报财务部，由财务部出纳员至银行办理。</w:t>
      </w:r>
    </w:p>
    <w:p>
      <w:pPr>
        <w:pStyle w:val="Normal0"/>
        <w:spacing w:line="360" w:lineRule="auto"/>
        <w:ind w:left="420" w:hanging="420" w:hangingChars="200"/>
        <w:rPr>
          <w:rFonts w:ascii="宋体" w:hAnsi="宋体" w:hint="eastAsia"/>
          <w:szCs w:val="21"/>
        </w:rPr>
      </w:pPr>
      <w:r>
        <w:rPr>
          <w:rFonts w:ascii="宋体" w:hAnsi="宋体" w:hint="eastAsia"/>
          <w:bCs/>
          <w:szCs w:val="21"/>
        </w:rPr>
        <w:t>第三十八条：</w:t>
      </w:r>
      <w:r>
        <w:rPr>
          <w:rFonts w:ascii="宋体" w:hAnsi="宋体" w:hint="eastAsia"/>
          <w:szCs w:val="21"/>
        </w:rPr>
        <w:t>员工工资卡如不慎丢失的，应由本人至银行办理挂失手续并通知财务部门，同时由员工本人在银行办理新的工资卡，并将新卡号报财务部。以方便财务部更新卡号。如因员工本人遗失工资卡又未及时通知财务部的，造成之经济损失由员工本人负责。</w:t>
      </w:r>
    </w:p>
    <w:p>
      <w:pPr>
        <w:pStyle w:val="Normal0"/>
        <w:spacing w:line="360" w:lineRule="auto"/>
        <w:ind w:left="420" w:hanging="420" w:hangingChars="200"/>
        <w:rPr>
          <w:rFonts w:ascii="宋体" w:hAnsi="宋体" w:hint="eastAsia"/>
          <w:szCs w:val="21"/>
        </w:rPr>
      </w:pPr>
      <w:r>
        <w:rPr>
          <w:rFonts w:ascii="宋体" w:hAnsi="宋体" w:hint="eastAsia"/>
          <w:szCs w:val="21"/>
        </w:rPr>
        <w:t>第三十九条：临时离职员工工资结算，人事部应提前一天做好工资清单，交财务部复核、呈各权责人员审批。员工凭签批有效的离职交收表至财务部领取。</w:t>
      </w:r>
    </w:p>
    <w:p>
      <w:pPr>
        <w:pStyle w:val="Normal0"/>
        <w:spacing w:line="360" w:lineRule="auto"/>
        <w:rPr>
          <w:rFonts w:ascii="宋体" w:hAnsi="宋体" w:hint="eastAsia"/>
          <w:b/>
          <w:bCs/>
          <w:szCs w:val="21"/>
        </w:rPr>
      </w:pPr>
      <w:r>
        <w:rPr>
          <w:rFonts w:ascii="宋体" w:hAnsi="宋体" w:hint="eastAsia"/>
          <w:b/>
          <w:bCs/>
          <w:szCs w:val="21"/>
        </w:rPr>
        <w:t>第六章：备用金</w:t>
      </w:r>
      <w:r>
        <w:rPr>
          <w:rFonts w:ascii="宋体" w:hAnsi="宋体" w:hint="eastAsia"/>
          <w:b/>
          <w:bCs/>
          <w:szCs w:val="21"/>
          <w:lang w:eastAsia="zh-CN"/>
        </w:rPr>
        <w:t>管理管控</w:t>
      </w:r>
    </w:p>
    <w:p>
      <w:pPr>
        <w:pStyle w:val="Normal0"/>
        <w:spacing w:line="360" w:lineRule="auto"/>
        <w:ind w:left="420" w:hanging="420" w:hangingChars="200"/>
        <w:rPr>
          <w:rFonts w:ascii="宋体" w:hAnsi="宋体" w:hint="eastAsia"/>
          <w:bCs/>
          <w:szCs w:val="21"/>
        </w:rPr>
      </w:pPr>
      <w:r>
        <w:rPr>
          <w:rFonts w:ascii="宋体" w:hAnsi="宋体" w:hint="eastAsia"/>
          <w:bCs/>
          <w:szCs w:val="21"/>
        </w:rPr>
        <w:t>第四十条：酒店备用金的使用范围限各收银点找零时使用和零星物资采购时使用，其他临时用款应填写借款单借取。</w:t>
      </w:r>
    </w:p>
    <w:p>
      <w:pPr>
        <w:pStyle w:val="Normal0"/>
        <w:spacing w:line="360" w:lineRule="auto"/>
        <w:ind w:left="420" w:hanging="420" w:hangingChars="200"/>
        <w:rPr>
          <w:rFonts w:ascii="宋体" w:hAnsi="宋体" w:hint="eastAsia"/>
          <w:bCs/>
          <w:szCs w:val="21"/>
        </w:rPr>
      </w:pPr>
      <w:r>
        <w:rPr>
          <w:rFonts w:ascii="宋体" w:hAnsi="宋体" w:hint="eastAsia"/>
          <w:bCs/>
          <w:szCs w:val="21"/>
        </w:rPr>
        <w:t>第四十一条：收银点备用金按酒店营业需要，由财务部按实际情况提出申请，经财务经理批准、总经理批准后使用。收银点备用金由各收银点保管，由收银领班和收银主管监督。</w:t>
      </w:r>
    </w:p>
    <w:p>
      <w:pPr>
        <w:pStyle w:val="Normal0"/>
        <w:spacing w:line="360" w:lineRule="auto"/>
        <w:ind w:left="420" w:hanging="420" w:hangingChars="200"/>
        <w:rPr>
          <w:rFonts w:ascii="宋体" w:hAnsi="宋体" w:hint="eastAsia"/>
          <w:bCs/>
          <w:szCs w:val="21"/>
        </w:rPr>
      </w:pPr>
      <w:r>
        <w:rPr>
          <w:rFonts w:ascii="宋体" w:hAnsi="宋体" w:hint="eastAsia"/>
          <w:bCs/>
          <w:szCs w:val="21"/>
        </w:rPr>
        <w:t>第四十二条：前台收银点备用金暂定为人民币2000元（不包括外币兑换备用金），其他收银点备用金暂定为人民币500元，如临时不够使用可及时向出纳借款。如因营业情况发生变化，需增加或减少备用金时可按情况及时提出补充申请。</w:t>
      </w:r>
    </w:p>
    <w:p>
      <w:pPr>
        <w:pStyle w:val="Normal0"/>
        <w:spacing w:line="360" w:lineRule="auto"/>
        <w:ind w:left="420" w:hanging="420" w:hangingChars="200"/>
        <w:rPr>
          <w:rFonts w:ascii="宋体" w:hAnsi="宋体" w:hint="eastAsia"/>
          <w:bCs/>
          <w:szCs w:val="21"/>
        </w:rPr>
        <w:sectPr>
          <w:headerReference w:type="default" r:id="rId39"/>
          <w:footerReference w:type="default" r:id="rId40"/>
          <w:type w:val="nextPage"/>
          <w:pgSz w:w="11906" w:h="16838"/>
          <w:pgMar w:top="851" w:right="1466" w:bottom="1077" w:left="1800" w:header="720" w:footer="720" w:gutter="0"/>
          <w:pgNumType w:start="18"/>
          <w:cols w:num="1" w:space="720"/>
          <w:titlePg w:val="0"/>
          <w:docGrid w:type="lines" w:linePitch="312" w:charSpace="0"/>
        </w:sectPr>
      </w:pPr>
    </w:p>
    <w:p>
      <w:pPr>
        <w:pStyle w:val="Normal0"/>
        <w:spacing w:line="360" w:lineRule="auto"/>
        <w:ind w:left="420" w:hanging="420" w:hangingChars="200"/>
        <w:rPr>
          <w:rFonts w:ascii="宋体" w:hAnsi="宋体" w:hint="eastAsia"/>
          <w:bCs/>
          <w:szCs w:val="21"/>
        </w:rPr>
      </w:pPr>
      <w:r>
        <w:rPr>
          <w:rFonts w:ascii="宋体" w:hAnsi="宋体" w:hint="eastAsia"/>
          <w:bCs/>
          <w:szCs w:val="21"/>
        </w:rPr>
        <w:t>第四十三条：零星采购备用金，由采购经理提出申请，经财务经理批准、总经理批准后使用。采购备用金由采购部经理保管，采购备用金暂定为1000元人民币，只作为临时急需物资采购时使用，不需用时应及时退回财务部。正常的采购业务，按程序办理借款手续，采购业务完成后及时报账。</w:t>
      </w:r>
    </w:p>
    <w:p>
      <w:pPr>
        <w:pStyle w:val="Normal0"/>
        <w:spacing w:line="360" w:lineRule="auto"/>
        <w:ind w:left="420" w:hanging="420" w:hangingChars="200"/>
        <w:rPr>
          <w:rFonts w:ascii="宋体" w:hAnsi="宋体" w:hint="eastAsia"/>
          <w:bCs/>
          <w:szCs w:val="21"/>
        </w:rPr>
      </w:pPr>
      <w:r>
        <w:rPr>
          <w:rFonts w:ascii="宋体" w:hAnsi="宋体" w:hint="eastAsia"/>
          <w:bCs/>
          <w:szCs w:val="21"/>
        </w:rPr>
        <w:t>第四十四条：备用金应随时清点，经常检查，按月盘点。收银点备用金应于每天营业结束后装袋封口放备用金保险柜内保管，各收银员不可自作主张、私自保管。</w:t>
      </w:r>
    </w:p>
    <w:p>
      <w:pPr>
        <w:pStyle w:val="Normal0"/>
        <w:spacing w:line="360" w:lineRule="auto"/>
        <w:ind w:left="420" w:hanging="420" w:hangingChars="200"/>
        <w:rPr>
          <w:rFonts w:ascii="宋体" w:hAnsi="宋体" w:hint="eastAsia"/>
          <w:bCs/>
          <w:szCs w:val="21"/>
        </w:rPr>
      </w:pPr>
      <w:r>
        <w:rPr>
          <w:rFonts w:ascii="宋体" w:hAnsi="宋体" w:hint="eastAsia"/>
          <w:bCs/>
          <w:szCs w:val="21"/>
        </w:rPr>
        <w:t>第四十五条：各收银员和采购人员不可私自挪用备用金，不可将备用金借他人使用，不可用备用金抵补短款。酒店临时急用向收银点借款的，应请示财务经理同意后，办理借款手续。</w:t>
      </w:r>
    </w:p>
    <w:p>
      <w:pPr>
        <w:pStyle w:val="Normal0"/>
        <w:spacing w:line="360" w:lineRule="auto"/>
        <w:ind w:left="420" w:hanging="420" w:hangingChars="200"/>
        <w:rPr>
          <w:rFonts w:ascii="宋体" w:hAnsi="宋体" w:hint="eastAsia"/>
          <w:bCs/>
          <w:szCs w:val="21"/>
        </w:rPr>
      </w:pPr>
      <w:r>
        <w:rPr>
          <w:rFonts w:ascii="宋体" w:hAnsi="宋体" w:hint="eastAsia"/>
          <w:bCs/>
          <w:szCs w:val="21"/>
        </w:rPr>
        <w:t>第四十六条：前台收银点因退款较多，备用金不足时应于次日出纳上班后凭退款证明单至财务部办理补充手续，补足备用金金额。收银员不得直接从营业款中补充。</w:t>
      </w:r>
    </w:p>
    <w:p>
      <w:pPr>
        <w:pStyle w:val="Normal0"/>
        <w:spacing w:line="360" w:lineRule="auto"/>
        <w:rPr>
          <w:rFonts w:ascii="宋体" w:hAnsi="宋体" w:hint="eastAsia"/>
          <w:b/>
          <w:bCs/>
          <w:szCs w:val="21"/>
        </w:rPr>
      </w:pPr>
      <w:r>
        <w:rPr>
          <w:rFonts w:ascii="宋体" w:hAnsi="宋体" w:hint="eastAsia"/>
          <w:b/>
          <w:bCs/>
          <w:szCs w:val="21"/>
        </w:rPr>
        <w:t>第七章：收入现金的</w:t>
      </w:r>
      <w:r>
        <w:rPr>
          <w:rFonts w:ascii="宋体" w:hAnsi="宋体" w:hint="eastAsia"/>
          <w:b/>
          <w:bCs/>
          <w:szCs w:val="21"/>
          <w:lang w:eastAsia="zh-CN"/>
        </w:rPr>
        <w:t>管理管控</w:t>
      </w:r>
    </w:p>
    <w:p>
      <w:pPr>
        <w:pStyle w:val="Normal0"/>
        <w:spacing w:line="360" w:lineRule="auto"/>
        <w:ind w:left="420" w:hanging="420" w:hangingChars="200"/>
        <w:rPr>
          <w:rFonts w:ascii="宋体" w:hAnsi="宋体" w:hint="eastAsia"/>
          <w:bCs/>
          <w:szCs w:val="21"/>
        </w:rPr>
      </w:pPr>
      <w:r>
        <w:rPr>
          <w:rFonts w:ascii="宋体" w:hAnsi="宋体" w:hint="eastAsia"/>
          <w:bCs/>
          <w:szCs w:val="21"/>
        </w:rPr>
        <w:t>第四十七条：酒店营业收入现金应及时入账，及时上缴，各部门不可保留账外现金，不可挪用营业收入现金。</w:t>
      </w:r>
    </w:p>
    <w:p>
      <w:pPr>
        <w:pStyle w:val="Normal0"/>
        <w:spacing w:line="360" w:lineRule="auto"/>
        <w:ind w:left="420" w:hanging="420" w:hangingChars="200"/>
        <w:rPr>
          <w:rFonts w:ascii="宋体" w:hAnsi="宋体" w:hint="eastAsia"/>
          <w:bCs/>
          <w:szCs w:val="21"/>
        </w:rPr>
      </w:pPr>
      <w:r>
        <w:rPr>
          <w:rFonts w:ascii="宋体" w:hAnsi="宋体" w:hint="eastAsia"/>
          <w:bCs/>
          <w:szCs w:val="21"/>
        </w:rPr>
        <w:t>第四十八条：营业收入现金按收银操作程序入账、上缴，各买单人员应及时将收入现金缴交至收银处，并在宾客消费账单上签收。收银员应及时在收费账单上加盖“现金收讫”印章并在收银操作系统内结计买单方式，办理入账手续。</w:t>
      </w:r>
    </w:p>
    <w:p>
      <w:pPr>
        <w:pStyle w:val="Normal0"/>
        <w:spacing w:line="360" w:lineRule="auto"/>
        <w:ind w:left="420" w:hanging="420" w:hangingChars="200"/>
        <w:rPr>
          <w:rFonts w:ascii="宋体" w:hAnsi="宋体" w:hint="eastAsia"/>
          <w:bCs/>
          <w:szCs w:val="21"/>
        </w:rPr>
      </w:pPr>
      <w:r>
        <w:rPr>
          <w:rFonts w:ascii="宋体" w:hAnsi="宋体" w:hint="eastAsia"/>
          <w:bCs/>
          <w:szCs w:val="21"/>
        </w:rPr>
        <w:t>第四十九条：各项预收款和暂收款，应及时开收款收据入账，所收现金应与营业收入现金一起投款上缴至财务部。办理退款时，应收回酒店开给客人的收款收据，并按程序办理退款手续，将相关单据一起上交财务部审核。</w:t>
      </w:r>
    </w:p>
    <w:p>
      <w:pPr>
        <w:pStyle w:val="Normal0"/>
        <w:spacing w:line="360" w:lineRule="auto"/>
        <w:ind w:left="420" w:hanging="420" w:hangingChars="200"/>
        <w:rPr>
          <w:rFonts w:ascii="宋体" w:hAnsi="宋体" w:hint="eastAsia"/>
          <w:bCs/>
          <w:szCs w:val="21"/>
        </w:rPr>
      </w:pPr>
      <w:r>
        <w:rPr>
          <w:rFonts w:ascii="宋体" w:hAnsi="宋体" w:hint="eastAsia"/>
          <w:bCs/>
          <w:szCs w:val="21"/>
        </w:rPr>
        <w:t>第五十条：各收银点营业收入现金达1万元时，应及时通知收银领班或收银主管办理预投款作业。每天营业结束后应按</w:t>
      </w:r>
      <w:r>
        <w:rPr>
          <w:rFonts w:ascii="宋体" w:hAnsi="宋体" w:hint="eastAsia"/>
          <w:bCs/>
          <w:szCs w:val="21"/>
          <w:lang w:eastAsia="zh-CN"/>
        </w:rPr>
        <w:t>管理管控</w:t>
      </w:r>
      <w:r>
        <w:rPr>
          <w:rFonts w:ascii="宋体" w:hAnsi="宋体" w:hint="eastAsia"/>
          <w:bCs/>
          <w:szCs w:val="21"/>
        </w:rPr>
        <w:t>要求和投款作业程序投款。不可将现金留收银台过夜，不可私自挪用现金，发生现金长短款的应长缴短补。不可将长款放备用金一起和用备用金抵补短款。</w:t>
      </w:r>
    </w:p>
    <w:p>
      <w:pPr>
        <w:pStyle w:val="Normal0"/>
        <w:spacing w:line="360" w:lineRule="auto"/>
        <w:ind w:left="420" w:hanging="420" w:hangingChars="200"/>
        <w:rPr>
          <w:rFonts w:ascii="宋体" w:hAnsi="宋体" w:hint="eastAsia"/>
          <w:bCs/>
          <w:szCs w:val="21"/>
        </w:rPr>
      </w:pPr>
      <w:r>
        <w:rPr>
          <w:rFonts w:ascii="宋体" w:hAnsi="宋体" w:hint="eastAsia"/>
          <w:bCs/>
          <w:szCs w:val="21"/>
        </w:rPr>
        <w:t>第五十一条：营业收入现金因人为原因造成的损失由过失人赔偿。收入现金时应经过验钞机检验，防止收到假钞。</w:t>
      </w:r>
    </w:p>
    <w:p>
      <w:pPr>
        <w:pStyle w:val="Normal0"/>
        <w:spacing w:line="360" w:lineRule="auto"/>
        <w:ind w:left="420" w:hanging="420" w:hangingChars="200"/>
        <w:rPr>
          <w:rFonts w:ascii="宋体" w:hAnsi="宋体" w:hint="eastAsia"/>
          <w:bCs/>
          <w:szCs w:val="21"/>
        </w:rPr>
      </w:pPr>
      <w:r>
        <w:rPr>
          <w:rFonts w:ascii="宋体" w:hAnsi="宋体" w:hint="eastAsia"/>
          <w:bCs/>
          <w:szCs w:val="21"/>
        </w:rPr>
        <w:t>第五十二条：酒店其他各项现金收入，各部门必须按程序开通知单由交款人至财务部交款，各部门不可私自收款，不可设置小金库。</w:t>
      </w:r>
    </w:p>
    <w:p>
      <w:pPr>
        <w:pStyle w:val="Normal0"/>
        <w:spacing w:line="360" w:lineRule="auto"/>
        <w:rPr>
          <w:rFonts w:ascii="宋体" w:hAnsi="宋体" w:hint="eastAsia"/>
          <w:b/>
          <w:bCs/>
          <w:szCs w:val="21"/>
        </w:rPr>
      </w:pPr>
      <w:r>
        <w:rPr>
          <w:rFonts w:ascii="宋体" w:hAnsi="宋体" w:hint="eastAsia"/>
          <w:b/>
          <w:bCs/>
          <w:szCs w:val="21"/>
        </w:rPr>
        <w:t>第八章：借款</w:t>
      </w:r>
      <w:r>
        <w:rPr>
          <w:rFonts w:ascii="宋体" w:hAnsi="宋体" w:hint="eastAsia"/>
          <w:b/>
          <w:bCs/>
          <w:szCs w:val="21"/>
          <w:lang w:eastAsia="zh-CN"/>
        </w:rPr>
        <w:t>管理管控</w:t>
      </w:r>
    </w:p>
    <w:p>
      <w:pPr>
        <w:pStyle w:val="Normal0"/>
        <w:spacing w:line="360" w:lineRule="auto"/>
        <w:rPr>
          <w:rFonts w:ascii="宋体" w:hAnsi="宋体" w:hint="eastAsia"/>
          <w:bCs/>
          <w:szCs w:val="21"/>
        </w:rPr>
      </w:pPr>
      <w:r>
        <w:rPr>
          <w:rFonts w:ascii="宋体" w:hAnsi="宋体" w:hint="eastAsia"/>
          <w:bCs/>
          <w:szCs w:val="21"/>
        </w:rPr>
        <w:t>第五十三条：酒店各项借款必须填写借款单，经审批后至出纳处借款，否则不得借款。</w:t>
      </w:r>
    </w:p>
    <w:p>
      <w:pPr>
        <w:pStyle w:val="Normal0"/>
        <w:spacing w:line="360" w:lineRule="auto"/>
        <w:ind w:left="420" w:hanging="420" w:hangingChars="200"/>
        <w:rPr>
          <w:rFonts w:ascii="宋体" w:hAnsi="宋体" w:hint="eastAsia"/>
          <w:bCs/>
          <w:szCs w:val="21"/>
        </w:rPr>
      </w:pPr>
      <w:r>
        <w:rPr>
          <w:rFonts w:ascii="宋体" w:hAnsi="宋体" w:hint="eastAsia"/>
          <w:bCs/>
          <w:szCs w:val="21"/>
        </w:rPr>
        <w:t>第五十四条：各项费用借款应先填写费用申请单，写清楚费用事由、预算费用</w:t>
      </w:r>
      <w:r>
        <w:rPr>
          <w:rFonts w:ascii="宋体" w:hAnsi="宋体" w:hint="eastAsia"/>
          <w:bCs/>
          <w:szCs w:val="21"/>
          <w:lang w:eastAsia="zh-CN"/>
        </w:rPr>
        <w:t>相关项目</w:t>
      </w:r>
      <w:r>
        <w:rPr>
          <w:rFonts w:ascii="宋体" w:hAnsi="宋体" w:hint="eastAsia"/>
          <w:bCs/>
          <w:szCs w:val="21"/>
        </w:rPr>
        <w:t>及金额，经部门负责人审批、财务经理审批、总经理审批后，填写借款单办理借款手续。</w:t>
      </w:r>
    </w:p>
    <w:p>
      <w:pPr>
        <w:pStyle w:val="Normal0"/>
        <w:spacing w:line="360" w:lineRule="auto"/>
        <w:ind w:left="420" w:hanging="420" w:hangingChars="200"/>
        <w:rPr>
          <w:rFonts w:ascii="宋体" w:hAnsi="宋体" w:hint="eastAsia"/>
          <w:bCs/>
          <w:szCs w:val="21"/>
        </w:rPr>
        <w:sectPr>
          <w:headerReference w:type="default" r:id="rId41"/>
          <w:footerReference w:type="default" r:id="rId42"/>
          <w:type w:val="nextPage"/>
          <w:pgSz w:w="11906" w:h="16838"/>
          <w:pgMar w:top="851" w:right="1466" w:bottom="1077" w:left="1800" w:header="720" w:footer="720" w:gutter="0"/>
          <w:pgNumType w:start="19"/>
          <w:cols w:num="1" w:space="720"/>
          <w:titlePg w:val="0"/>
          <w:docGrid w:type="lines" w:linePitch="312" w:charSpace="0"/>
        </w:sectPr>
      </w:pPr>
    </w:p>
    <w:p>
      <w:pPr>
        <w:pStyle w:val="Normal0"/>
        <w:spacing w:line="360" w:lineRule="auto"/>
        <w:ind w:left="420" w:hanging="420" w:hangingChars="200"/>
        <w:rPr>
          <w:rFonts w:ascii="宋体" w:hAnsi="宋体" w:hint="eastAsia"/>
          <w:bCs/>
          <w:szCs w:val="21"/>
        </w:rPr>
      </w:pPr>
      <w:r>
        <w:rPr>
          <w:rFonts w:ascii="宋体" w:hAnsi="宋体" w:hint="eastAsia"/>
          <w:bCs/>
          <w:szCs w:val="21"/>
        </w:rPr>
        <w:t>第五十五条：员工因工借款，由部门负责人核实，报各权责人员批准后借款。领取借款由部门负责人办理，并由部门负责人跟进还款。</w:t>
      </w:r>
    </w:p>
    <w:p>
      <w:pPr>
        <w:pStyle w:val="Normal0"/>
        <w:spacing w:line="360" w:lineRule="auto"/>
        <w:rPr>
          <w:rFonts w:ascii="宋体" w:hAnsi="宋体" w:hint="eastAsia"/>
          <w:bCs/>
          <w:szCs w:val="21"/>
        </w:rPr>
      </w:pPr>
      <w:r>
        <w:rPr>
          <w:rFonts w:ascii="宋体" w:hAnsi="宋体" w:hint="eastAsia"/>
          <w:bCs/>
          <w:szCs w:val="21"/>
        </w:rPr>
        <w:t>第五十六条：员工伤病借款，统一由人事部</w:t>
      </w:r>
      <w:r>
        <w:rPr>
          <w:rFonts w:ascii="宋体" w:hAnsi="宋体" w:hint="eastAsia"/>
          <w:bCs/>
          <w:szCs w:val="21"/>
          <w:lang w:eastAsia="zh-CN"/>
        </w:rPr>
        <w:t>管理管控</w:t>
      </w:r>
      <w:r>
        <w:rPr>
          <w:rFonts w:ascii="宋体" w:hAnsi="宋体" w:hint="eastAsia"/>
          <w:bCs/>
          <w:szCs w:val="21"/>
        </w:rPr>
        <w:t>，由人事部办理借款和还款手续。</w:t>
      </w:r>
    </w:p>
    <w:p>
      <w:pPr>
        <w:pStyle w:val="Normal0"/>
        <w:spacing w:line="360" w:lineRule="auto"/>
        <w:rPr>
          <w:rFonts w:ascii="宋体" w:hAnsi="宋体" w:hint="eastAsia"/>
          <w:bCs/>
          <w:szCs w:val="21"/>
        </w:rPr>
      </w:pPr>
      <w:r>
        <w:rPr>
          <w:rFonts w:ascii="宋体" w:hAnsi="宋体" w:hint="eastAsia"/>
          <w:bCs/>
          <w:szCs w:val="21"/>
        </w:rPr>
        <w:t>第五十七条：其他借款，由使用部门申请，由部门负责人办理。采购借款由采购经理办理。</w:t>
      </w:r>
    </w:p>
    <w:p>
      <w:pPr>
        <w:pStyle w:val="Normal0"/>
        <w:spacing w:line="360" w:lineRule="auto"/>
        <w:ind w:left="420" w:hanging="420" w:hangingChars="200"/>
        <w:rPr>
          <w:rFonts w:ascii="宋体" w:hAnsi="宋体" w:hint="eastAsia"/>
          <w:bCs/>
          <w:szCs w:val="21"/>
        </w:rPr>
      </w:pPr>
      <w:r>
        <w:rPr>
          <w:rFonts w:ascii="宋体" w:hAnsi="宋体" w:hint="eastAsia"/>
          <w:bCs/>
          <w:szCs w:val="21"/>
        </w:rPr>
        <w:t>第五十八条：借款实行“前账不清、后账不借”的</w:t>
      </w:r>
      <w:r>
        <w:rPr>
          <w:rFonts w:ascii="宋体" w:hAnsi="宋体" w:hint="eastAsia"/>
          <w:bCs/>
          <w:szCs w:val="21"/>
          <w:lang w:eastAsia="zh-CN"/>
        </w:rPr>
        <w:t>管理管控</w:t>
      </w:r>
      <w:r>
        <w:rPr>
          <w:rFonts w:ascii="宋体" w:hAnsi="宋体" w:hint="eastAsia"/>
          <w:bCs/>
          <w:szCs w:val="21"/>
        </w:rPr>
        <w:t>原则，各借款人应及时办理报账手续、不得拖延。</w:t>
      </w:r>
    </w:p>
    <w:p>
      <w:pPr>
        <w:pStyle w:val="Normal0"/>
        <w:spacing w:line="360" w:lineRule="auto"/>
        <w:ind w:left="420" w:hanging="420" w:hangingChars="200"/>
        <w:rPr>
          <w:rFonts w:ascii="宋体" w:hAnsi="宋体" w:hint="eastAsia"/>
          <w:bCs/>
          <w:szCs w:val="21"/>
        </w:rPr>
      </w:pPr>
      <w:r>
        <w:rPr>
          <w:rFonts w:ascii="宋体" w:hAnsi="宋体" w:hint="eastAsia"/>
          <w:bCs/>
          <w:szCs w:val="21"/>
        </w:rPr>
        <w:t>第五十九条：已办理借款手续的借款单，出纳和会计人员应及时登记账本和办理会计核算手续。借款还回或报销时，出纳和会计应及时进行销账。</w:t>
      </w:r>
    </w:p>
    <w:p>
      <w:pPr>
        <w:pStyle w:val="Normal0"/>
        <w:spacing w:line="360" w:lineRule="auto"/>
        <w:ind w:left="420" w:hanging="420" w:hangingChars="200"/>
        <w:rPr>
          <w:rFonts w:ascii="宋体" w:hAnsi="宋体" w:hint="eastAsia"/>
          <w:bCs/>
          <w:szCs w:val="21"/>
        </w:rPr>
      </w:pPr>
      <w:r>
        <w:rPr>
          <w:rFonts w:ascii="宋体" w:hAnsi="宋体" w:hint="eastAsia"/>
          <w:bCs/>
          <w:szCs w:val="21"/>
        </w:rPr>
        <w:t>第六十条：借款应按要求及时还回，逾期未还回的财务部将发借款归还通知单给借款人，借款人接通知后应向财务部说明情况并确定还款时间。否则财务部将决定从其工资中扣回。</w:t>
      </w:r>
    </w:p>
    <w:p>
      <w:pPr>
        <w:pStyle w:val="Normal0"/>
        <w:spacing w:line="360" w:lineRule="auto"/>
        <w:rPr>
          <w:rFonts w:ascii="宋体" w:hAnsi="宋体" w:hint="eastAsia"/>
          <w:b/>
          <w:bCs/>
          <w:szCs w:val="21"/>
        </w:rPr>
      </w:pPr>
      <w:r>
        <w:rPr>
          <w:rFonts w:ascii="宋体" w:hAnsi="宋体" w:hint="eastAsia"/>
          <w:b/>
          <w:bCs/>
          <w:szCs w:val="21"/>
        </w:rPr>
        <w:t>第九章：货款和工程款的</w:t>
      </w:r>
      <w:r>
        <w:rPr>
          <w:rFonts w:ascii="宋体" w:hAnsi="宋体" w:hint="eastAsia"/>
          <w:b/>
          <w:bCs/>
          <w:szCs w:val="21"/>
          <w:lang w:eastAsia="zh-CN"/>
        </w:rPr>
        <w:t>管理管控</w:t>
      </w:r>
    </w:p>
    <w:p>
      <w:pPr>
        <w:pStyle w:val="Normal0"/>
        <w:spacing w:line="360" w:lineRule="auto"/>
        <w:ind w:left="420" w:hanging="420" w:hangingChars="200"/>
        <w:rPr>
          <w:rFonts w:ascii="宋体" w:hAnsi="宋体" w:hint="eastAsia"/>
          <w:bCs/>
          <w:szCs w:val="21"/>
        </w:rPr>
      </w:pPr>
      <w:r>
        <w:rPr>
          <w:rFonts w:ascii="宋体" w:hAnsi="宋体" w:hint="eastAsia"/>
          <w:bCs/>
          <w:szCs w:val="21"/>
        </w:rPr>
        <w:t>第六十一条：酒店应尽量不用现款采购，应选择合适的供货商建立长期的合作关系，与供货商签订供货协议或</w:t>
      </w:r>
      <w:r>
        <w:rPr>
          <w:rFonts w:ascii="宋体" w:hAnsi="宋体" w:hint="eastAsia"/>
          <w:bCs/>
          <w:szCs w:val="21"/>
          <w:lang w:eastAsia="zh-CN"/>
        </w:rPr>
        <w:t>合同合约</w:t>
      </w:r>
      <w:r>
        <w:rPr>
          <w:rFonts w:ascii="宋体" w:hAnsi="宋体" w:hint="eastAsia"/>
          <w:bCs/>
          <w:szCs w:val="21"/>
        </w:rPr>
        <w:t>，酒店按协议或</w:t>
      </w:r>
      <w:r>
        <w:rPr>
          <w:rFonts w:ascii="宋体" w:hAnsi="宋体" w:hint="eastAsia"/>
          <w:bCs/>
          <w:szCs w:val="21"/>
          <w:lang w:eastAsia="zh-CN"/>
        </w:rPr>
        <w:t>合同合约</w:t>
      </w:r>
      <w:r>
        <w:rPr>
          <w:rFonts w:ascii="宋体" w:hAnsi="宋体" w:hint="eastAsia"/>
          <w:bCs/>
          <w:szCs w:val="21"/>
        </w:rPr>
        <w:t>付款。</w:t>
      </w:r>
    </w:p>
    <w:p>
      <w:pPr>
        <w:pStyle w:val="Normal0"/>
        <w:spacing w:line="360" w:lineRule="auto"/>
        <w:ind w:left="420" w:hanging="420" w:hangingChars="200"/>
        <w:rPr>
          <w:rFonts w:ascii="宋体" w:hAnsi="宋体" w:hint="eastAsia"/>
          <w:bCs/>
          <w:szCs w:val="21"/>
        </w:rPr>
      </w:pPr>
      <w:r>
        <w:rPr>
          <w:rFonts w:ascii="宋体" w:hAnsi="宋体" w:hint="eastAsia"/>
          <w:bCs/>
          <w:szCs w:val="21"/>
        </w:rPr>
        <w:t>第六十二条：按协议或</w:t>
      </w:r>
      <w:r>
        <w:rPr>
          <w:rFonts w:ascii="宋体" w:hAnsi="宋体" w:hint="eastAsia"/>
          <w:bCs/>
          <w:szCs w:val="21"/>
          <w:lang w:eastAsia="zh-CN"/>
        </w:rPr>
        <w:t>合同合约</w:t>
      </w:r>
      <w:r>
        <w:rPr>
          <w:rFonts w:ascii="宋体" w:hAnsi="宋体" w:hint="eastAsia"/>
          <w:bCs/>
          <w:szCs w:val="21"/>
        </w:rPr>
        <w:t>支付供应商货款时，供应商应编制结算对账单并连同酒店开给供货单位的货物验收单，按时送达酒店财务部核对。财务部会计核对供货商留给酒店的送货单、酒店开出的收货记录、与供货商协议的供货价格和总金额无误后，填制支票/汇票申请单送审。</w:t>
      </w:r>
    </w:p>
    <w:p>
      <w:pPr>
        <w:pStyle w:val="Normal0"/>
        <w:spacing w:line="360" w:lineRule="auto"/>
        <w:ind w:left="420" w:hanging="420" w:hangingChars="200"/>
        <w:rPr>
          <w:rFonts w:ascii="宋体" w:hAnsi="宋体" w:hint="eastAsia"/>
          <w:bCs/>
          <w:szCs w:val="21"/>
        </w:rPr>
      </w:pPr>
      <w:r>
        <w:rPr>
          <w:rFonts w:ascii="宋体" w:hAnsi="宋体" w:hint="eastAsia"/>
          <w:bCs/>
          <w:szCs w:val="21"/>
        </w:rPr>
        <w:t>第六十三条：出纳凭审批有效的申请单通知供货商在酒店规定的时间内收款。供货商按酒店要求开收款收据或发票，在请款申请单收款人处签收后，出纳支付货款。</w:t>
      </w:r>
    </w:p>
    <w:p>
      <w:pPr>
        <w:pStyle w:val="Normal0"/>
        <w:spacing w:line="360" w:lineRule="auto"/>
        <w:rPr>
          <w:rFonts w:ascii="宋体" w:hAnsi="宋体" w:hint="eastAsia"/>
          <w:bCs/>
          <w:szCs w:val="21"/>
        </w:rPr>
      </w:pPr>
      <w:r>
        <w:rPr>
          <w:rFonts w:ascii="宋体" w:hAnsi="宋体" w:hint="eastAsia"/>
          <w:bCs/>
          <w:szCs w:val="21"/>
        </w:rPr>
        <w:t>第六十四条：出纳和会计凭已付款的请款单登记账本和办理会计核算手续。</w:t>
      </w:r>
    </w:p>
    <w:p>
      <w:pPr>
        <w:pStyle w:val="Normal0"/>
        <w:spacing w:line="360" w:lineRule="auto"/>
        <w:rPr>
          <w:rFonts w:ascii="宋体" w:hAnsi="宋体" w:hint="eastAsia"/>
          <w:bCs/>
          <w:szCs w:val="21"/>
        </w:rPr>
      </w:pPr>
      <w:r>
        <w:rPr>
          <w:rFonts w:ascii="宋体" w:hAnsi="宋体" w:hint="eastAsia"/>
          <w:bCs/>
          <w:szCs w:val="21"/>
        </w:rPr>
        <w:t>第六十五条：凡未经审批的请款单，出纳不得付款。凡未开收款收据或发票的不得付款。</w:t>
      </w:r>
    </w:p>
    <w:p>
      <w:pPr>
        <w:pStyle w:val="Normal0"/>
        <w:spacing w:line="360" w:lineRule="auto"/>
        <w:ind w:left="420" w:hanging="420" w:hangingChars="200"/>
        <w:rPr>
          <w:rFonts w:ascii="宋体" w:hAnsi="宋体" w:hint="eastAsia"/>
          <w:bCs/>
          <w:szCs w:val="21"/>
        </w:rPr>
      </w:pPr>
      <w:r>
        <w:rPr>
          <w:rFonts w:ascii="宋体" w:hAnsi="宋体" w:hint="eastAsia"/>
          <w:bCs/>
          <w:szCs w:val="21"/>
        </w:rPr>
        <w:t>第六十六条：工程建设</w:t>
      </w:r>
      <w:r>
        <w:rPr>
          <w:rFonts w:ascii="宋体" w:hAnsi="宋体" w:hint="eastAsia"/>
          <w:bCs/>
          <w:szCs w:val="21"/>
          <w:lang w:eastAsia="zh-CN"/>
        </w:rPr>
        <w:t>相关项目</w:t>
      </w:r>
      <w:r>
        <w:rPr>
          <w:rFonts w:ascii="宋体" w:hAnsi="宋体" w:hint="eastAsia"/>
          <w:bCs/>
          <w:szCs w:val="21"/>
        </w:rPr>
        <w:t>款项支付，由工程建设单位按</w:t>
      </w:r>
      <w:r>
        <w:rPr>
          <w:rFonts w:ascii="宋体" w:hAnsi="宋体" w:hint="eastAsia"/>
          <w:bCs/>
          <w:szCs w:val="21"/>
          <w:lang w:eastAsia="zh-CN"/>
        </w:rPr>
        <w:t>合同合约</w:t>
      </w:r>
      <w:r>
        <w:rPr>
          <w:rFonts w:ascii="宋体" w:hAnsi="宋体" w:hint="eastAsia"/>
          <w:bCs/>
          <w:szCs w:val="21"/>
        </w:rPr>
        <w:t>或协议填写酒店工程验收/请款审批表，经各权责人员审批，交会计人员按</w:t>
      </w:r>
      <w:r>
        <w:rPr>
          <w:rFonts w:ascii="宋体" w:hAnsi="宋体" w:hint="eastAsia"/>
          <w:bCs/>
          <w:szCs w:val="21"/>
          <w:lang w:eastAsia="zh-CN"/>
        </w:rPr>
        <w:t>合同合约</w:t>
      </w:r>
      <w:r>
        <w:rPr>
          <w:rFonts w:ascii="宋体" w:hAnsi="宋体" w:hint="eastAsia"/>
          <w:bCs/>
          <w:szCs w:val="21"/>
        </w:rPr>
        <w:t>核对请款金额属实后，填写支票/汇票申请单送审。必要时应将</w:t>
      </w:r>
      <w:r>
        <w:rPr>
          <w:rFonts w:ascii="宋体" w:hAnsi="宋体" w:hint="eastAsia"/>
          <w:bCs/>
          <w:szCs w:val="21"/>
          <w:lang w:eastAsia="zh-CN"/>
        </w:rPr>
        <w:t>合同合约</w:t>
      </w:r>
      <w:r>
        <w:rPr>
          <w:rFonts w:ascii="宋体" w:hAnsi="宋体" w:hint="eastAsia"/>
          <w:bCs/>
          <w:szCs w:val="21"/>
        </w:rPr>
        <w:t>复印件附在申请单后。</w:t>
      </w:r>
    </w:p>
    <w:p>
      <w:pPr>
        <w:pStyle w:val="Normal0"/>
        <w:spacing w:line="360" w:lineRule="auto"/>
        <w:ind w:left="420" w:hanging="420" w:hangingChars="200"/>
        <w:rPr>
          <w:rFonts w:ascii="宋体" w:hAnsi="宋体" w:hint="eastAsia"/>
          <w:bCs/>
          <w:szCs w:val="21"/>
        </w:rPr>
      </w:pPr>
      <w:r>
        <w:rPr>
          <w:rFonts w:ascii="宋体" w:hAnsi="宋体" w:hint="eastAsia"/>
          <w:bCs/>
          <w:szCs w:val="21"/>
        </w:rPr>
        <w:t>第六十七条：出纳凭审批有效的请款单通知工程建设单位收款。建设单位按酒店要求开收款收据或发票，在支票/汇票申请单收款人处签收后，出纳支付账款。</w:t>
      </w:r>
    </w:p>
    <w:p>
      <w:pPr>
        <w:pStyle w:val="Normal0"/>
        <w:spacing w:line="360" w:lineRule="auto"/>
        <w:rPr>
          <w:rFonts w:ascii="宋体" w:hAnsi="宋体" w:hint="eastAsia"/>
          <w:bCs/>
          <w:szCs w:val="21"/>
        </w:rPr>
      </w:pPr>
      <w:r>
        <w:rPr>
          <w:rFonts w:ascii="宋体" w:hAnsi="宋体" w:hint="eastAsia"/>
          <w:bCs/>
          <w:szCs w:val="21"/>
        </w:rPr>
        <w:t>第六十八条：出纳和会计凭已付款的申请单登记账本和办理会计核算手续。</w:t>
      </w:r>
    </w:p>
    <w:p>
      <w:pPr>
        <w:pStyle w:val="Normal0"/>
        <w:spacing w:line="360" w:lineRule="auto"/>
        <w:ind w:left="420" w:hanging="420" w:hangingChars="200"/>
        <w:rPr>
          <w:rFonts w:ascii="宋体" w:hAnsi="宋体" w:hint="eastAsia"/>
          <w:bCs/>
          <w:szCs w:val="21"/>
        </w:rPr>
      </w:pPr>
      <w:r>
        <w:rPr>
          <w:rFonts w:ascii="宋体" w:hAnsi="宋体" w:hint="eastAsia"/>
          <w:bCs/>
          <w:szCs w:val="21"/>
        </w:rPr>
        <w:t>第六十九条：凡未填写工程验收/请款申请单和请款申请单未审批的，出纳不得付款。凡未开收款收据或发票的不得付款。</w:t>
      </w:r>
    </w:p>
    <w:p>
      <w:pPr>
        <w:pStyle w:val="Normal0"/>
        <w:spacing w:line="360" w:lineRule="auto"/>
        <w:rPr>
          <w:rFonts w:ascii="宋体" w:hAnsi="宋体" w:hint="eastAsia"/>
          <w:b/>
          <w:bCs/>
          <w:szCs w:val="21"/>
        </w:rPr>
        <w:sectPr>
          <w:headerReference w:type="default" r:id="rId43"/>
          <w:footerReference w:type="default" r:id="rId44"/>
          <w:type w:val="nextPage"/>
          <w:pgSz w:w="11906" w:h="16838"/>
          <w:pgMar w:top="851" w:right="1466" w:bottom="1077" w:left="1800" w:header="720" w:footer="720" w:gutter="0"/>
          <w:pgNumType w:start="20"/>
          <w:cols w:num="1" w:space="720"/>
          <w:titlePg w:val="0"/>
          <w:docGrid w:type="lines" w:linePitch="312" w:charSpace="0"/>
        </w:sectPr>
      </w:pPr>
      <w:r>
        <w:rPr>
          <w:rFonts w:ascii="宋体" w:hAnsi="宋体" w:hint="eastAsia"/>
          <w:b/>
          <w:bCs/>
          <w:szCs w:val="21"/>
        </w:rPr>
        <w:t>第十章：资金审批</w:t>
      </w:r>
      <w:r>
        <w:rPr>
          <w:rFonts w:ascii="宋体" w:hAnsi="宋体" w:hint="eastAsia"/>
          <w:b/>
          <w:bCs/>
          <w:szCs w:val="21"/>
          <w:lang w:eastAsia="zh-CN"/>
        </w:rPr>
        <w:t>管理管控</w:t>
      </w:r>
    </w:p>
    <w:p>
      <w:pPr>
        <w:pStyle w:val="Normal0"/>
        <w:spacing w:line="360" w:lineRule="auto"/>
        <w:rPr>
          <w:rFonts w:ascii="宋体" w:hAnsi="宋体" w:hint="eastAsia"/>
          <w:bCs/>
          <w:szCs w:val="21"/>
        </w:rPr>
      </w:pPr>
      <w:r>
        <w:rPr>
          <w:rFonts w:ascii="宋体" w:hAnsi="宋体" w:hint="eastAsia"/>
          <w:bCs/>
          <w:szCs w:val="21"/>
        </w:rPr>
        <w:t>第七十条：酒店资金的审批</w:t>
      </w:r>
      <w:r>
        <w:rPr>
          <w:rFonts w:ascii="宋体" w:hAnsi="宋体" w:hint="eastAsia"/>
          <w:bCs/>
          <w:szCs w:val="21"/>
          <w:lang w:eastAsia="zh-CN"/>
        </w:rPr>
        <w:t>管理管控</w:t>
      </w:r>
      <w:r>
        <w:rPr>
          <w:rFonts w:ascii="宋体" w:hAnsi="宋体" w:hint="eastAsia"/>
          <w:bCs/>
          <w:szCs w:val="21"/>
        </w:rPr>
        <w:t>按《审批权限</w:t>
      </w:r>
      <w:r>
        <w:rPr>
          <w:rFonts w:ascii="宋体" w:hAnsi="宋体" w:hint="eastAsia"/>
          <w:bCs/>
          <w:szCs w:val="21"/>
          <w:lang w:eastAsia="zh-CN"/>
        </w:rPr>
        <w:t>管理管控</w:t>
      </w:r>
      <w:r>
        <w:rPr>
          <w:rFonts w:ascii="宋体" w:hAnsi="宋体" w:hint="eastAsia"/>
          <w:bCs/>
          <w:szCs w:val="21"/>
        </w:rPr>
        <w:t>规定》文件执行。</w:t>
      </w:r>
    </w:p>
    <w:p>
      <w:pPr>
        <w:pStyle w:val="Normal0"/>
        <w:spacing w:line="360" w:lineRule="auto"/>
        <w:rPr>
          <w:rFonts w:ascii="宋体" w:hAnsi="宋体" w:hint="eastAsia"/>
          <w:b/>
          <w:bCs/>
          <w:szCs w:val="21"/>
        </w:rPr>
      </w:pPr>
      <w:r>
        <w:rPr>
          <w:rFonts w:ascii="宋体" w:hAnsi="宋体" w:hint="eastAsia"/>
          <w:b/>
          <w:bCs/>
          <w:szCs w:val="21"/>
        </w:rPr>
        <w:t>第十一章：附则</w:t>
      </w:r>
    </w:p>
    <w:p>
      <w:pPr>
        <w:pStyle w:val="Normal0"/>
        <w:spacing w:line="360" w:lineRule="auto"/>
        <w:rPr>
          <w:rFonts w:ascii="宋体" w:hAnsi="宋体" w:hint="eastAsia"/>
          <w:szCs w:val="21"/>
        </w:rPr>
      </w:pPr>
      <w:r>
        <w:rPr>
          <w:rFonts w:ascii="宋体" w:hAnsi="宋体" w:hint="eastAsia"/>
          <w:bCs/>
          <w:szCs w:val="21"/>
        </w:rPr>
        <w:t>第七十一条</w:t>
      </w:r>
      <w:r>
        <w:rPr>
          <w:rFonts w:ascii="宋体" w:hAnsi="宋体" w:hint="eastAsia"/>
          <w:szCs w:val="21"/>
        </w:rPr>
        <w:t>：本制度自审批日起执行。</w:t>
      </w:r>
    </w:p>
    <w:p>
      <w:pPr>
        <w:pStyle w:val="Normal0"/>
        <w:spacing w:line="360" w:lineRule="auto"/>
        <w:rPr>
          <w:rFonts w:ascii="宋体" w:hAnsi="宋体" w:hint="eastAsia"/>
          <w:szCs w:val="21"/>
        </w:rPr>
      </w:pPr>
      <w:r>
        <w:rPr>
          <w:rFonts w:ascii="宋体" w:hAnsi="宋体" w:hint="eastAsia"/>
          <w:bCs/>
          <w:szCs w:val="21"/>
        </w:rPr>
        <w:t>第七十二条：</w:t>
      </w:r>
      <w:r>
        <w:rPr>
          <w:rFonts w:ascii="宋体" w:hAnsi="宋体" w:hint="eastAsia"/>
          <w:szCs w:val="21"/>
        </w:rPr>
        <w:t>本制度由财务部解释和修订，修订</w:t>
      </w:r>
      <w:r>
        <w:rPr>
          <w:rFonts w:ascii="宋体" w:hAnsi="宋体" w:hint="eastAsia"/>
          <w:szCs w:val="21"/>
          <w:lang w:eastAsia="zh-CN"/>
        </w:rPr>
        <w:t>合适的内容</w:t>
      </w:r>
      <w:r>
        <w:rPr>
          <w:rFonts w:ascii="宋体" w:hAnsi="宋体" w:hint="eastAsia"/>
          <w:szCs w:val="21"/>
        </w:rPr>
        <w:t>报总经理和集团财务部审批。</w:t>
      </w:r>
    </w:p>
    <w:p>
      <w:pPr>
        <w:pStyle w:val="Normal0"/>
        <w:spacing w:line="720" w:lineRule="auto"/>
        <w:jc w:val="center"/>
        <w:rPr>
          <w:rFonts w:ascii="宋体" w:hAnsi="宋体" w:hint="eastAsia"/>
          <w:b/>
          <w:sz w:val="28"/>
          <w:szCs w:val="28"/>
        </w:rPr>
      </w:pPr>
      <w:r>
        <w:rPr>
          <w:rFonts w:ascii="宋体" w:hAnsi="宋体" w:hint="eastAsia"/>
          <w:b/>
          <w:sz w:val="28"/>
          <w:szCs w:val="28"/>
        </w:rPr>
        <w:t>第四篇：费用报销</w:t>
      </w:r>
      <w:r>
        <w:rPr>
          <w:rFonts w:ascii="宋体" w:hAnsi="宋体" w:hint="eastAsia"/>
          <w:b/>
          <w:sz w:val="28"/>
          <w:szCs w:val="28"/>
          <w:lang w:eastAsia="zh-CN"/>
        </w:rPr>
        <w:t>管理管控</w:t>
      </w:r>
      <w:r>
        <w:rPr>
          <w:rFonts w:ascii="宋体" w:hAnsi="宋体" w:hint="eastAsia"/>
          <w:b/>
          <w:sz w:val="28"/>
          <w:szCs w:val="28"/>
        </w:rPr>
        <w:t>规定</w:t>
      </w:r>
    </w:p>
    <w:p>
      <w:pPr>
        <w:pStyle w:val="Normal0"/>
        <w:spacing w:line="360" w:lineRule="auto"/>
        <w:rPr>
          <w:rFonts w:ascii="宋体" w:hAnsi="宋体" w:hint="eastAsia"/>
          <w:szCs w:val="21"/>
        </w:rPr>
      </w:pPr>
      <w:r>
        <w:rPr>
          <w:rFonts w:ascii="宋体" w:hAnsi="宋体" w:hint="eastAsia"/>
          <w:b/>
          <w:bCs/>
          <w:szCs w:val="21"/>
        </w:rPr>
        <w:t>第一章：总则</w:t>
      </w:r>
    </w:p>
    <w:p>
      <w:pPr>
        <w:pStyle w:val="Normal0"/>
        <w:spacing w:line="360" w:lineRule="auto"/>
        <w:ind w:left="420" w:hanging="420" w:hangingChars="200"/>
        <w:rPr>
          <w:rFonts w:ascii="宋体" w:hAnsi="宋体" w:hint="eastAsia"/>
          <w:b/>
          <w:bCs/>
          <w:szCs w:val="21"/>
        </w:rPr>
      </w:pPr>
      <w:r>
        <w:rPr>
          <w:rFonts w:ascii="宋体" w:hAnsi="宋体" w:hint="eastAsia"/>
          <w:bCs/>
          <w:szCs w:val="21"/>
        </w:rPr>
        <w:t>第一条：</w:t>
      </w:r>
      <w:r>
        <w:rPr>
          <w:rFonts w:ascii="宋体" w:hAnsi="宋体" w:hint="eastAsia"/>
          <w:szCs w:val="21"/>
        </w:rPr>
        <w:t>为加强酒店支出的控制与</w:t>
      </w:r>
      <w:r>
        <w:rPr>
          <w:rFonts w:ascii="宋体" w:hAnsi="宋体" w:hint="eastAsia"/>
          <w:szCs w:val="21"/>
          <w:lang w:eastAsia="zh-CN"/>
        </w:rPr>
        <w:t>管理管控</w:t>
      </w:r>
      <w:r>
        <w:rPr>
          <w:rFonts w:ascii="宋体" w:hAnsi="宋体" w:hint="eastAsia"/>
          <w:szCs w:val="21"/>
        </w:rPr>
        <w:t>，严控成本费用支出，保障资金的有效使用，提高资金的使用效率，防止资金流失，制定本规定。</w:t>
      </w:r>
    </w:p>
    <w:p>
      <w:pPr>
        <w:pStyle w:val="Normal0"/>
        <w:spacing w:line="360" w:lineRule="auto"/>
        <w:rPr>
          <w:rFonts w:ascii="宋体" w:hAnsi="宋体" w:hint="eastAsia"/>
          <w:szCs w:val="21"/>
        </w:rPr>
      </w:pPr>
      <w:r>
        <w:rPr>
          <w:rFonts w:ascii="宋体" w:hAnsi="宋体" w:hint="eastAsia"/>
          <w:bCs/>
          <w:szCs w:val="21"/>
        </w:rPr>
        <w:t>第二条</w:t>
      </w:r>
      <w:r>
        <w:rPr>
          <w:rFonts w:ascii="宋体" w:hAnsi="宋体" w:hint="eastAsia"/>
          <w:b/>
          <w:bCs/>
          <w:szCs w:val="21"/>
        </w:rPr>
        <w:t>：</w:t>
      </w:r>
      <w:r>
        <w:rPr>
          <w:rFonts w:ascii="宋体" w:hAnsi="宋体" w:hint="eastAsia"/>
          <w:szCs w:val="21"/>
        </w:rPr>
        <w:t>本规定所指费用是指与酒店经营活动有关的各项支出和酒店工程项款的支出。</w:t>
      </w:r>
    </w:p>
    <w:p>
      <w:pPr>
        <w:pStyle w:val="Normal0"/>
        <w:spacing w:line="360" w:lineRule="auto"/>
        <w:rPr>
          <w:rFonts w:ascii="宋体" w:hAnsi="宋体" w:hint="eastAsia"/>
          <w:b/>
          <w:bCs/>
          <w:szCs w:val="21"/>
        </w:rPr>
      </w:pPr>
      <w:r>
        <w:rPr>
          <w:rFonts w:ascii="宋体" w:hAnsi="宋体" w:hint="eastAsia"/>
          <w:b/>
          <w:bCs/>
          <w:szCs w:val="21"/>
        </w:rPr>
        <w:t>第二章：一般规定</w:t>
      </w:r>
    </w:p>
    <w:p>
      <w:pPr>
        <w:pStyle w:val="Normal0"/>
        <w:spacing w:line="360" w:lineRule="auto"/>
        <w:ind w:left="420" w:hanging="420" w:hangingChars="200"/>
        <w:rPr>
          <w:rFonts w:ascii="宋体" w:hAnsi="宋体" w:hint="eastAsia"/>
          <w:b/>
          <w:bCs/>
          <w:szCs w:val="21"/>
        </w:rPr>
      </w:pPr>
      <w:r>
        <w:rPr>
          <w:rFonts w:ascii="宋体" w:hAnsi="宋体" w:hint="eastAsia"/>
          <w:bCs/>
          <w:szCs w:val="21"/>
        </w:rPr>
        <w:t>第三条：酒店</w:t>
      </w:r>
      <w:r>
        <w:rPr>
          <w:rFonts w:ascii="宋体" w:hAnsi="宋体" w:hint="eastAsia"/>
          <w:szCs w:val="21"/>
        </w:rPr>
        <w:t>各项费用报销必须按程序进行，报账原始单据必须手续齐全，必须有真实的经济业务发生。</w:t>
      </w:r>
    </w:p>
    <w:p>
      <w:pPr>
        <w:pStyle w:val="Normal0"/>
        <w:spacing w:line="360" w:lineRule="auto"/>
        <w:rPr>
          <w:rFonts w:ascii="宋体" w:hAnsi="宋体" w:hint="eastAsia"/>
          <w:szCs w:val="21"/>
        </w:rPr>
      </w:pPr>
      <w:r>
        <w:rPr>
          <w:rFonts w:ascii="宋体" w:hAnsi="宋体" w:hint="eastAsia"/>
          <w:bCs/>
          <w:szCs w:val="21"/>
        </w:rPr>
        <w:t>第四条：</w:t>
      </w:r>
      <w:r>
        <w:rPr>
          <w:rFonts w:ascii="宋体" w:hAnsi="宋体" w:hint="eastAsia"/>
          <w:szCs w:val="21"/>
        </w:rPr>
        <w:t>原始凭证的有关规定：</w:t>
      </w:r>
    </w:p>
    <w:p>
      <w:pPr>
        <w:pStyle w:val="Normal0"/>
        <w:numPr>
          <w:ilvl w:val="0"/>
          <w:numId w:val="64"/>
        </w:numPr>
        <w:spacing w:line="360" w:lineRule="auto"/>
        <w:rPr>
          <w:rFonts w:ascii="宋体" w:hAnsi="宋体" w:hint="eastAsia"/>
          <w:szCs w:val="21"/>
        </w:rPr>
      </w:pPr>
      <w:r>
        <w:rPr>
          <w:rFonts w:ascii="宋体" w:hAnsi="宋体" w:hint="eastAsia"/>
          <w:szCs w:val="21"/>
        </w:rPr>
        <w:t>原始凭证的</w:t>
      </w:r>
      <w:r>
        <w:rPr>
          <w:rFonts w:ascii="宋体" w:hAnsi="宋体" w:hint="eastAsia"/>
          <w:szCs w:val="21"/>
          <w:lang w:eastAsia="zh-CN"/>
        </w:rPr>
        <w:t>合适的内容</w:t>
      </w:r>
      <w:r>
        <w:rPr>
          <w:rFonts w:ascii="宋体" w:hAnsi="宋体" w:hint="eastAsia"/>
          <w:szCs w:val="21"/>
        </w:rPr>
        <w:t>必须具备：凭证的名称、填制凭证的日期、填制凭证单位名称或个人姓名、经办人的签名或盖章、接受凭证的单位名称或者个人姓名、经营业务</w:t>
      </w:r>
      <w:r>
        <w:rPr>
          <w:rFonts w:ascii="宋体" w:hAnsi="宋体" w:hint="eastAsia"/>
          <w:szCs w:val="21"/>
          <w:lang w:eastAsia="zh-CN"/>
        </w:rPr>
        <w:t>合适的内容</w:t>
      </w:r>
      <w:r>
        <w:rPr>
          <w:rFonts w:ascii="宋体" w:hAnsi="宋体" w:hint="eastAsia"/>
          <w:szCs w:val="21"/>
        </w:rPr>
        <w:t>、数量及金额。</w:t>
      </w:r>
    </w:p>
    <w:p>
      <w:pPr>
        <w:pStyle w:val="Normal0"/>
        <w:numPr>
          <w:ilvl w:val="0"/>
          <w:numId w:val="64"/>
        </w:numPr>
        <w:spacing w:line="360" w:lineRule="auto"/>
        <w:rPr>
          <w:rFonts w:ascii="宋体" w:hAnsi="宋体" w:hint="eastAsia"/>
          <w:szCs w:val="21"/>
        </w:rPr>
      </w:pPr>
      <w:r>
        <w:rPr>
          <w:rFonts w:ascii="宋体" w:hAnsi="宋体" w:hint="eastAsia"/>
          <w:szCs w:val="21"/>
        </w:rPr>
        <w:t>外来原始凭证：必须符合国家的票证</w:t>
      </w:r>
      <w:r>
        <w:rPr>
          <w:rFonts w:ascii="宋体" w:hAnsi="宋体" w:hint="eastAsia"/>
          <w:szCs w:val="21"/>
          <w:lang w:eastAsia="zh-CN"/>
        </w:rPr>
        <w:t>管理管控</w:t>
      </w:r>
      <w:r>
        <w:rPr>
          <w:rFonts w:ascii="宋体" w:hAnsi="宋体" w:hint="eastAsia"/>
          <w:szCs w:val="21"/>
        </w:rPr>
        <w:t>规定，并盖有填写单位的公章。从个人取得的原始凭证，必须有经办单位或部门负责人和单位领导人的签名或者盖章，并有经办人签名。</w:t>
      </w:r>
    </w:p>
    <w:p>
      <w:pPr>
        <w:pStyle w:val="Normal0"/>
        <w:numPr>
          <w:ilvl w:val="0"/>
          <w:numId w:val="64"/>
        </w:numPr>
        <w:spacing w:line="360" w:lineRule="auto"/>
        <w:rPr>
          <w:rFonts w:ascii="宋体" w:hAnsi="宋体" w:hint="eastAsia"/>
          <w:szCs w:val="21"/>
        </w:rPr>
      </w:pPr>
      <w:r>
        <w:rPr>
          <w:rFonts w:ascii="宋体" w:hAnsi="宋体" w:hint="eastAsia"/>
          <w:szCs w:val="21"/>
        </w:rPr>
        <w:t>自制原始凭证：必须有经办部门负责人和酒店总经理的签名或者盖章，并有经办人签名。</w:t>
      </w:r>
    </w:p>
    <w:p>
      <w:pPr>
        <w:pStyle w:val="Normal0"/>
        <w:numPr>
          <w:ilvl w:val="0"/>
          <w:numId w:val="64"/>
        </w:numPr>
        <w:spacing w:line="360" w:lineRule="auto"/>
        <w:rPr>
          <w:rFonts w:ascii="宋体" w:hAnsi="宋体" w:hint="eastAsia"/>
          <w:szCs w:val="21"/>
        </w:rPr>
      </w:pPr>
      <w:r>
        <w:rPr>
          <w:rFonts w:ascii="宋体" w:hAnsi="宋体" w:hint="eastAsia"/>
          <w:szCs w:val="21"/>
        </w:rPr>
        <w:t>凡填有大小写金额的原始凭证，大小写金额必须一致。购买实物的原始凭证必须有验收人员签名并有验收单据，支付款项的原始凭证，必须有收款单位的收款证明（发票或收款收据）。</w:t>
      </w:r>
    </w:p>
    <w:p>
      <w:pPr>
        <w:pStyle w:val="Normal0"/>
        <w:numPr>
          <w:ilvl w:val="0"/>
          <w:numId w:val="64"/>
        </w:numPr>
        <w:spacing w:line="360" w:lineRule="auto"/>
        <w:rPr>
          <w:rFonts w:ascii="宋体" w:hAnsi="宋体" w:hint="eastAsia"/>
          <w:szCs w:val="21"/>
        </w:rPr>
        <w:sectPr>
          <w:headerReference w:type="default" r:id="rId45"/>
          <w:footerReference w:type="default" r:id="rId46"/>
          <w:type w:val="nextPage"/>
          <w:pgSz w:w="11906" w:h="16838"/>
          <w:pgMar w:top="851" w:right="1466" w:bottom="1077" w:left="1800" w:header="720" w:footer="720" w:gutter="0"/>
          <w:pgNumType w:start="21"/>
          <w:cols w:num="1" w:space="720"/>
          <w:titlePg w:val="0"/>
          <w:docGrid w:type="lines" w:linePitch="312" w:charSpace="0"/>
        </w:sectPr>
      </w:pPr>
      <w:r>
        <w:rPr>
          <w:rFonts w:ascii="宋体" w:hAnsi="宋体" w:hint="eastAsia"/>
          <w:szCs w:val="21"/>
        </w:rPr>
        <w:t>经酒店总经理或公司总经理批准的经济业务，应当将批准文件作为原始凭证的附件。如批准文件需要单独归档的，应将复印件附在原始凭证后，并在原始凭证上写明原因。如果批准文件涉及两项以上报销</w:t>
      </w:r>
      <w:r>
        <w:rPr>
          <w:rFonts w:ascii="宋体" w:hAnsi="宋体" w:hint="eastAsia"/>
          <w:szCs w:val="21"/>
          <w:lang w:eastAsia="zh-CN"/>
        </w:rPr>
        <w:t>合适的内容</w:t>
      </w:r>
      <w:r>
        <w:rPr>
          <w:rFonts w:ascii="宋体" w:hAnsi="宋体" w:hint="eastAsia"/>
          <w:szCs w:val="21"/>
        </w:rPr>
        <w:t>的，可将原件附在其中一份金额较大的原始凭证后，复印件附另一份原始凭证后，并写明原因。</w:t>
      </w:r>
    </w:p>
    <w:p>
      <w:pPr>
        <w:pStyle w:val="Normal0"/>
        <w:spacing w:line="360" w:lineRule="auto"/>
        <w:rPr>
          <w:rFonts w:ascii="宋体" w:hAnsi="宋体" w:hint="eastAsia"/>
          <w:szCs w:val="21"/>
        </w:rPr>
      </w:pPr>
      <w:r>
        <w:rPr>
          <w:rFonts w:ascii="宋体" w:hAnsi="宋体" w:hint="eastAsia"/>
          <w:bCs/>
          <w:szCs w:val="21"/>
        </w:rPr>
        <w:t>第五条：</w:t>
      </w:r>
      <w:r>
        <w:rPr>
          <w:rFonts w:ascii="宋体" w:hAnsi="宋体" w:hint="eastAsia"/>
          <w:szCs w:val="21"/>
        </w:rPr>
        <w:t>原始凭证粘贴的具体规定：</w:t>
      </w:r>
    </w:p>
    <w:p>
      <w:pPr>
        <w:pStyle w:val="Normal0"/>
        <w:numPr>
          <w:ilvl w:val="0"/>
          <w:numId w:val="65"/>
        </w:numPr>
        <w:spacing w:line="360" w:lineRule="auto"/>
        <w:rPr>
          <w:rFonts w:ascii="宋体" w:hAnsi="宋体" w:hint="eastAsia"/>
          <w:szCs w:val="21"/>
        </w:rPr>
      </w:pPr>
      <w:r>
        <w:rPr>
          <w:rFonts w:ascii="宋体" w:hAnsi="宋体" w:hint="eastAsia"/>
          <w:szCs w:val="21"/>
        </w:rPr>
        <w:t>零星费用报销凭证的粘贴规定：应在空白报销单上将原始凭证按小票在上、大票在下的要求，从左至右呈阶梯状依次粘贴。若票据较少，可直接在正式报销单的后面粘贴（原始凭证的正面与报销单的正面同向）。若票据较多可在多张空白报销单上粘贴。将已填写完毕的正式报销单据粘贴在已贴好的原始报销凭证的空白报销单上（从左面对齐粘贴）。</w:t>
      </w:r>
    </w:p>
    <w:p>
      <w:pPr>
        <w:pStyle w:val="Normal0"/>
        <w:numPr>
          <w:ilvl w:val="0"/>
          <w:numId w:val="65"/>
        </w:numPr>
        <w:spacing w:line="360" w:lineRule="auto"/>
        <w:rPr>
          <w:rFonts w:ascii="宋体" w:hAnsi="宋体" w:hint="eastAsia"/>
          <w:szCs w:val="21"/>
        </w:rPr>
      </w:pPr>
      <w:r>
        <w:rPr>
          <w:rFonts w:ascii="宋体" w:hAnsi="宋体" w:hint="eastAsia"/>
          <w:szCs w:val="21"/>
        </w:rPr>
        <w:t>采购费用报销凭证的粘贴规定：应将所有送货单据及验收单据重叠整齐的粘贴在一起。收货汇总表贴在送货单或验收单的上面。发票或收款收据贴在收货汇总表上。然后将所有原始单据附报销凭证后。</w:t>
      </w:r>
    </w:p>
    <w:p>
      <w:pPr>
        <w:pStyle w:val="Normal0"/>
        <w:numPr>
          <w:ilvl w:val="0"/>
          <w:numId w:val="65"/>
        </w:numPr>
        <w:spacing w:line="360" w:lineRule="auto"/>
        <w:rPr>
          <w:rFonts w:ascii="宋体" w:hAnsi="宋体" w:hint="eastAsia"/>
          <w:szCs w:val="21"/>
        </w:rPr>
      </w:pPr>
      <w:r>
        <w:rPr>
          <w:rFonts w:ascii="宋体" w:hAnsi="宋体" w:hint="eastAsia"/>
          <w:szCs w:val="21"/>
        </w:rPr>
        <w:t>工程费用报销凭证的粘贴规定，应将工程</w:t>
      </w:r>
      <w:r>
        <w:rPr>
          <w:rFonts w:ascii="宋体" w:hAnsi="宋体" w:hint="eastAsia"/>
          <w:szCs w:val="21"/>
          <w:lang w:eastAsia="zh-CN"/>
        </w:rPr>
        <w:t>合同合约</w:t>
      </w:r>
      <w:r>
        <w:rPr>
          <w:rFonts w:ascii="宋体" w:hAnsi="宋体" w:hint="eastAsia"/>
          <w:szCs w:val="21"/>
        </w:rPr>
        <w:t xml:space="preserve">复印件及工程验收/请款审批表附在支付凭证后，收款收据或发票附在支付凭证上。 </w:t>
      </w:r>
    </w:p>
    <w:p>
      <w:pPr>
        <w:pStyle w:val="Normal0"/>
        <w:spacing w:line="360" w:lineRule="auto"/>
        <w:ind w:left="420" w:hanging="420" w:hangingChars="200"/>
        <w:rPr>
          <w:rFonts w:ascii="宋体" w:hAnsi="宋体" w:hint="eastAsia"/>
          <w:b/>
          <w:bCs/>
          <w:szCs w:val="21"/>
        </w:rPr>
      </w:pPr>
      <w:r>
        <w:rPr>
          <w:rFonts w:ascii="宋体" w:hAnsi="宋体" w:hint="eastAsia"/>
          <w:bCs/>
          <w:szCs w:val="21"/>
        </w:rPr>
        <w:t>第六条：</w:t>
      </w:r>
      <w:r>
        <w:rPr>
          <w:rFonts w:ascii="宋体" w:hAnsi="宋体" w:hint="eastAsia"/>
          <w:szCs w:val="21"/>
        </w:rPr>
        <w:t>对不真实、不合规定的原始凭证不予报销，对记载不准确、不完整的原始凭证必须退回并要求其按规定补充、更正，原始凭证有错误的，应要求开票单位或填报人重开或更正（更改金额的原始凭证将不予接受），更正处需加盖单位公章或签章。</w:t>
      </w:r>
    </w:p>
    <w:p>
      <w:pPr>
        <w:pStyle w:val="Normal0"/>
        <w:spacing w:line="360" w:lineRule="auto"/>
        <w:rPr>
          <w:rFonts w:ascii="宋体" w:hAnsi="宋体" w:hint="eastAsia"/>
          <w:szCs w:val="21"/>
        </w:rPr>
      </w:pPr>
      <w:r>
        <w:rPr>
          <w:rFonts w:ascii="宋体" w:hAnsi="宋体" w:hint="eastAsia"/>
          <w:bCs/>
          <w:szCs w:val="21"/>
        </w:rPr>
        <w:t>第七条：</w:t>
      </w:r>
      <w:r>
        <w:rPr>
          <w:rFonts w:ascii="宋体" w:hAnsi="宋体" w:hint="eastAsia"/>
          <w:szCs w:val="21"/>
        </w:rPr>
        <w:t>严格执行报账期限规定，及时进行报账</w:t>
      </w:r>
      <w:r>
        <w:rPr>
          <w:rFonts w:ascii="宋体" w:hAnsi="宋体" w:hint="eastAsia"/>
          <w:szCs w:val="21"/>
          <w:lang w:eastAsia="zh-CN"/>
        </w:rPr>
        <w:t>管理管控</w:t>
      </w:r>
      <w:r>
        <w:rPr>
          <w:rFonts w:ascii="宋体" w:hAnsi="宋体" w:hint="eastAsia"/>
          <w:szCs w:val="21"/>
        </w:rPr>
        <w:t>。</w:t>
      </w:r>
    </w:p>
    <w:p>
      <w:pPr>
        <w:pStyle w:val="Normal0"/>
        <w:numPr>
          <w:ilvl w:val="0"/>
          <w:numId w:val="15"/>
        </w:numPr>
        <w:spacing w:line="360" w:lineRule="auto"/>
        <w:rPr>
          <w:rFonts w:ascii="宋体" w:hAnsi="宋体" w:hint="eastAsia"/>
          <w:szCs w:val="21"/>
        </w:rPr>
      </w:pPr>
      <w:r>
        <w:rPr>
          <w:rFonts w:ascii="宋体" w:hAnsi="宋体" w:hint="eastAsia"/>
          <w:szCs w:val="21"/>
        </w:rPr>
        <w:t>差旅费借支款必须在回酒店后5天内报账，其他借支款必须在业务完成后7天内结算。</w:t>
      </w:r>
    </w:p>
    <w:p>
      <w:pPr>
        <w:pStyle w:val="Normal0"/>
        <w:numPr>
          <w:ilvl w:val="0"/>
          <w:numId w:val="15"/>
        </w:numPr>
        <w:spacing w:line="360" w:lineRule="auto"/>
        <w:rPr>
          <w:rFonts w:ascii="宋体" w:hAnsi="宋体" w:hint="eastAsia"/>
          <w:szCs w:val="21"/>
        </w:rPr>
      </w:pPr>
      <w:r>
        <w:rPr>
          <w:rFonts w:ascii="宋体" w:hAnsi="宋体" w:hint="eastAsia"/>
          <w:szCs w:val="21"/>
        </w:rPr>
        <w:t>凡未在规定的期限内到财务部办理报账手续的，将按逾期时间长短给予不同程度的罚款。</w:t>
      </w:r>
    </w:p>
    <w:p>
      <w:pPr>
        <w:pStyle w:val="Normal0"/>
        <w:numPr>
          <w:ilvl w:val="0"/>
          <w:numId w:val="15"/>
        </w:numPr>
        <w:spacing w:line="360" w:lineRule="auto"/>
        <w:rPr>
          <w:rFonts w:ascii="宋体" w:hAnsi="宋体" w:hint="eastAsia"/>
          <w:szCs w:val="21"/>
        </w:rPr>
      </w:pPr>
      <w:r>
        <w:rPr>
          <w:rFonts w:ascii="宋体" w:hAnsi="宋体" w:hint="eastAsia"/>
          <w:szCs w:val="21"/>
        </w:rPr>
        <w:t>根据财务部的</w:t>
      </w:r>
      <w:r>
        <w:rPr>
          <w:rFonts w:ascii="宋体" w:hAnsi="宋体" w:hint="eastAsia"/>
          <w:szCs w:val="21"/>
          <w:lang w:eastAsia="zh-CN"/>
        </w:rPr>
        <w:t>管理管控</w:t>
      </w:r>
      <w:r>
        <w:rPr>
          <w:rFonts w:ascii="宋体" w:hAnsi="宋体" w:hint="eastAsia"/>
          <w:szCs w:val="21"/>
        </w:rPr>
        <w:t>规定，零星费用报销在每周的星期二、五两天办理；供货商货款结算（实行月结的）在每月的十六、二十五日两天办理，遇节假日顺延。特殊事项的紧急借款或报销，原则上必须于申请当天办理完毕。</w:t>
      </w:r>
    </w:p>
    <w:p>
      <w:pPr>
        <w:pStyle w:val="Normal0"/>
        <w:numPr>
          <w:ilvl w:val="0"/>
          <w:numId w:val="15"/>
        </w:numPr>
        <w:spacing w:line="360" w:lineRule="auto"/>
        <w:rPr>
          <w:rFonts w:ascii="宋体" w:hAnsi="宋体" w:hint="eastAsia"/>
          <w:szCs w:val="21"/>
        </w:rPr>
      </w:pPr>
      <w:r>
        <w:rPr>
          <w:rFonts w:ascii="宋体" w:hAnsi="宋体" w:hint="eastAsia"/>
          <w:szCs w:val="21"/>
        </w:rPr>
        <w:t>借支费用超过一月未至财务部办理报账手续的将不予报账。并按借支金额全额从其工资中扣回。</w:t>
      </w:r>
    </w:p>
    <w:p>
      <w:pPr>
        <w:pStyle w:val="Normal0"/>
        <w:spacing w:line="360" w:lineRule="auto"/>
        <w:rPr>
          <w:rFonts w:ascii="宋体" w:hAnsi="宋体" w:hint="eastAsia"/>
          <w:b/>
          <w:bCs/>
          <w:szCs w:val="21"/>
        </w:rPr>
      </w:pPr>
      <w:r>
        <w:rPr>
          <w:rFonts w:ascii="宋体" w:hAnsi="宋体" w:hint="eastAsia"/>
          <w:bCs/>
          <w:szCs w:val="21"/>
        </w:rPr>
        <w:t>第八条：</w:t>
      </w:r>
      <w:r>
        <w:rPr>
          <w:rFonts w:ascii="宋体" w:hAnsi="宋体" w:hint="eastAsia"/>
          <w:szCs w:val="21"/>
        </w:rPr>
        <w:t>严格按酒店审批</w:t>
      </w:r>
      <w:r>
        <w:rPr>
          <w:rFonts w:ascii="宋体" w:hAnsi="宋体" w:hint="eastAsia"/>
          <w:szCs w:val="21"/>
          <w:lang w:eastAsia="zh-CN"/>
        </w:rPr>
        <w:t>管理管控</w:t>
      </w:r>
      <w:r>
        <w:rPr>
          <w:rFonts w:ascii="宋体" w:hAnsi="宋体" w:hint="eastAsia"/>
          <w:szCs w:val="21"/>
        </w:rPr>
        <w:t>权限之规定报批，所有支出必须经相关权责人员审批后办理。</w:t>
      </w:r>
    </w:p>
    <w:p>
      <w:pPr>
        <w:pStyle w:val="Normal0"/>
        <w:spacing w:line="360" w:lineRule="auto"/>
        <w:ind w:left="420" w:hanging="420" w:hangingChars="200"/>
        <w:rPr>
          <w:rFonts w:ascii="宋体" w:hAnsi="宋体" w:hint="eastAsia"/>
          <w:b/>
          <w:bCs/>
          <w:szCs w:val="21"/>
        </w:rPr>
      </w:pPr>
      <w:r>
        <w:rPr>
          <w:rFonts w:ascii="宋体" w:hAnsi="宋体" w:hint="eastAsia"/>
          <w:bCs/>
          <w:szCs w:val="21"/>
        </w:rPr>
        <w:t>第九条：</w:t>
      </w:r>
      <w:r>
        <w:rPr>
          <w:rFonts w:ascii="宋体" w:hAnsi="宋体" w:hint="eastAsia"/>
          <w:szCs w:val="21"/>
        </w:rPr>
        <w:t>各项费用开支，以现金方式支付的必须填写酒店杂支申请单，以支票方式支付的必须填写酒店支票/汇票申请单。</w:t>
      </w:r>
    </w:p>
    <w:p>
      <w:pPr>
        <w:pStyle w:val="Normal0"/>
        <w:spacing w:line="360" w:lineRule="auto"/>
        <w:ind w:left="420" w:hanging="420" w:hangingChars="200"/>
        <w:rPr>
          <w:rFonts w:ascii="宋体" w:hAnsi="宋体" w:hint="eastAsia"/>
          <w:szCs w:val="21"/>
        </w:rPr>
      </w:pPr>
      <w:r>
        <w:rPr>
          <w:rFonts w:ascii="宋体" w:hAnsi="宋体" w:hint="eastAsia"/>
          <w:bCs/>
          <w:szCs w:val="21"/>
        </w:rPr>
        <w:t>第十条：</w:t>
      </w:r>
      <w:r>
        <w:rPr>
          <w:rFonts w:ascii="宋体" w:hAnsi="宋体" w:hint="eastAsia"/>
          <w:szCs w:val="21"/>
        </w:rPr>
        <w:t>已取得结算凭证的付款业务，必须填写酒店报销申请单办理款项支付手续。未取得结算凭证的请款业务，应由经办人先填写请款单，待业务办理完毕，由经办人取得发货票，办妥相关手续后方能办理款项支付手续。</w:t>
      </w:r>
    </w:p>
    <w:p>
      <w:pPr>
        <w:pStyle w:val="Normal0"/>
        <w:spacing w:line="360" w:lineRule="auto"/>
        <w:rPr>
          <w:rFonts w:ascii="宋体" w:hAnsi="宋体" w:hint="eastAsia"/>
          <w:b/>
          <w:bCs/>
          <w:szCs w:val="21"/>
        </w:rPr>
        <w:sectPr>
          <w:headerReference w:type="default" r:id="rId47"/>
          <w:footerReference w:type="default" r:id="rId48"/>
          <w:type w:val="nextPage"/>
          <w:pgSz w:w="11906" w:h="16838"/>
          <w:pgMar w:top="851" w:right="1466" w:bottom="1077" w:left="1800" w:header="720" w:footer="720" w:gutter="0"/>
          <w:pgNumType w:start="22"/>
          <w:cols w:num="1" w:space="720"/>
          <w:titlePg w:val="0"/>
          <w:docGrid w:type="lines" w:linePitch="312" w:charSpace="0"/>
        </w:sectPr>
      </w:pPr>
      <w:r>
        <w:rPr>
          <w:rFonts w:ascii="宋体" w:hAnsi="宋体" w:hint="eastAsia"/>
          <w:b/>
          <w:bCs/>
          <w:szCs w:val="21"/>
        </w:rPr>
        <w:t>第三章：审批规定及程序</w:t>
      </w:r>
    </w:p>
    <w:p>
      <w:pPr>
        <w:pStyle w:val="Normal0"/>
        <w:spacing w:line="360" w:lineRule="auto"/>
        <w:rPr>
          <w:rFonts w:ascii="宋体" w:hAnsi="宋体" w:hint="eastAsia"/>
          <w:szCs w:val="21"/>
        </w:rPr>
      </w:pPr>
      <w:r>
        <w:rPr>
          <w:rFonts w:ascii="宋体" w:hAnsi="宋体" w:hint="eastAsia"/>
          <w:bCs/>
          <w:szCs w:val="21"/>
        </w:rPr>
        <w:t>第十一条：</w:t>
      </w:r>
      <w:r>
        <w:rPr>
          <w:rFonts w:ascii="宋体" w:hAnsi="宋体" w:hint="eastAsia"/>
          <w:szCs w:val="21"/>
        </w:rPr>
        <w:t>报账审批规定：</w:t>
      </w:r>
    </w:p>
    <w:p>
      <w:pPr>
        <w:pStyle w:val="Normal0"/>
        <w:numPr>
          <w:ilvl w:val="0"/>
          <w:numId w:val="66"/>
        </w:numPr>
        <w:spacing w:line="360" w:lineRule="auto"/>
        <w:rPr>
          <w:rFonts w:ascii="宋体" w:hAnsi="宋体" w:hint="eastAsia"/>
          <w:szCs w:val="21"/>
        </w:rPr>
      </w:pPr>
      <w:r>
        <w:rPr>
          <w:rFonts w:ascii="宋体" w:hAnsi="宋体" w:hint="eastAsia"/>
          <w:szCs w:val="21"/>
        </w:rPr>
        <w:t>部门员工的日常费用，由部门负责人控制审核，报财务经理和总经理审批；部门负责人的日常费用，直接由财务经理和总经理审批；涉及员工伤残和员工福利的费用，应先经人事部经理审批，再报财务经理和总经理审批，金额在审批权限以上的报集团公司审批。</w:t>
      </w:r>
    </w:p>
    <w:p>
      <w:pPr>
        <w:pStyle w:val="Normal0"/>
        <w:numPr>
          <w:ilvl w:val="0"/>
          <w:numId w:val="66"/>
        </w:numPr>
        <w:spacing w:line="360" w:lineRule="auto"/>
        <w:rPr>
          <w:rFonts w:ascii="宋体" w:hAnsi="宋体" w:hint="eastAsia"/>
          <w:szCs w:val="21"/>
        </w:rPr>
      </w:pPr>
      <w:r>
        <w:rPr>
          <w:rFonts w:ascii="宋体" w:hAnsi="宋体" w:hint="eastAsia"/>
          <w:szCs w:val="21"/>
        </w:rPr>
        <w:t>酒店各种办公费、汽车费、电话费（含个人手机话费）等资金支出，由总经理办公室</w:t>
      </w:r>
      <w:r>
        <w:rPr>
          <w:rFonts w:ascii="宋体" w:hAnsi="宋体" w:hint="eastAsia"/>
          <w:szCs w:val="21"/>
          <w:lang w:eastAsia="zh-CN"/>
        </w:rPr>
        <w:t>管理管控</w:t>
      </w:r>
      <w:r>
        <w:rPr>
          <w:rFonts w:ascii="宋体" w:hAnsi="宋体" w:hint="eastAsia"/>
          <w:szCs w:val="21"/>
        </w:rPr>
        <w:t>及审核，报财务经理和总经理审批。</w:t>
      </w:r>
    </w:p>
    <w:p>
      <w:pPr>
        <w:pStyle w:val="Normal0"/>
        <w:numPr>
          <w:ilvl w:val="0"/>
          <w:numId w:val="66"/>
        </w:numPr>
        <w:spacing w:line="360" w:lineRule="auto"/>
        <w:rPr>
          <w:rFonts w:ascii="宋体" w:hAnsi="宋体" w:hint="eastAsia"/>
          <w:szCs w:val="21"/>
        </w:rPr>
      </w:pPr>
      <w:r>
        <w:rPr>
          <w:rFonts w:ascii="宋体" w:hAnsi="宋体" w:hint="eastAsia"/>
          <w:szCs w:val="21"/>
        </w:rPr>
        <w:t>采购人员购货款、供应商货款、工程款等的支出，由财务部会计核实，报财务经理和总经理审批；金额在审批权限以上的报集团财务部审批。</w:t>
      </w:r>
    </w:p>
    <w:p>
      <w:pPr>
        <w:pStyle w:val="Normal0"/>
        <w:spacing w:line="360" w:lineRule="auto"/>
        <w:rPr>
          <w:rFonts w:ascii="宋体" w:hAnsi="宋体" w:hint="eastAsia"/>
          <w:szCs w:val="21"/>
        </w:rPr>
      </w:pPr>
      <w:r>
        <w:rPr>
          <w:rFonts w:ascii="宋体" w:hAnsi="宋体" w:hint="eastAsia"/>
          <w:bCs/>
          <w:szCs w:val="21"/>
        </w:rPr>
        <w:t>第十二条：费用</w:t>
      </w:r>
      <w:r>
        <w:rPr>
          <w:rFonts w:ascii="宋体" w:hAnsi="宋体" w:hint="eastAsia"/>
          <w:szCs w:val="21"/>
        </w:rPr>
        <w:t>报账要求：</w:t>
      </w:r>
    </w:p>
    <w:p>
      <w:pPr>
        <w:pStyle w:val="Normal0"/>
        <w:numPr>
          <w:ilvl w:val="0"/>
          <w:numId w:val="17"/>
        </w:numPr>
        <w:spacing w:line="360" w:lineRule="auto"/>
        <w:rPr>
          <w:rFonts w:ascii="宋体" w:hAnsi="宋体" w:hint="eastAsia"/>
          <w:szCs w:val="21"/>
        </w:rPr>
      </w:pPr>
      <w:r>
        <w:rPr>
          <w:rFonts w:ascii="宋体" w:hAnsi="宋体" w:hint="eastAsia"/>
          <w:szCs w:val="21"/>
        </w:rPr>
        <w:t>员工因工发生的日常费用，必须按规定先报部门负责人批准。部门负责人根据实际情况核实后，在相关原始凭证上签批，再填写杂支申请单报批。部门负责人必须严加控制，杜绝先斩后奏的事情发生，对超标费用应严格把关不予报销；部门负责人发生的日常费用，应逐级报上级领导批准。</w:t>
      </w:r>
    </w:p>
    <w:p>
      <w:pPr>
        <w:pStyle w:val="Normal0"/>
        <w:numPr>
          <w:ilvl w:val="0"/>
          <w:numId w:val="17"/>
        </w:numPr>
        <w:spacing w:line="360" w:lineRule="auto"/>
        <w:rPr>
          <w:rFonts w:ascii="宋体" w:hAnsi="宋体" w:hint="eastAsia"/>
          <w:szCs w:val="21"/>
        </w:rPr>
      </w:pPr>
      <w:r>
        <w:rPr>
          <w:rFonts w:ascii="宋体" w:hAnsi="宋体" w:hint="eastAsia"/>
          <w:szCs w:val="21"/>
        </w:rPr>
        <w:t>凡涉及物资采购的报账事项，必须有经审批生效的采购申请单、供应商的送货单、酒店收货部门的物资验收单，有采购</w:t>
      </w:r>
      <w:r>
        <w:rPr>
          <w:rFonts w:ascii="宋体" w:hAnsi="宋体" w:hint="eastAsia"/>
          <w:szCs w:val="21"/>
          <w:lang w:eastAsia="zh-CN"/>
        </w:rPr>
        <w:t>合同合约</w:t>
      </w:r>
      <w:r>
        <w:rPr>
          <w:rFonts w:ascii="宋体" w:hAnsi="宋体" w:hint="eastAsia"/>
          <w:szCs w:val="21"/>
        </w:rPr>
        <w:t>或协议的必须附采购</w:t>
      </w:r>
      <w:r>
        <w:rPr>
          <w:rFonts w:ascii="宋体" w:hAnsi="宋体" w:hint="eastAsia"/>
          <w:szCs w:val="21"/>
          <w:lang w:eastAsia="zh-CN"/>
        </w:rPr>
        <w:t>合同合约</w:t>
      </w:r>
      <w:r>
        <w:rPr>
          <w:rFonts w:ascii="宋体" w:hAnsi="宋体" w:hint="eastAsia"/>
          <w:szCs w:val="21"/>
        </w:rPr>
        <w:t>或协议，经请款人申请后，按审批程序办理报账手续。</w:t>
      </w:r>
    </w:p>
    <w:p>
      <w:pPr>
        <w:pStyle w:val="Normal0"/>
        <w:numPr>
          <w:ilvl w:val="0"/>
          <w:numId w:val="17"/>
        </w:numPr>
        <w:spacing w:line="360" w:lineRule="auto"/>
        <w:rPr>
          <w:rFonts w:ascii="宋体" w:hAnsi="宋体" w:hint="eastAsia"/>
          <w:szCs w:val="21"/>
        </w:rPr>
      </w:pPr>
      <w:r>
        <w:rPr>
          <w:rFonts w:ascii="宋体" w:hAnsi="宋体" w:hint="eastAsia"/>
          <w:szCs w:val="21"/>
        </w:rPr>
        <w:t>各审批人员出差或休假期间，应授权相关人员代为行使审批职权，授权人必须在取得授权书后方可行使审批权。授权书上应注明授权范围和期限。</w:t>
      </w:r>
    </w:p>
    <w:p>
      <w:pPr>
        <w:pStyle w:val="Normal0"/>
        <w:spacing w:line="360" w:lineRule="auto"/>
        <w:rPr>
          <w:rFonts w:ascii="宋体" w:hAnsi="宋体" w:hint="eastAsia"/>
          <w:b/>
          <w:bCs/>
          <w:szCs w:val="21"/>
        </w:rPr>
      </w:pPr>
      <w:r>
        <w:rPr>
          <w:rFonts w:ascii="宋体" w:hAnsi="宋体" w:hint="eastAsia"/>
          <w:b/>
          <w:bCs/>
          <w:szCs w:val="21"/>
        </w:rPr>
        <w:t>第四章：费用报销规定</w:t>
      </w:r>
    </w:p>
    <w:p>
      <w:pPr>
        <w:pStyle w:val="Normal0"/>
        <w:spacing w:line="360" w:lineRule="auto"/>
        <w:rPr>
          <w:rFonts w:ascii="宋体" w:hAnsi="宋体" w:hint="eastAsia"/>
          <w:szCs w:val="21"/>
        </w:rPr>
      </w:pPr>
      <w:r>
        <w:rPr>
          <w:rFonts w:ascii="宋体" w:hAnsi="宋体" w:hint="eastAsia"/>
          <w:bCs/>
          <w:szCs w:val="21"/>
        </w:rPr>
        <w:t>第十三条：</w:t>
      </w:r>
      <w:r>
        <w:rPr>
          <w:rFonts w:ascii="宋体" w:hAnsi="宋体" w:hint="eastAsia"/>
          <w:szCs w:val="21"/>
        </w:rPr>
        <w:t>差旅费报销：</w:t>
      </w:r>
    </w:p>
    <w:p>
      <w:pPr>
        <w:pStyle w:val="Normal0"/>
        <w:numPr>
          <w:ilvl w:val="0"/>
          <w:numId w:val="18"/>
        </w:numPr>
        <w:spacing w:line="360" w:lineRule="auto"/>
        <w:rPr>
          <w:rFonts w:ascii="宋体" w:hAnsi="宋体" w:hint="eastAsia"/>
          <w:szCs w:val="21"/>
        </w:rPr>
      </w:pPr>
      <w:r>
        <w:rPr>
          <w:rFonts w:ascii="宋体" w:hAnsi="宋体" w:hint="eastAsia"/>
          <w:szCs w:val="21"/>
        </w:rPr>
        <w:t>差旅费报销：应按审批的差旅费标准及限额据实报销，对超标费用或超过业务范围内的费用不予报销。差旅费报销应根据有效原始凭证填制杂支报销单办理报账手续。有借支款项的必须先清理完借支款后再领取报销款。</w:t>
      </w:r>
    </w:p>
    <w:p>
      <w:pPr>
        <w:pStyle w:val="Normal0"/>
        <w:numPr>
          <w:ilvl w:val="0"/>
          <w:numId w:val="18"/>
        </w:numPr>
        <w:spacing w:line="360" w:lineRule="auto"/>
        <w:rPr>
          <w:rFonts w:ascii="宋体" w:hAnsi="宋体" w:hint="eastAsia"/>
          <w:szCs w:val="21"/>
        </w:rPr>
      </w:pPr>
      <w:r>
        <w:rPr>
          <w:rFonts w:ascii="宋体" w:hAnsi="宋体" w:hint="eastAsia"/>
          <w:szCs w:val="21"/>
        </w:rPr>
        <w:t>差旅费报销的范围包括：出差途中的车船票费用、飞机票、火车票费用，以及车船票、飞机票、火车票附加费及保险费，出差途中住宿费及餐费。</w:t>
      </w:r>
    </w:p>
    <w:p>
      <w:pPr>
        <w:pStyle w:val="Normal0"/>
        <w:spacing w:line="360" w:lineRule="auto"/>
        <w:rPr>
          <w:rFonts w:ascii="宋体" w:hAnsi="宋体" w:hint="eastAsia"/>
          <w:szCs w:val="21"/>
        </w:rPr>
      </w:pPr>
      <w:r>
        <w:rPr>
          <w:rFonts w:ascii="宋体" w:hAnsi="宋体" w:hint="eastAsia"/>
          <w:bCs/>
          <w:szCs w:val="21"/>
        </w:rPr>
        <w:t>第十四条：</w:t>
      </w:r>
      <w:r>
        <w:rPr>
          <w:rFonts w:ascii="宋体" w:hAnsi="宋体" w:hint="eastAsia"/>
          <w:szCs w:val="21"/>
        </w:rPr>
        <w:t>其他费用报销</w:t>
      </w:r>
    </w:p>
    <w:p>
      <w:pPr>
        <w:pStyle w:val="Normal0"/>
        <w:numPr>
          <w:ilvl w:val="0"/>
          <w:numId w:val="19"/>
        </w:numPr>
        <w:spacing w:line="360" w:lineRule="auto"/>
        <w:rPr>
          <w:rFonts w:ascii="宋体" w:hAnsi="宋体" w:hint="eastAsia"/>
          <w:szCs w:val="21"/>
        </w:rPr>
        <w:sectPr>
          <w:headerReference w:type="default" r:id="rId49"/>
          <w:footerReference w:type="default" r:id="rId50"/>
          <w:type w:val="nextPage"/>
          <w:pgSz w:w="11906" w:h="16838"/>
          <w:pgMar w:top="851" w:right="1466" w:bottom="1077" w:left="1800" w:header="720" w:footer="720" w:gutter="0"/>
          <w:pgNumType w:start="23"/>
          <w:cols w:num="1" w:space="720"/>
          <w:titlePg w:val="0"/>
          <w:docGrid w:type="lines" w:linePitch="312" w:charSpace="0"/>
        </w:sectPr>
      </w:pPr>
    </w:p>
    <w:p>
      <w:pPr>
        <w:pStyle w:val="Normal0"/>
        <w:numPr>
          <w:ilvl w:val="0"/>
          <w:numId w:val="0"/>
        </w:numPr>
        <w:spacing w:line="360" w:lineRule="auto"/>
        <w:ind w:left="810"/>
        <w:rPr>
          <w:rFonts w:ascii="宋体" w:hAnsi="宋体" w:hint="eastAsia"/>
          <w:szCs w:val="21"/>
        </w:rPr>
      </w:pPr>
      <w:r>
        <w:rPr>
          <w:rFonts w:ascii="宋体" w:hAnsi="宋体" w:hint="eastAsia"/>
          <w:szCs w:val="21"/>
        </w:rPr>
        <w:t>员工工伤或福利费支出报销，应根据酒店总经理或公司总经理的审批意见，凭医疗证明单和医药费用支出单报销；福利费支出报销凭总经理签批的支出文件及支出证明单据报销。对手续不全的不予报销。</w:t>
      </w:r>
    </w:p>
    <w:p>
      <w:pPr>
        <w:pStyle w:val="Normal0"/>
        <w:numPr>
          <w:ilvl w:val="0"/>
          <w:numId w:val="19"/>
        </w:numPr>
        <w:spacing w:line="360" w:lineRule="auto"/>
        <w:rPr>
          <w:rFonts w:ascii="宋体" w:hAnsi="宋体" w:hint="eastAsia"/>
          <w:szCs w:val="21"/>
        </w:rPr>
      </w:pPr>
      <w:r>
        <w:rPr>
          <w:rFonts w:ascii="宋体" w:hAnsi="宋体" w:hint="eastAsia"/>
          <w:szCs w:val="21"/>
        </w:rPr>
        <w:t>其他杂费报销，应根据酒店规定，在报销范围内凭费用支出原始单据报销。对超标费用不予报销。对支付给个人或其他单位的劳务费用，必须有相关的劳务</w:t>
      </w:r>
      <w:r>
        <w:rPr>
          <w:rFonts w:ascii="宋体" w:hAnsi="宋体" w:hint="eastAsia"/>
          <w:szCs w:val="21"/>
          <w:lang w:eastAsia="zh-CN"/>
        </w:rPr>
        <w:t>合同合约</w:t>
      </w:r>
      <w:r>
        <w:rPr>
          <w:rFonts w:ascii="宋体" w:hAnsi="宋体" w:hint="eastAsia"/>
          <w:szCs w:val="21"/>
        </w:rPr>
        <w:t>或协议，有相关的劳务发生记录证明，并经人事部门或工程部门审核后至财务部报销。</w:t>
      </w:r>
    </w:p>
    <w:p>
      <w:pPr>
        <w:pStyle w:val="Normal0"/>
        <w:numPr>
          <w:ilvl w:val="0"/>
          <w:numId w:val="19"/>
        </w:numPr>
        <w:spacing w:line="360" w:lineRule="auto"/>
        <w:rPr>
          <w:rFonts w:ascii="宋体" w:hAnsi="宋体" w:hint="eastAsia"/>
          <w:szCs w:val="21"/>
        </w:rPr>
      </w:pPr>
      <w:r>
        <w:rPr>
          <w:rFonts w:ascii="宋体" w:hAnsi="宋体" w:hint="eastAsia"/>
          <w:szCs w:val="21"/>
        </w:rPr>
        <w:t>零星采购费用报销，凭采购申请审批单据，采购原始单据和有关部门及收货人员开据的验收单据报销，对手续不全的不予报销。</w:t>
      </w:r>
    </w:p>
    <w:p>
      <w:pPr>
        <w:pStyle w:val="Normal0"/>
        <w:numPr>
          <w:ilvl w:val="0"/>
          <w:numId w:val="19"/>
        </w:numPr>
        <w:spacing w:line="360" w:lineRule="auto"/>
        <w:rPr>
          <w:rFonts w:ascii="宋体" w:hAnsi="宋体" w:hint="eastAsia"/>
          <w:szCs w:val="21"/>
        </w:rPr>
      </w:pPr>
      <w:r>
        <w:rPr>
          <w:rFonts w:ascii="宋体" w:hAnsi="宋体" w:hint="eastAsia"/>
          <w:szCs w:val="21"/>
        </w:rPr>
        <w:t>酒店水电费支出，应根据酒店与政府有关</w:t>
      </w:r>
      <w:r>
        <w:rPr>
          <w:rFonts w:ascii="宋体" w:hAnsi="宋体" w:hint="eastAsia"/>
          <w:szCs w:val="21"/>
          <w:lang w:eastAsia="zh-CN"/>
        </w:rPr>
        <w:t>管理管控</w:t>
      </w:r>
      <w:r>
        <w:rPr>
          <w:rFonts w:ascii="宋体" w:hAnsi="宋体" w:hint="eastAsia"/>
          <w:szCs w:val="21"/>
        </w:rPr>
        <w:t>单位签署的</w:t>
      </w:r>
      <w:r>
        <w:rPr>
          <w:rFonts w:ascii="宋体" w:hAnsi="宋体" w:hint="eastAsia"/>
          <w:szCs w:val="21"/>
          <w:lang w:eastAsia="zh-CN"/>
        </w:rPr>
        <w:t>合同合约</w:t>
      </w:r>
      <w:r>
        <w:rPr>
          <w:rFonts w:ascii="宋体" w:hAnsi="宋体" w:hint="eastAsia"/>
          <w:szCs w:val="21"/>
        </w:rPr>
        <w:t>或协议办理。有关收费通知单应经酒店工程部核实用量及金额后，报财务部审核、总经理审批后报账。</w:t>
      </w:r>
    </w:p>
    <w:p>
      <w:pPr>
        <w:pStyle w:val="Normal0"/>
        <w:numPr>
          <w:ilvl w:val="0"/>
          <w:numId w:val="19"/>
        </w:numPr>
        <w:spacing w:line="360" w:lineRule="auto"/>
        <w:rPr>
          <w:rFonts w:ascii="宋体" w:hAnsi="宋体" w:hint="eastAsia"/>
          <w:szCs w:val="21"/>
        </w:rPr>
      </w:pPr>
      <w:r>
        <w:rPr>
          <w:rFonts w:ascii="宋体" w:hAnsi="宋体" w:hint="eastAsia"/>
          <w:szCs w:val="21"/>
        </w:rPr>
        <w:t>其他特别事项支出（如各项滞纳金、罚款等），应取得相关缴款通知单，经酒店总经理批准后，报财务部支出或报账。</w:t>
      </w:r>
    </w:p>
    <w:p>
      <w:pPr>
        <w:pStyle w:val="Normal0"/>
        <w:spacing w:line="360" w:lineRule="auto"/>
        <w:rPr>
          <w:rFonts w:ascii="宋体" w:hAnsi="宋体" w:hint="eastAsia"/>
          <w:b/>
          <w:bCs/>
          <w:szCs w:val="21"/>
        </w:rPr>
      </w:pPr>
      <w:r>
        <w:rPr>
          <w:rFonts w:ascii="宋体" w:hAnsi="宋体" w:hint="eastAsia"/>
          <w:b/>
          <w:bCs/>
          <w:szCs w:val="21"/>
        </w:rPr>
        <w:t>第五章：货款及工程款支付</w:t>
      </w:r>
      <w:r>
        <w:rPr>
          <w:rFonts w:ascii="宋体" w:hAnsi="宋体" w:hint="eastAsia"/>
          <w:b/>
          <w:bCs/>
          <w:szCs w:val="21"/>
          <w:lang w:eastAsia="zh-CN"/>
        </w:rPr>
        <w:t>管理管控</w:t>
      </w:r>
    </w:p>
    <w:p>
      <w:pPr>
        <w:pStyle w:val="Normal0"/>
        <w:spacing w:line="360" w:lineRule="auto"/>
        <w:rPr>
          <w:rFonts w:ascii="宋体" w:hAnsi="宋体" w:hint="eastAsia"/>
          <w:szCs w:val="21"/>
        </w:rPr>
      </w:pPr>
      <w:r>
        <w:rPr>
          <w:rFonts w:ascii="宋体" w:hAnsi="宋体" w:hint="eastAsia"/>
          <w:bCs/>
          <w:szCs w:val="21"/>
        </w:rPr>
        <w:t>第十五条：</w:t>
      </w:r>
      <w:r>
        <w:rPr>
          <w:rFonts w:ascii="宋体" w:hAnsi="宋体" w:hint="eastAsia"/>
          <w:szCs w:val="21"/>
        </w:rPr>
        <w:t>供应商货款及工程款的</w:t>
      </w:r>
      <w:r>
        <w:rPr>
          <w:rFonts w:ascii="宋体" w:hAnsi="宋体" w:hint="eastAsia"/>
          <w:szCs w:val="21"/>
          <w:lang w:eastAsia="zh-CN"/>
        </w:rPr>
        <w:t>管理管控</w:t>
      </w:r>
      <w:r>
        <w:rPr>
          <w:rFonts w:ascii="宋体" w:hAnsi="宋体" w:hint="eastAsia"/>
          <w:szCs w:val="21"/>
        </w:rPr>
        <w:t>：</w:t>
      </w:r>
    </w:p>
    <w:p>
      <w:pPr>
        <w:pStyle w:val="Normal0"/>
        <w:numPr>
          <w:ilvl w:val="0"/>
          <w:numId w:val="20"/>
        </w:numPr>
        <w:spacing w:line="360" w:lineRule="auto"/>
        <w:rPr>
          <w:rFonts w:ascii="宋体" w:hAnsi="宋体" w:hint="eastAsia"/>
          <w:szCs w:val="21"/>
        </w:rPr>
      </w:pPr>
      <w:r>
        <w:rPr>
          <w:rFonts w:ascii="宋体" w:hAnsi="宋体" w:hint="eastAsia"/>
          <w:szCs w:val="21"/>
        </w:rPr>
        <w:t>供应商货款的</w:t>
      </w:r>
      <w:r>
        <w:rPr>
          <w:rFonts w:ascii="宋体" w:hAnsi="宋体" w:hint="eastAsia"/>
          <w:szCs w:val="21"/>
          <w:lang w:eastAsia="zh-CN"/>
        </w:rPr>
        <w:t>管理管控</w:t>
      </w:r>
      <w:r>
        <w:rPr>
          <w:rFonts w:ascii="宋体" w:hAnsi="宋体" w:hint="eastAsia"/>
          <w:szCs w:val="21"/>
        </w:rPr>
        <w:t>：酒店根据物资采购的频密程度不同，合理先择采购方式。对采购较频密及采购数量较大的货物，选择供应商送货，与供应商签订供货协议或</w:t>
      </w:r>
      <w:r>
        <w:rPr>
          <w:rFonts w:ascii="宋体" w:hAnsi="宋体" w:hint="eastAsia"/>
          <w:szCs w:val="21"/>
          <w:lang w:eastAsia="zh-CN"/>
        </w:rPr>
        <w:t>合同合约</w:t>
      </w:r>
      <w:r>
        <w:rPr>
          <w:rFonts w:ascii="宋体" w:hAnsi="宋体" w:hint="eastAsia"/>
          <w:szCs w:val="21"/>
        </w:rPr>
        <w:t>，注明结算方式、质保金金额及付款期限。仓库按协议规定的质量标准和供货价格验收货物，成本部按协议或</w:t>
      </w:r>
      <w:r>
        <w:rPr>
          <w:rFonts w:ascii="宋体" w:hAnsi="宋体" w:hint="eastAsia"/>
          <w:szCs w:val="21"/>
          <w:lang w:eastAsia="zh-CN"/>
        </w:rPr>
        <w:t>合同合约</w:t>
      </w:r>
      <w:r>
        <w:rPr>
          <w:rFonts w:ascii="宋体" w:hAnsi="宋体" w:hint="eastAsia"/>
          <w:szCs w:val="21"/>
        </w:rPr>
        <w:t>、供货商送货单和仓库的验收单，登记供货款明细表和汇总表。会计部按协议和送货记录开立应付账款账户，登记供货商货款明细账。</w:t>
      </w:r>
    </w:p>
    <w:p>
      <w:pPr>
        <w:pStyle w:val="Normal0"/>
        <w:numPr>
          <w:ilvl w:val="0"/>
          <w:numId w:val="20"/>
        </w:numPr>
        <w:spacing w:line="360" w:lineRule="auto"/>
        <w:rPr>
          <w:rFonts w:ascii="宋体" w:hAnsi="宋体" w:hint="eastAsia"/>
          <w:szCs w:val="21"/>
        </w:rPr>
      </w:pPr>
      <w:r>
        <w:rPr>
          <w:rFonts w:ascii="宋体" w:hAnsi="宋体" w:hint="eastAsia"/>
          <w:szCs w:val="21"/>
        </w:rPr>
        <w:t>工程款项的</w:t>
      </w:r>
      <w:r>
        <w:rPr>
          <w:rFonts w:ascii="宋体" w:hAnsi="宋体" w:hint="eastAsia"/>
          <w:szCs w:val="21"/>
          <w:lang w:eastAsia="zh-CN"/>
        </w:rPr>
        <w:t>管理管控</w:t>
      </w:r>
      <w:r>
        <w:rPr>
          <w:rFonts w:ascii="宋体" w:hAnsi="宋体" w:hint="eastAsia"/>
          <w:szCs w:val="21"/>
        </w:rPr>
        <w:t>：酒店工程</w:t>
      </w:r>
      <w:r>
        <w:rPr>
          <w:rFonts w:ascii="宋体" w:hAnsi="宋体" w:hint="eastAsia"/>
          <w:szCs w:val="21"/>
          <w:lang w:eastAsia="zh-CN"/>
        </w:rPr>
        <w:t>相关项目</w:t>
      </w:r>
      <w:r>
        <w:rPr>
          <w:rFonts w:ascii="宋体" w:hAnsi="宋体" w:hint="eastAsia"/>
          <w:szCs w:val="21"/>
        </w:rPr>
        <w:t>的建造或工程物资采购，必须与施工单位或供货单位签订工程</w:t>
      </w:r>
      <w:r>
        <w:rPr>
          <w:rFonts w:ascii="宋体" w:hAnsi="宋体" w:hint="eastAsia"/>
          <w:szCs w:val="21"/>
          <w:lang w:eastAsia="zh-CN"/>
        </w:rPr>
        <w:t>合同合约</w:t>
      </w:r>
      <w:r>
        <w:rPr>
          <w:rFonts w:ascii="宋体" w:hAnsi="宋体" w:hint="eastAsia"/>
          <w:szCs w:val="21"/>
        </w:rPr>
        <w:t>或供货协议。注明工程款或货款总额、结算方式及款项支付方式、质保金金额及保质期限以及违约责任等。财务部凭</w:t>
      </w:r>
      <w:r>
        <w:rPr>
          <w:rFonts w:ascii="宋体" w:hAnsi="宋体" w:hint="eastAsia"/>
          <w:szCs w:val="21"/>
          <w:lang w:eastAsia="zh-CN"/>
        </w:rPr>
        <w:t>合同合约</w:t>
      </w:r>
      <w:r>
        <w:rPr>
          <w:rFonts w:ascii="宋体" w:hAnsi="宋体" w:hint="eastAsia"/>
          <w:szCs w:val="21"/>
        </w:rPr>
        <w:t>或协议付款。工程款项在支付第一笔款项时，会计部就应即时开立应付账款明细账户，登记应付款总额及已付款金额。每支付一笔款项时，都必须要有经酒店审批的工程验收请款审批表。</w:t>
      </w:r>
    </w:p>
    <w:p>
      <w:pPr>
        <w:pStyle w:val="Normal0"/>
        <w:spacing w:line="360" w:lineRule="auto"/>
        <w:rPr>
          <w:rFonts w:ascii="宋体" w:hAnsi="宋体" w:hint="eastAsia"/>
          <w:szCs w:val="21"/>
        </w:rPr>
      </w:pPr>
      <w:r>
        <w:rPr>
          <w:rFonts w:ascii="宋体" w:hAnsi="宋体" w:hint="eastAsia"/>
          <w:bCs/>
          <w:szCs w:val="21"/>
        </w:rPr>
        <w:t>第十六条：</w:t>
      </w:r>
      <w:r>
        <w:rPr>
          <w:rFonts w:ascii="宋体" w:hAnsi="宋体" w:hint="eastAsia"/>
          <w:szCs w:val="21"/>
        </w:rPr>
        <w:t>供货商货款结算的</w:t>
      </w:r>
      <w:r>
        <w:rPr>
          <w:rFonts w:ascii="宋体" w:hAnsi="宋体" w:hint="eastAsia"/>
          <w:szCs w:val="21"/>
          <w:lang w:eastAsia="zh-CN"/>
        </w:rPr>
        <w:t>管理管控</w:t>
      </w:r>
      <w:r>
        <w:rPr>
          <w:rFonts w:ascii="宋体" w:hAnsi="宋体" w:hint="eastAsia"/>
          <w:szCs w:val="21"/>
        </w:rPr>
        <w:t>规定：</w:t>
      </w:r>
    </w:p>
    <w:p>
      <w:pPr>
        <w:pStyle w:val="Normal0"/>
        <w:numPr>
          <w:ilvl w:val="0"/>
          <w:numId w:val="21"/>
        </w:numPr>
        <w:spacing w:line="360" w:lineRule="auto"/>
        <w:rPr>
          <w:rFonts w:ascii="宋体" w:hAnsi="宋体" w:hint="eastAsia"/>
          <w:szCs w:val="21"/>
        </w:rPr>
        <w:sectPr>
          <w:headerReference w:type="default" r:id="rId51"/>
          <w:footerReference w:type="default" r:id="rId52"/>
          <w:type w:val="nextPage"/>
          <w:pgSz w:w="11906" w:h="16838"/>
          <w:pgMar w:top="851" w:right="1466" w:bottom="1077" w:left="1800" w:header="720" w:footer="720" w:gutter="0"/>
          <w:pgNumType w:start="24"/>
          <w:cols w:num="1" w:space="720"/>
          <w:titlePg w:val="0"/>
          <w:docGrid w:type="lines" w:linePitch="312" w:charSpace="0"/>
        </w:sectPr>
      </w:pPr>
    </w:p>
    <w:p>
      <w:pPr>
        <w:pStyle w:val="Normal0"/>
        <w:numPr>
          <w:ilvl w:val="0"/>
          <w:numId w:val="0"/>
        </w:numPr>
        <w:spacing w:line="360" w:lineRule="auto"/>
        <w:ind w:left="810"/>
        <w:rPr>
          <w:rFonts w:ascii="宋体" w:hAnsi="宋体" w:hint="eastAsia"/>
          <w:szCs w:val="21"/>
        </w:rPr>
      </w:pPr>
      <w:r>
        <w:rPr>
          <w:rFonts w:ascii="宋体" w:hAnsi="宋体" w:hint="eastAsia"/>
          <w:szCs w:val="21"/>
        </w:rPr>
        <w:t>个体户供货商货款的支付规定：凡以个人名义与酒店签订协议的供应商，协议中必须详细注明供应商姓名、供应商地址、身份证号码及联系电话（一家供应商只能以一个人名义与酒店签订协议，不得以多人名义签署）。支付货款时，由协议中的供应商持本人身份证至酒店财务部领取款项。出纳员经核对供应商收款收据或发票、收款人姓名及收款人身份证件相符后支付款项。</w:t>
      </w:r>
    </w:p>
    <w:p>
      <w:pPr>
        <w:pStyle w:val="Normal0"/>
        <w:numPr>
          <w:ilvl w:val="0"/>
          <w:numId w:val="21"/>
        </w:numPr>
        <w:spacing w:line="360" w:lineRule="auto"/>
        <w:rPr>
          <w:rFonts w:ascii="宋体" w:hAnsi="宋体" w:hint="eastAsia"/>
          <w:szCs w:val="21"/>
        </w:rPr>
      </w:pPr>
      <w:r>
        <w:rPr>
          <w:rFonts w:ascii="宋体" w:hAnsi="宋体" w:hint="eastAsia"/>
          <w:szCs w:val="21"/>
        </w:rPr>
        <w:t>以单位名义之供应商货款的支付规定：凡以单位名义与酒店签订协议的供应商，协议中必须详细注明供应单位名称、供应单位所在地、开户银行及账号、经办人姓名、联系电话及支付方式（支票、电汇、现金）。收款单位必须与</w:t>
      </w:r>
      <w:r>
        <w:rPr>
          <w:rFonts w:ascii="宋体" w:hAnsi="宋体" w:hint="eastAsia"/>
          <w:szCs w:val="21"/>
          <w:lang w:eastAsia="zh-CN"/>
        </w:rPr>
        <w:t>合同合约</w:t>
      </w:r>
      <w:r>
        <w:rPr>
          <w:rFonts w:ascii="宋体" w:hAnsi="宋体" w:hint="eastAsia"/>
          <w:szCs w:val="21"/>
        </w:rPr>
        <w:t>订立单位一致。否则酒店不予办理货款结算。</w:t>
      </w:r>
    </w:p>
    <w:p>
      <w:pPr>
        <w:pStyle w:val="Normal0"/>
        <w:numPr>
          <w:ilvl w:val="0"/>
          <w:numId w:val="21"/>
        </w:numPr>
        <w:spacing w:line="360" w:lineRule="auto"/>
        <w:rPr>
          <w:rFonts w:ascii="宋体" w:hAnsi="宋体" w:hint="eastAsia"/>
          <w:szCs w:val="21"/>
        </w:rPr>
      </w:pPr>
      <w:r>
        <w:rPr>
          <w:rFonts w:ascii="宋体" w:hAnsi="宋体" w:hint="eastAsia"/>
          <w:szCs w:val="21"/>
        </w:rPr>
        <w:t>零星采购和紧急采购物资，由采购部办理货物入库手续并以采购人员名义结算货款。</w:t>
      </w:r>
    </w:p>
    <w:p>
      <w:pPr>
        <w:pStyle w:val="Normal0"/>
        <w:numPr>
          <w:ilvl w:val="0"/>
          <w:numId w:val="21"/>
        </w:numPr>
        <w:spacing w:line="360" w:lineRule="auto"/>
        <w:rPr>
          <w:rFonts w:ascii="宋体" w:hAnsi="宋体" w:hint="eastAsia"/>
          <w:szCs w:val="21"/>
        </w:rPr>
      </w:pPr>
      <w:r>
        <w:rPr>
          <w:rFonts w:ascii="宋体" w:hAnsi="宋体" w:hint="eastAsia"/>
          <w:szCs w:val="21"/>
        </w:rPr>
        <w:t>所有以供应商名义的货款支付，不得由采购人员代领。</w:t>
      </w:r>
    </w:p>
    <w:p>
      <w:pPr>
        <w:pStyle w:val="Normal0"/>
        <w:numPr>
          <w:ilvl w:val="0"/>
          <w:numId w:val="21"/>
        </w:numPr>
        <w:spacing w:line="360" w:lineRule="auto"/>
        <w:rPr>
          <w:rFonts w:ascii="宋体" w:hAnsi="宋体" w:hint="eastAsia"/>
          <w:szCs w:val="21"/>
        </w:rPr>
      </w:pPr>
      <w:r>
        <w:rPr>
          <w:rFonts w:ascii="宋体" w:hAnsi="宋体" w:hint="eastAsia"/>
          <w:szCs w:val="21"/>
        </w:rPr>
        <w:t>供应商货款支付，除有特殊支付</w:t>
      </w:r>
      <w:r>
        <w:rPr>
          <w:rFonts w:ascii="宋体" w:hAnsi="宋体" w:hint="eastAsia"/>
          <w:szCs w:val="21"/>
          <w:lang w:eastAsia="zh-CN"/>
        </w:rPr>
        <w:t>条约条款</w:t>
      </w:r>
      <w:r>
        <w:rPr>
          <w:rFonts w:ascii="宋体" w:hAnsi="宋体" w:hint="eastAsia"/>
          <w:szCs w:val="21"/>
        </w:rPr>
        <w:t>的外，一律以现金支票和转账支票支付。</w:t>
      </w:r>
    </w:p>
    <w:p>
      <w:pPr>
        <w:pStyle w:val="Normal0"/>
        <w:numPr>
          <w:ilvl w:val="0"/>
          <w:numId w:val="21"/>
        </w:numPr>
        <w:spacing w:line="360" w:lineRule="auto"/>
        <w:rPr>
          <w:rFonts w:ascii="宋体" w:hAnsi="宋体" w:hint="eastAsia"/>
          <w:szCs w:val="21"/>
        </w:rPr>
      </w:pPr>
      <w:r>
        <w:rPr>
          <w:rFonts w:ascii="宋体" w:hAnsi="宋体" w:hint="eastAsia"/>
          <w:szCs w:val="21"/>
        </w:rPr>
        <w:t>供货单位如更名或经办人发生变动的，应以书面形式通知本酒店，并加盖供货单位的有效公章。否则本酒店不予授理。</w:t>
      </w:r>
    </w:p>
    <w:p>
      <w:pPr>
        <w:pStyle w:val="Normal0"/>
        <w:spacing w:line="360" w:lineRule="auto"/>
        <w:rPr>
          <w:rFonts w:ascii="宋体" w:hAnsi="宋体" w:hint="eastAsia"/>
          <w:szCs w:val="21"/>
        </w:rPr>
      </w:pPr>
      <w:r>
        <w:rPr>
          <w:rFonts w:ascii="宋体" w:hAnsi="宋体" w:hint="eastAsia"/>
          <w:bCs/>
          <w:szCs w:val="21"/>
        </w:rPr>
        <w:t>第十七条：</w:t>
      </w:r>
      <w:r>
        <w:rPr>
          <w:rFonts w:ascii="宋体" w:hAnsi="宋体" w:hint="eastAsia"/>
          <w:szCs w:val="21"/>
        </w:rPr>
        <w:t>供应商货款结算流程：</w:t>
      </w:r>
    </w:p>
    <w:p>
      <w:pPr>
        <w:pStyle w:val="Normal0"/>
        <w:numPr>
          <w:ilvl w:val="0"/>
          <w:numId w:val="22"/>
        </w:numPr>
        <w:spacing w:line="360" w:lineRule="auto"/>
        <w:rPr>
          <w:rFonts w:ascii="宋体" w:hAnsi="宋体" w:hint="eastAsia"/>
          <w:szCs w:val="21"/>
        </w:rPr>
      </w:pPr>
      <w:r>
        <w:rPr>
          <w:rFonts w:ascii="宋体" w:hAnsi="宋体" w:hint="eastAsia"/>
          <w:szCs w:val="21"/>
        </w:rPr>
        <w:t>日常采购货款的结算程序：供应商必须编制货款结算对账单，附有效送货单结算联及本酒店的收货单据。于每月10日前交本酒店财务部会计复核，填写请款申请单，经酒店相关权责人员审批后交出纳付款。出纳根据审批有效的请款单据填制支票送审。审核有效的支票由出纳通知供应商在规定的时间内领取，过期将延致下月支付。</w:t>
      </w:r>
    </w:p>
    <w:p>
      <w:pPr>
        <w:pStyle w:val="Normal0"/>
        <w:numPr>
          <w:ilvl w:val="0"/>
          <w:numId w:val="22"/>
        </w:numPr>
        <w:spacing w:line="360" w:lineRule="auto"/>
        <w:rPr>
          <w:rFonts w:ascii="宋体" w:hAnsi="宋体" w:hint="eastAsia"/>
          <w:szCs w:val="21"/>
        </w:rPr>
      </w:pPr>
      <w:r>
        <w:rPr>
          <w:rFonts w:ascii="宋体" w:hAnsi="宋体" w:hint="eastAsia"/>
          <w:szCs w:val="21"/>
        </w:rPr>
        <w:t>工程款的结算流程：由建设单位或供应单位提出请款申请报告，经业务所在部门、工程验收部门验收、签注验收意见后。于每月10日前交财务部会计复核。会计根据</w:t>
      </w:r>
      <w:r>
        <w:rPr>
          <w:rFonts w:ascii="宋体" w:hAnsi="宋体" w:hint="eastAsia"/>
          <w:szCs w:val="21"/>
          <w:lang w:eastAsia="zh-CN"/>
        </w:rPr>
        <w:t>合同合约</w:t>
      </w:r>
      <w:r>
        <w:rPr>
          <w:rFonts w:ascii="宋体" w:hAnsi="宋体" w:hint="eastAsia"/>
          <w:szCs w:val="21"/>
        </w:rPr>
        <w:t>或协议的付款方式进行审查，无误后按应付款金额填制请款申请单，</w:t>
      </w:r>
      <w:r>
        <w:rPr>
          <w:rFonts w:ascii="宋体" w:hAnsi="宋体" w:hint="eastAsia"/>
          <w:szCs w:val="21"/>
          <w:lang w:eastAsia="zh-CN"/>
        </w:rPr>
        <w:t>合同合约</w:t>
      </w:r>
      <w:r>
        <w:rPr>
          <w:rFonts w:ascii="宋体" w:hAnsi="宋体" w:hint="eastAsia"/>
          <w:szCs w:val="21"/>
        </w:rPr>
        <w:t>或协议复印件附请款单后。经酒店相关权责人员审批后交出纳付款。出纳根据审批有效的请款单据填制支票送审。审核有效的支票由出纳通知建设单位在规定的时间内领取，过期将延致下月支付。</w:t>
      </w:r>
    </w:p>
    <w:p>
      <w:pPr>
        <w:pStyle w:val="Normal0"/>
        <w:spacing w:line="360" w:lineRule="auto"/>
        <w:rPr>
          <w:rFonts w:ascii="宋体" w:hAnsi="宋体" w:hint="eastAsia"/>
          <w:b/>
          <w:bCs/>
          <w:szCs w:val="21"/>
        </w:rPr>
      </w:pPr>
      <w:r>
        <w:rPr>
          <w:rFonts w:ascii="宋体" w:hAnsi="宋体" w:hint="eastAsia"/>
          <w:b/>
          <w:bCs/>
          <w:szCs w:val="21"/>
        </w:rPr>
        <w:t>第六章：违反支付规定的处理</w:t>
      </w:r>
    </w:p>
    <w:p>
      <w:pPr>
        <w:pStyle w:val="Normal0"/>
        <w:spacing w:line="360" w:lineRule="auto"/>
        <w:rPr>
          <w:rFonts w:ascii="宋体" w:hAnsi="宋体" w:hint="eastAsia"/>
          <w:b/>
          <w:bCs/>
          <w:szCs w:val="21"/>
        </w:rPr>
      </w:pPr>
      <w:r>
        <w:rPr>
          <w:rFonts w:ascii="宋体" w:hAnsi="宋体" w:hint="eastAsia"/>
          <w:bCs/>
          <w:szCs w:val="21"/>
        </w:rPr>
        <w:t>第十八条：</w:t>
      </w:r>
      <w:r>
        <w:rPr>
          <w:rFonts w:ascii="宋体" w:hAnsi="宋体" w:hint="eastAsia"/>
          <w:szCs w:val="21"/>
        </w:rPr>
        <w:t>凡违反酒店审批</w:t>
      </w:r>
      <w:r>
        <w:rPr>
          <w:rFonts w:ascii="宋体" w:hAnsi="宋体" w:hint="eastAsia"/>
          <w:szCs w:val="21"/>
          <w:lang w:eastAsia="zh-CN"/>
        </w:rPr>
        <w:t>管理管控</w:t>
      </w:r>
      <w:r>
        <w:rPr>
          <w:rFonts w:ascii="宋体" w:hAnsi="宋体" w:hint="eastAsia"/>
          <w:szCs w:val="21"/>
        </w:rPr>
        <w:t>规定的费用。出纳不得支付。</w:t>
      </w:r>
    </w:p>
    <w:p>
      <w:pPr>
        <w:pStyle w:val="Normal0"/>
        <w:spacing w:line="360" w:lineRule="auto"/>
        <w:ind w:left="420" w:hanging="420" w:hangingChars="200"/>
        <w:rPr>
          <w:rFonts w:ascii="宋体" w:hAnsi="宋体" w:hint="eastAsia"/>
          <w:szCs w:val="21"/>
        </w:rPr>
      </w:pPr>
      <w:r>
        <w:rPr>
          <w:rFonts w:ascii="宋体" w:hAnsi="宋体" w:hint="eastAsia"/>
          <w:bCs/>
          <w:szCs w:val="21"/>
        </w:rPr>
        <w:t>第十九条：</w:t>
      </w:r>
      <w:r>
        <w:rPr>
          <w:rFonts w:ascii="宋体" w:hAnsi="宋体" w:hint="eastAsia"/>
          <w:szCs w:val="21"/>
        </w:rPr>
        <w:t>出纳不遵守结算</w:t>
      </w:r>
      <w:r>
        <w:rPr>
          <w:rFonts w:ascii="宋体" w:hAnsi="宋体" w:hint="eastAsia"/>
          <w:szCs w:val="21"/>
          <w:lang w:eastAsia="zh-CN"/>
        </w:rPr>
        <w:t>管理管控</w:t>
      </w:r>
      <w:r>
        <w:rPr>
          <w:rFonts w:ascii="宋体" w:hAnsi="宋体" w:hint="eastAsia"/>
          <w:szCs w:val="21"/>
        </w:rPr>
        <w:t>规定，不按操作程序办理报账或支付手续的，将按行政</w:t>
      </w:r>
      <w:r>
        <w:rPr>
          <w:rFonts w:ascii="宋体" w:hAnsi="宋体" w:hint="eastAsia"/>
          <w:szCs w:val="21"/>
          <w:lang w:eastAsia="zh-CN"/>
        </w:rPr>
        <w:t>管理管控</w:t>
      </w:r>
      <w:r>
        <w:rPr>
          <w:rFonts w:ascii="宋体" w:hAnsi="宋体" w:hint="eastAsia"/>
          <w:szCs w:val="21"/>
        </w:rPr>
        <w:t>制度处罚。给酒店造成损失的，由出纳员负责赔偿。</w:t>
      </w:r>
    </w:p>
    <w:p>
      <w:pPr>
        <w:pStyle w:val="Normal0"/>
        <w:spacing w:line="360" w:lineRule="auto"/>
        <w:ind w:left="420" w:hanging="420" w:hangingChars="200"/>
        <w:rPr>
          <w:rFonts w:ascii="宋体" w:hAnsi="宋体" w:hint="eastAsia"/>
          <w:szCs w:val="21"/>
        </w:rPr>
      </w:pPr>
      <w:r>
        <w:rPr>
          <w:rFonts w:ascii="宋体" w:hAnsi="宋体" w:hint="eastAsia"/>
          <w:bCs/>
          <w:szCs w:val="21"/>
        </w:rPr>
        <w:t>第二十条：</w:t>
      </w:r>
      <w:r>
        <w:rPr>
          <w:rFonts w:ascii="宋体" w:hAnsi="宋体" w:hint="eastAsia"/>
          <w:szCs w:val="21"/>
        </w:rPr>
        <w:t>由于出纳工作疏匆，至款项支付错误或将款项混淆，将供应商搞错的，由出纳负责追回，无法追回的由出纳负责赔偿。</w:t>
      </w:r>
    </w:p>
    <w:p>
      <w:pPr>
        <w:pStyle w:val="Normal0"/>
        <w:spacing w:line="360" w:lineRule="auto"/>
        <w:rPr>
          <w:rFonts w:ascii="宋体" w:hAnsi="宋体" w:hint="eastAsia"/>
          <w:b/>
          <w:bCs/>
          <w:szCs w:val="21"/>
        </w:rPr>
      </w:pPr>
      <w:r>
        <w:rPr>
          <w:rFonts w:ascii="宋体" w:hAnsi="宋体" w:hint="eastAsia"/>
          <w:bCs/>
          <w:szCs w:val="21"/>
        </w:rPr>
        <w:t>第二十一条：</w:t>
      </w:r>
      <w:r>
        <w:rPr>
          <w:rFonts w:ascii="宋体" w:hAnsi="宋体" w:hint="eastAsia"/>
          <w:szCs w:val="21"/>
        </w:rPr>
        <w:t>会计部不接受手续不全的报账单据。对手续不全的已付款单据，应追究出纳责任。</w:t>
      </w:r>
    </w:p>
    <w:p>
      <w:pPr>
        <w:pStyle w:val="Normal0"/>
        <w:spacing w:line="360" w:lineRule="auto"/>
        <w:rPr>
          <w:rFonts w:ascii="宋体" w:hAnsi="宋体" w:hint="eastAsia"/>
          <w:b/>
          <w:bCs/>
          <w:szCs w:val="21"/>
        </w:rPr>
        <w:sectPr>
          <w:headerReference w:type="default" r:id="rId53"/>
          <w:footerReference w:type="default" r:id="rId54"/>
          <w:type w:val="nextPage"/>
          <w:pgSz w:w="11906" w:h="16838"/>
          <w:pgMar w:top="851" w:right="1466" w:bottom="1077" w:left="1800" w:header="720" w:footer="720" w:gutter="0"/>
          <w:pgNumType w:start="25"/>
          <w:cols w:num="1" w:space="720"/>
          <w:titlePg w:val="0"/>
          <w:docGrid w:type="lines" w:linePitch="312" w:charSpace="0"/>
        </w:sectPr>
      </w:pPr>
      <w:r>
        <w:rPr>
          <w:rFonts w:ascii="宋体" w:hAnsi="宋体" w:hint="eastAsia"/>
          <w:b/>
          <w:bCs/>
          <w:szCs w:val="21"/>
        </w:rPr>
        <w:t>第七章：附则</w:t>
      </w:r>
    </w:p>
    <w:p>
      <w:pPr>
        <w:pStyle w:val="Normal0"/>
        <w:spacing w:line="360" w:lineRule="auto"/>
        <w:rPr>
          <w:rFonts w:ascii="宋体" w:hAnsi="宋体" w:hint="eastAsia"/>
          <w:b/>
          <w:bCs/>
          <w:szCs w:val="21"/>
        </w:rPr>
      </w:pPr>
      <w:r>
        <w:rPr>
          <w:rFonts w:ascii="宋体" w:hAnsi="宋体" w:hint="eastAsia"/>
          <w:bCs/>
          <w:szCs w:val="21"/>
        </w:rPr>
        <w:t>第二十二条：</w:t>
      </w:r>
      <w:r>
        <w:rPr>
          <w:rFonts w:ascii="宋体" w:hAnsi="宋体" w:hint="eastAsia"/>
          <w:szCs w:val="21"/>
        </w:rPr>
        <w:t>本</w:t>
      </w:r>
      <w:r>
        <w:rPr>
          <w:rFonts w:ascii="宋体" w:hAnsi="宋体" w:hint="eastAsia"/>
          <w:szCs w:val="21"/>
          <w:lang w:eastAsia="zh-CN"/>
        </w:rPr>
        <w:t>管理管控</w:t>
      </w:r>
      <w:r>
        <w:rPr>
          <w:rFonts w:ascii="宋体" w:hAnsi="宋体" w:hint="eastAsia"/>
          <w:szCs w:val="21"/>
        </w:rPr>
        <w:t>规定自审批日起执行。</w:t>
      </w:r>
    </w:p>
    <w:p>
      <w:pPr>
        <w:pStyle w:val="Normal0"/>
        <w:spacing w:line="360" w:lineRule="auto"/>
        <w:rPr>
          <w:rFonts w:ascii="宋体" w:hAnsi="宋体" w:hint="eastAsia"/>
          <w:szCs w:val="21"/>
        </w:rPr>
        <w:sectPr>
          <w:headerReference w:type="default" r:id="rId55"/>
          <w:footerReference w:type="default" r:id="rId56"/>
          <w:type w:val="nextPage"/>
          <w:pgSz w:w="11906" w:h="16838"/>
          <w:pgMar w:top="851" w:right="1466" w:bottom="1077" w:left="1800" w:header="720" w:footer="720" w:gutter="0"/>
          <w:pgNumType w:start="26"/>
          <w:cols w:num="1" w:space="720"/>
          <w:titlePg w:val="0"/>
          <w:docGrid w:type="lines" w:linePitch="312" w:charSpace="0"/>
        </w:sectPr>
      </w:pPr>
      <w:r>
        <w:rPr>
          <w:rFonts w:ascii="宋体" w:hAnsi="宋体" w:hint="eastAsia"/>
          <w:bCs/>
          <w:szCs w:val="21"/>
        </w:rPr>
        <w:t>第二十三条：</w:t>
      </w:r>
      <w:r>
        <w:rPr>
          <w:rFonts w:ascii="宋体" w:hAnsi="宋体" w:hint="eastAsia"/>
          <w:szCs w:val="21"/>
        </w:rPr>
        <w:t>本</w:t>
      </w:r>
      <w:r>
        <w:rPr>
          <w:rFonts w:ascii="宋体" w:hAnsi="宋体" w:hint="eastAsia"/>
          <w:szCs w:val="21"/>
          <w:lang w:eastAsia="zh-CN"/>
        </w:rPr>
        <w:t>管理管控</w:t>
      </w:r>
      <w:r>
        <w:rPr>
          <w:rFonts w:ascii="宋体" w:hAnsi="宋体" w:hint="eastAsia"/>
          <w:szCs w:val="21"/>
        </w:rPr>
        <w:t>规定由财务部解释和修订，修订</w:t>
      </w:r>
      <w:r>
        <w:rPr>
          <w:rFonts w:ascii="宋体" w:hAnsi="宋体" w:hint="eastAsia"/>
          <w:szCs w:val="21"/>
          <w:lang w:eastAsia="zh-CN"/>
        </w:rPr>
        <w:t>合适的内容</w:t>
      </w:r>
      <w:r>
        <w:rPr>
          <w:rFonts w:ascii="宋体" w:hAnsi="宋体" w:hint="eastAsia"/>
          <w:szCs w:val="21"/>
        </w:rPr>
        <w:t>报总经理和集团财务部审批。</w:t>
      </w:r>
    </w:p>
    <w:p>
      <w:pPr>
        <w:pStyle w:val="Normal0"/>
        <w:pageBreakBefore/>
        <w:spacing w:line="720" w:lineRule="auto"/>
        <w:jc w:val="center"/>
        <w:rPr>
          <w:rFonts w:hint="eastAsia"/>
          <w:b/>
          <w:sz w:val="28"/>
          <w:szCs w:val="28"/>
        </w:rPr>
      </w:pPr>
      <w:r>
        <w:rPr>
          <w:rFonts w:hint="eastAsia"/>
          <w:b/>
          <w:sz w:val="28"/>
          <w:szCs w:val="28"/>
        </w:rPr>
        <w:t>第五篇：审批权限</w:t>
      </w:r>
      <w:r>
        <w:rPr>
          <w:rFonts w:hint="eastAsia"/>
          <w:b/>
          <w:sz w:val="28"/>
          <w:szCs w:val="28"/>
          <w:lang w:eastAsia="zh-CN"/>
        </w:rPr>
        <w:t>管理管控</w:t>
      </w:r>
      <w:r>
        <w:rPr>
          <w:rFonts w:hint="eastAsia"/>
          <w:b/>
          <w:sz w:val="28"/>
          <w:szCs w:val="28"/>
        </w:rPr>
        <w:t>规定</w:t>
      </w:r>
    </w:p>
    <w:p>
      <w:pPr>
        <w:pStyle w:val="Normal0"/>
        <w:spacing w:line="360" w:lineRule="auto"/>
        <w:rPr>
          <w:rFonts w:ascii="宋体" w:hAnsi="宋体" w:hint="eastAsia"/>
          <w:b/>
          <w:szCs w:val="21"/>
        </w:rPr>
      </w:pPr>
      <w:r>
        <w:rPr>
          <w:rFonts w:ascii="宋体" w:hAnsi="宋体" w:hint="eastAsia"/>
          <w:b/>
          <w:szCs w:val="21"/>
        </w:rPr>
        <w:t>第一章：总则</w:t>
      </w:r>
    </w:p>
    <w:p>
      <w:pPr>
        <w:pStyle w:val="Normal0"/>
        <w:spacing w:line="360" w:lineRule="auto"/>
        <w:ind w:left="420" w:hanging="420" w:hangingChars="200"/>
        <w:rPr>
          <w:rFonts w:ascii="宋体" w:hAnsi="宋体" w:hint="eastAsia"/>
          <w:szCs w:val="21"/>
        </w:rPr>
      </w:pPr>
      <w:r>
        <w:rPr>
          <w:rFonts w:ascii="宋体" w:hAnsi="宋体" w:hint="eastAsia"/>
          <w:szCs w:val="21"/>
        </w:rPr>
        <w:t>第一条：为明晰各级</w:t>
      </w:r>
      <w:r>
        <w:rPr>
          <w:rFonts w:ascii="宋体" w:hAnsi="宋体" w:hint="eastAsia"/>
          <w:szCs w:val="21"/>
          <w:lang w:eastAsia="zh-CN"/>
        </w:rPr>
        <w:t>管理管控</w:t>
      </w:r>
      <w:r>
        <w:rPr>
          <w:rFonts w:ascii="宋体" w:hAnsi="宋体" w:hint="eastAsia"/>
          <w:szCs w:val="21"/>
        </w:rPr>
        <w:t>人员权限和职责，规范审批程序，加强审批权限</w:t>
      </w:r>
      <w:r>
        <w:rPr>
          <w:rFonts w:ascii="宋体" w:hAnsi="宋体" w:hint="eastAsia"/>
          <w:szCs w:val="21"/>
          <w:lang w:eastAsia="zh-CN"/>
        </w:rPr>
        <w:t>管理管控</w:t>
      </w:r>
      <w:r>
        <w:rPr>
          <w:rFonts w:ascii="宋体" w:hAnsi="宋体" w:hint="eastAsia"/>
          <w:szCs w:val="21"/>
        </w:rPr>
        <w:t>，保障酒店经济利益，结合酒店实际情况，制定本规定。</w:t>
      </w:r>
    </w:p>
    <w:p>
      <w:pPr>
        <w:pStyle w:val="Normal0"/>
        <w:spacing w:line="360" w:lineRule="auto"/>
        <w:rPr>
          <w:rFonts w:ascii="宋体" w:hAnsi="宋体" w:hint="eastAsia"/>
          <w:szCs w:val="21"/>
        </w:rPr>
      </w:pPr>
      <w:r>
        <w:rPr>
          <w:rFonts w:ascii="宋体" w:hAnsi="宋体" w:hint="eastAsia"/>
          <w:szCs w:val="21"/>
        </w:rPr>
        <w:t>第二条：本规定所指审批权限：指酒店物资申购的审批权限和费用报销的审批权限。</w:t>
      </w:r>
    </w:p>
    <w:p>
      <w:pPr>
        <w:pStyle w:val="Normal0"/>
        <w:spacing w:line="360" w:lineRule="auto"/>
        <w:rPr>
          <w:rFonts w:ascii="宋体" w:hAnsi="宋体" w:hint="eastAsia"/>
          <w:szCs w:val="21"/>
        </w:rPr>
      </w:pPr>
      <w:r>
        <w:rPr>
          <w:rFonts w:ascii="宋体" w:hAnsi="宋体" w:hint="eastAsia"/>
          <w:szCs w:val="21"/>
        </w:rPr>
        <w:t>第三条：酒店各级</w:t>
      </w:r>
      <w:r>
        <w:rPr>
          <w:rFonts w:ascii="宋体" w:hAnsi="宋体" w:hint="eastAsia"/>
          <w:szCs w:val="21"/>
          <w:lang w:eastAsia="zh-CN"/>
        </w:rPr>
        <w:t>管理管控</w:t>
      </w:r>
      <w:r>
        <w:rPr>
          <w:rFonts w:ascii="宋体" w:hAnsi="宋体" w:hint="eastAsia"/>
          <w:szCs w:val="21"/>
        </w:rPr>
        <w:t>人员按此审批权限履行职责。</w:t>
      </w:r>
    </w:p>
    <w:p>
      <w:pPr>
        <w:pStyle w:val="Normal0"/>
        <w:spacing w:line="360" w:lineRule="auto"/>
        <w:rPr>
          <w:rFonts w:ascii="宋体" w:hAnsi="宋体" w:hint="eastAsia"/>
          <w:b/>
          <w:szCs w:val="21"/>
        </w:rPr>
      </w:pPr>
      <w:r>
        <w:rPr>
          <w:rFonts w:ascii="宋体" w:hAnsi="宋体" w:hint="eastAsia"/>
          <w:b/>
          <w:szCs w:val="21"/>
        </w:rPr>
        <w:t>第二章：审批权限</w:t>
      </w:r>
    </w:p>
    <w:p>
      <w:pPr>
        <w:pStyle w:val="Normal0"/>
        <w:spacing w:line="360" w:lineRule="auto"/>
        <w:rPr>
          <w:rFonts w:ascii="宋体" w:hAnsi="宋体" w:hint="eastAsia"/>
          <w:szCs w:val="21"/>
        </w:rPr>
      </w:pPr>
      <w:r>
        <w:rPr>
          <w:rFonts w:ascii="宋体" w:hAnsi="宋体" w:hint="eastAsia"/>
          <w:szCs w:val="21"/>
        </w:rPr>
        <w:t>第四条：物资申购的审批权限</w:t>
      </w:r>
    </w:p>
    <w:p>
      <w:pPr>
        <w:pStyle w:val="Normal0"/>
        <w:numPr>
          <w:ilvl w:val="0"/>
          <w:numId w:val="67"/>
        </w:numPr>
        <w:spacing w:line="360" w:lineRule="auto"/>
        <w:rPr>
          <w:rFonts w:ascii="宋体" w:hAnsi="宋体" w:hint="eastAsia"/>
          <w:szCs w:val="21"/>
        </w:rPr>
      </w:pPr>
      <w:r>
        <w:rPr>
          <w:rFonts w:ascii="宋体" w:hAnsi="宋体" w:hint="eastAsia"/>
          <w:szCs w:val="21"/>
        </w:rPr>
        <w:t>申购物资的审批流程：各物资使用部门申请采购物资，由部门第一负责人审核，报财务经理、酒店总经理审批。补仓物资的申购由成本会计审核，报财务经理、酒店总经理审批。直入厨房的食品原材料，由厨房总厨审批，报财务部备案。</w:t>
      </w:r>
    </w:p>
    <w:p>
      <w:pPr>
        <w:pStyle w:val="Normal0"/>
        <w:numPr>
          <w:ilvl w:val="0"/>
          <w:numId w:val="67"/>
        </w:numPr>
        <w:spacing w:line="360" w:lineRule="auto"/>
        <w:rPr>
          <w:rFonts w:ascii="宋体" w:hAnsi="宋体" w:hint="eastAsia"/>
          <w:szCs w:val="21"/>
        </w:rPr>
      </w:pPr>
      <w:r>
        <w:rPr>
          <w:rFonts w:ascii="宋体" w:hAnsi="宋体" w:hint="eastAsia"/>
          <w:szCs w:val="21"/>
        </w:rPr>
        <w:t>固定资产和低值易耗品申购的审批：单位价值在5000元以下和总价值在50000元以下的由酒店总经理审批后生效；单位价值在5000元以上和总价值在50000元以上的集团公司审批后生效。</w:t>
      </w:r>
    </w:p>
    <w:p>
      <w:pPr>
        <w:pStyle w:val="Normal0"/>
        <w:numPr>
          <w:ilvl w:val="0"/>
          <w:numId w:val="67"/>
        </w:numPr>
        <w:spacing w:line="360" w:lineRule="auto"/>
        <w:rPr>
          <w:rFonts w:ascii="宋体" w:hAnsi="宋体" w:hint="eastAsia"/>
          <w:szCs w:val="21"/>
        </w:rPr>
      </w:pPr>
      <w:r>
        <w:rPr>
          <w:rFonts w:ascii="宋体" w:hAnsi="宋体" w:hint="eastAsia"/>
          <w:szCs w:val="21"/>
        </w:rPr>
        <w:t>工程物资申购的审批：总价值在30000元以下的由酒店总经理审批后生效；总价值在30000元以上的由集团公司审批后生效。</w:t>
      </w:r>
    </w:p>
    <w:p>
      <w:pPr>
        <w:pStyle w:val="Normal0"/>
        <w:numPr>
          <w:ilvl w:val="0"/>
          <w:numId w:val="67"/>
        </w:numPr>
        <w:spacing w:line="360" w:lineRule="auto"/>
        <w:rPr>
          <w:rFonts w:ascii="宋体" w:hAnsi="宋体" w:hint="eastAsia"/>
          <w:szCs w:val="21"/>
        </w:rPr>
      </w:pPr>
      <w:r>
        <w:rPr>
          <w:rFonts w:ascii="宋体" w:hAnsi="宋体" w:hint="eastAsia"/>
          <w:szCs w:val="21"/>
        </w:rPr>
        <w:t>酒店经营性物资申购的审批：酒店经营性物资由总经理审批后生效。</w:t>
      </w:r>
    </w:p>
    <w:p>
      <w:pPr>
        <w:pStyle w:val="Normal0"/>
        <w:spacing w:line="360" w:lineRule="auto"/>
        <w:rPr>
          <w:rFonts w:ascii="宋体" w:hAnsi="宋体" w:hint="eastAsia"/>
          <w:szCs w:val="21"/>
        </w:rPr>
      </w:pPr>
      <w:r>
        <w:rPr>
          <w:rFonts w:ascii="宋体" w:hAnsi="宋体" w:hint="eastAsia"/>
          <w:szCs w:val="21"/>
        </w:rPr>
        <w:t>第五条：费用报销的审批权限</w:t>
      </w:r>
    </w:p>
    <w:p>
      <w:pPr>
        <w:pStyle w:val="Normal0"/>
        <w:numPr>
          <w:ilvl w:val="0"/>
          <w:numId w:val="24"/>
        </w:numPr>
        <w:spacing w:line="360" w:lineRule="auto"/>
        <w:rPr>
          <w:rFonts w:ascii="宋体" w:hAnsi="宋体" w:hint="eastAsia"/>
          <w:szCs w:val="21"/>
        </w:rPr>
      </w:pPr>
      <w:r>
        <w:rPr>
          <w:rFonts w:ascii="宋体" w:hAnsi="宋体" w:hint="eastAsia"/>
          <w:szCs w:val="21"/>
        </w:rPr>
        <w:t>酒店员工的零时费用，300元以下的由部门第一负责人审批，报财务经理、总经理审批后生效；超过300元的先报总经理批准后，按审批流程经审批后生效；超过3000元的报集团公司审批后生效。部门第一负责人的零时费用，3000元以下的报酒店总经理审批后生效，3000元以上的报集团公司审批后生效。</w:t>
      </w:r>
    </w:p>
    <w:p>
      <w:pPr>
        <w:pStyle w:val="Normal0"/>
        <w:numPr>
          <w:ilvl w:val="0"/>
          <w:numId w:val="24"/>
        </w:numPr>
        <w:spacing w:line="360" w:lineRule="auto"/>
        <w:rPr>
          <w:rFonts w:ascii="宋体" w:hAnsi="宋体" w:hint="eastAsia"/>
          <w:szCs w:val="21"/>
        </w:rPr>
      </w:pPr>
      <w:r>
        <w:rPr>
          <w:rFonts w:ascii="宋体" w:hAnsi="宋体" w:hint="eastAsia"/>
          <w:szCs w:val="21"/>
        </w:rPr>
        <w:t>员工伤残及福利费用等支出，300元以下的由人事部第一负责人审批后，按审批程序由酒店总经理审批后生效；300元以上的先报酒店总经理批准后，按审批程序经审批后生效；超过3000元的报集团公司审批后生效。</w:t>
      </w:r>
    </w:p>
    <w:p>
      <w:pPr>
        <w:pStyle w:val="Normal0"/>
        <w:numPr>
          <w:ilvl w:val="0"/>
          <w:numId w:val="24"/>
        </w:numPr>
        <w:spacing w:line="360" w:lineRule="auto"/>
        <w:rPr>
          <w:rFonts w:ascii="宋体" w:hAnsi="宋体" w:hint="eastAsia"/>
          <w:szCs w:val="21"/>
        </w:rPr>
      </w:pPr>
      <w:r>
        <w:rPr>
          <w:rFonts w:ascii="宋体" w:hAnsi="宋体" w:hint="eastAsia"/>
          <w:szCs w:val="21"/>
        </w:rPr>
        <w:t>借款的审批：一次性借款在10000元以上的报集团公司审批后生效；一次性借款在10000元以下的由酒店总经理审批后生效。</w:t>
      </w:r>
    </w:p>
    <w:p>
      <w:pPr>
        <w:pStyle w:val="Normal0"/>
        <w:numPr>
          <w:ilvl w:val="0"/>
          <w:numId w:val="24"/>
        </w:numPr>
        <w:spacing w:line="360" w:lineRule="auto"/>
        <w:rPr>
          <w:rFonts w:ascii="宋体" w:hAnsi="宋体" w:hint="eastAsia"/>
          <w:szCs w:val="21"/>
        </w:rPr>
        <w:sectPr>
          <w:headerReference w:type="default" r:id="rId57"/>
          <w:footerReference w:type="default" r:id="rId58"/>
          <w:type w:val="nextPage"/>
          <w:pgSz w:w="11906" w:h="16838"/>
          <w:pgMar w:top="851" w:right="1466" w:bottom="1077" w:left="1800" w:header="720" w:footer="720" w:gutter="0"/>
          <w:pgNumType w:start="27"/>
          <w:cols w:num="1" w:space="720"/>
          <w:titlePg w:val="0"/>
          <w:docGrid w:type="lines" w:linePitch="312" w:charSpace="0"/>
        </w:sectPr>
      </w:pPr>
    </w:p>
    <w:p>
      <w:pPr>
        <w:pStyle w:val="Normal0"/>
        <w:numPr>
          <w:ilvl w:val="0"/>
          <w:numId w:val="0"/>
        </w:numPr>
        <w:spacing w:line="360" w:lineRule="auto"/>
        <w:ind w:left="1080"/>
        <w:rPr>
          <w:rFonts w:ascii="宋体" w:hAnsi="宋体" w:hint="eastAsia"/>
          <w:szCs w:val="21"/>
        </w:rPr>
      </w:pPr>
      <w:r>
        <w:rPr>
          <w:rFonts w:ascii="宋体" w:hAnsi="宋体" w:hint="eastAsia"/>
          <w:szCs w:val="21"/>
        </w:rPr>
        <w:t>采购结算款的审批：总金额在50000元以上的由集团公司审批后生效；总金额在50000元以下的由酒店总经理审批后生效。</w:t>
      </w:r>
    </w:p>
    <w:p>
      <w:pPr>
        <w:pStyle w:val="Normal0"/>
        <w:numPr>
          <w:ilvl w:val="0"/>
          <w:numId w:val="24"/>
        </w:numPr>
        <w:spacing w:line="360" w:lineRule="auto"/>
        <w:rPr>
          <w:rFonts w:ascii="宋体" w:hAnsi="宋体" w:hint="eastAsia"/>
          <w:szCs w:val="21"/>
        </w:rPr>
      </w:pPr>
      <w:r>
        <w:rPr>
          <w:rFonts w:ascii="宋体" w:hAnsi="宋体" w:hint="eastAsia"/>
          <w:szCs w:val="21"/>
        </w:rPr>
        <w:t>交际应酬费用的审批：2000元以下的由酒店总经理审批后生效；2000元以上的由集团公司审批后生效。</w:t>
      </w:r>
    </w:p>
    <w:p>
      <w:pPr>
        <w:pStyle w:val="Normal0"/>
        <w:numPr>
          <w:ilvl w:val="0"/>
          <w:numId w:val="24"/>
        </w:numPr>
        <w:spacing w:line="360" w:lineRule="auto"/>
        <w:rPr>
          <w:rFonts w:ascii="宋体" w:hAnsi="宋体" w:hint="eastAsia"/>
          <w:szCs w:val="21"/>
        </w:rPr>
      </w:pPr>
      <w:r>
        <w:rPr>
          <w:rFonts w:ascii="宋体" w:hAnsi="宋体" w:hint="eastAsia"/>
          <w:szCs w:val="21"/>
        </w:rPr>
        <w:t>差旅费的审批：按差旅费报销制度审批。</w:t>
      </w:r>
    </w:p>
    <w:p>
      <w:pPr>
        <w:pStyle w:val="Normal0"/>
        <w:numPr>
          <w:ilvl w:val="0"/>
          <w:numId w:val="24"/>
        </w:numPr>
        <w:spacing w:line="360" w:lineRule="auto"/>
        <w:rPr>
          <w:rFonts w:ascii="宋体" w:hAnsi="宋体" w:hint="eastAsia"/>
          <w:szCs w:val="21"/>
        </w:rPr>
      </w:pPr>
      <w:r>
        <w:rPr>
          <w:rFonts w:ascii="宋体" w:hAnsi="宋体" w:hint="eastAsia"/>
          <w:szCs w:val="21"/>
        </w:rPr>
        <w:t>其他零时费用的审批：一次性总金额在2000元以上的集团公司审批后生效；一次性总金额在2000元以下的由酒店总经理审批后生效。</w:t>
      </w:r>
    </w:p>
    <w:p>
      <w:pPr>
        <w:pStyle w:val="Normal0"/>
        <w:numPr>
          <w:ilvl w:val="0"/>
          <w:numId w:val="24"/>
        </w:numPr>
        <w:spacing w:line="360" w:lineRule="auto"/>
        <w:rPr>
          <w:rFonts w:ascii="宋体" w:hAnsi="宋体" w:hint="eastAsia"/>
          <w:szCs w:val="21"/>
        </w:rPr>
      </w:pPr>
      <w:r>
        <w:rPr>
          <w:rFonts w:ascii="宋体" w:hAnsi="宋体" w:hint="eastAsia"/>
          <w:szCs w:val="21"/>
        </w:rPr>
        <w:t>筹建期间各项费用的审批：按集团公司审批</w:t>
      </w:r>
      <w:r>
        <w:rPr>
          <w:rFonts w:ascii="宋体" w:hAnsi="宋体" w:hint="eastAsia"/>
          <w:szCs w:val="21"/>
          <w:lang w:eastAsia="zh-CN"/>
        </w:rPr>
        <w:t>管理管控</w:t>
      </w:r>
      <w:r>
        <w:rPr>
          <w:rFonts w:ascii="宋体" w:hAnsi="宋体" w:hint="eastAsia"/>
          <w:szCs w:val="21"/>
        </w:rPr>
        <w:t>权限执行。</w:t>
      </w:r>
    </w:p>
    <w:p>
      <w:pPr>
        <w:pStyle w:val="Normal0"/>
        <w:spacing w:line="360" w:lineRule="auto"/>
        <w:rPr>
          <w:rFonts w:ascii="宋体" w:hAnsi="宋体" w:hint="eastAsia"/>
          <w:szCs w:val="21"/>
        </w:rPr>
      </w:pPr>
      <w:r>
        <w:rPr>
          <w:rFonts w:ascii="宋体" w:hAnsi="宋体" w:hint="eastAsia"/>
          <w:szCs w:val="21"/>
        </w:rPr>
        <w:t>第六条：审批流程图</w:t>
      </w:r>
    </w:p>
    <w:p>
      <w:pPr>
        <w:pStyle w:val="Normal0"/>
        <w:spacing w:line="360" w:lineRule="auto"/>
        <w:ind w:firstLine="630" w:firstLineChars="300"/>
        <w:rPr>
          <w:rFonts w:ascii="宋体" w:hAnsi="宋体" w:hint="eastAsia"/>
          <w:szCs w:val="21"/>
        </w:rPr>
      </w:pPr>
      <w:r>
        <w:rPr>
          <w:rFonts w:ascii="宋体" w:hAnsi="宋体" w:hint="eastAsia"/>
          <w:szCs w:val="21"/>
        </w:rPr>
        <w:t>1．物资申购的审批流程</w:t>
      </w:r>
    </w:p>
    <w:p>
      <w:pPr>
        <w:pStyle w:val="Normal0"/>
        <w:spacing w:line="360" w:lineRule="auto"/>
        <w:rPr>
          <w:rFonts w:ascii="仿宋_GB2312" w:eastAsia="仿宋_GB2312" w:hint="eastAsia"/>
          <w:szCs w:val="21"/>
        </w:rPr>
      </w:pPr>
    </w:p>
    <w:p>
      <w:pPr>
        <w:pStyle w:val="Normal0"/>
        <w:spacing w:line="360" w:lineRule="auto"/>
        <w:ind w:firstLine="105" w:firstLineChars="50"/>
        <w:rPr>
          <w:rFonts w:ascii="仿宋_GB2312" w:eastAsia="仿宋_GB2312" w:hint="eastAsia"/>
          <w:szCs w:val="21"/>
        </w:rPr>
      </w:pPr>
      <w:r>
        <w:rPr>
          <w:rFonts w:ascii="仿宋_GB2312" w:eastAsia="仿宋_GB2312" w:hint="eastAsia"/>
          <w:szCs w:val="21"/>
        </w:rPr>
        <w:pict>
          <v:group id="_x0000_s1025" o:spid="_x0000_s1025" style="width:423pt;height:116.85pt;margin-top:0.15pt;margin-left:0.25pt;mso-height-relative:page;mso-width-relative:page;position:absolute;z-index:251658240" coordorigin="1805,1790" coordsize="8460,2337">
            <v:rect id="_x0000_s1026" o:spid="_x0000_s1026" style="width:900;height:732;left:1805;position:absolute;top:1790" coordsize="21600,21600">
              <o:lock v:ext="edit" aspectratio="f"/>
              <v:textbox>
                <w:txbxContent>
                  <w:p>
                    <w:pPr>
                      <w:pStyle w:val="Normal0"/>
                      <w:jc w:val="center"/>
                      <w:rPr>
                        <w:rFonts w:ascii="仿宋_GB2312" w:eastAsia="仿宋_GB2312" w:hint="eastAsia"/>
                      </w:rPr>
                    </w:pPr>
                    <w:r>
                      <w:rPr>
                        <w:rFonts w:ascii="仿宋_GB2312" w:eastAsia="仿宋_GB2312" w:hint="eastAsia"/>
                      </w:rPr>
                      <w:t>部门申请</w:t>
                    </w:r>
                  </w:p>
                </w:txbxContent>
              </v:textbox>
            </v:rect>
            <v:rect id="_x0000_s1027" o:spid="_x0000_s1027" style="width:900;height:780;left:3785;position:absolute;top:1790" coordsize="21600,21600">
              <o:lock v:ext="edit" aspectratio="f"/>
              <v:textbox>
                <w:txbxContent>
                  <w:p>
                    <w:pPr>
                      <w:pStyle w:val="Normal0"/>
                      <w:jc w:val="center"/>
                      <w:rPr>
                        <w:rFonts w:ascii="仿宋_GB2312" w:eastAsia="仿宋_GB2312" w:hint="eastAsia"/>
                      </w:rPr>
                    </w:pPr>
                    <w:r>
                      <w:rPr>
                        <w:rFonts w:ascii="仿宋_GB2312" w:eastAsia="仿宋_GB2312" w:hint="eastAsia"/>
                      </w:rPr>
                      <w:t>财务经理</w:t>
                    </w:r>
                  </w:p>
                </w:txbxContent>
              </v:textbox>
            </v:rect>
            <v:rect id="_x0000_s1028" o:spid="_x0000_s1028" style="width:1260;height:780;left:6305;position:absolute;top:1790" coordsize="21600,21600">
              <o:lock v:ext="edit" aspectratio="f"/>
              <v:textbox>
                <w:txbxContent>
                  <w:p>
                    <w:pPr>
                      <w:pStyle w:val="Normal0"/>
                      <w:jc w:val="center"/>
                      <w:rPr>
                        <w:rFonts w:ascii="仿宋_GB2312" w:eastAsia="仿宋_GB2312" w:hint="eastAsia"/>
                      </w:rPr>
                    </w:pPr>
                    <w:r>
                      <w:rPr>
                        <w:rFonts w:ascii="仿宋_GB2312" w:eastAsia="仿宋_GB2312" w:hint="eastAsia"/>
                      </w:rPr>
                      <w:t>酒店总经 理</w:t>
                    </w:r>
                  </w:p>
                </w:txbxContent>
              </v:textbox>
            </v:rect>
            <v:rect id="_x0000_s1029" o:spid="_x0000_s1029" style="width:1080;height:780;left:9185;position:absolute;top:1790" coordsize="21600,21600">
              <o:lock v:ext="edit" aspectratio="f"/>
              <v:textbox>
                <w:txbxContent>
                  <w:p>
                    <w:pPr>
                      <w:pStyle w:val="Normal0"/>
                      <w:jc w:val="center"/>
                      <w:rPr>
                        <w:rFonts w:ascii="仿宋_GB2312" w:eastAsia="仿宋_GB2312" w:hint="eastAsia"/>
                      </w:rPr>
                    </w:pPr>
                    <w:r>
                      <w:rPr>
                        <w:rFonts w:ascii="仿宋_GB2312" w:eastAsia="仿宋_GB2312" w:hint="eastAsia"/>
                      </w:rPr>
                      <w:t>集团公司</w:t>
                    </w:r>
                  </w:p>
                </w:txbxContent>
              </v:textbox>
            </v:rect>
            <v:rect id="_x0000_s1030" o:spid="_x0000_s1030" style="width:900;height:780;left:9360;position:absolute;top:3347" coordsize="21600,21600">
              <o:lock v:ext="edit" aspectratio="f"/>
              <v:textbox>
                <w:txbxContent>
                  <w:p>
                    <w:pPr>
                      <w:pStyle w:val="Normal0"/>
                      <w:jc w:val="center"/>
                      <w:rPr>
                        <w:rFonts w:ascii="仿宋_GB2312" w:eastAsia="仿宋_GB2312" w:hint="eastAsia"/>
                      </w:rPr>
                    </w:pPr>
                    <w:r>
                      <w:rPr>
                        <w:rFonts w:ascii="仿宋_GB2312" w:eastAsia="仿宋_GB2312" w:hint="eastAsia"/>
                      </w:rPr>
                      <w:t>采购部</w:t>
                    </w:r>
                  </w:p>
                </w:txbxContent>
              </v:textbox>
            </v:rect>
            <v:line id="_x0000_s1031" o:spid="_x0000_s1031" style="position:absolute" from="2705,2258" to="3785,2258" coordsize="21600,21600">
              <v:stroke endarrow="block"/>
              <o:lock v:ext="edit" aspectratio="f"/>
            </v:line>
            <v:line id="_x0000_s1032" o:spid="_x0000_s1032" style="position:absolute" from="4685,2258" to="6305,2258" coordsize="21600,21600">
              <v:stroke endarrow="block"/>
              <o:lock v:ext="edit" aspectratio="f"/>
            </v:line>
            <v:line id="_x0000_s1033" o:spid="_x0000_s1033" style="position:absolute" from="7565,2258" to="9185,2258" coordsize="21600,21600">
              <v:stroke endarrow="block"/>
              <o:lock v:ext="edit" aspectratio="f"/>
            </v:line>
            <v:line id="_x0000_s1034" o:spid="_x0000_s1034" style="position:absolute" from="9720,2567" to="9721,3317" coordsize="21600,21600">
              <v:stroke endarrow="block"/>
              <o:lock v:ext="edit" aspectratio="f"/>
            </v:line>
            <v:line id="_x0000_s1035" o:spid="_x0000_s1035" style="position:absolute" from="6845,2570" to="6846,3944" coordsize="21600,21600">
              <o:lock v:ext="edit" aspectratio="f"/>
            </v:line>
            <v:line id="_x0000_s1036" o:spid="_x0000_s1036" style="position:absolute" from="6840,3971" to="9360,3971" coordsize="21600,21600">
              <v:stroke endarrow="block"/>
              <o:lock v:ext="edit" aspectratio="f"/>
            </v:line>
          </v:group>
        </w:pict>
      </w:r>
      <w:r>
        <w:rPr>
          <w:rFonts w:ascii="仿宋_GB2312" w:eastAsia="仿宋_GB2312" w:hint="eastAsia"/>
          <w:szCs w:val="21"/>
        </w:rPr>
        <w:t xml:space="preserve">                                                        权限之上 </w:t>
      </w:r>
    </w:p>
    <w:p>
      <w:pPr>
        <w:pStyle w:val="Normal0"/>
        <w:spacing w:line="360" w:lineRule="auto"/>
        <w:ind w:firstLine="420" w:firstLineChars="200"/>
        <w:rPr>
          <w:rFonts w:ascii="仿宋_GB2312" w:eastAsia="仿宋_GB2312" w:hint="eastAsia"/>
          <w:szCs w:val="21"/>
        </w:rPr>
      </w:pPr>
      <w:r>
        <w:rPr>
          <w:rFonts w:ascii="仿宋_GB2312" w:eastAsia="仿宋_GB2312" w:hint="eastAsia"/>
          <w:szCs w:val="21"/>
        </w:rPr>
        <w:t xml:space="preserve">        审批               审批                      审批            </w:t>
      </w:r>
    </w:p>
    <w:p>
      <w:pPr>
        <w:pStyle w:val="Normal0"/>
        <w:spacing w:line="360" w:lineRule="auto"/>
        <w:ind w:left="4410" w:hanging="4410" w:hangingChars="2100"/>
        <w:jc w:val="left"/>
        <w:rPr>
          <w:rFonts w:ascii="仿宋_GB2312" w:eastAsia="仿宋_GB2312" w:hint="eastAsia"/>
          <w:szCs w:val="21"/>
        </w:rPr>
      </w:pPr>
      <w:r>
        <w:rPr>
          <w:rFonts w:ascii="仿宋_GB2312" w:eastAsia="仿宋_GB2312" w:hint="eastAsia"/>
          <w:szCs w:val="21"/>
        </w:rPr>
        <w:t xml:space="preserve">                                                 权限之内              采购   </w:t>
      </w:r>
    </w:p>
    <w:p>
      <w:pPr>
        <w:pStyle w:val="Normal0"/>
        <w:spacing w:line="360" w:lineRule="auto"/>
        <w:rPr>
          <w:rFonts w:ascii="仿宋_GB2312" w:eastAsia="仿宋_GB2312" w:hint="eastAsia"/>
          <w:szCs w:val="21"/>
        </w:rPr>
      </w:pPr>
      <w:r>
        <w:rPr>
          <w:rFonts w:ascii="仿宋_GB2312" w:eastAsia="仿宋_GB2312" w:hint="eastAsia"/>
          <w:szCs w:val="21"/>
        </w:rPr>
        <w:t xml:space="preserve">                                           </w:t>
      </w:r>
    </w:p>
    <w:p>
      <w:pPr>
        <w:pStyle w:val="Normal0"/>
        <w:spacing w:line="360" w:lineRule="auto"/>
        <w:ind w:firstLine="5670" w:firstLineChars="2700"/>
        <w:rPr>
          <w:rFonts w:ascii="仿宋_GB2312" w:eastAsia="仿宋_GB2312" w:hint="eastAsia"/>
          <w:szCs w:val="21"/>
        </w:rPr>
      </w:pPr>
      <w:r>
        <w:rPr>
          <w:rFonts w:ascii="仿宋_GB2312" w:eastAsia="仿宋_GB2312" w:hint="eastAsia"/>
          <w:szCs w:val="21"/>
        </w:rPr>
        <w:t xml:space="preserve">   采购</w:t>
      </w:r>
    </w:p>
    <w:p>
      <w:pPr>
        <w:pStyle w:val="Normal0"/>
        <w:spacing w:line="360" w:lineRule="auto"/>
        <w:ind w:firstLine="630" w:firstLineChars="300"/>
        <w:rPr>
          <w:rFonts w:ascii="宋体" w:hAnsi="宋体" w:hint="eastAsia"/>
          <w:szCs w:val="21"/>
        </w:rPr>
      </w:pPr>
      <w:r>
        <w:rPr>
          <w:rFonts w:ascii="宋体" w:hAnsi="宋体" w:hint="eastAsia"/>
          <w:szCs w:val="21"/>
        </w:rPr>
        <w:t>2．费用报销的审批流程</w:t>
      </w:r>
    </w:p>
    <w:p>
      <w:pPr>
        <w:pStyle w:val="Normal0"/>
        <w:spacing w:line="360" w:lineRule="auto"/>
        <w:ind w:firstLine="420" w:firstLineChars="200"/>
        <w:rPr>
          <w:rFonts w:ascii="仿宋_GB2312" w:eastAsia="仿宋_GB2312" w:hint="eastAsia"/>
          <w:szCs w:val="21"/>
        </w:rPr>
      </w:pPr>
      <w:r>
        <w:rPr>
          <w:rFonts w:ascii="仿宋_GB2312" w:eastAsia="仿宋_GB2312" w:hint="eastAsia"/>
          <w:szCs w:val="21"/>
        </w:rPr>
        <w:pict>
          <v:group id="_x0000_s1037" o:spid="_x0000_s1037" style="width:423pt;height:117.15pt;margin-top:7.65pt;margin-left:9pt;mso-height-relative:page;mso-width-relative:page;position:absolute;z-index:251659264" coordorigin="1980,4748" coordsize="8460,2343">
            <v:line id="_x0000_s1038" o:spid="_x0000_s1038" style="position:absolute" from="8280,5063" to="9360,5063" coordsize="21600,21600">
              <v:stroke endarrow="block"/>
              <o:lock v:ext="edit" aspectratio="f"/>
            </v:line>
            <v:rect id="_x0000_s1039" o:spid="_x0000_s1039" style="width:900;height:780;left:1980;position:absolute;top:4751" coordsize="21600,21600">
              <o:lock v:ext="edit" aspectratio="f"/>
              <v:textbox>
                <w:txbxContent>
                  <w:p>
                    <w:pPr>
                      <w:pStyle w:val="Normal0"/>
                      <w:jc w:val="center"/>
                      <w:rPr>
                        <w:rFonts w:ascii="仿宋_GB2312" w:eastAsia="仿宋_GB2312" w:hint="eastAsia"/>
                      </w:rPr>
                    </w:pPr>
                    <w:r>
                      <w:rPr>
                        <w:rFonts w:ascii="仿宋_GB2312" w:eastAsia="仿宋_GB2312" w:hint="eastAsia"/>
                      </w:rPr>
                      <w:t>申请人</w:t>
                    </w:r>
                  </w:p>
                </w:txbxContent>
              </v:textbox>
            </v:rect>
            <v:rect id="_x0000_s1040" o:spid="_x0000_s1040" style="width:900;height:576;left:3600;position:absolute;top:4907" coordsize="21600,21600">
              <o:lock v:ext="edit" aspectratio="f"/>
              <v:textbox>
                <w:txbxContent>
                  <w:p>
                    <w:pPr>
                      <w:pStyle w:val="Normal0"/>
                      <w:jc w:val="center"/>
                      <w:rPr>
                        <w:rFonts w:ascii="仿宋_GB2312" w:eastAsia="仿宋_GB2312" w:hint="eastAsia"/>
                      </w:rPr>
                    </w:pPr>
                    <w:r>
                      <w:rPr>
                        <w:rFonts w:ascii="仿宋_GB2312" w:eastAsia="仿宋_GB2312" w:hint="eastAsia"/>
                      </w:rPr>
                      <w:t>会计</w:t>
                    </w:r>
                  </w:p>
                </w:txbxContent>
              </v:textbox>
            </v:rect>
            <v:rect id="_x0000_s1041" o:spid="_x0000_s1041" style="width:1080;height:780;left:9355;position:absolute;top:4748" coordsize="21600,21600">
              <o:lock v:ext="edit" aspectratio="f"/>
              <v:textbox>
                <w:txbxContent>
                  <w:p>
                    <w:pPr>
                      <w:pStyle w:val="Normal0"/>
                      <w:jc w:val="center"/>
                      <w:rPr>
                        <w:rFonts w:hint="eastAsia"/>
                      </w:rPr>
                    </w:pPr>
                    <w:r>
                      <w:rPr>
                        <w:rFonts w:ascii="仿宋_GB2312" w:eastAsia="仿宋_GB2312" w:hint="eastAsia"/>
                        <w:szCs w:val="21"/>
                      </w:rPr>
                      <w:t>集团公司</w:t>
                    </w:r>
                  </w:p>
                </w:txbxContent>
              </v:textbox>
            </v:rect>
            <v:rect id="_x0000_s1042" o:spid="_x0000_s1042" style="width:1080;height:780;left:7195;position:absolute;top:4748" coordsize="21600,21600">
              <o:lock v:ext="edit" aspectratio="f"/>
              <v:textbox>
                <w:txbxContent>
                  <w:p>
                    <w:pPr>
                      <w:pStyle w:val="Normal0"/>
                      <w:jc w:val="center"/>
                      <w:rPr>
                        <w:rFonts w:hint="eastAsia"/>
                      </w:rPr>
                    </w:pPr>
                    <w:r>
                      <w:rPr>
                        <w:rFonts w:ascii="仿宋_GB2312" w:eastAsia="仿宋_GB2312" w:hint="eastAsia"/>
                        <w:szCs w:val="21"/>
                      </w:rPr>
                      <w:t>酒店总经</w:t>
                    </w:r>
                    <w:r>
                      <w:rPr>
                        <w:rFonts w:ascii="仿宋_GB2312" w:eastAsia="仿宋_GB2312" w:hint="eastAsia"/>
                      </w:rPr>
                      <w:t>理</w:t>
                    </w:r>
                  </w:p>
                </w:txbxContent>
              </v:textbox>
            </v:rect>
            <v:rect id="_x0000_s1043" o:spid="_x0000_s1043" style="width:900;height:780;left:5220;position:absolute;top:4751" coordsize="21600,21600">
              <o:lock v:ext="edit" aspectratio="f"/>
              <v:textbox>
                <w:txbxContent>
                  <w:p>
                    <w:pPr>
                      <w:pStyle w:val="Normal0"/>
                      <w:jc w:val="center"/>
                      <w:rPr>
                        <w:rFonts w:ascii="仿宋_GB2312" w:eastAsia="仿宋_GB2312" w:hint="eastAsia"/>
                      </w:rPr>
                    </w:pPr>
                    <w:r>
                      <w:rPr>
                        <w:rFonts w:ascii="仿宋_GB2312" w:eastAsia="仿宋_GB2312" w:hint="eastAsia"/>
                      </w:rPr>
                      <w:t>财务经理</w:t>
                    </w:r>
                  </w:p>
                </w:txbxContent>
              </v:textbox>
            </v:rect>
            <v:rect id="_x0000_s1044" o:spid="_x0000_s1044" style="width:900;height:624;left:9540;position:absolute;top:6467" coordsize="21600,21600">
              <o:lock v:ext="edit" aspectratio="f"/>
              <v:textbox>
                <w:txbxContent>
                  <w:p>
                    <w:pPr>
                      <w:pStyle w:val="Normal0"/>
                      <w:jc w:val="center"/>
                      <w:rPr>
                        <w:rFonts w:ascii="仿宋_GB2312" w:eastAsia="仿宋_GB2312" w:hint="eastAsia"/>
                      </w:rPr>
                    </w:pPr>
                    <w:r>
                      <w:rPr>
                        <w:rFonts w:ascii="仿宋_GB2312" w:eastAsia="仿宋_GB2312" w:hint="eastAsia"/>
                      </w:rPr>
                      <w:t>出纳</w:t>
                    </w:r>
                  </w:p>
                </w:txbxContent>
              </v:textbox>
            </v:rect>
            <v:line id="_x0000_s1045" o:spid="_x0000_s1045" style="position:absolute" from="2880,5063" to="3600,5063" coordsize="21600,21600">
              <v:stroke endarrow="block"/>
              <o:lock v:ext="edit" aspectratio="f"/>
            </v:line>
            <v:line id="_x0000_s1046" o:spid="_x0000_s1046" style="position:absolute" from="4500,5063" to="5220,5063" coordsize="21600,21600">
              <v:stroke endarrow="block"/>
              <o:lock v:ext="edit" aspectratio="f"/>
            </v:line>
            <v:line id="_x0000_s1047" o:spid="_x0000_s1047" style="position:absolute" from="6120,5063" to="7200,5063" coordsize="21600,21600">
              <v:stroke endarrow="block"/>
              <o:lock v:ext="edit" aspectratio="f"/>
            </v:line>
            <v:line id="_x0000_s1048" o:spid="_x0000_s1048" style="position:absolute" from="9823,5538" to="9824,6474" coordsize="21600,21600">
              <v:stroke endarrow="block"/>
              <o:lock v:ext="edit" aspectratio="f"/>
            </v:line>
            <v:line id="_x0000_s1049" o:spid="_x0000_s1049" style="position:absolute" from="7560,5531" to="7561,6935" coordsize="21600,21600">
              <o:lock v:ext="edit" aspectratio="f"/>
            </v:line>
            <v:line id="_x0000_s1050" o:spid="_x0000_s1050" style="flip:y;position:absolute" from="7560,6935" to="9437,6935" coordsize="21600,21600">
              <v:stroke endarrow="block"/>
              <o:lock v:ext="edit" aspectratio="f"/>
            </v:line>
          </v:group>
        </w:pict>
      </w:r>
      <w:r>
        <w:rPr>
          <w:rFonts w:ascii="仿宋_GB2312" w:eastAsia="仿宋_GB2312" w:hint="eastAsia"/>
          <w:szCs w:val="21"/>
        </w:rPr>
        <w:t xml:space="preserve">                                                          权限之上</w:t>
      </w:r>
    </w:p>
    <w:p>
      <w:pPr>
        <w:pStyle w:val="Normal0"/>
        <w:spacing w:line="360" w:lineRule="auto"/>
        <w:rPr>
          <w:rFonts w:ascii="仿宋_GB2312" w:eastAsia="仿宋_GB2312" w:hint="eastAsia"/>
          <w:szCs w:val="21"/>
        </w:rPr>
      </w:pPr>
      <w:r>
        <w:rPr>
          <w:rFonts w:ascii="仿宋_GB2312" w:eastAsia="仿宋_GB2312" w:hint="eastAsia"/>
          <w:szCs w:val="21"/>
        </w:rPr>
        <w:t xml:space="preserve">           复核           审批             审批               审批</w:t>
      </w:r>
    </w:p>
    <w:p>
      <w:pPr>
        <w:pStyle w:val="Normal0"/>
        <w:spacing w:line="360" w:lineRule="auto"/>
        <w:rPr>
          <w:rFonts w:ascii="仿宋_GB2312" w:eastAsia="仿宋_GB2312" w:hint="eastAsia"/>
          <w:szCs w:val="21"/>
        </w:rPr>
      </w:pPr>
      <w:r>
        <w:rPr>
          <w:rFonts w:ascii="仿宋_GB2312" w:eastAsia="仿宋_GB2312" w:hint="eastAsia"/>
          <w:szCs w:val="21"/>
        </w:rPr>
        <w:t xml:space="preserve">                                                       权限之内         付款  </w:t>
      </w:r>
    </w:p>
    <w:p>
      <w:pPr>
        <w:pStyle w:val="Normal0"/>
        <w:spacing w:line="360" w:lineRule="auto"/>
        <w:rPr>
          <w:rFonts w:ascii="仿宋_GB2312" w:eastAsia="仿宋_GB2312" w:hint="eastAsia"/>
          <w:szCs w:val="21"/>
        </w:rPr>
      </w:pPr>
      <w:r>
        <w:rPr>
          <w:rFonts w:ascii="仿宋_GB2312" w:eastAsia="仿宋_GB2312" w:hint="eastAsia"/>
          <w:szCs w:val="21"/>
        </w:rPr>
        <w:t xml:space="preserve">                                                       </w:t>
      </w:r>
    </w:p>
    <w:p>
      <w:pPr>
        <w:pStyle w:val="Normal0"/>
        <w:spacing w:line="360" w:lineRule="auto"/>
        <w:rPr>
          <w:rFonts w:ascii="仿宋_GB2312" w:eastAsia="仿宋_GB2312" w:hint="eastAsia"/>
          <w:szCs w:val="21"/>
        </w:rPr>
      </w:pPr>
      <w:r>
        <w:rPr>
          <w:rFonts w:ascii="仿宋_GB2312" w:eastAsia="仿宋_GB2312" w:hint="eastAsia"/>
          <w:szCs w:val="21"/>
        </w:rPr>
        <w:t xml:space="preserve">                                                            付款</w:t>
      </w:r>
    </w:p>
    <w:p>
      <w:pPr>
        <w:pStyle w:val="Normal0"/>
        <w:spacing w:line="360" w:lineRule="auto"/>
        <w:rPr>
          <w:rFonts w:ascii="宋体" w:hAnsi="宋体" w:hint="eastAsia"/>
          <w:b/>
          <w:szCs w:val="21"/>
        </w:rPr>
      </w:pPr>
      <w:r>
        <w:rPr>
          <w:rFonts w:ascii="宋体" w:hAnsi="宋体" w:hint="eastAsia"/>
          <w:b/>
          <w:szCs w:val="21"/>
        </w:rPr>
        <w:t>第三章：附则</w:t>
      </w:r>
    </w:p>
    <w:p>
      <w:pPr>
        <w:pStyle w:val="Normal0"/>
        <w:spacing w:line="360" w:lineRule="auto"/>
        <w:rPr>
          <w:rFonts w:ascii="宋体" w:hAnsi="宋体" w:hint="eastAsia"/>
          <w:szCs w:val="21"/>
        </w:rPr>
      </w:pPr>
      <w:r>
        <w:rPr>
          <w:rFonts w:ascii="宋体" w:hAnsi="宋体" w:hint="eastAsia"/>
          <w:szCs w:val="21"/>
        </w:rPr>
        <w:t>第六条：本审批权限</w:t>
      </w:r>
      <w:r>
        <w:rPr>
          <w:rFonts w:ascii="宋体" w:hAnsi="宋体" w:hint="eastAsia"/>
          <w:szCs w:val="21"/>
          <w:lang w:eastAsia="zh-CN"/>
        </w:rPr>
        <w:t>管理管控</w:t>
      </w:r>
      <w:r>
        <w:rPr>
          <w:rFonts w:ascii="宋体" w:hAnsi="宋体" w:hint="eastAsia"/>
          <w:szCs w:val="21"/>
        </w:rPr>
        <w:t>规定自批准日起生效。</w:t>
      </w:r>
    </w:p>
    <w:p>
      <w:pPr>
        <w:pStyle w:val="Normal0"/>
        <w:spacing w:line="360" w:lineRule="auto"/>
        <w:rPr>
          <w:rFonts w:ascii="宋体" w:hAnsi="宋体" w:hint="eastAsia"/>
          <w:szCs w:val="21"/>
        </w:rPr>
      </w:pPr>
      <w:r>
        <w:rPr>
          <w:rFonts w:ascii="宋体" w:hAnsi="宋体" w:hint="eastAsia"/>
          <w:szCs w:val="21"/>
        </w:rPr>
        <w:t>第七条：本</w:t>
      </w:r>
      <w:r>
        <w:rPr>
          <w:rFonts w:ascii="宋体" w:hAnsi="宋体" w:hint="eastAsia"/>
          <w:szCs w:val="21"/>
          <w:lang w:eastAsia="zh-CN"/>
        </w:rPr>
        <w:t>管理管控</w:t>
      </w:r>
      <w:r>
        <w:rPr>
          <w:rFonts w:ascii="宋体" w:hAnsi="宋体" w:hint="eastAsia"/>
          <w:szCs w:val="21"/>
        </w:rPr>
        <w:t>规定由财务部负责解释和修订，修订</w:t>
      </w:r>
      <w:r>
        <w:rPr>
          <w:rFonts w:ascii="宋体" w:hAnsi="宋体" w:hint="eastAsia"/>
          <w:szCs w:val="21"/>
          <w:lang w:eastAsia="zh-CN"/>
        </w:rPr>
        <w:t>合适的内容</w:t>
      </w:r>
      <w:r>
        <w:rPr>
          <w:rFonts w:ascii="宋体" w:hAnsi="宋体" w:hint="eastAsia"/>
          <w:szCs w:val="21"/>
        </w:rPr>
        <w:t>报集团公司审批。</w:t>
      </w:r>
    </w:p>
    <w:p>
      <w:pPr>
        <w:pStyle w:val="Normal0"/>
        <w:spacing w:line="720" w:lineRule="auto"/>
        <w:jc w:val="center"/>
        <w:rPr>
          <w:rFonts w:hint="eastAsia"/>
          <w:b/>
          <w:sz w:val="28"/>
          <w:szCs w:val="28"/>
        </w:rPr>
      </w:pPr>
      <w:r>
        <w:rPr>
          <w:rFonts w:hint="eastAsia"/>
          <w:b/>
          <w:sz w:val="28"/>
          <w:szCs w:val="28"/>
        </w:rPr>
        <w:t>第六篇：</w:t>
      </w:r>
      <w:r>
        <w:rPr>
          <w:rFonts w:hint="eastAsia"/>
          <w:b/>
          <w:sz w:val="28"/>
          <w:szCs w:val="28"/>
          <w:lang w:eastAsia="zh-CN"/>
        </w:rPr>
        <w:t>合同合约管理管控</w:t>
      </w:r>
      <w:r>
        <w:rPr>
          <w:rFonts w:hint="eastAsia"/>
          <w:b/>
          <w:sz w:val="28"/>
          <w:szCs w:val="28"/>
        </w:rPr>
        <w:t>规定</w:t>
      </w:r>
    </w:p>
    <w:p>
      <w:pPr>
        <w:pStyle w:val="Normal0"/>
        <w:spacing w:before="156" w:beforeLines="50"/>
        <w:rPr>
          <w:rFonts w:ascii="宋体" w:hAnsi="宋体" w:hint="eastAsia"/>
          <w:b/>
          <w:szCs w:val="21"/>
        </w:rPr>
        <w:sectPr>
          <w:headerReference w:type="default" r:id="rId59"/>
          <w:footerReference w:type="default" r:id="rId60"/>
          <w:type w:val="nextPage"/>
          <w:pgSz w:w="11906" w:h="16838"/>
          <w:pgMar w:top="851" w:right="1466" w:bottom="1077" w:left="1800" w:header="720" w:footer="720" w:gutter="0"/>
          <w:pgNumType w:start="28"/>
          <w:cols w:num="1" w:space="720"/>
          <w:titlePg w:val="0"/>
          <w:docGrid w:type="lines" w:linePitch="312" w:charSpace="0"/>
        </w:sectPr>
      </w:pPr>
      <w:r>
        <w:rPr>
          <w:rFonts w:ascii="宋体" w:hAnsi="宋体" w:hint="eastAsia"/>
          <w:b/>
          <w:szCs w:val="21"/>
        </w:rPr>
        <w:t>第一章：总则</w:t>
      </w:r>
    </w:p>
    <w:p>
      <w:pPr>
        <w:pStyle w:val="style31"/>
        <w:spacing w:before="0" w:beforeAutospacing="0" w:after="0" w:afterAutospacing="0" w:line="360" w:lineRule="auto"/>
        <w:ind w:left="420" w:hanging="420" w:hangingChars="200"/>
        <w:rPr>
          <w:rFonts w:hint="eastAsia"/>
          <w:sz w:val="21"/>
          <w:szCs w:val="21"/>
        </w:rPr>
      </w:pPr>
      <w:r>
        <w:rPr>
          <w:rFonts w:hint="eastAsia"/>
          <w:sz w:val="21"/>
          <w:szCs w:val="21"/>
        </w:rPr>
        <w:t>第一条：为加强酒店</w:t>
      </w:r>
      <w:r>
        <w:rPr>
          <w:rFonts w:hint="eastAsia"/>
          <w:sz w:val="21"/>
          <w:szCs w:val="21"/>
          <w:lang w:eastAsia="zh-CN"/>
        </w:rPr>
        <w:t>合同合约管理管控</w:t>
      </w:r>
      <w:r>
        <w:rPr>
          <w:rFonts w:hint="eastAsia"/>
          <w:sz w:val="21"/>
          <w:szCs w:val="21"/>
        </w:rPr>
        <w:t>，规范</w:t>
      </w:r>
      <w:r>
        <w:rPr>
          <w:rFonts w:hint="eastAsia"/>
          <w:sz w:val="21"/>
          <w:szCs w:val="21"/>
          <w:lang w:eastAsia="zh-CN"/>
        </w:rPr>
        <w:t>合同合约</w:t>
      </w:r>
      <w:r>
        <w:rPr>
          <w:rFonts w:hint="eastAsia"/>
          <w:sz w:val="21"/>
          <w:szCs w:val="21"/>
        </w:rPr>
        <w:t>法律行为，减少</w:t>
      </w:r>
      <w:r>
        <w:rPr>
          <w:rFonts w:hint="eastAsia"/>
          <w:sz w:val="21"/>
          <w:szCs w:val="21"/>
          <w:lang w:eastAsia="zh-CN"/>
        </w:rPr>
        <w:t>合同合约</w:t>
      </w:r>
      <w:r>
        <w:rPr>
          <w:rFonts w:hint="eastAsia"/>
          <w:sz w:val="21"/>
          <w:szCs w:val="21"/>
        </w:rPr>
        <w:t>失误，保障酒店合法权益，根据中华人民共和国《</w:t>
      </w:r>
      <w:r>
        <w:rPr>
          <w:rFonts w:hint="eastAsia"/>
          <w:sz w:val="21"/>
          <w:szCs w:val="21"/>
          <w:lang w:eastAsia="zh-CN"/>
        </w:rPr>
        <w:t>合同合约</w:t>
      </w:r>
      <w:r>
        <w:rPr>
          <w:rFonts w:hint="eastAsia"/>
          <w:sz w:val="21"/>
          <w:szCs w:val="21"/>
        </w:rPr>
        <w:t>法》及其他有关法规的规定，结合本酒店实际情况，制订本规定。</w:t>
      </w:r>
    </w:p>
    <w:p>
      <w:pPr>
        <w:pStyle w:val="style31"/>
        <w:spacing w:before="0" w:beforeAutospacing="0" w:after="0" w:afterAutospacing="0" w:line="360" w:lineRule="auto"/>
        <w:ind w:left="420" w:hanging="420" w:hangingChars="200"/>
        <w:rPr>
          <w:rFonts w:hint="eastAsia"/>
          <w:color w:val="333333"/>
          <w:sz w:val="21"/>
          <w:szCs w:val="21"/>
        </w:rPr>
      </w:pPr>
      <w:r>
        <w:rPr>
          <w:rFonts w:hint="eastAsia"/>
          <w:color w:val="333333"/>
          <w:sz w:val="21"/>
          <w:szCs w:val="21"/>
        </w:rPr>
        <w:t>第二条：本规定所指</w:t>
      </w:r>
      <w:r>
        <w:rPr>
          <w:rFonts w:hint="eastAsia"/>
          <w:color w:val="333333"/>
          <w:sz w:val="21"/>
          <w:szCs w:val="21"/>
          <w:lang w:eastAsia="zh-CN"/>
        </w:rPr>
        <w:t>合同合约</w:t>
      </w:r>
      <w:r>
        <w:rPr>
          <w:rFonts w:hint="eastAsia"/>
          <w:color w:val="333333"/>
          <w:sz w:val="21"/>
          <w:szCs w:val="21"/>
        </w:rPr>
        <w:t>包括：酒店的销售、采购、借款、维修、保险、租赁、劳务服务等</w:t>
      </w:r>
      <w:r>
        <w:rPr>
          <w:rFonts w:hint="eastAsia"/>
          <w:color w:val="333333"/>
          <w:sz w:val="21"/>
          <w:szCs w:val="21"/>
          <w:lang w:eastAsia="zh-CN"/>
        </w:rPr>
        <w:t>合同合约</w:t>
      </w:r>
      <w:r>
        <w:rPr>
          <w:rFonts w:hint="eastAsia"/>
          <w:color w:val="333333"/>
          <w:sz w:val="21"/>
          <w:szCs w:val="21"/>
        </w:rPr>
        <w:t>，不包括劳动用工</w:t>
      </w:r>
      <w:r>
        <w:rPr>
          <w:rFonts w:hint="eastAsia"/>
          <w:color w:val="333333"/>
          <w:sz w:val="21"/>
          <w:szCs w:val="21"/>
          <w:lang w:eastAsia="zh-CN"/>
        </w:rPr>
        <w:t>合同合约</w:t>
      </w:r>
      <w:r>
        <w:rPr>
          <w:rFonts w:hint="eastAsia"/>
          <w:color w:val="333333"/>
          <w:sz w:val="21"/>
          <w:szCs w:val="21"/>
        </w:rPr>
        <w:t>。</w:t>
      </w:r>
    </w:p>
    <w:p>
      <w:pPr>
        <w:pStyle w:val="style31"/>
        <w:spacing w:before="0" w:beforeAutospacing="0" w:after="0" w:afterAutospacing="0" w:line="360" w:lineRule="auto"/>
        <w:rPr>
          <w:rFonts w:hint="eastAsia"/>
          <w:color w:val="333333"/>
          <w:sz w:val="21"/>
          <w:szCs w:val="21"/>
        </w:rPr>
      </w:pPr>
      <w:r>
        <w:rPr>
          <w:rFonts w:hint="eastAsia"/>
          <w:color w:val="333333"/>
          <w:sz w:val="21"/>
          <w:szCs w:val="21"/>
        </w:rPr>
        <w:t>第三条：</w:t>
      </w:r>
      <w:r>
        <w:rPr>
          <w:rFonts w:hint="eastAsia"/>
          <w:color w:val="333333"/>
          <w:sz w:val="21"/>
          <w:szCs w:val="21"/>
          <w:lang w:eastAsia="zh-CN"/>
        </w:rPr>
        <w:t>合同合约</w:t>
      </w:r>
      <w:r>
        <w:rPr>
          <w:rFonts w:hint="eastAsia"/>
          <w:color w:val="333333"/>
          <w:sz w:val="21"/>
          <w:szCs w:val="21"/>
        </w:rPr>
        <w:t>以书面形式确立，有关修改</w:t>
      </w:r>
      <w:r>
        <w:rPr>
          <w:rFonts w:hint="eastAsia"/>
          <w:color w:val="333333"/>
          <w:sz w:val="21"/>
          <w:szCs w:val="21"/>
          <w:lang w:eastAsia="zh-CN"/>
        </w:rPr>
        <w:t>合同合约</w:t>
      </w:r>
      <w:r>
        <w:rPr>
          <w:rFonts w:hint="eastAsia"/>
          <w:color w:val="333333"/>
          <w:sz w:val="21"/>
          <w:szCs w:val="21"/>
        </w:rPr>
        <w:t>的文书、图表、传真件均应作为</w:t>
      </w:r>
      <w:r>
        <w:rPr>
          <w:rFonts w:hint="eastAsia"/>
          <w:color w:val="333333"/>
          <w:sz w:val="21"/>
          <w:szCs w:val="21"/>
          <w:lang w:eastAsia="zh-CN"/>
        </w:rPr>
        <w:t>合同合约</w:t>
      </w:r>
      <w:r>
        <w:rPr>
          <w:rFonts w:hint="eastAsia"/>
          <w:color w:val="333333"/>
          <w:sz w:val="21"/>
          <w:szCs w:val="21"/>
        </w:rPr>
        <w:t>的组成部份。</w:t>
      </w:r>
    </w:p>
    <w:p>
      <w:pPr>
        <w:pStyle w:val="Normal0"/>
        <w:spacing w:line="360" w:lineRule="auto"/>
        <w:rPr>
          <w:rFonts w:ascii="宋体" w:hAnsi="宋体" w:hint="eastAsia"/>
          <w:szCs w:val="21"/>
        </w:rPr>
      </w:pPr>
      <w:r>
        <w:rPr>
          <w:rFonts w:ascii="宋体" w:hAnsi="宋体" w:hint="eastAsia"/>
          <w:color w:val="333333"/>
          <w:szCs w:val="21"/>
        </w:rPr>
        <w:t>第四条：</w:t>
      </w:r>
      <w:r>
        <w:rPr>
          <w:rFonts w:ascii="宋体" w:hAnsi="宋体" w:hint="eastAsia"/>
          <w:szCs w:val="21"/>
        </w:rPr>
        <w:t>国家规定采用标准</w:t>
      </w:r>
      <w:r>
        <w:rPr>
          <w:rFonts w:ascii="宋体" w:hAnsi="宋体" w:hint="eastAsia"/>
          <w:szCs w:val="21"/>
          <w:lang w:eastAsia="zh-CN"/>
        </w:rPr>
        <w:t>合同合约</w:t>
      </w:r>
      <w:r>
        <w:rPr>
          <w:rFonts w:ascii="宋体" w:hAnsi="宋体" w:hint="eastAsia"/>
          <w:szCs w:val="21"/>
        </w:rPr>
        <w:t>文本的则必须采用标准文本。</w:t>
      </w:r>
    </w:p>
    <w:p>
      <w:pPr>
        <w:pStyle w:val="Normal0"/>
        <w:spacing w:line="360" w:lineRule="auto"/>
        <w:rPr>
          <w:rFonts w:ascii="宋体" w:hAnsi="宋体" w:hint="eastAsia"/>
          <w:szCs w:val="21"/>
        </w:rPr>
      </w:pPr>
      <w:r>
        <w:rPr>
          <w:rFonts w:ascii="宋体" w:hAnsi="宋体" w:hint="eastAsia"/>
          <w:szCs w:val="21"/>
        </w:rPr>
        <w:t>第五条：重要经济</w:t>
      </w:r>
      <w:r>
        <w:rPr>
          <w:rFonts w:ascii="宋体" w:hAnsi="宋体" w:hint="eastAsia"/>
          <w:szCs w:val="21"/>
          <w:lang w:eastAsia="zh-CN"/>
        </w:rPr>
        <w:t>合同合约</w:t>
      </w:r>
      <w:r>
        <w:rPr>
          <w:rFonts w:ascii="宋体" w:hAnsi="宋体" w:hint="eastAsia"/>
          <w:szCs w:val="21"/>
        </w:rPr>
        <w:t>由公司总经理授权，由法律顾问负责指导、监督</w:t>
      </w:r>
      <w:r>
        <w:rPr>
          <w:rFonts w:ascii="宋体" w:hAnsi="宋体" w:hint="eastAsia"/>
          <w:szCs w:val="21"/>
          <w:lang w:eastAsia="zh-CN"/>
        </w:rPr>
        <w:t>合同合约</w:t>
      </w:r>
      <w:r>
        <w:rPr>
          <w:rFonts w:ascii="宋体" w:hAnsi="宋体" w:hint="eastAsia"/>
          <w:szCs w:val="21"/>
        </w:rPr>
        <w:t>的订立、履行工作。</w:t>
      </w:r>
    </w:p>
    <w:p>
      <w:pPr>
        <w:pStyle w:val="Normal0"/>
        <w:spacing w:line="360" w:lineRule="auto"/>
        <w:rPr>
          <w:rFonts w:ascii="宋体" w:hAnsi="宋体" w:hint="eastAsia"/>
          <w:b/>
          <w:szCs w:val="21"/>
        </w:rPr>
      </w:pPr>
      <w:r>
        <w:rPr>
          <w:rFonts w:ascii="宋体" w:hAnsi="宋体" w:hint="eastAsia"/>
          <w:b/>
          <w:szCs w:val="21"/>
        </w:rPr>
        <w:t>第二章：</w:t>
      </w:r>
      <w:r>
        <w:rPr>
          <w:rFonts w:ascii="宋体" w:hAnsi="宋体" w:hint="eastAsia"/>
          <w:b/>
          <w:szCs w:val="21"/>
          <w:lang w:eastAsia="zh-CN"/>
        </w:rPr>
        <w:t>合同合约</w:t>
      </w:r>
      <w:r>
        <w:rPr>
          <w:rFonts w:ascii="宋体" w:hAnsi="宋体" w:hint="eastAsia"/>
          <w:b/>
          <w:szCs w:val="21"/>
        </w:rPr>
        <w:t>的订立</w:t>
      </w:r>
    </w:p>
    <w:p>
      <w:pPr>
        <w:pStyle w:val="Normal0"/>
        <w:spacing w:line="360" w:lineRule="auto"/>
        <w:rPr>
          <w:rFonts w:ascii="宋体" w:hAnsi="宋体" w:hint="eastAsia"/>
          <w:color w:val="333333"/>
          <w:szCs w:val="21"/>
        </w:rPr>
      </w:pPr>
      <w:r>
        <w:rPr>
          <w:rFonts w:ascii="宋体" w:hAnsi="宋体" w:hint="eastAsia"/>
          <w:szCs w:val="21"/>
        </w:rPr>
        <w:t>第六条：</w:t>
      </w:r>
      <w:r>
        <w:rPr>
          <w:rFonts w:ascii="宋体" w:hAnsi="宋体" w:hint="eastAsia"/>
          <w:color w:val="333333"/>
          <w:szCs w:val="21"/>
        </w:rPr>
        <w:t>签订</w:t>
      </w:r>
      <w:r>
        <w:rPr>
          <w:rFonts w:ascii="宋体" w:hAnsi="宋体" w:hint="eastAsia"/>
          <w:color w:val="333333"/>
          <w:szCs w:val="21"/>
          <w:lang w:eastAsia="zh-CN"/>
        </w:rPr>
        <w:t>合同合约</w:t>
      </w:r>
      <w:r>
        <w:rPr>
          <w:rFonts w:ascii="宋体" w:hAnsi="宋体" w:hint="eastAsia"/>
          <w:color w:val="333333"/>
          <w:szCs w:val="21"/>
        </w:rPr>
        <w:t>，必须遵守国家的法律、法规、政策及酒店的有关规定。</w:t>
      </w:r>
    </w:p>
    <w:p>
      <w:pPr>
        <w:pStyle w:val="Normal0"/>
        <w:spacing w:line="360" w:lineRule="auto"/>
        <w:ind w:left="420" w:hanging="420" w:hangingChars="200"/>
        <w:rPr>
          <w:rFonts w:ascii="宋体" w:hAnsi="宋体" w:hint="eastAsia"/>
          <w:color w:val="333333"/>
          <w:szCs w:val="21"/>
        </w:rPr>
      </w:pPr>
      <w:r>
        <w:rPr>
          <w:rFonts w:ascii="宋体" w:hAnsi="宋体" w:hint="eastAsia"/>
          <w:color w:val="333333"/>
          <w:szCs w:val="21"/>
        </w:rPr>
        <w:t>第七条：对外签订</w:t>
      </w:r>
      <w:r>
        <w:rPr>
          <w:rFonts w:ascii="宋体" w:hAnsi="宋体" w:hint="eastAsia"/>
          <w:color w:val="333333"/>
          <w:szCs w:val="21"/>
          <w:lang w:eastAsia="zh-CN"/>
        </w:rPr>
        <w:t>合同合约</w:t>
      </w:r>
      <w:r>
        <w:rPr>
          <w:rFonts w:ascii="宋体" w:hAnsi="宋体" w:hint="eastAsia"/>
          <w:color w:val="333333"/>
          <w:szCs w:val="21"/>
        </w:rPr>
        <w:t>，除酒店法人外，其他人必须取得法人的书面委托。委托人必须对酒店负责，在授权范围内行使签约权。超越代理权限和非法人委托人均无权对外签约。</w:t>
      </w:r>
    </w:p>
    <w:p>
      <w:pPr>
        <w:pStyle w:val="Normal0"/>
        <w:spacing w:line="360" w:lineRule="auto"/>
        <w:ind w:left="420" w:hanging="420" w:hangingChars="200"/>
        <w:rPr>
          <w:rFonts w:ascii="宋体" w:hAnsi="宋体" w:hint="eastAsia"/>
          <w:szCs w:val="21"/>
        </w:rPr>
      </w:pPr>
      <w:r>
        <w:rPr>
          <w:rFonts w:ascii="宋体" w:hAnsi="宋体" w:hint="eastAsia"/>
          <w:color w:val="333333"/>
          <w:szCs w:val="21"/>
        </w:rPr>
        <w:t>第八条：</w:t>
      </w:r>
      <w:r>
        <w:rPr>
          <w:rFonts w:ascii="宋体" w:hAnsi="宋体" w:hint="eastAsia"/>
          <w:szCs w:val="21"/>
        </w:rPr>
        <w:t>授权委托事宜由酒店法人</w:t>
      </w:r>
      <w:r>
        <w:rPr>
          <w:rFonts w:ascii="宋体" w:hAnsi="宋体" w:hint="eastAsia"/>
          <w:szCs w:val="21"/>
          <w:lang w:eastAsia="zh-CN"/>
        </w:rPr>
        <w:t>管理管控</w:t>
      </w:r>
      <w:r>
        <w:rPr>
          <w:rFonts w:ascii="宋体" w:hAnsi="宋体" w:hint="eastAsia"/>
          <w:szCs w:val="21"/>
        </w:rPr>
        <w:t>，需授权人员在办理登记手续，领取、填写授权委托书，经酒店法定代表人签字并加盖公章后授权生效。</w:t>
      </w:r>
    </w:p>
    <w:p>
      <w:pPr>
        <w:pStyle w:val="Normal0"/>
        <w:spacing w:line="360" w:lineRule="auto"/>
        <w:ind w:left="420" w:hanging="420" w:hangingChars="200"/>
        <w:rPr>
          <w:rFonts w:ascii="宋体" w:hAnsi="宋体" w:hint="eastAsia"/>
          <w:color w:val="333333"/>
          <w:szCs w:val="21"/>
        </w:rPr>
      </w:pPr>
      <w:r>
        <w:rPr>
          <w:rFonts w:ascii="宋体" w:hAnsi="宋体" w:hint="eastAsia"/>
          <w:color w:val="333333"/>
          <w:szCs w:val="21"/>
        </w:rPr>
        <w:t>第九条：签约人在签订经济</w:t>
      </w:r>
      <w:r>
        <w:rPr>
          <w:rFonts w:ascii="宋体" w:hAnsi="宋体" w:hint="eastAsia"/>
          <w:color w:val="333333"/>
          <w:szCs w:val="21"/>
          <w:lang w:eastAsia="zh-CN"/>
        </w:rPr>
        <w:t>合同合约</w:t>
      </w:r>
      <w:r>
        <w:rPr>
          <w:rFonts w:ascii="宋体" w:hAnsi="宋体" w:hint="eastAsia"/>
          <w:color w:val="333333"/>
          <w:szCs w:val="21"/>
        </w:rPr>
        <w:t>之前，必须认真了解对方当事人的情况。包括：对方单位是否具有法人主体资格、是否有</w:t>
      </w:r>
      <w:r>
        <w:rPr>
          <w:rFonts w:ascii="宋体" w:hAnsi="宋体" w:hint="eastAsia"/>
          <w:color w:val="333333"/>
          <w:szCs w:val="21"/>
          <w:lang w:eastAsia="zh-CN"/>
        </w:rPr>
        <w:t>合同合约</w:t>
      </w:r>
      <w:r>
        <w:rPr>
          <w:rFonts w:ascii="宋体" w:hAnsi="宋体" w:hint="eastAsia"/>
          <w:color w:val="333333"/>
          <w:szCs w:val="21"/>
        </w:rPr>
        <w:t>标的经营权、是否有履约</w:t>
      </w:r>
      <w:r>
        <w:rPr>
          <w:rFonts w:ascii="宋体" w:hAnsi="宋体" w:hint="eastAsia"/>
          <w:color w:val="333333"/>
          <w:szCs w:val="21"/>
          <w:lang w:eastAsia="zh-CN"/>
        </w:rPr>
        <w:t>合同合约</w:t>
      </w:r>
      <w:r>
        <w:rPr>
          <w:rFonts w:ascii="宋体" w:hAnsi="宋体" w:hint="eastAsia"/>
          <w:color w:val="333333"/>
          <w:szCs w:val="21"/>
        </w:rPr>
        <w:t>的能力及其资信情况，对方签约人是否法定代表人或法人委托人及其代理权限。既要考虑本方的经济利益，又要考虑对方的条件和实际能力，防止</w:t>
      </w:r>
      <w:r>
        <w:rPr>
          <w:rFonts w:ascii="宋体" w:hAnsi="宋体" w:hint="eastAsia"/>
          <w:color w:val="333333"/>
          <w:szCs w:val="21"/>
          <w:lang w:eastAsia="zh-CN"/>
        </w:rPr>
        <w:t>合同合约</w:t>
      </w:r>
      <w:r>
        <w:rPr>
          <w:rFonts w:ascii="宋体" w:hAnsi="宋体" w:hint="eastAsia"/>
          <w:color w:val="333333"/>
          <w:szCs w:val="21"/>
        </w:rPr>
        <w:t>欺诈，防止签订无效</w:t>
      </w:r>
      <w:r>
        <w:rPr>
          <w:rFonts w:ascii="宋体" w:hAnsi="宋体" w:hint="eastAsia"/>
          <w:color w:val="333333"/>
          <w:szCs w:val="21"/>
          <w:lang w:eastAsia="zh-CN"/>
        </w:rPr>
        <w:t>合同合约</w:t>
      </w:r>
      <w:r>
        <w:rPr>
          <w:rFonts w:ascii="宋体" w:hAnsi="宋体" w:hint="eastAsia"/>
          <w:color w:val="333333"/>
          <w:szCs w:val="21"/>
        </w:rPr>
        <w:t>，保证</w:t>
      </w:r>
      <w:r>
        <w:rPr>
          <w:rFonts w:ascii="宋体" w:hAnsi="宋体" w:hint="eastAsia"/>
          <w:color w:val="333333"/>
          <w:szCs w:val="21"/>
          <w:lang w:eastAsia="zh-CN"/>
        </w:rPr>
        <w:t>合同合约</w:t>
      </w:r>
      <w:r>
        <w:rPr>
          <w:rFonts w:ascii="宋体" w:hAnsi="宋体" w:hint="eastAsia"/>
          <w:color w:val="333333"/>
          <w:szCs w:val="21"/>
        </w:rPr>
        <w:t>签订合法、有效、有利。</w:t>
      </w:r>
    </w:p>
    <w:p>
      <w:pPr>
        <w:pStyle w:val="Normal0"/>
        <w:spacing w:line="360" w:lineRule="auto"/>
        <w:ind w:left="420" w:hanging="420" w:hangingChars="200"/>
        <w:rPr>
          <w:rFonts w:ascii="宋体" w:hAnsi="宋体" w:hint="eastAsia"/>
          <w:color w:val="333333"/>
          <w:szCs w:val="21"/>
        </w:rPr>
      </w:pPr>
      <w:r>
        <w:rPr>
          <w:rFonts w:ascii="宋体" w:hAnsi="宋体" w:hint="eastAsia"/>
          <w:color w:val="333333"/>
          <w:szCs w:val="21"/>
        </w:rPr>
        <w:t>第十条：签订经济</w:t>
      </w:r>
      <w:r>
        <w:rPr>
          <w:rFonts w:ascii="宋体" w:hAnsi="宋体" w:hint="eastAsia"/>
          <w:color w:val="333333"/>
          <w:szCs w:val="21"/>
          <w:lang w:eastAsia="zh-CN"/>
        </w:rPr>
        <w:t>合同合约</w:t>
      </w:r>
      <w:r>
        <w:rPr>
          <w:rFonts w:ascii="宋体" w:hAnsi="宋体" w:hint="eastAsia"/>
          <w:color w:val="333333"/>
          <w:szCs w:val="21"/>
        </w:rPr>
        <w:t>，必须做到“公平合理、互惠互利、平等协商、等价有偿”的原则和“性价比择优的原则签约。</w:t>
      </w:r>
    </w:p>
    <w:p>
      <w:pPr>
        <w:pStyle w:val="Normal0"/>
        <w:spacing w:line="360" w:lineRule="auto"/>
        <w:ind w:left="420" w:hanging="420" w:hangingChars="200"/>
        <w:rPr>
          <w:rFonts w:ascii="宋体" w:hAnsi="宋体" w:hint="eastAsia"/>
          <w:color w:val="333333"/>
          <w:szCs w:val="21"/>
        </w:rPr>
      </w:pPr>
      <w:r>
        <w:rPr>
          <w:rFonts w:ascii="宋体" w:hAnsi="宋体" w:hint="eastAsia"/>
          <w:color w:val="333333"/>
          <w:szCs w:val="21"/>
        </w:rPr>
        <w:t>第十一条：</w:t>
      </w:r>
      <w:r>
        <w:rPr>
          <w:rFonts w:ascii="宋体" w:hAnsi="宋体" w:hint="eastAsia"/>
          <w:color w:val="333333"/>
          <w:szCs w:val="21"/>
          <w:lang w:eastAsia="zh-CN"/>
        </w:rPr>
        <w:t>合同合约</w:t>
      </w:r>
      <w:r>
        <w:rPr>
          <w:rFonts w:ascii="宋体" w:hAnsi="宋体" w:hint="eastAsia"/>
          <w:color w:val="333333"/>
          <w:szCs w:val="21"/>
        </w:rPr>
        <w:t>对当事人的权力、义务的规定必须明确、具体、文字表达要清楚、准确。签订</w:t>
      </w:r>
      <w:r>
        <w:rPr>
          <w:rFonts w:ascii="宋体" w:hAnsi="宋体" w:hint="eastAsia"/>
          <w:color w:val="333333"/>
          <w:szCs w:val="21"/>
          <w:lang w:eastAsia="zh-CN"/>
        </w:rPr>
        <w:t>合同合约</w:t>
      </w:r>
      <w:r>
        <w:rPr>
          <w:rFonts w:ascii="宋体" w:hAnsi="宋体" w:hint="eastAsia"/>
          <w:color w:val="333333"/>
          <w:szCs w:val="21"/>
        </w:rPr>
        <w:t>应注意的主要问题：</w:t>
      </w:r>
    </w:p>
    <w:p>
      <w:pPr>
        <w:pStyle w:val="Normal0"/>
        <w:spacing w:line="360" w:lineRule="auto"/>
        <w:ind w:left="945" w:hanging="945" w:hangingChars="450"/>
        <w:rPr>
          <w:rFonts w:ascii="宋体" w:hAnsi="宋体" w:hint="eastAsia"/>
          <w:color w:val="333333"/>
          <w:szCs w:val="21"/>
        </w:rPr>
      </w:pPr>
      <w:r>
        <w:rPr>
          <w:rFonts w:ascii="宋体" w:hAnsi="宋体" w:hint="eastAsia"/>
          <w:color w:val="333333"/>
          <w:szCs w:val="21"/>
        </w:rPr>
        <w:t xml:space="preserve">    1、</w:t>
      </w:r>
      <w:r>
        <w:rPr>
          <w:rFonts w:ascii="宋体" w:hAnsi="宋体" w:hint="eastAsia"/>
          <w:color w:val="333333"/>
          <w:szCs w:val="21"/>
          <w:lang w:eastAsia="zh-CN"/>
        </w:rPr>
        <w:t>合同合约</w:t>
      </w:r>
      <w:r>
        <w:rPr>
          <w:rFonts w:ascii="宋体" w:hAnsi="宋体" w:hint="eastAsia"/>
          <w:color w:val="333333"/>
          <w:szCs w:val="21"/>
        </w:rPr>
        <w:t>抬头应有签约双方公司的全称、地址、联系方式（电话、传真）及联系人。</w:t>
      </w:r>
    </w:p>
    <w:p>
      <w:pPr>
        <w:pStyle w:val="Normal0"/>
        <w:spacing w:line="360" w:lineRule="auto"/>
        <w:ind w:left="886" w:hanging="525" w:leftChars="172" w:hangingChars="250"/>
        <w:rPr>
          <w:rFonts w:ascii="宋体" w:hAnsi="宋体" w:hint="eastAsia"/>
          <w:color w:val="333333"/>
          <w:szCs w:val="21"/>
        </w:rPr>
      </w:pPr>
      <w:r>
        <w:rPr>
          <w:rFonts w:ascii="宋体" w:hAnsi="宋体" w:hint="eastAsia"/>
          <w:color w:val="333333"/>
          <w:szCs w:val="21"/>
        </w:rPr>
        <w:t>2、</w:t>
      </w:r>
      <w:r>
        <w:rPr>
          <w:rFonts w:ascii="宋体" w:hAnsi="宋体" w:hint="eastAsia"/>
          <w:color w:val="333333"/>
          <w:szCs w:val="21"/>
          <w:lang w:eastAsia="zh-CN"/>
        </w:rPr>
        <w:t>合同合约</w:t>
      </w:r>
      <w:r>
        <w:rPr>
          <w:rFonts w:ascii="宋体" w:hAnsi="宋体" w:hint="eastAsia"/>
          <w:color w:val="333333"/>
          <w:szCs w:val="21"/>
        </w:rPr>
        <w:t>标的应清楚明确。</w:t>
      </w:r>
    </w:p>
    <w:p>
      <w:pPr>
        <w:pStyle w:val="Normal0"/>
        <w:spacing w:line="360" w:lineRule="auto"/>
        <w:ind w:left="676" w:hanging="315" w:leftChars="172" w:hangingChars="150"/>
        <w:rPr>
          <w:rFonts w:ascii="宋体" w:hAnsi="宋体" w:hint="eastAsia"/>
          <w:color w:val="333333"/>
          <w:szCs w:val="21"/>
        </w:rPr>
        <w:sectPr>
          <w:headerReference w:type="default" r:id="rId61"/>
          <w:footerReference w:type="default" r:id="rId62"/>
          <w:type w:val="nextPage"/>
          <w:pgSz w:w="11906" w:h="16838"/>
          <w:pgMar w:top="851" w:right="1466" w:bottom="1077" w:left="1800" w:header="720" w:footer="720" w:gutter="0"/>
          <w:pgNumType w:start="29"/>
          <w:cols w:num="1" w:space="720"/>
          <w:titlePg w:val="0"/>
          <w:docGrid w:type="lines" w:linePitch="312" w:charSpace="0"/>
        </w:sectPr>
      </w:pPr>
      <w:r>
        <w:rPr>
          <w:rFonts w:ascii="宋体" w:hAnsi="宋体" w:hint="eastAsia"/>
          <w:color w:val="333333"/>
          <w:szCs w:val="21"/>
        </w:rPr>
        <w:t>3、</w:t>
      </w:r>
      <w:r>
        <w:rPr>
          <w:rFonts w:ascii="宋体" w:hAnsi="宋体" w:hint="eastAsia"/>
          <w:color w:val="333333"/>
          <w:szCs w:val="21"/>
          <w:lang w:eastAsia="zh-CN"/>
        </w:rPr>
        <w:t>合同合约合适的内容</w:t>
      </w:r>
      <w:r>
        <w:rPr>
          <w:rFonts w:ascii="宋体" w:hAnsi="宋体" w:hint="eastAsia"/>
          <w:color w:val="333333"/>
          <w:szCs w:val="21"/>
        </w:rPr>
        <w:t>应明确规定签约双方的权力及义务，对产品或服务的要求，履约地点、时间及检验方式，</w:t>
      </w:r>
      <w:r>
        <w:rPr>
          <w:rFonts w:ascii="宋体" w:hAnsi="宋体" w:hint="eastAsia"/>
          <w:color w:val="333333"/>
          <w:szCs w:val="21"/>
          <w:lang w:eastAsia="zh-CN"/>
        </w:rPr>
        <w:t>合同合约</w:t>
      </w:r>
      <w:r>
        <w:rPr>
          <w:rFonts w:ascii="宋体" w:hAnsi="宋体" w:hint="eastAsia"/>
          <w:color w:val="333333"/>
          <w:szCs w:val="21"/>
        </w:rPr>
        <w:t>总金额及付款方式。</w:t>
      </w:r>
    </w:p>
    <w:p>
      <w:pPr>
        <w:pStyle w:val="Normal0"/>
        <w:spacing w:line="360" w:lineRule="auto"/>
        <w:ind w:left="886" w:hanging="525" w:leftChars="172" w:hangingChars="250"/>
        <w:rPr>
          <w:rFonts w:ascii="宋体" w:hAnsi="宋体" w:hint="eastAsia"/>
          <w:color w:val="333333"/>
          <w:szCs w:val="21"/>
        </w:rPr>
      </w:pPr>
      <w:r>
        <w:rPr>
          <w:rFonts w:ascii="宋体" w:hAnsi="宋体" w:hint="eastAsia"/>
          <w:color w:val="333333"/>
          <w:szCs w:val="21"/>
        </w:rPr>
        <w:t>4、违约责任及处理方法、解决争议的方法，</w:t>
      </w:r>
      <w:r>
        <w:rPr>
          <w:rFonts w:ascii="宋体" w:hAnsi="宋体" w:hint="eastAsia"/>
          <w:color w:val="333333"/>
          <w:szCs w:val="21"/>
          <w:lang w:eastAsia="zh-CN"/>
        </w:rPr>
        <w:t>合同合约</w:t>
      </w:r>
      <w:r>
        <w:rPr>
          <w:rFonts w:ascii="宋体" w:hAnsi="宋体" w:hint="eastAsia"/>
          <w:color w:val="333333"/>
          <w:szCs w:val="21"/>
        </w:rPr>
        <w:t>起止日期等必须写清楚。</w:t>
      </w:r>
    </w:p>
    <w:p>
      <w:pPr>
        <w:pStyle w:val="Normal0"/>
        <w:spacing w:line="360" w:lineRule="auto"/>
        <w:ind w:left="886" w:hanging="525" w:leftChars="172" w:hangingChars="250"/>
        <w:rPr>
          <w:rFonts w:ascii="宋体" w:hAnsi="宋体" w:hint="eastAsia"/>
          <w:color w:val="333333"/>
          <w:szCs w:val="21"/>
        </w:rPr>
      </w:pPr>
      <w:r>
        <w:rPr>
          <w:rFonts w:ascii="宋体" w:hAnsi="宋体" w:hint="eastAsia"/>
          <w:color w:val="333333"/>
          <w:szCs w:val="21"/>
        </w:rPr>
        <w:t>5、</w:t>
      </w:r>
      <w:r>
        <w:rPr>
          <w:rFonts w:ascii="宋体" w:hAnsi="宋体" w:hint="eastAsia"/>
          <w:szCs w:val="21"/>
        </w:rPr>
        <w:t>签约双方的合格印章---公司公章或</w:t>
      </w:r>
      <w:r>
        <w:rPr>
          <w:rFonts w:ascii="宋体" w:hAnsi="宋体" w:hint="eastAsia"/>
          <w:szCs w:val="21"/>
          <w:lang w:eastAsia="zh-CN"/>
        </w:rPr>
        <w:t>合同合约</w:t>
      </w:r>
      <w:r>
        <w:rPr>
          <w:rFonts w:ascii="宋体" w:hAnsi="宋体" w:hint="eastAsia"/>
          <w:szCs w:val="21"/>
        </w:rPr>
        <w:t>专用章，及签约日期。</w:t>
      </w:r>
    </w:p>
    <w:p>
      <w:pPr>
        <w:pStyle w:val="Normal0"/>
        <w:spacing w:line="360" w:lineRule="auto"/>
        <w:rPr>
          <w:rFonts w:ascii="宋体" w:hAnsi="宋体" w:hint="eastAsia"/>
          <w:szCs w:val="21"/>
        </w:rPr>
      </w:pPr>
      <w:r>
        <w:rPr>
          <w:rFonts w:ascii="宋体" w:hAnsi="宋体" w:hint="eastAsia"/>
          <w:szCs w:val="21"/>
        </w:rPr>
        <w:t>第十二条：签订对外</w:t>
      </w:r>
      <w:r>
        <w:rPr>
          <w:rFonts w:ascii="宋体" w:hAnsi="宋体" w:hint="eastAsia"/>
          <w:szCs w:val="21"/>
          <w:lang w:eastAsia="zh-CN"/>
        </w:rPr>
        <w:t>合同合约</w:t>
      </w:r>
      <w:r>
        <w:rPr>
          <w:rFonts w:ascii="宋体" w:hAnsi="宋体" w:hint="eastAsia"/>
          <w:szCs w:val="21"/>
        </w:rPr>
        <w:t>必须以维护酒店合法权益为宗旨，不得有损酒店利益的行为发生。</w:t>
      </w:r>
    </w:p>
    <w:p>
      <w:pPr>
        <w:pStyle w:val="Normal0"/>
        <w:spacing w:line="360" w:lineRule="auto"/>
        <w:rPr>
          <w:rFonts w:ascii="宋体" w:hAnsi="宋体" w:hint="eastAsia"/>
          <w:b/>
          <w:color w:val="333333"/>
          <w:szCs w:val="21"/>
        </w:rPr>
      </w:pPr>
      <w:r>
        <w:rPr>
          <w:rFonts w:ascii="宋体" w:hAnsi="宋体" w:hint="eastAsia"/>
          <w:b/>
          <w:color w:val="333333"/>
          <w:szCs w:val="21"/>
        </w:rPr>
        <w:t>第三章：</w:t>
      </w:r>
      <w:r>
        <w:rPr>
          <w:rFonts w:ascii="宋体" w:hAnsi="宋体" w:hint="eastAsia"/>
          <w:b/>
          <w:color w:val="333333"/>
          <w:szCs w:val="21"/>
          <w:lang w:eastAsia="zh-CN"/>
        </w:rPr>
        <w:t>合同合约</w:t>
      </w:r>
      <w:r>
        <w:rPr>
          <w:rFonts w:ascii="宋体" w:hAnsi="宋体" w:hint="eastAsia"/>
          <w:b/>
          <w:color w:val="333333"/>
          <w:szCs w:val="21"/>
        </w:rPr>
        <w:t>的审查批准</w:t>
      </w:r>
    </w:p>
    <w:p>
      <w:pPr>
        <w:pStyle w:val="Normal0"/>
        <w:spacing w:line="360" w:lineRule="auto"/>
        <w:rPr>
          <w:rFonts w:ascii="宋体" w:hAnsi="宋体" w:hint="eastAsia"/>
          <w:color w:val="333333"/>
          <w:szCs w:val="21"/>
        </w:rPr>
      </w:pPr>
      <w:r>
        <w:rPr>
          <w:rFonts w:ascii="宋体" w:hAnsi="宋体" w:hint="eastAsia"/>
          <w:color w:val="333333"/>
          <w:szCs w:val="21"/>
        </w:rPr>
        <w:t>第十三条：经济</w:t>
      </w:r>
      <w:r>
        <w:rPr>
          <w:rFonts w:ascii="宋体" w:hAnsi="宋体" w:hint="eastAsia"/>
          <w:color w:val="333333"/>
          <w:szCs w:val="21"/>
          <w:lang w:eastAsia="zh-CN"/>
        </w:rPr>
        <w:t>合同合约</w:t>
      </w:r>
      <w:r>
        <w:rPr>
          <w:rFonts w:ascii="宋体" w:hAnsi="宋体" w:hint="eastAsia"/>
          <w:color w:val="333333"/>
          <w:szCs w:val="21"/>
        </w:rPr>
        <w:t>在正式签署前应按规定进行审查、批准，未经审查批准的不得签订。</w:t>
      </w:r>
    </w:p>
    <w:p>
      <w:pPr>
        <w:pStyle w:val="Normal0"/>
        <w:spacing w:line="360" w:lineRule="auto"/>
        <w:ind w:left="420" w:hanging="420" w:hangingChars="200"/>
        <w:rPr>
          <w:rFonts w:ascii="宋体" w:hAnsi="宋体" w:hint="eastAsia"/>
          <w:color w:val="333333"/>
          <w:szCs w:val="21"/>
        </w:rPr>
      </w:pPr>
      <w:r>
        <w:rPr>
          <w:rFonts w:ascii="宋体" w:hAnsi="宋体" w:hint="eastAsia"/>
          <w:color w:val="333333"/>
          <w:szCs w:val="21"/>
        </w:rPr>
        <w:t>第十四条：</w:t>
      </w:r>
      <w:r>
        <w:rPr>
          <w:rFonts w:ascii="宋体" w:hAnsi="宋体" w:hint="eastAsia"/>
          <w:color w:val="333333"/>
          <w:szCs w:val="21"/>
          <w:lang w:eastAsia="zh-CN"/>
        </w:rPr>
        <w:t>合同合约</w:t>
      </w:r>
      <w:r>
        <w:rPr>
          <w:rFonts w:ascii="宋体" w:hAnsi="宋体" w:hint="eastAsia"/>
          <w:color w:val="333333"/>
          <w:szCs w:val="21"/>
        </w:rPr>
        <w:t>文本拟定后，需按规定经相关职能部门负责人审核，由酒店总经理或公司总经理审批后签订，盖酒店</w:t>
      </w:r>
      <w:r>
        <w:rPr>
          <w:rFonts w:ascii="宋体" w:hAnsi="宋体" w:hint="eastAsia"/>
          <w:color w:val="333333"/>
          <w:szCs w:val="21"/>
          <w:lang w:eastAsia="zh-CN"/>
        </w:rPr>
        <w:t>合同合约</w:t>
      </w:r>
      <w:r>
        <w:rPr>
          <w:rFonts w:ascii="宋体" w:hAnsi="宋体" w:hint="eastAsia"/>
          <w:color w:val="333333"/>
          <w:szCs w:val="21"/>
        </w:rPr>
        <w:t>专用章生效。</w:t>
      </w:r>
    </w:p>
    <w:p>
      <w:pPr>
        <w:pStyle w:val="Normal0"/>
        <w:spacing w:line="360" w:lineRule="auto"/>
        <w:rPr>
          <w:rFonts w:ascii="宋体" w:hAnsi="宋体" w:hint="eastAsia"/>
          <w:color w:val="333333"/>
          <w:szCs w:val="21"/>
        </w:rPr>
      </w:pPr>
      <w:r>
        <w:rPr>
          <w:rFonts w:ascii="宋体" w:hAnsi="宋体" w:hint="eastAsia"/>
          <w:color w:val="333333"/>
          <w:szCs w:val="21"/>
        </w:rPr>
        <w:t>第十五条：酒店</w:t>
      </w:r>
      <w:r>
        <w:rPr>
          <w:rFonts w:ascii="宋体" w:hAnsi="宋体" w:hint="eastAsia"/>
          <w:color w:val="333333"/>
          <w:szCs w:val="21"/>
          <w:lang w:eastAsia="zh-CN"/>
        </w:rPr>
        <w:t>合同合约</w:t>
      </w:r>
      <w:r>
        <w:rPr>
          <w:rFonts w:ascii="宋体" w:hAnsi="宋体" w:hint="eastAsia"/>
          <w:color w:val="333333"/>
          <w:szCs w:val="21"/>
        </w:rPr>
        <w:t>的拟定及审批程序</w:t>
      </w:r>
    </w:p>
    <w:p>
      <w:pPr>
        <w:pStyle w:val="Normal0"/>
        <w:numPr>
          <w:ilvl w:val="0"/>
          <w:numId w:val="68"/>
        </w:numPr>
        <w:spacing w:line="360" w:lineRule="auto"/>
        <w:rPr>
          <w:rFonts w:ascii="宋体" w:hAnsi="宋体" w:hint="eastAsia"/>
          <w:color w:val="333333"/>
          <w:szCs w:val="21"/>
        </w:rPr>
      </w:pPr>
      <w:r>
        <w:rPr>
          <w:rFonts w:ascii="宋体" w:hAnsi="宋体" w:hint="eastAsia"/>
          <w:color w:val="333333"/>
          <w:szCs w:val="21"/>
        </w:rPr>
        <w:t>销售</w:t>
      </w:r>
      <w:r>
        <w:rPr>
          <w:rFonts w:ascii="宋体" w:hAnsi="宋体" w:hint="eastAsia"/>
          <w:color w:val="333333"/>
          <w:szCs w:val="21"/>
          <w:lang w:eastAsia="zh-CN"/>
        </w:rPr>
        <w:t>合同合约</w:t>
      </w:r>
      <w:r>
        <w:rPr>
          <w:rFonts w:ascii="宋体" w:hAnsi="宋体" w:hint="eastAsia"/>
          <w:color w:val="333333"/>
          <w:szCs w:val="21"/>
        </w:rPr>
        <w:t>，由销售部拟定并跟进，由财务部审核，由酒店总经理审批。</w:t>
      </w:r>
    </w:p>
    <w:p>
      <w:pPr>
        <w:pStyle w:val="Normal0"/>
        <w:numPr>
          <w:ilvl w:val="0"/>
          <w:numId w:val="68"/>
        </w:numPr>
        <w:spacing w:line="360" w:lineRule="auto"/>
        <w:rPr>
          <w:rFonts w:ascii="宋体" w:hAnsi="宋体" w:hint="eastAsia"/>
          <w:color w:val="333333"/>
          <w:szCs w:val="21"/>
        </w:rPr>
      </w:pPr>
      <w:r>
        <w:rPr>
          <w:rFonts w:ascii="宋体" w:hAnsi="宋体" w:hint="eastAsia"/>
          <w:color w:val="333333"/>
          <w:szCs w:val="21"/>
        </w:rPr>
        <w:t>维修、保养</w:t>
      </w:r>
      <w:r>
        <w:rPr>
          <w:rFonts w:ascii="宋体" w:hAnsi="宋体" w:hint="eastAsia"/>
          <w:color w:val="333333"/>
          <w:szCs w:val="21"/>
          <w:lang w:eastAsia="zh-CN"/>
        </w:rPr>
        <w:t>合同合约</w:t>
      </w:r>
      <w:r>
        <w:rPr>
          <w:rFonts w:ascii="宋体" w:hAnsi="宋体" w:hint="eastAsia"/>
          <w:color w:val="333333"/>
          <w:szCs w:val="21"/>
        </w:rPr>
        <w:t>，由业务部门和工程部门共同拟定，由财务部审核，由酒店总经理或公司总经理审批。</w:t>
      </w:r>
    </w:p>
    <w:p>
      <w:pPr>
        <w:pStyle w:val="Normal0"/>
        <w:numPr>
          <w:ilvl w:val="0"/>
          <w:numId w:val="68"/>
        </w:numPr>
        <w:spacing w:line="360" w:lineRule="auto"/>
        <w:rPr>
          <w:rFonts w:ascii="宋体" w:hAnsi="宋体" w:hint="eastAsia"/>
          <w:color w:val="333333"/>
          <w:szCs w:val="21"/>
        </w:rPr>
      </w:pPr>
      <w:r>
        <w:rPr>
          <w:rFonts w:ascii="宋体" w:hAnsi="宋体" w:hint="eastAsia"/>
          <w:color w:val="333333"/>
          <w:szCs w:val="21"/>
        </w:rPr>
        <w:t>劳务服务</w:t>
      </w:r>
      <w:r>
        <w:rPr>
          <w:rFonts w:ascii="宋体" w:hAnsi="宋体" w:hint="eastAsia"/>
          <w:color w:val="333333"/>
          <w:szCs w:val="21"/>
          <w:lang w:eastAsia="zh-CN"/>
        </w:rPr>
        <w:t>合同合约</w:t>
      </w:r>
      <w:r>
        <w:rPr>
          <w:rFonts w:ascii="宋体" w:hAnsi="宋体" w:hint="eastAsia"/>
          <w:color w:val="333333"/>
          <w:szCs w:val="21"/>
        </w:rPr>
        <w:t>，由业务部门拟定，由财务部审核，由酒店总经理或公司总经理审批。</w:t>
      </w:r>
    </w:p>
    <w:p>
      <w:pPr>
        <w:pStyle w:val="Normal0"/>
        <w:numPr>
          <w:ilvl w:val="0"/>
          <w:numId w:val="68"/>
        </w:numPr>
        <w:spacing w:line="360" w:lineRule="auto"/>
        <w:rPr>
          <w:rFonts w:ascii="宋体" w:hAnsi="宋体" w:hint="eastAsia"/>
          <w:color w:val="333333"/>
          <w:szCs w:val="21"/>
        </w:rPr>
      </w:pPr>
      <w:r>
        <w:rPr>
          <w:rFonts w:ascii="宋体" w:hAnsi="宋体" w:hint="eastAsia"/>
          <w:color w:val="333333"/>
          <w:szCs w:val="21"/>
        </w:rPr>
        <w:t>借款及租赁</w:t>
      </w:r>
      <w:r>
        <w:rPr>
          <w:rFonts w:ascii="宋体" w:hAnsi="宋体" w:hint="eastAsia"/>
          <w:color w:val="333333"/>
          <w:szCs w:val="21"/>
          <w:lang w:eastAsia="zh-CN"/>
        </w:rPr>
        <w:t>合同合约</w:t>
      </w:r>
      <w:r>
        <w:rPr>
          <w:rFonts w:ascii="宋体" w:hAnsi="宋体" w:hint="eastAsia"/>
          <w:color w:val="333333"/>
          <w:szCs w:val="21"/>
        </w:rPr>
        <w:t>，由财务部拟定并审查，由公司总经理审批。</w:t>
      </w:r>
    </w:p>
    <w:p>
      <w:pPr>
        <w:pStyle w:val="Normal0"/>
        <w:numPr>
          <w:ilvl w:val="0"/>
          <w:numId w:val="68"/>
        </w:numPr>
        <w:spacing w:line="360" w:lineRule="auto"/>
        <w:rPr>
          <w:rFonts w:ascii="宋体" w:hAnsi="宋体" w:hint="eastAsia"/>
          <w:color w:val="333333"/>
          <w:szCs w:val="21"/>
        </w:rPr>
      </w:pPr>
      <w:r>
        <w:rPr>
          <w:rFonts w:ascii="宋体" w:hAnsi="宋体" w:hint="eastAsia"/>
          <w:color w:val="333333"/>
          <w:szCs w:val="21"/>
        </w:rPr>
        <w:t>保险</w:t>
      </w:r>
      <w:r>
        <w:rPr>
          <w:rFonts w:ascii="宋体" w:hAnsi="宋体" w:hint="eastAsia"/>
          <w:color w:val="333333"/>
          <w:szCs w:val="21"/>
          <w:lang w:eastAsia="zh-CN"/>
        </w:rPr>
        <w:t>合同合约</w:t>
      </w:r>
      <w:r>
        <w:rPr>
          <w:rFonts w:ascii="宋体" w:hAnsi="宋体" w:hint="eastAsia"/>
          <w:color w:val="333333"/>
          <w:szCs w:val="21"/>
        </w:rPr>
        <w:t>，企业财产险、车辆全险、第三者责任险，由财务部审查，酒店总经理审核，公司总经理审批。员工工伤险及其他保险，由人事部跟进、财务部审查，酒店总经理或公司总经理审批。</w:t>
      </w:r>
    </w:p>
    <w:p>
      <w:pPr>
        <w:pStyle w:val="Normal0"/>
        <w:numPr>
          <w:ilvl w:val="0"/>
          <w:numId w:val="68"/>
        </w:numPr>
        <w:spacing w:line="360" w:lineRule="auto"/>
        <w:rPr>
          <w:rFonts w:ascii="宋体" w:hAnsi="宋体" w:hint="eastAsia"/>
          <w:color w:val="333333"/>
          <w:szCs w:val="21"/>
        </w:rPr>
      </w:pPr>
      <w:r>
        <w:rPr>
          <w:rFonts w:ascii="宋体" w:hAnsi="宋体" w:hint="eastAsia"/>
          <w:color w:val="333333"/>
          <w:szCs w:val="21"/>
        </w:rPr>
        <w:t>采购</w:t>
      </w:r>
      <w:r>
        <w:rPr>
          <w:rFonts w:ascii="宋体" w:hAnsi="宋体" w:hint="eastAsia"/>
          <w:color w:val="333333"/>
          <w:szCs w:val="21"/>
          <w:lang w:eastAsia="zh-CN"/>
        </w:rPr>
        <w:t>合同合约</w:t>
      </w:r>
      <w:r>
        <w:rPr>
          <w:rFonts w:ascii="宋体" w:hAnsi="宋体" w:hint="eastAsia"/>
          <w:color w:val="333333"/>
          <w:szCs w:val="21"/>
        </w:rPr>
        <w:t>，由采购部拟定并跟进，由业务部门审查，由财务部审核，由酒店总经理或公司总经理审批。</w:t>
      </w:r>
    </w:p>
    <w:p>
      <w:pPr>
        <w:pStyle w:val="Normal0"/>
        <w:numPr>
          <w:ilvl w:val="0"/>
          <w:numId w:val="68"/>
        </w:numPr>
        <w:spacing w:line="360" w:lineRule="auto"/>
        <w:rPr>
          <w:rFonts w:ascii="宋体" w:hAnsi="宋体" w:hint="eastAsia"/>
          <w:color w:val="333333"/>
          <w:szCs w:val="21"/>
        </w:rPr>
      </w:pPr>
      <w:r>
        <w:rPr>
          <w:rFonts w:ascii="宋体" w:hAnsi="宋体" w:hint="eastAsia"/>
          <w:color w:val="333333"/>
          <w:szCs w:val="21"/>
        </w:rPr>
        <w:t>重要经济</w:t>
      </w:r>
      <w:r>
        <w:rPr>
          <w:rFonts w:ascii="宋体" w:hAnsi="宋体" w:hint="eastAsia"/>
          <w:color w:val="333333"/>
          <w:szCs w:val="21"/>
          <w:lang w:eastAsia="zh-CN"/>
        </w:rPr>
        <w:t>合同合约</w:t>
      </w:r>
      <w:r>
        <w:rPr>
          <w:rFonts w:ascii="宋体" w:hAnsi="宋体" w:hint="eastAsia"/>
          <w:color w:val="333333"/>
          <w:szCs w:val="21"/>
        </w:rPr>
        <w:t>或较复杂之经济</w:t>
      </w:r>
      <w:r>
        <w:rPr>
          <w:rFonts w:ascii="宋体" w:hAnsi="宋体" w:hint="eastAsia"/>
          <w:color w:val="333333"/>
          <w:szCs w:val="21"/>
          <w:lang w:eastAsia="zh-CN"/>
        </w:rPr>
        <w:t>合同合约</w:t>
      </w:r>
      <w:r>
        <w:rPr>
          <w:rFonts w:ascii="宋体" w:hAnsi="宋体" w:hint="eastAsia"/>
          <w:color w:val="333333"/>
          <w:szCs w:val="21"/>
        </w:rPr>
        <w:t>，由公司总经理授权，交由法律顾问审核。</w:t>
      </w:r>
    </w:p>
    <w:p>
      <w:pPr>
        <w:pStyle w:val="Normal0"/>
        <w:spacing w:line="360" w:lineRule="auto"/>
        <w:rPr>
          <w:rFonts w:ascii="宋体" w:hAnsi="宋体" w:hint="eastAsia"/>
          <w:szCs w:val="21"/>
        </w:rPr>
      </w:pPr>
      <w:r>
        <w:rPr>
          <w:rFonts w:ascii="宋体" w:hAnsi="宋体" w:hint="eastAsia"/>
          <w:szCs w:val="21"/>
        </w:rPr>
        <w:t>第十六条：采购</w:t>
      </w:r>
      <w:r>
        <w:rPr>
          <w:rFonts w:ascii="宋体" w:hAnsi="宋体" w:hint="eastAsia"/>
          <w:szCs w:val="21"/>
          <w:lang w:eastAsia="zh-CN"/>
        </w:rPr>
        <w:t>合同合约</w:t>
      </w:r>
      <w:r>
        <w:rPr>
          <w:rFonts w:ascii="宋体" w:hAnsi="宋体" w:hint="eastAsia"/>
          <w:szCs w:val="21"/>
        </w:rPr>
        <w:t>的审批权限：</w:t>
      </w:r>
    </w:p>
    <w:p>
      <w:pPr>
        <w:pStyle w:val="Normal0"/>
        <w:spacing w:line="360" w:lineRule="auto"/>
        <w:ind w:firstLine="420" w:firstLineChars="200"/>
        <w:rPr>
          <w:rFonts w:ascii="宋体" w:hAnsi="宋体" w:hint="eastAsia"/>
          <w:szCs w:val="21"/>
        </w:rPr>
      </w:pPr>
      <w:r>
        <w:rPr>
          <w:rFonts w:ascii="宋体" w:hAnsi="宋体" w:hint="eastAsia"/>
          <w:szCs w:val="21"/>
        </w:rPr>
        <w:t>1、</w:t>
      </w:r>
      <w:r>
        <w:rPr>
          <w:rFonts w:ascii="宋体" w:hAnsi="宋体" w:hint="eastAsia"/>
          <w:szCs w:val="21"/>
          <w:lang w:eastAsia="zh-CN"/>
        </w:rPr>
        <w:t>合同合约</w:t>
      </w:r>
      <w:r>
        <w:rPr>
          <w:rFonts w:ascii="宋体" w:hAnsi="宋体" w:hint="eastAsia"/>
          <w:szCs w:val="21"/>
        </w:rPr>
        <w:t>总金额在50000以下的由酒店总经理审批。</w:t>
      </w:r>
    </w:p>
    <w:p>
      <w:pPr>
        <w:pStyle w:val="Normal0"/>
        <w:spacing w:line="360" w:lineRule="auto"/>
        <w:ind w:firstLine="420" w:firstLineChars="200"/>
        <w:rPr>
          <w:rFonts w:ascii="宋体" w:hAnsi="宋体" w:hint="eastAsia"/>
          <w:szCs w:val="21"/>
        </w:rPr>
      </w:pPr>
      <w:r>
        <w:rPr>
          <w:rFonts w:ascii="宋体" w:hAnsi="宋体" w:hint="eastAsia"/>
          <w:szCs w:val="21"/>
        </w:rPr>
        <w:t>2、</w:t>
      </w:r>
      <w:r>
        <w:rPr>
          <w:rFonts w:ascii="宋体" w:hAnsi="宋体" w:hint="eastAsia"/>
          <w:szCs w:val="21"/>
          <w:lang w:eastAsia="zh-CN"/>
        </w:rPr>
        <w:t>合同合约</w:t>
      </w:r>
      <w:r>
        <w:rPr>
          <w:rFonts w:ascii="宋体" w:hAnsi="宋体" w:hint="eastAsia"/>
          <w:szCs w:val="21"/>
        </w:rPr>
        <w:t>总金额在50000元以上的报集团公司审批。</w:t>
      </w:r>
    </w:p>
    <w:p>
      <w:pPr>
        <w:pStyle w:val="Normal0"/>
        <w:spacing w:line="360" w:lineRule="auto"/>
        <w:ind w:firstLine="420" w:firstLineChars="200"/>
        <w:rPr>
          <w:rFonts w:ascii="宋体" w:hAnsi="宋体" w:hint="eastAsia"/>
          <w:szCs w:val="21"/>
        </w:rPr>
      </w:pPr>
      <w:r>
        <w:rPr>
          <w:rFonts w:ascii="宋体" w:hAnsi="宋体" w:hint="eastAsia"/>
          <w:szCs w:val="21"/>
        </w:rPr>
        <w:t>3、单位价值在5000元以上的设备</w:t>
      </w:r>
      <w:r>
        <w:rPr>
          <w:rFonts w:ascii="宋体" w:hAnsi="宋体" w:hint="eastAsia"/>
          <w:szCs w:val="21"/>
          <w:lang w:eastAsia="zh-CN"/>
        </w:rPr>
        <w:t>合同合约</w:t>
      </w:r>
      <w:r>
        <w:rPr>
          <w:rFonts w:ascii="宋体" w:hAnsi="宋体" w:hint="eastAsia"/>
          <w:szCs w:val="21"/>
        </w:rPr>
        <w:t>报集团公司审批。</w:t>
      </w:r>
    </w:p>
    <w:p>
      <w:pPr>
        <w:pStyle w:val="Normal0"/>
        <w:spacing w:line="360" w:lineRule="auto"/>
        <w:rPr>
          <w:rFonts w:ascii="宋体" w:hAnsi="宋体" w:hint="eastAsia"/>
          <w:szCs w:val="21"/>
        </w:rPr>
      </w:pPr>
      <w:r>
        <w:rPr>
          <w:rFonts w:ascii="宋体" w:hAnsi="宋体" w:hint="eastAsia"/>
          <w:szCs w:val="21"/>
        </w:rPr>
        <w:t>第十七条：</w:t>
      </w:r>
      <w:r>
        <w:rPr>
          <w:rFonts w:ascii="宋体" w:hAnsi="宋体" w:hint="eastAsia"/>
          <w:szCs w:val="21"/>
          <w:lang w:eastAsia="zh-CN"/>
        </w:rPr>
        <w:t>合同合约</w:t>
      </w:r>
      <w:r>
        <w:rPr>
          <w:rFonts w:ascii="宋体" w:hAnsi="宋体" w:hint="eastAsia"/>
          <w:szCs w:val="21"/>
        </w:rPr>
        <w:t>审查的</w:t>
      </w:r>
      <w:r>
        <w:rPr>
          <w:rFonts w:ascii="宋体" w:hAnsi="宋体" w:hint="eastAsia"/>
          <w:szCs w:val="21"/>
          <w:lang w:eastAsia="zh-CN"/>
        </w:rPr>
        <w:t>合适的内容</w:t>
      </w:r>
    </w:p>
    <w:p>
      <w:pPr>
        <w:pStyle w:val="Normal0"/>
        <w:spacing w:line="360" w:lineRule="auto"/>
        <w:ind w:left="735" w:hanging="315" w:leftChars="200" w:hangingChars="150"/>
        <w:rPr>
          <w:rFonts w:ascii="宋体" w:hAnsi="宋体" w:hint="eastAsia"/>
          <w:szCs w:val="21"/>
        </w:rPr>
      </w:pPr>
      <w:r>
        <w:rPr>
          <w:rFonts w:ascii="宋体" w:hAnsi="宋体" w:hint="eastAsia"/>
          <w:szCs w:val="21"/>
        </w:rPr>
        <w:t>1、法律顾问主要负责审查</w:t>
      </w:r>
      <w:r>
        <w:rPr>
          <w:rFonts w:ascii="宋体" w:hAnsi="宋体" w:hint="eastAsia"/>
          <w:szCs w:val="21"/>
          <w:lang w:eastAsia="zh-CN"/>
        </w:rPr>
        <w:t>合同合约条约条款</w:t>
      </w:r>
      <w:r>
        <w:rPr>
          <w:rFonts w:ascii="宋体" w:hAnsi="宋体" w:hint="eastAsia"/>
          <w:szCs w:val="21"/>
        </w:rPr>
        <w:t>、</w:t>
      </w:r>
      <w:r>
        <w:rPr>
          <w:rFonts w:ascii="宋体" w:hAnsi="宋体" w:hint="eastAsia"/>
          <w:szCs w:val="21"/>
          <w:lang w:eastAsia="zh-CN"/>
        </w:rPr>
        <w:t>合同合约合适的内容</w:t>
      </w:r>
      <w:r>
        <w:rPr>
          <w:rFonts w:ascii="宋体" w:hAnsi="宋体" w:hint="eastAsia"/>
          <w:szCs w:val="21"/>
        </w:rPr>
        <w:t>的合法性、严密性、可行性，并提出参考意见。</w:t>
      </w:r>
    </w:p>
    <w:p>
      <w:pPr>
        <w:pStyle w:val="Normal0"/>
        <w:spacing w:line="360" w:lineRule="auto"/>
        <w:ind w:left="735" w:hanging="315" w:leftChars="200" w:hangingChars="150"/>
        <w:rPr>
          <w:rFonts w:ascii="宋体" w:hAnsi="宋体" w:hint="eastAsia"/>
          <w:szCs w:val="21"/>
        </w:rPr>
      </w:pPr>
      <w:r>
        <w:rPr>
          <w:rFonts w:ascii="宋体" w:hAnsi="宋体" w:hint="eastAsia"/>
          <w:szCs w:val="21"/>
        </w:rPr>
        <w:t>2、业务部门主要负责审查</w:t>
      </w:r>
      <w:r>
        <w:rPr>
          <w:rFonts w:ascii="宋体" w:hAnsi="宋体" w:hint="eastAsia"/>
          <w:szCs w:val="21"/>
          <w:lang w:eastAsia="zh-CN"/>
        </w:rPr>
        <w:t>合同合约</w:t>
      </w:r>
      <w:r>
        <w:rPr>
          <w:rFonts w:ascii="宋体" w:hAnsi="宋体" w:hint="eastAsia"/>
          <w:szCs w:val="21"/>
        </w:rPr>
        <w:t>产品或服务的各项技术参数、技术标准或服务标准等是否符合要求。</w:t>
      </w:r>
      <w:r>
        <w:rPr>
          <w:rFonts w:ascii="宋体" w:hAnsi="宋体" w:hint="eastAsia"/>
          <w:szCs w:val="21"/>
        </w:rPr>
        <w:br/>
      </w:r>
      <w:r>
        <w:rPr>
          <w:rFonts w:ascii="宋体" w:hAnsi="宋体" w:hint="eastAsia"/>
          <w:szCs w:val="21"/>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63" w:history="1">
        <w:r>
          <w:rPr>
            <w:rFonts w:ascii="SimSun" w:eastAsia="SimSun" w:hAnsi="SimSun" w:cs="SimSun"/>
            <w:b/>
            <w:bCs/>
            <w:color w:val="0000EE"/>
            <w:kern w:val="0"/>
            <w:sz w:val="30"/>
            <w:szCs w:val="30"/>
            <w:u w:val="single" w:color="0000EE"/>
          </w:rPr>
          <w:t>https://d.book118.com/538045014003006046</w:t>
        </w:r>
      </w:hyperlink>
    </w:p>
    <w:p>
      <w:pPr>
        <w:pStyle w:val="Normal0"/>
        <w:spacing w:line="360" w:lineRule="auto"/>
        <w:ind w:left="735" w:hanging="315" w:leftChars="200" w:hangingChars="150"/>
        <w:rPr>
          <w:rFonts w:ascii="宋体" w:hAnsi="宋体" w:hint="eastAsia"/>
          <w:szCs w:val="21"/>
        </w:rPr>
      </w:pPr>
    </w:p>
    <w:sectPr>
      <w:headerReference w:type="default" r:id="rId64"/>
      <w:footerReference w:type="default" r:id="rId65"/>
      <w:type w:val="nextPage"/>
      <w:pgSz w:w="11906" w:h="16838"/>
      <w:pgMar w:top="851" w:right="1466" w:bottom="1077" w:left="1800" w:header="720" w:footer="720" w:gutter="0"/>
      <w:pgNumType w:start="30"/>
      <w:cols w:num="1" w:space="720"/>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Arial Unicode MS">
    <w:panose1 w:val="020B0604020202020204"/>
    <w:charset w:val="86"/>
    <w:family w:val="roman"/>
    <w:pitch w:val="default"/>
    <w:sig w:usb0="FFFFFFFF" w:usb1="E9FFFFFF" w:usb2="0000003F" w:usb3="00000000" w:csb0="603F01FF" w:csb1="FFFF0000"/>
  </w:font>
  <w:font w:name="仿宋_GB2312">
    <w:altName w:val="仿宋"/>
    <w:panose1 w:val="02010609030101010101"/>
    <w:charset w:val="86"/>
    <w:family w:val="modern"/>
    <w:pitch w:val="default"/>
    <w:sig w:usb0="00000000" w:usb1="00000000" w:usb2="00000010" w:usb3="00000000" w:csb0="00040000"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pict>
        <v:shapetype id="_x0000_t202" coordsize="21600,21600" o:spt="202" path="m,l,21600r21600,l21600,xe">
          <v:stroke joinstyle="miter"/>
          <v:path gradientshapeok="t" o:connecttype="rect"/>
        </v:shapetype>
        <v:shape id="_x0000_s2050" o:spid="_x0000_s2050" type="#_x0000_t202" style="width:2in;height:2in;margin-top:0;margin-left:0;mso-height-relative:page;mso-position-horizontal:right;mso-position-horizontal-relative:margin;mso-width-relative:page;mso-wrap-style:none;position:absolute;z-index:251658240" coordsize="21600,21600" filled="f" stroked="f">
          <v:stroke joinstyle="miter"/>
          <v:textbox style="mso-fit-shape-to-text:t" inset="0,0,0,0">
            <w:txbxContent>
              <w:p>
                <w:pPr>
                  <w:pStyle w:val="Footer"/>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t>1</w:t>
                </w:r>
                <w:r>
                  <w:rPr>
                    <w:rFonts w:hint="eastAsia"/>
                  </w:rPr>
                  <w:fldChar w:fldCharType="end"/>
                </w:r>
                <w:r>
                  <w:rPr>
                    <w:rFonts w:hint="eastAsia"/>
                  </w:rPr>
                  <w:t xml:space="preserve"> 页 共 </w:t>
                </w:r>
                <w:r>
                  <w:fldChar w:fldCharType="begin"/>
                </w:r>
                <w:r>
                  <w:instrText xml:space="preserve"> NUMPAGES  \* MERGEFORMAT </w:instrText>
                </w:r>
                <w:r>
                  <w:fldChar w:fldCharType="separate"/>
                </w:r>
                <w:r>
                  <w:t>35</w:t>
                </w:r>
                <w:r>
                  <w:fldChar w:fldCharType="end"/>
                </w:r>
                <w:r>
                  <w:rPr>
                    <w:rFonts w:hint="eastAsia"/>
                  </w:rPr>
                  <w:t xml:space="preserve"> 页</w:t>
                </w:r>
              </w:p>
            </w:txbxContent>
          </v:textbox>
          <w10:wrap anchorx="margin"/>
        </v:shape>
      </w:pic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pict>
        <v:shapetype id="_x0000_t202" coordsize="21600,21600" o:spt="202" path="m,l,21600r21600,l21600,xe">
          <v:stroke joinstyle="miter"/>
          <v:path gradientshapeok="t" o:connecttype="rect"/>
        </v:shapetype>
        <v:shape id="_x0000_s2050" o:spid="_x0000_s2052" type="#_x0000_t202" style="width:2in;height:2in;margin-top:0;margin-left:0;mso-height-relative:page;mso-position-horizontal:right;mso-position-horizontal-relative:margin;mso-width-relative:page;mso-wrap-style:none;position:absolute;z-index:251659264" coordsize="21600,21600" filled="f" stroked="f">
          <v:stroke joinstyle="miter"/>
          <v:textbox style="mso-fit-shape-to-text:t" inset="0,0,0,0">
            <w:txbxContent>
              <w:p>
                <w:pPr>
                  <w:pStyle w:val="Footer"/>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t>2</w:t>
                </w:r>
                <w:r>
                  <w:rPr>
                    <w:rFonts w:hint="eastAsia"/>
                  </w:rPr>
                  <w:fldChar w:fldCharType="end"/>
                </w:r>
                <w:r>
                  <w:rPr>
                    <w:rFonts w:hint="eastAsia"/>
                  </w:rPr>
                  <w:t xml:space="preserve"> 页 共 </w:t>
                </w:r>
                <w:r>
                  <w:fldChar w:fldCharType="begin"/>
                </w:r>
                <w:r>
                  <w:instrText xml:space="preserve"> NUMPAGES  \* MERGEFORMAT </w:instrText>
                </w:r>
                <w:r>
                  <w:fldChar w:fldCharType="separate"/>
                </w:r>
                <w:r>
                  <w:t>35</w:t>
                </w:r>
                <w:r>
                  <w:fldChar w:fldCharType="end"/>
                </w:r>
                <w:r>
                  <w:rPr>
                    <w:rFonts w:hint="eastAsia"/>
                  </w:rPr>
                  <w:t xml:space="preserve"> 页</w:t>
                </w:r>
              </w:p>
            </w:txbxContent>
          </v:textbox>
          <w10:wrap anchorx="margin"/>
        </v:shape>
      </w:pic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pict>
        <v:shapetype id="_x0000_t202" coordsize="21600,21600" o:spt="202" path="m,l,21600r21600,l21600,xe">
          <v:stroke joinstyle="miter"/>
          <v:path gradientshapeok="t" o:connecttype="rect"/>
        </v:shapetype>
        <v:shape id="_x0000_s2050" o:spid="_x0000_s2054" type="#_x0000_t202" style="width:2in;height:2in;margin-top:0;margin-left:0;mso-height-relative:page;mso-position-horizontal:right;mso-position-horizontal-relative:margin;mso-width-relative:page;mso-wrap-style:none;position:absolute;z-index:251660288" coordsize="21600,21600" filled="f" stroked="f">
          <v:stroke joinstyle="miter"/>
          <v:textbox style="mso-fit-shape-to-text:t" inset="0,0,0,0">
            <w:txbxContent>
              <w:p>
                <w:pPr>
                  <w:pStyle w:val="Footer"/>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t>3</w:t>
                </w:r>
                <w:r>
                  <w:rPr>
                    <w:rFonts w:hint="eastAsia"/>
                  </w:rPr>
                  <w:fldChar w:fldCharType="end"/>
                </w:r>
                <w:r>
                  <w:rPr>
                    <w:rFonts w:hint="eastAsia"/>
                  </w:rPr>
                  <w:t xml:space="preserve"> 页 共 </w:t>
                </w:r>
                <w:r>
                  <w:fldChar w:fldCharType="begin"/>
                </w:r>
                <w:r>
                  <w:instrText xml:space="preserve"> NUMPAGES  \* MERGEFORMAT </w:instrText>
                </w:r>
                <w:r>
                  <w:fldChar w:fldCharType="separate"/>
                </w:r>
                <w:r>
                  <w:t>35</w:t>
                </w:r>
                <w:r>
                  <w:fldChar w:fldCharType="end"/>
                </w:r>
                <w:r>
                  <w:rPr>
                    <w:rFonts w:hint="eastAsia"/>
                  </w:rPr>
                  <w:t xml:space="preserve"> 页</w:t>
                </w:r>
              </w:p>
            </w:txbxContent>
          </v:textbox>
          <w10:wrap anchorx="margin"/>
        </v:shape>
      </w:pic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pict>
        <v:shapetype id="_x0000_t202" coordsize="21600,21600" o:spt="202" path="m,l,21600r21600,l21600,xe">
          <v:stroke joinstyle="miter"/>
          <v:path gradientshapeok="t" o:connecttype="rect"/>
        </v:shapetype>
        <v:shape id="_x0000_s2050" o:spid="_x0000_s2056" type="#_x0000_t202" style="width:2in;height:2in;margin-top:0;margin-left:0;mso-height-relative:page;mso-position-horizontal:right;mso-position-horizontal-relative:margin;mso-width-relative:page;mso-wrap-style:none;position:absolute;z-index:251661312" coordsize="21600,21600" filled="f" stroked="f">
          <v:stroke joinstyle="miter"/>
          <v:textbox style="mso-fit-shape-to-text:t" inset="0,0,0,0">
            <w:txbxContent>
              <w:p>
                <w:pPr>
                  <w:pStyle w:val="Footer"/>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t>5</w:t>
                </w:r>
                <w:r>
                  <w:rPr>
                    <w:rFonts w:hint="eastAsia"/>
                  </w:rPr>
                  <w:fldChar w:fldCharType="end"/>
                </w:r>
                <w:r>
                  <w:rPr>
                    <w:rFonts w:hint="eastAsia"/>
                  </w:rPr>
                  <w:t xml:space="preserve"> 页 共 </w:t>
                </w:r>
                <w:r>
                  <w:fldChar w:fldCharType="begin"/>
                </w:r>
                <w:r>
                  <w:instrText xml:space="preserve"> NUMPAGES  \* MERGEFORMAT </w:instrText>
                </w:r>
                <w:r>
                  <w:fldChar w:fldCharType="separate"/>
                </w:r>
                <w:r>
                  <w:t>35</w:t>
                </w:r>
                <w:r>
                  <w:fldChar w:fldCharType="end"/>
                </w:r>
                <w:r>
                  <w:rPr>
                    <w:rFonts w:hint="eastAsia"/>
                  </w:rPr>
                  <w:t xml:space="preserve"> 页</w:t>
                </w:r>
              </w:p>
            </w:txbxContent>
          </v:textbox>
          <w10:wrap anchorx="margin"/>
        </v:shape>
      </w:pic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pict>
        <v:shapetype id="_x0000_t202" coordsize="21600,21600" o:spt="202" path="m,l,21600r21600,l21600,xe">
          <v:stroke joinstyle="miter"/>
          <v:path gradientshapeok="t" o:connecttype="rect"/>
        </v:shapetype>
        <v:shape id="_x0000_s2050" o:spid="_x0000_s2058" type="#_x0000_t202" style="width:2in;height:2in;margin-top:0;margin-left:0;mso-height-relative:page;mso-position-horizontal:right;mso-position-horizontal-relative:margin;mso-width-relative:page;mso-wrap-style:none;position:absolute;z-index:251662336" coordsize="21600,21600" filled="f" stroked="f">
          <v:stroke joinstyle="miter"/>
          <v:textbox style="mso-fit-shape-to-text:t" inset="0,0,0,0">
            <w:txbxContent>
              <w:p>
                <w:pPr>
                  <w:pStyle w:val="Footer"/>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t>5</w:t>
                </w:r>
                <w:r>
                  <w:rPr>
                    <w:rFonts w:hint="eastAsia"/>
                  </w:rPr>
                  <w:fldChar w:fldCharType="end"/>
                </w:r>
                <w:r>
                  <w:rPr>
                    <w:rFonts w:hint="eastAsia"/>
                  </w:rPr>
                  <w:t xml:space="preserve"> 页 共 </w:t>
                </w:r>
                <w:r>
                  <w:fldChar w:fldCharType="begin"/>
                </w:r>
                <w:r>
                  <w:instrText xml:space="preserve"> NUMPAGES  \* MERGEFORMAT </w:instrText>
                </w:r>
                <w:r>
                  <w:fldChar w:fldCharType="separate"/>
                </w:r>
                <w:r>
                  <w:t>35</w:t>
                </w:r>
                <w:r>
                  <w:fldChar w:fldCharType="end"/>
                </w:r>
                <w:r>
                  <w:rPr>
                    <w:rFonts w:hint="eastAsia"/>
                  </w:rPr>
                  <w:t xml:space="preserve"> 页</w:t>
                </w:r>
              </w:p>
            </w:txbxContent>
          </v:textbox>
          <w10:wrap anchorx="margin"/>
        </v:shape>
      </w:pic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pict>
        <v:shapetype id="_x0000_t202" coordsize="21600,21600" o:spt="202" path="m,l,21600r21600,l21600,xe">
          <v:stroke joinstyle="miter"/>
          <v:path gradientshapeok="t" o:connecttype="rect"/>
        </v:shapetype>
        <v:shape id="_x0000_s2050" o:spid="_x0000_s2060" type="#_x0000_t202" style="width:2in;height:2in;margin-top:0;margin-left:0;mso-height-relative:page;mso-position-horizontal:right;mso-position-horizontal-relative:margin;mso-width-relative:page;mso-wrap-style:none;position:absolute;z-index:251663360" coordsize="21600,21600" filled="f" stroked="f">
          <v:stroke joinstyle="miter"/>
          <v:textbox style="mso-fit-shape-to-text:t" inset="0,0,0,0">
            <w:txbxContent>
              <w:p>
                <w:pPr>
                  <w:pStyle w:val="Footer"/>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t>6</w:t>
                </w:r>
                <w:r>
                  <w:rPr>
                    <w:rFonts w:hint="eastAsia"/>
                  </w:rPr>
                  <w:fldChar w:fldCharType="end"/>
                </w:r>
                <w:r>
                  <w:rPr>
                    <w:rFonts w:hint="eastAsia"/>
                  </w:rPr>
                  <w:t xml:space="preserve"> 页 共 </w:t>
                </w:r>
                <w:r>
                  <w:fldChar w:fldCharType="begin"/>
                </w:r>
                <w:r>
                  <w:instrText xml:space="preserve"> NUMPAGES  \* MERGEFORMAT </w:instrText>
                </w:r>
                <w:r>
                  <w:fldChar w:fldCharType="separate"/>
                </w:r>
                <w:r>
                  <w:t>35</w:t>
                </w:r>
                <w:r>
                  <w:fldChar w:fldCharType="end"/>
                </w:r>
                <w:r>
                  <w:rPr>
                    <w:rFonts w:hint="eastAsia"/>
                  </w:rPr>
                  <w:t xml:space="preserve"> 页</w:t>
                </w:r>
              </w:p>
            </w:txbxContent>
          </v:textbox>
          <w10:wrap anchorx="margin"/>
        </v:shape>
      </w:pic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pict>
        <v:shapetype id="_x0000_t202" coordsize="21600,21600" o:spt="202" path="m,l,21600r21600,l21600,xe">
          <v:stroke joinstyle="miter"/>
          <v:path gradientshapeok="t" o:connecttype="rect"/>
        </v:shapetype>
        <v:shape id="_x0000_s2050" o:spid="_x0000_s2062" type="#_x0000_t202" style="width:2in;height:2in;margin-top:0;margin-left:0;mso-height-relative:page;mso-position-horizontal:right;mso-position-horizontal-relative:margin;mso-width-relative:page;mso-wrap-style:none;position:absolute;z-index:251664384" coordsize="21600,21600" filled="f" stroked="f">
          <v:stroke joinstyle="miter"/>
          <v:textbox style="mso-fit-shape-to-text:t" inset="0,0,0,0">
            <w:txbxContent>
              <w:p>
                <w:pPr>
                  <w:pStyle w:val="Footer"/>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t>7</w:t>
                </w:r>
                <w:r>
                  <w:rPr>
                    <w:rFonts w:hint="eastAsia"/>
                  </w:rPr>
                  <w:fldChar w:fldCharType="end"/>
                </w:r>
                <w:r>
                  <w:rPr>
                    <w:rFonts w:hint="eastAsia"/>
                  </w:rPr>
                  <w:t xml:space="preserve"> 页 共 </w:t>
                </w:r>
                <w:r>
                  <w:fldChar w:fldCharType="begin"/>
                </w:r>
                <w:r>
                  <w:instrText xml:space="preserve"> NUMPAGES  \* MERGEFORMAT </w:instrText>
                </w:r>
                <w:r>
                  <w:fldChar w:fldCharType="separate"/>
                </w:r>
                <w:r>
                  <w:t>35</w:t>
                </w:r>
                <w:r>
                  <w:fldChar w:fldCharType="end"/>
                </w:r>
                <w:r>
                  <w:rPr>
                    <w:rFonts w:hint="eastAsia"/>
                  </w:rPr>
                  <w:t xml:space="preserve"> 页</w:t>
                </w:r>
              </w:p>
            </w:txbxContent>
          </v:textbox>
          <w10:wrap anchorx="margin"/>
        </v:shape>
      </w:pic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pict>
        <v:shapetype id="_x0000_t202" coordsize="21600,21600" o:spt="202" path="m,l,21600r21600,l21600,xe">
          <v:stroke joinstyle="miter"/>
          <v:path gradientshapeok="t" o:connecttype="rect"/>
        </v:shapetype>
        <v:shape id="_x0000_s2050" o:spid="_x0000_s2064" type="#_x0000_t202" style="width:2in;height:2in;margin-top:0;margin-left:0;mso-height-relative:page;mso-position-horizontal:right;mso-position-horizontal-relative:margin;mso-width-relative:page;mso-wrap-style:none;position:absolute;z-index:251665408" coordsize="21600,21600" filled="f" stroked="f">
          <v:stroke joinstyle="miter"/>
          <v:textbox style="mso-fit-shape-to-text:t" inset="0,0,0,0">
            <w:txbxContent>
              <w:p>
                <w:pPr>
                  <w:pStyle w:val="Footer"/>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t>8</w:t>
                </w:r>
                <w:r>
                  <w:rPr>
                    <w:rFonts w:hint="eastAsia"/>
                  </w:rPr>
                  <w:fldChar w:fldCharType="end"/>
                </w:r>
                <w:r>
                  <w:rPr>
                    <w:rFonts w:hint="eastAsia"/>
                  </w:rPr>
                  <w:t xml:space="preserve"> 页 共 </w:t>
                </w:r>
                <w:r>
                  <w:fldChar w:fldCharType="begin"/>
                </w:r>
                <w:r>
                  <w:instrText xml:space="preserve"> NUMPAGES  \* MERGEFORMAT </w:instrText>
                </w:r>
                <w:r>
                  <w:fldChar w:fldCharType="separate"/>
                </w:r>
                <w:r>
                  <w:t>35</w:t>
                </w:r>
                <w:r>
                  <w:fldChar w:fldCharType="end"/>
                </w:r>
                <w:r>
                  <w:rPr>
                    <w:rFonts w:hint="eastAsia"/>
                  </w:rPr>
                  <w:t xml:space="preserve"> 页</w:t>
                </w:r>
              </w:p>
            </w:txbxContent>
          </v:textbox>
          <w10:wrap anchorx="margin"/>
        </v:shape>
      </w:pic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pict>
        <v:shapetype id="_x0000_t202" coordsize="21600,21600" o:spt="202" path="m,l,21600r21600,l21600,xe">
          <v:stroke joinstyle="miter"/>
          <v:path gradientshapeok="t" o:connecttype="rect"/>
        </v:shapetype>
        <v:shape id="_x0000_s2050" o:spid="_x0000_s2066" type="#_x0000_t202" style="width:2in;height:2in;margin-top:0;margin-left:0;mso-height-relative:page;mso-position-horizontal:right;mso-position-horizontal-relative:margin;mso-width-relative:page;mso-wrap-style:none;position:absolute;z-index:251666432" coordsize="21600,21600" filled="f" stroked="f">
          <v:stroke joinstyle="miter"/>
          <v:textbox style="mso-fit-shape-to-text:t" inset="0,0,0,0">
            <w:txbxContent>
              <w:p>
                <w:pPr>
                  <w:pStyle w:val="Footer"/>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t>9</w:t>
                </w:r>
                <w:r>
                  <w:rPr>
                    <w:rFonts w:hint="eastAsia"/>
                  </w:rPr>
                  <w:fldChar w:fldCharType="end"/>
                </w:r>
                <w:r>
                  <w:rPr>
                    <w:rFonts w:hint="eastAsia"/>
                  </w:rPr>
                  <w:t xml:space="preserve"> 页 共 </w:t>
                </w:r>
                <w:r>
                  <w:fldChar w:fldCharType="begin"/>
                </w:r>
                <w:r>
                  <w:instrText xml:space="preserve"> NUMPAGES  \* MERGEFORMAT </w:instrText>
                </w:r>
                <w:r>
                  <w:fldChar w:fldCharType="separate"/>
                </w:r>
                <w:r>
                  <w:t>35</w:t>
                </w:r>
                <w:r>
                  <w:fldChar w:fldCharType="end"/>
                </w:r>
                <w:r>
                  <w:rPr>
                    <w:rFonts w:hint="eastAsia"/>
                  </w:rPr>
                  <w:t xml:space="preserve"> 页</w:t>
                </w:r>
              </w:p>
            </w:txbxContent>
          </v:textbox>
          <w10:wrap anchorx="margin"/>
        </v:shape>
      </w:pic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pict>
        <v:shapetype id="_x0000_t202" coordsize="21600,21600" o:spt="202" path="m,l,21600r21600,l21600,xe">
          <v:stroke joinstyle="miter"/>
          <v:path gradientshapeok="t" o:connecttype="rect"/>
        </v:shapetype>
        <v:shape id="_x0000_s2050" o:spid="_x0000_s2068" type="#_x0000_t202" style="width:2in;height:2in;margin-top:0;margin-left:0;mso-height-relative:page;mso-position-horizontal:right;mso-position-horizontal-relative:margin;mso-width-relative:page;mso-wrap-style:none;position:absolute;z-index:251667456" coordsize="21600,21600" filled="f" stroked="f">
          <v:stroke joinstyle="miter"/>
          <v:textbox style="mso-fit-shape-to-text:t" inset="0,0,0,0">
            <w:txbxContent>
              <w:p>
                <w:pPr>
                  <w:pStyle w:val="Footer"/>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t>10</w:t>
                </w:r>
                <w:r>
                  <w:rPr>
                    <w:rFonts w:hint="eastAsia"/>
                  </w:rPr>
                  <w:fldChar w:fldCharType="end"/>
                </w:r>
                <w:r>
                  <w:rPr>
                    <w:rFonts w:hint="eastAsia"/>
                  </w:rPr>
                  <w:t xml:space="preserve"> 页 共 </w:t>
                </w:r>
                <w:r>
                  <w:fldChar w:fldCharType="begin"/>
                </w:r>
                <w:r>
                  <w:instrText xml:space="preserve"> NUMPAGES  \* MERGEFORMAT </w:instrText>
                </w:r>
                <w:r>
                  <w:fldChar w:fldCharType="separate"/>
                </w:r>
                <w:r>
                  <w:t>35</w:t>
                </w:r>
                <w:r>
                  <w:fldChar w:fldCharType="end"/>
                </w:r>
                <w:r>
                  <w:rPr>
                    <w:rFonts w:hint="eastAsia"/>
                  </w:rPr>
                  <w:t xml:space="preserve"> 页</w:t>
                </w:r>
              </w:p>
            </w:txbxContent>
          </v:textbox>
          <w10:wrap anchorx="margin"/>
        </v:shape>
      </w:pic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pict>
        <v:shapetype id="_x0000_t202" coordsize="21600,21600" o:spt="202" path="m,l,21600r21600,l21600,xe">
          <v:stroke joinstyle="miter"/>
          <v:path gradientshapeok="t" o:connecttype="rect"/>
        </v:shapetype>
        <v:shape id="_x0000_s2050" o:spid="_x0000_s2070" type="#_x0000_t202" style="width:2in;height:2in;margin-top:0;margin-left:0;mso-height-relative:page;mso-position-horizontal:right;mso-position-horizontal-relative:margin;mso-width-relative:page;mso-wrap-style:none;position:absolute;z-index:251668480" coordsize="21600,21600" filled="f" stroked="f">
          <v:stroke joinstyle="miter"/>
          <v:textbox style="mso-fit-shape-to-text:t" inset="0,0,0,0">
            <w:txbxContent>
              <w:p>
                <w:pPr>
                  <w:pStyle w:val="Footer"/>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t>11</w:t>
                </w:r>
                <w:r>
                  <w:rPr>
                    <w:rFonts w:hint="eastAsia"/>
                  </w:rPr>
                  <w:fldChar w:fldCharType="end"/>
                </w:r>
                <w:r>
                  <w:rPr>
                    <w:rFonts w:hint="eastAsia"/>
                  </w:rPr>
                  <w:t xml:space="preserve"> 页 共 </w:t>
                </w:r>
                <w:r>
                  <w:fldChar w:fldCharType="begin"/>
                </w:r>
                <w:r>
                  <w:instrText xml:space="preserve"> NUMPAGES  \* MERGEFORMAT </w:instrText>
                </w:r>
                <w:r>
                  <w:fldChar w:fldCharType="separate"/>
                </w:r>
                <w:r>
                  <w:t>35</w:t>
                </w:r>
                <w:r>
                  <w:fldChar w:fldCharType="end"/>
                </w:r>
                <w:r>
                  <w:rPr>
                    <w:rFonts w:hint="eastAsia"/>
                  </w:rPr>
                  <w:t xml:space="preserve"> 页</w:t>
                </w:r>
              </w:p>
            </w:txbxContent>
          </v:textbox>
          <w10:wrap anchorx="margin"/>
        </v:shape>
      </w:pic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pict>
        <v:shapetype id="_x0000_t202" coordsize="21600,21600" o:spt="202" path="m,l,21600r21600,l21600,xe">
          <v:stroke joinstyle="miter"/>
          <v:path gradientshapeok="t" o:connecttype="rect"/>
        </v:shapetype>
        <v:shape id="_x0000_s2050" o:spid="_x0000_s2072" type="#_x0000_t202" style="width:2in;height:2in;margin-top:0;margin-left:0;mso-height-relative:page;mso-position-horizontal:right;mso-position-horizontal-relative:margin;mso-width-relative:page;mso-wrap-style:none;position:absolute;z-index:251669504" coordsize="21600,21600" filled="f" stroked="f">
          <v:stroke joinstyle="miter"/>
          <v:textbox style="mso-fit-shape-to-text:t" inset="0,0,0,0">
            <w:txbxContent>
              <w:p>
                <w:pPr>
                  <w:pStyle w:val="Footer"/>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t>12</w:t>
                </w:r>
                <w:r>
                  <w:rPr>
                    <w:rFonts w:hint="eastAsia"/>
                  </w:rPr>
                  <w:fldChar w:fldCharType="end"/>
                </w:r>
                <w:r>
                  <w:rPr>
                    <w:rFonts w:hint="eastAsia"/>
                  </w:rPr>
                  <w:t xml:space="preserve"> 页 共 </w:t>
                </w:r>
                <w:r>
                  <w:fldChar w:fldCharType="begin"/>
                </w:r>
                <w:r>
                  <w:instrText xml:space="preserve"> NUMPAGES  \* MERGEFORMAT </w:instrText>
                </w:r>
                <w:r>
                  <w:fldChar w:fldCharType="separate"/>
                </w:r>
                <w:r>
                  <w:t>35</w:t>
                </w:r>
                <w:r>
                  <w:fldChar w:fldCharType="end"/>
                </w:r>
                <w:r>
                  <w:rPr>
                    <w:rFonts w:hint="eastAsia"/>
                  </w:rPr>
                  <w:t xml:space="preserve"> 页</w:t>
                </w:r>
              </w:p>
            </w:txbxContent>
          </v:textbox>
          <w10:wrap anchorx="margin"/>
        </v:shape>
      </w:pic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pict>
        <v:shapetype id="_x0000_t202" coordsize="21600,21600" o:spt="202" path="m,l,21600r21600,l21600,xe">
          <v:stroke joinstyle="miter"/>
          <v:path gradientshapeok="t" o:connecttype="rect"/>
        </v:shapetype>
        <v:shape id="_x0000_s2050" o:spid="_x0000_s2074" type="#_x0000_t202" style="width:2in;height:2in;margin-top:0;margin-left:0;mso-height-relative:page;mso-position-horizontal:right;mso-position-horizontal-relative:margin;mso-width-relative:page;mso-wrap-style:none;position:absolute;z-index:251670528" coordsize="21600,21600" filled="f" stroked="f">
          <v:stroke joinstyle="miter"/>
          <v:textbox style="mso-fit-shape-to-text:t" inset="0,0,0,0">
            <w:txbxContent>
              <w:p>
                <w:pPr>
                  <w:pStyle w:val="Footer"/>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t>13</w:t>
                </w:r>
                <w:r>
                  <w:rPr>
                    <w:rFonts w:hint="eastAsia"/>
                  </w:rPr>
                  <w:fldChar w:fldCharType="end"/>
                </w:r>
                <w:r>
                  <w:rPr>
                    <w:rFonts w:hint="eastAsia"/>
                  </w:rPr>
                  <w:t xml:space="preserve"> 页 共 </w:t>
                </w:r>
                <w:r>
                  <w:fldChar w:fldCharType="begin"/>
                </w:r>
                <w:r>
                  <w:instrText xml:space="preserve"> NUMPAGES  \* MERGEFORMAT </w:instrText>
                </w:r>
                <w:r>
                  <w:fldChar w:fldCharType="separate"/>
                </w:r>
                <w:r>
                  <w:t>35</w:t>
                </w:r>
                <w:r>
                  <w:fldChar w:fldCharType="end"/>
                </w:r>
                <w:r>
                  <w:rPr>
                    <w:rFonts w:hint="eastAsia"/>
                  </w:rPr>
                  <w:t xml:space="preserve"> 页</w:t>
                </w:r>
              </w:p>
            </w:txbxContent>
          </v:textbox>
          <w10:wrap anchorx="margin"/>
        </v:shape>
      </w:pic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pict>
        <v:shapetype id="_x0000_t202" coordsize="21600,21600" o:spt="202" path="m,l,21600r21600,l21600,xe">
          <v:stroke joinstyle="miter"/>
          <v:path gradientshapeok="t" o:connecttype="rect"/>
        </v:shapetype>
        <v:shape id="_x0000_s2050" o:spid="_x0000_s2076" type="#_x0000_t202" style="width:2in;height:2in;margin-top:0;margin-left:0;mso-height-relative:page;mso-position-horizontal:right;mso-position-horizontal-relative:margin;mso-width-relative:page;mso-wrap-style:none;position:absolute;z-index:251671552" coordsize="21600,21600" filled="f" stroked="f">
          <v:stroke joinstyle="miter"/>
          <v:textbox style="mso-fit-shape-to-text:t" inset="0,0,0,0">
            <w:txbxContent>
              <w:p>
                <w:pPr>
                  <w:pStyle w:val="Footer"/>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t>14</w:t>
                </w:r>
                <w:r>
                  <w:rPr>
                    <w:rFonts w:hint="eastAsia"/>
                  </w:rPr>
                  <w:fldChar w:fldCharType="end"/>
                </w:r>
                <w:r>
                  <w:rPr>
                    <w:rFonts w:hint="eastAsia"/>
                  </w:rPr>
                  <w:t xml:space="preserve"> 页 共 </w:t>
                </w:r>
                <w:r>
                  <w:fldChar w:fldCharType="begin"/>
                </w:r>
                <w:r>
                  <w:instrText xml:space="preserve"> NUMPAGES  \* MERGEFORMAT </w:instrText>
                </w:r>
                <w:r>
                  <w:fldChar w:fldCharType="separate"/>
                </w:r>
                <w:r>
                  <w:t>35</w:t>
                </w:r>
                <w:r>
                  <w:fldChar w:fldCharType="end"/>
                </w:r>
                <w:r>
                  <w:rPr>
                    <w:rFonts w:hint="eastAsia"/>
                  </w:rPr>
                  <w:t xml:space="preserve"> 页</w:t>
                </w:r>
              </w:p>
            </w:txbxContent>
          </v:textbox>
          <w10:wrap anchorx="margin"/>
        </v:shape>
      </w:pict>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pict>
        <v:shapetype id="_x0000_t202" coordsize="21600,21600" o:spt="202" path="m,l,21600r21600,l21600,xe">
          <v:stroke joinstyle="miter"/>
          <v:path gradientshapeok="t" o:connecttype="rect"/>
        </v:shapetype>
        <v:shape id="_x0000_s2050" o:spid="_x0000_s2078" type="#_x0000_t202" style="width:2in;height:2in;margin-top:0;margin-left:0;mso-height-relative:page;mso-position-horizontal:right;mso-position-horizontal-relative:margin;mso-width-relative:page;mso-wrap-style:none;position:absolute;z-index:251672576" coordsize="21600,21600" filled="f" stroked="f">
          <v:stroke joinstyle="miter"/>
          <v:textbox style="mso-fit-shape-to-text:t" inset="0,0,0,0">
            <w:txbxContent>
              <w:p>
                <w:pPr>
                  <w:pStyle w:val="Footer"/>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t>15</w:t>
                </w:r>
                <w:r>
                  <w:rPr>
                    <w:rFonts w:hint="eastAsia"/>
                  </w:rPr>
                  <w:fldChar w:fldCharType="end"/>
                </w:r>
                <w:r>
                  <w:rPr>
                    <w:rFonts w:hint="eastAsia"/>
                  </w:rPr>
                  <w:t xml:space="preserve"> 页 共 </w:t>
                </w:r>
                <w:r>
                  <w:fldChar w:fldCharType="begin"/>
                </w:r>
                <w:r>
                  <w:instrText xml:space="preserve"> NUMPAGES  \* MERGEFORMAT </w:instrText>
                </w:r>
                <w:r>
                  <w:fldChar w:fldCharType="separate"/>
                </w:r>
                <w:r>
                  <w:t>35</w:t>
                </w:r>
                <w:r>
                  <w:fldChar w:fldCharType="end"/>
                </w:r>
                <w:r>
                  <w:rPr>
                    <w:rFonts w:hint="eastAsia"/>
                  </w:rPr>
                  <w:t xml:space="preserve"> 页</w:t>
                </w:r>
              </w:p>
            </w:txbxContent>
          </v:textbox>
          <w10:wrap anchorx="margin"/>
        </v:shape>
      </w:pict>
    </w: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pict>
        <v:shapetype id="_x0000_t202" coordsize="21600,21600" o:spt="202" path="m,l,21600r21600,l21600,xe">
          <v:stroke joinstyle="miter"/>
          <v:path gradientshapeok="t" o:connecttype="rect"/>
        </v:shapetype>
        <v:shape id="_x0000_s2050" o:spid="_x0000_s2080" type="#_x0000_t202" style="width:2in;height:2in;margin-top:0;margin-left:0;mso-height-relative:page;mso-position-horizontal:right;mso-position-horizontal-relative:margin;mso-width-relative:page;mso-wrap-style:none;position:absolute;z-index:251673600" coordsize="21600,21600" filled="f" stroked="f">
          <v:stroke joinstyle="miter"/>
          <v:textbox style="mso-fit-shape-to-text:t" inset="0,0,0,0">
            <w:txbxContent>
              <w:p>
                <w:pPr>
                  <w:pStyle w:val="Footer"/>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t>16</w:t>
                </w:r>
                <w:r>
                  <w:rPr>
                    <w:rFonts w:hint="eastAsia"/>
                  </w:rPr>
                  <w:fldChar w:fldCharType="end"/>
                </w:r>
                <w:r>
                  <w:rPr>
                    <w:rFonts w:hint="eastAsia"/>
                  </w:rPr>
                  <w:t xml:space="preserve"> 页 共 </w:t>
                </w:r>
                <w:r>
                  <w:fldChar w:fldCharType="begin"/>
                </w:r>
                <w:r>
                  <w:instrText xml:space="preserve"> NUMPAGES  \* MERGEFORMAT </w:instrText>
                </w:r>
                <w:r>
                  <w:fldChar w:fldCharType="separate"/>
                </w:r>
                <w:r>
                  <w:t>35</w:t>
                </w:r>
                <w:r>
                  <w:fldChar w:fldCharType="end"/>
                </w:r>
                <w:r>
                  <w:rPr>
                    <w:rFonts w:hint="eastAsia"/>
                  </w:rPr>
                  <w:t xml:space="preserve"> 页</w:t>
                </w:r>
              </w:p>
            </w:txbxContent>
          </v:textbox>
          <w10:wrap anchorx="margin"/>
        </v:shape>
      </w:pict>
    </w: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pict>
        <v:shapetype id="_x0000_t202" coordsize="21600,21600" o:spt="202" path="m,l,21600r21600,l21600,xe">
          <v:stroke joinstyle="miter"/>
          <v:path gradientshapeok="t" o:connecttype="rect"/>
        </v:shapetype>
        <v:shape id="_x0000_s2050" o:spid="_x0000_s2082" type="#_x0000_t202" style="width:2in;height:2in;margin-top:0;margin-left:0;mso-height-relative:page;mso-position-horizontal:right;mso-position-horizontal-relative:margin;mso-width-relative:page;mso-wrap-style:none;position:absolute;z-index:251674624" coordsize="21600,21600" filled="f" stroked="f">
          <v:stroke joinstyle="miter"/>
          <v:textbox style="mso-fit-shape-to-text:t" inset="0,0,0,0">
            <w:txbxContent>
              <w:p>
                <w:pPr>
                  <w:pStyle w:val="Footer"/>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t>18</w:t>
                </w:r>
                <w:r>
                  <w:rPr>
                    <w:rFonts w:hint="eastAsia"/>
                  </w:rPr>
                  <w:fldChar w:fldCharType="end"/>
                </w:r>
                <w:r>
                  <w:rPr>
                    <w:rFonts w:hint="eastAsia"/>
                  </w:rPr>
                  <w:t xml:space="preserve"> 页 共 </w:t>
                </w:r>
                <w:r>
                  <w:fldChar w:fldCharType="begin"/>
                </w:r>
                <w:r>
                  <w:instrText xml:space="preserve"> NUMPAGES  \* MERGEFORMAT </w:instrText>
                </w:r>
                <w:r>
                  <w:fldChar w:fldCharType="separate"/>
                </w:r>
                <w:r>
                  <w:t>35</w:t>
                </w:r>
                <w:r>
                  <w:fldChar w:fldCharType="end"/>
                </w:r>
                <w:r>
                  <w:rPr>
                    <w:rFonts w:hint="eastAsia"/>
                  </w:rPr>
                  <w:t xml:space="preserve"> 页</w:t>
                </w:r>
              </w:p>
            </w:txbxContent>
          </v:textbox>
          <w10:wrap anchorx="margin"/>
        </v:shape>
      </w:pict>
    </w: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pict>
        <v:shapetype id="_x0000_t202" coordsize="21600,21600" o:spt="202" path="m,l,21600r21600,l21600,xe">
          <v:stroke joinstyle="miter"/>
          <v:path gradientshapeok="t" o:connecttype="rect"/>
        </v:shapetype>
        <v:shape id="_x0000_s2050" o:spid="_x0000_s2084" type="#_x0000_t202" style="width:2in;height:2in;margin-top:0;margin-left:0;mso-height-relative:page;mso-position-horizontal:right;mso-position-horizontal-relative:margin;mso-width-relative:page;mso-wrap-style:none;position:absolute;z-index:251675648" coordsize="21600,21600" filled="f" stroked="f">
          <v:stroke joinstyle="miter"/>
          <v:textbox style="mso-fit-shape-to-text:t" inset="0,0,0,0">
            <w:txbxContent>
              <w:p>
                <w:pPr>
                  <w:pStyle w:val="Footer"/>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t>18</w:t>
                </w:r>
                <w:r>
                  <w:rPr>
                    <w:rFonts w:hint="eastAsia"/>
                  </w:rPr>
                  <w:fldChar w:fldCharType="end"/>
                </w:r>
                <w:r>
                  <w:rPr>
                    <w:rFonts w:hint="eastAsia"/>
                  </w:rPr>
                  <w:t xml:space="preserve"> 页 共 </w:t>
                </w:r>
                <w:r>
                  <w:fldChar w:fldCharType="begin"/>
                </w:r>
                <w:r>
                  <w:instrText xml:space="preserve"> NUMPAGES  \* MERGEFORMAT </w:instrText>
                </w:r>
                <w:r>
                  <w:fldChar w:fldCharType="separate"/>
                </w:r>
                <w:r>
                  <w:t>35</w:t>
                </w:r>
                <w:r>
                  <w:fldChar w:fldCharType="end"/>
                </w:r>
                <w:r>
                  <w:rPr>
                    <w:rFonts w:hint="eastAsia"/>
                  </w:rPr>
                  <w:t xml:space="preserve"> 页</w:t>
                </w:r>
              </w:p>
            </w:txbxContent>
          </v:textbox>
          <w10:wrap anchorx="margin"/>
        </v:shape>
      </w:pict>
    </w: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pict>
        <v:shapetype id="_x0000_t202" coordsize="21600,21600" o:spt="202" path="m,l,21600r21600,l21600,xe">
          <v:stroke joinstyle="miter"/>
          <v:path gradientshapeok="t" o:connecttype="rect"/>
        </v:shapetype>
        <v:shape id="_x0000_s2050" o:spid="_x0000_s2086" type="#_x0000_t202" style="width:2in;height:2in;margin-top:0;margin-left:0;mso-height-relative:page;mso-position-horizontal:right;mso-position-horizontal-relative:margin;mso-width-relative:page;mso-wrap-style:none;position:absolute;z-index:251676672" coordsize="21600,21600" filled="f" stroked="f">
          <v:stroke joinstyle="miter"/>
          <v:textbox style="mso-fit-shape-to-text:t" inset="0,0,0,0">
            <w:txbxContent>
              <w:p>
                <w:pPr>
                  <w:pStyle w:val="Footer"/>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t>20</w:t>
                </w:r>
                <w:r>
                  <w:rPr>
                    <w:rFonts w:hint="eastAsia"/>
                  </w:rPr>
                  <w:fldChar w:fldCharType="end"/>
                </w:r>
                <w:r>
                  <w:rPr>
                    <w:rFonts w:hint="eastAsia"/>
                  </w:rPr>
                  <w:t xml:space="preserve"> 页 共 </w:t>
                </w:r>
                <w:r>
                  <w:fldChar w:fldCharType="begin"/>
                </w:r>
                <w:r>
                  <w:instrText xml:space="preserve"> NUMPAGES  \* MERGEFORMAT </w:instrText>
                </w:r>
                <w:r>
                  <w:fldChar w:fldCharType="separate"/>
                </w:r>
                <w:r>
                  <w:t>35</w:t>
                </w:r>
                <w:r>
                  <w:fldChar w:fldCharType="end"/>
                </w:r>
                <w:r>
                  <w:rPr>
                    <w:rFonts w:hint="eastAsia"/>
                  </w:rPr>
                  <w:t xml:space="preserve"> 页</w:t>
                </w:r>
              </w:p>
            </w:txbxContent>
          </v:textbox>
          <w10:wrap anchorx="margin"/>
        </v:shape>
      </w:pict>
    </w: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pict>
        <v:shapetype id="_x0000_t202" coordsize="21600,21600" o:spt="202" path="m,l,21600r21600,l21600,xe">
          <v:stroke joinstyle="miter"/>
          <v:path gradientshapeok="t" o:connecttype="rect"/>
        </v:shapetype>
        <v:shape id="_x0000_s2050" o:spid="_x0000_s2088" type="#_x0000_t202" style="width:2in;height:2in;margin-top:0;margin-left:0;mso-height-relative:page;mso-position-horizontal:right;mso-position-horizontal-relative:margin;mso-width-relative:page;mso-wrap-style:none;position:absolute;z-index:251677696" coordsize="21600,21600" filled="f" stroked="f">
          <v:stroke joinstyle="miter"/>
          <v:textbox style="mso-fit-shape-to-text:t" inset="0,0,0,0">
            <w:txbxContent>
              <w:p>
                <w:pPr>
                  <w:pStyle w:val="Footer"/>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t>21</w:t>
                </w:r>
                <w:r>
                  <w:rPr>
                    <w:rFonts w:hint="eastAsia"/>
                  </w:rPr>
                  <w:fldChar w:fldCharType="end"/>
                </w:r>
                <w:r>
                  <w:rPr>
                    <w:rFonts w:hint="eastAsia"/>
                  </w:rPr>
                  <w:t xml:space="preserve"> 页 共 </w:t>
                </w:r>
                <w:r>
                  <w:fldChar w:fldCharType="begin"/>
                </w:r>
                <w:r>
                  <w:instrText xml:space="preserve"> NUMPAGES  \* MERGEFORMAT </w:instrText>
                </w:r>
                <w:r>
                  <w:fldChar w:fldCharType="separate"/>
                </w:r>
                <w:r>
                  <w:t>35</w:t>
                </w:r>
                <w:r>
                  <w:fldChar w:fldCharType="end"/>
                </w:r>
                <w:r>
                  <w:rPr>
                    <w:rFonts w:hint="eastAsia"/>
                  </w:rPr>
                  <w:t xml:space="preserve"> 页</w:t>
                </w:r>
              </w:p>
            </w:txbxContent>
          </v:textbox>
          <w10:wrap anchorx="margin"/>
        </v:shape>
      </w:pict>
    </w: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pict>
        <v:shapetype id="_x0000_t202" coordsize="21600,21600" o:spt="202" path="m,l,21600r21600,l21600,xe">
          <v:stroke joinstyle="miter"/>
          <v:path gradientshapeok="t" o:connecttype="rect"/>
        </v:shapetype>
        <v:shape id="_x0000_s2050" o:spid="_x0000_s2090" type="#_x0000_t202" style="width:2in;height:2in;margin-top:0;margin-left:0;mso-height-relative:page;mso-position-horizontal:right;mso-position-horizontal-relative:margin;mso-width-relative:page;mso-wrap-style:none;position:absolute;z-index:251678720" coordsize="21600,21600" filled="f" stroked="f">
          <v:stroke joinstyle="miter"/>
          <v:textbox style="mso-fit-shape-to-text:t" inset="0,0,0,0">
            <w:txbxContent>
              <w:p>
                <w:pPr>
                  <w:pStyle w:val="Footer"/>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t>21</w:t>
                </w:r>
                <w:r>
                  <w:rPr>
                    <w:rFonts w:hint="eastAsia"/>
                  </w:rPr>
                  <w:fldChar w:fldCharType="end"/>
                </w:r>
                <w:r>
                  <w:rPr>
                    <w:rFonts w:hint="eastAsia"/>
                  </w:rPr>
                  <w:t xml:space="preserve"> 页 共 </w:t>
                </w:r>
                <w:r>
                  <w:fldChar w:fldCharType="begin"/>
                </w:r>
                <w:r>
                  <w:instrText xml:space="preserve"> NUMPAGES  \* MERGEFORMAT </w:instrText>
                </w:r>
                <w:r>
                  <w:fldChar w:fldCharType="separate"/>
                </w:r>
                <w:r>
                  <w:t>35</w:t>
                </w:r>
                <w:r>
                  <w:fldChar w:fldCharType="end"/>
                </w:r>
                <w:r>
                  <w:rPr>
                    <w:rFonts w:hint="eastAsia"/>
                  </w:rPr>
                  <w:t xml:space="preserve"> 页</w:t>
                </w:r>
              </w:p>
            </w:txbxContent>
          </v:textbox>
          <w10:wrap anchorx="margin"/>
        </v:shape>
      </w:pict>
    </w: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pict>
        <v:shapetype id="_x0000_t202" coordsize="21600,21600" o:spt="202" path="m,l,21600r21600,l21600,xe">
          <v:stroke joinstyle="miter"/>
          <v:path gradientshapeok="t" o:connecttype="rect"/>
        </v:shapetype>
        <v:shape id="_x0000_s2050" o:spid="_x0000_s2092" type="#_x0000_t202" style="width:2in;height:2in;margin-top:0;margin-left:0;mso-height-relative:page;mso-position-horizontal:right;mso-position-horizontal-relative:margin;mso-width-relative:page;mso-wrap-style:none;position:absolute;z-index:251679744" coordsize="21600,21600" filled="f" stroked="f">
          <v:stroke joinstyle="miter"/>
          <v:textbox style="mso-fit-shape-to-text:t" inset="0,0,0,0">
            <w:txbxContent>
              <w:p>
                <w:pPr>
                  <w:pStyle w:val="Footer"/>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t>22</w:t>
                </w:r>
                <w:r>
                  <w:rPr>
                    <w:rFonts w:hint="eastAsia"/>
                  </w:rPr>
                  <w:fldChar w:fldCharType="end"/>
                </w:r>
                <w:r>
                  <w:rPr>
                    <w:rFonts w:hint="eastAsia"/>
                  </w:rPr>
                  <w:t xml:space="preserve"> 页 共 </w:t>
                </w:r>
                <w:r>
                  <w:fldChar w:fldCharType="begin"/>
                </w:r>
                <w:r>
                  <w:instrText xml:space="preserve"> NUMPAGES  \* MERGEFORMAT </w:instrText>
                </w:r>
                <w:r>
                  <w:fldChar w:fldCharType="separate"/>
                </w:r>
                <w:r>
                  <w:t>35</w:t>
                </w:r>
                <w:r>
                  <w:fldChar w:fldCharType="end"/>
                </w:r>
                <w:r>
                  <w:rPr>
                    <w:rFonts w:hint="eastAsia"/>
                  </w:rPr>
                  <w:t xml:space="preserve"> 页</w:t>
                </w:r>
              </w:p>
            </w:txbxContent>
          </v:textbox>
          <w10:wrap anchorx="margin"/>
        </v:shape>
      </w:pict>
    </w: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pict>
        <v:shapetype id="_x0000_t202" coordsize="21600,21600" o:spt="202" path="m,l,21600r21600,l21600,xe">
          <v:stroke joinstyle="miter"/>
          <v:path gradientshapeok="t" o:connecttype="rect"/>
        </v:shapetype>
        <v:shape id="_x0000_s2050" o:spid="_x0000_s2094" type="#_x0000_t202" style="width:2in;height:2in;margin-top:0;margin-left:0;mso-height-relative:page;mso-position-horizontal:right;mso-position-horizontal-relative:margin;mso-width-relative:page;mso-wrap-style:none;position:absolute;z-index:251680768" coordsize="21600,21600" filled="f" stroked="f">
          <v:stroke joinstyle="miter"/>
          <v:textbox style="mso-fit-shape-to-text:t" inset="0,0,0,0">
            <w:txbxContent>
              <w:p>
                <w:pPr>
                  <w:pStyle w:val="Footer"/>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t>23</w:t>
                </w:r>
                <w:r>
                  <w:rPr>
                    <w:rFonts w:hint="eastAsia"/>
                  </w:rPr>
                  <w:fldChar w:fldCharType="end"/>
                </w:r>
                <w:r>
                  <w:rPr>
                    <w:rFonts w:hint="eastAsia"/>
                  </w:rPr>
                  <w:t xml:space="preserve"> 页 共 </w:t>
                </w:r>
                <w:r>
                  <w:fldChar w:fldCharType="begin"/>
                </w:r>
                <w:r>
                  <w:instrText xml:space="preserve"> NUMPAGES  \* MERGEFORMAT </w:instrText>
                </w:r>
                <w:r>
                  <w:fldChar w:fldCharType="separate"/>
                </w:r>
                <w:r>
                  <w:t>35</w:t>
                </w:r>
                <w:r>
                  <w:fldChar w:fldCharType="end"/>
                </w:r>
                <w:r>
                  <w:rPr>
                    <w:rFonts w:hint="eastAsia"/>
                  </w:rPr>
                  <w:t xml:space="preserve"> 页</w:t>
                </w:r>
              </w:p>
            </w:txbxContent>
          </v:textbox>
          <w10:wrap anchorx="margin"/>
        </v:shape>
      </w:pict>
    </w: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pict>
        <v:shapetype id="_x0000_t202" coordsize="21600,21600" o:spt="202" path="m,l,21600r21600,l21600,xe">
          <v:stroke joinstyle="miter"/>
          <v:path gradientshapeok="t" o:connecttype="rect"/>
        </v:shapetype>
        <v:shape id="_x0000_s2050" o:spid="_x0000_s2096" type="#_x0000_t202" style="width:2in;height:2in;margin-top:0;margin-left:0;mso-height-relative:page;mso-position-horizontal:right;mso-position-horizontal-relative:margin;mso-width-relative:page;mso-wrap-style:none;position:absolute;z-index:251681792" coordsize="21600,21600" filled="f" stroked="f">
          <v:stroke joinstyle="miter"/>
          <v:textbox style="mso-fit-shape-to-text:t" inset="0,0,0,0">
            <w:txbxContent>
              <w:p>
                <w:pPr>
                  <w:pStyle w:val="Footer"/>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t>24</w:t>
                </w:r>
                <w:r>
                  <w:rPr>
                    <w:rFonts w:hint="eastAsia"/>
                  </w:rPr>
                  <w:fldChar w:fldCharType="end"/>
                </w:r>
                <w:r>
                  <w:rPr>
                    <w:rFonts w:hint="eastAsia"/>
                  </w:rPr>
                  <w:t xml:space="preserve"> 页 共 </w:t>
                </w:r>
                <w:r>
                  <w:fldChar w:fldCharType="begin"/>
                </w:r>
                <w:r>
                  <w:instrText xml:space="preserve"> NUMPAGES  \* MERGEFORMAT </w:instrText>
                </w:r>
                <w:r>
                  <w:fldChar w:fldCharType="separate"/>
                </w:r>
                <w:r>
                  <w:t>35</w:t>
                </w:r>
                <w:r>
                  <w:fldChar w:fldCharType="end"/>
                </w:r>
                <w:r>
                  <w:rPr>
                    <w:rFonts w:hint="eastAsia"/>
                  </w:rPr>
                  <w:t xml:space="preserve"> 页</w:t>
                </w:r>
              </w:p>
            </w:txbxContent>
          </v:textbox>
          <w10:wrap anchorx="margin"/>
        </v:shape>
      </w:pict>
    </w: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pict>
        <v:shapetype id="_x0000_t202" coordsize="21600,21600" o:spt="202" path="m,l,21600r21600,l21600,xe">
          <v:stroke joinstyle="miter"/>
          <v:path gradientshapeok="t" o:connecttype="rect"/>
        </v:shapetype>
        <v:shape id="_x0000_s2050" o:spid="_x0000_s2098" type="#_x0000_t202" style="width:2in;height:2in;margin-top:0;margin-left:0;mso-height-relative:page;mso-position-horizontal:right;mso-position-horizontal-relative:margin;mso-width-relative:page;mso-wrap-style:none;position:absolute;z-index:251682816" coordsize="21600,21600" filled="f" stroked="f">
          <v:stroke joinstyle="miter"/>
          <v:textbox style="mso-fit-shape-to-text:t" inset="0,0,0,0">
            <w:txbxContent>
              <w:p>
                <w:pPr>
                  <w:pStyle w:val="Footer"/>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t>26</w:t>
                </w:r>
                <w:r>
                  <w:rPr>
                    <w:rFonts w:hint="eastAsia"/>
                  </w:rPr>
                  <w:fldChar w:fldCharType="end"/>
                </w:r>
                <w:r>
                  <w:rPr>
                    <w:rFonts w:hint="eastAsia"/>
                  </w:rPr>
                  <w:t xml:space="preserve"> 页 共 </w:t>
                </w:r>
                <w:r>
                  <w:fldChar w:fldCharType="begin"/>
                </w:r>
                <w:r>
                  <w:instrText xml:space="preserve"> NUMPAGES  \* MERGEFORMAT </w:instrText>
                </w:r>
                <w:r>
                  <w:fldChar w:fldCharType="separate"/>
                </w:r>
                <w:r>
                  <w:t>35</w:t>
                </w:r>
                <w:r>
                  <w:fldChar w:fldCharType="end"/>
                </w:r>
                <w:r>
                  <w:rPr>
                    <w:rFonts w:hint="eastAsia"/>
                  </w:rPr>
                  <w:t xml:space="preserve"> 页</w:t>
                </w:r>
              </w:p>
            </w:txbxContent>
          </v:textbox>
          <w10:wrap anchorx="margin"/>
        </v:shape>
      </w:pict>
    </w: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pict>
        <v:shapetype id="_x0000_t202" coordsize="21600,21600" o:spt="202" path="m,l,21600r21600,l21600,xe">
          <v:stroke joinstyle="miter"/>
          <v:path gradientshapeok="t" o:connecttype="rect"/>
        </v:shapetype>
        <v:shape id="_x0000_s2050" o:spid="_x0000_s2100" type="#_x0000_t202" style="width:2in;height:2in;margin-top:0;margin-left:0;mso-height-relative:page;mso-position-horizontal:right;mso-position-horizontal-relative:margin;mso-width-relative:page;mso-wrap-style:none;position:absolute;z-index:251683840" coordsize="21600,21600" filled="f" stroked="f">
          <v:stroke joinstyle="miter"/>
          <v:textbox style="mso-fit-shape-to-text:t" inset="0,0,0,0">
            <w:txbxContent>
              <w:p>
                <w:pPr>
                  <w:pStyle w:val="Footer"/>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t>26</w:t>
                </w:r>
                <w:r>
                  <w:rPr>
                    <w:rFonts w:hint="eastAsia"/>
                  </w:rPr>
                  <w:fldChar w:fldCharType="end"/>
                </w:r>
                <w:r>
                  <w:rPr>
                    <w:rFonts w:hint="eastAsia"/>
                  </w:rPr>
                  <w:t xml:space="preserve"> 页 共 </w:t>
                </w:r>
                <w:r>
                  <w:fldChar w:fldCharType="begin"/>
                </w:r>
                <w:r>
                  <w:instrText xml:space="preserve"> NUMPAGES  \* MERGEFORMAT </w:instrText>
                </w:r>
                <w:r>
                  <w:fldChar w:fldCharType="separate"/>
                </w:r>
                <w:r>
                  <w:t>35</w:t>
                </w:r>
                <w:r>
                  <w:fldChar w:fldCharType="end"/>
                </w:r>
                <w:r>
                  <w:rPr>
                    <w:rFonts w:hint="eastAsia"/>
                  </w:rPr>
                  <w:t xml:space="preserve"> 页</w:t>
                </w:r>
              </w:p>
            </w:txbxContent>
          </v:textbox>
          <w10:wrap anchorx="margin"/>
        </v:shape>
      </w:pict>
    </w: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pict>
        <v:shapetype id="_x0000_t202" coordsize="21600,21600" o:spt="202" path="m,l,21600r21600,l21600,xe">
          <v:stroke joinstyle="miter"/>
          <v:path gradientshapeok="t" o:connecttype="rect"/>
        </v:shapetype>
        <v:shape id="_x0000_s2050" o:spid="_x0000_s2102" type="#_x0000_t202" style="width:2in;height:2in;margin-top:0;margin-left:0;mso-height-relative:page;mso-position-horizontal:right;mso-position-horizontal-relative:margin;mso-width-relative:page;mso-wrap-style:none;position:absolute;z-index:251684864" coordsize="21600,21600" filled="f" stroked="f">
          <v:stroke joinstyle="miter"/>
          <v:textbox style="mso-fit-shape-to-text:t" inset="0,0,0,0">
            <w:txbxContent>
              <w:p>
                <w:pPr>
                  <w:pStyle w:val="Footer"/>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t>27</w:t>
                </w:r>
                <w:r>
                  <w:rPr>
                    <w:rFonts w:hint="eastAsia"/>
                  </w:rPr>
                  <w:fldChar w:fldCharType="end"/>
                </w:r>
                <w:r>
                  <w:rPr>
                    <w:rFonts w:hint="eastAsia"/>
                  </w:rPr>
                  <w:t xml:space="preserve"> 页 共 </w:t>
                </w:r>
                <w:r>
                  <w:fldChar w:fldCharType="begin"/>
                </w:r>
                <w:r>
                  <w:instrText xml:space="preserve"> NUMPAGES  \* MERGEFORMAT </w:instrText>
                </w:r>
                <w:r>
                  <w:fldChar w:fldCharType="separate"/>
                </w:r>
                <w:r>
                  <w:t>35</w:t>
                </w:r>
                <w:r>
                  <w:fldChar w:fldCharType="end"/>
                </w:r>
                <w:r>
                  <w:rPr>
                    <w:rFonts w:hint="eastAsia"/>
                  </w:rPr>
                  <w:t xml:space="preserve"> 页</w:t>
                </w:r>
              </w:p>
            </w:txbxContent>
          </v:textbox>
          <w10:wrap anchorx="margin"/>
        </v:shape>
      </w:pict>
    </w: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pict>
        <v:shapetype id="_x0000_t202" coordsize="21600,21600" o:spt="202" path="m,l,21600r21600,l21600,xe">
          <v:stroke joinstyle="miter"/>
          <v:path gradientshapeok="t" o:connecttype="rect"/>
        </v:shapetype>
        <v:shape id="_x0000_s2050" o:spid="_x0000_s2104" type="#_x0000_t202" style="width:2in;height:2in;margin-top:0;margin-left:0;mso-height-relative:page;mso-position-horizontal:right;mso-position-horizontal-relative:margin;mso-width-relative:page;mso-wrap-style:none;position:absolute;z-index:251685888" coordsize="21600,21600" filled="f" stroked="f">
          <v:stroke joinstyle="miter"/>
          <v:textbox style="mso-fit-shape-to-text:t" inset="0,0,0,0">
            <w:txbxContent>
              <w:p>
                <w:pPr>
                  <w:pStyle w:val="Footer"/>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t>28</w:t>
                </w:r>
                <w:r>
                  <w:rPr>
                    <w:rFonts w:hint="eastAsia"/>
                  </w:rPr>
                  <w:fldChar w:fldCharType="end"/>
                </w:r>
                <w:r>
                  <w:rPr>
                    <w:rFonts w:hint="eastAsia"/>
                  </w:rPr>
                  <w:t xml:space="preserve"> 页 共 </w:t>
                </w:r>
                <w:r>
                  <w:fldChar w:fldCharType="begin"/>
                </w:r>
                <w:r>
                  <w:instrText xml:space="preserve"> NUMPAGES  \* MERGEFORMAT </w:instrText>
                </w:r>
                <w:r>
                  <w:fldChar w:fldCharType="separate"/>
                </w:r>
                <w:r>
                  <w:t>35</w:t>
                </w:r>
                <w:r>
                  <w:fldChar w:fldCharType="end"/>
                </w:r>
                <w:r>
                  <w:rPr>
                    <w:rFonts w:hint="eastAsia"/>
                  </w:rPr>
                  <w:t xml:space="preserve"> 页</w:t>
                </w:r>
              </w:p>
            </w:txbxContent>
          </v:textbox>
          <w10:wrap anchorx="margin"/>
        </v:shape>
      </w:pict>
    </w: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pict>
        <v:shapetype id="_x0000_t202" coordsize="21600,21600" o:spt="202" path="m,l,21600r21600,l21600,xe">
          <v:stroke joinstyle="miter"/>
          <v:path gradientshapeok="t" o:connecttype="rect"/>
        </v:shapetype>
        <v:shape id="_x0000_s2050" o:spid="_x0000_s2106" type="#_x0000_t202" style="width:2in;height:2in;margin-top:0;margin-left:0;mso-height-relative:page;mso-position-horizontal:right;mso-position-horizontal-relative:margin;mso-width-relative:page;mso-wrap-style:none;position:absolute;z-index:251686912" coordsize="21600,21600" filled="f" stroked="f">
          <v:stroke joinstyle="miter"/>
          <v:textbox style="mso-fit-shape-to-text:t" inset="0,0,0,0">
            <w:txbxContent>
              <w:p>
                <w:pPr>
                  <w:pStyle w:val="Footer"/>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t>29</w:t>
                </w:r>
                <w:r>
                  <w:rPr>
                    <w:rFonts w:hint="eastAsia"/>
                  </w:rPr>
                  <w:fldChar w:fldCharType="end"/>
                </w:r>
                <w:r>
                  <w:rPr>
                    <w:rFonts w:hint="eastAsia"/>
                  </w:rPr>
                  <w:t xml:space="preserve"> 页 共 </w:t>
                </w:r>
                <w:r>
                  <w:fldChar w:fldCharType="begin"/>
                </w:r>
                <w:r>
                  <w:instrText xml:space="preserve"> NUMPAGES  \* MERGEFORMAT </w:instrText>
                </w:r>
                <w:r>
                  <w:fldChar w:fldCharType="separate"/>
                </w:r>
                <w:r>
                  <w:t>35</w:t>
                </w:r>
                <w:r>
                  <w:fldChar w:fldCharType="end"/>
                </w:r>
                <w:r>
                  <w:rPr>
                    <w:rFonts w:hint="eastAsia"/>
                  </w:rPr>
                  <w:t xml:space="preserve"> 页</w:t>
                </w:r>
              </w:p>
            </w:txbxContent>
          </v:textbox>
          <w10:wrap anchorx="margin"/>
        </v:shape>
      </w:pict>
    </w: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pict>
        <v:shapetype id="_x0000_t202" coordsize="21600,21600" o:spt="202" path="m,l,21600r21600,l21600,xe">
          <v:stroke joinstyle="miter"/>
          <v:path gradientshapeok="t" o:connecttype="rect"/>
        </v:shapetype>
        <v:shape id="_x0000_s2050" o:spid="_x0000_s2108" type="#_x0000_t202" style="width:2in;height:2in;margin-top:0;margin-left:0;mso-height-relative:page;mso-position-horizontal:right;mso-position-horizontal-relative:margin;mso-width-relative:page;mso-wrap-style:none;position:absolute;z-index:251687936" coordsize="21600,21600" filled="f" stroked="f">
          <v:stroke joinstyle="miter"/>
          <v:textbox style="mso-fit-shape-to-text:t" inset="0,0,0,0">
            <w:txbxContent>
              <w:p>
                <w:pPr>
                  <w:pStyle w:val="Footer"/>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t>30</w:t>
                </w:r>
                <w:r>
                  <w:rPr>
                    <w:rFonts w:hint="eastAsia"/>
                  </w:rPr>
                  <w:fldChar w:fldCharType="end"/>
                </w:r>
                <w:r>
                  <w:rPr>
                    <w:rFonts w:hint="eastAsia"/>
                  </w:rPr>
                  <w:t xml:space="preserve"> 页 共 </w:t>
                </w:r>
                <w:r>
                  <w:fldChar w:fldCharType="begin"/>
                </w:r>
                <w:r>
                  <w:instrText xml:space="preserve"> NUMPAGES  \* MERGEFORMAT </w:instrText>
                </w:r>
                <w:r>
                  <w:fldChar w:fldCharType="separate"/>
                </w:r>
                <w:r>
                  <w:t>35</w:t>
                </w:r>
                <w:r>
                  <w:fldChar w:fldCharType="end"/>
                </w:r>
                <w:r>
                  <w:rPr>
                    <w:rFonts w:hint="eastAsia"/>
                  </w:rPr>
                  <w:t xml:space="preserve"> 页</w:t>
                </w:r>
              </w:p>
            </w:txbxContent>
          </v:textbox>
          <w10:wrap anchorx="margin"/>
        </v:shape>
      </w:pict>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tbl>
    <w:tblPr>
      <w:tblStyle w:val="TableNormal"/>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
    <w:tblGrid>
      <w:gridCol w:w="2520"/>
      <w:gridCol w:w="4680"/>
      <w:gridCol w:w="2700"/>
    </w:tblGrid>
    <w:tr>
      <w:tblPrEx>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Ex>
      <w:trPr>
        <w:trHeight w:val="761"/>
        <w:jc w:val="center"/>
      </w:trPr>
      <w:tc>
        <w:tcPr>
          <w:tcW w:w="2520" w:type="dxa"/>
          <w:tcBorders>
            <w:top w:val="single" w:sz="4" w:space="0" w:color="auto"/>
            <w:left w:val="nil"/>
            <w:bottom w:val="single" w:sz="4" w:space="0" w:color="auto"/>
            <w:right w:val="single" w:sz="4" w:space="0" w:color="auto"/>
          </w:tcBorders>
          <w:vAlign w:val="center"/>
        </w:tcPr>
        <w:p>
          <w:pPr>
            <w:rPr>
              <w:rFonts w:ascii="Arial" w:eastAsia="黑体" w:hAnsi="Arial"/>
            </w:rPr>
          </w:pPr>
          <w:r>
            <w:rPr>
              <w:rFonts w:ascii="Arial" w:eastAsia="黑体" w:hAnsi="Arial" w:hint="eastAsia"/>
            </w:rPr>
            <w:t>编号：</w:t>
          </w:r>
        </w:p>
        <w:p>
          <w:pPr>
            <w:rPr>
              <w:rFonts w:ascii="Arial" w:eastAsia="黑体" w:hAnsi="Arial"/>
            </w:rPr>
          </w:pPr>
          <w:r>
            <w:rPr>
              <w:rFonts w:ascii="Arial" w:eastAsia="黑体" w:hAnsi="Arial" w:hint="eastAsia"/>
            </w:rPr>
            <w:t>时间：2021年x月x日</w:t>
          </w:r>
        </w:p>
        <w:p>
          <w:pPr>
            <w:jc w:val="center"/>
            <w:rPr>
              <w:sz w:val="28"/>
              <w:szCs w:val="28"/>
            </w:rPr>
          </w:pPr>
        </w:p>
      </w:tc>
      <w:tc>
        <w:tcPr>
          <w:tcW w:w="4680" w:type="dxa"/>
          <w:tcBorders>
            <w:top w:val="single" w:sz="4" w:space="0" w:color="auto"/>
            <w:left w:val="single" w:sz="4" w:space="0" w:color="auto"/>
            <w:bottom w:val="single" w:sz="4" w:space="0" w:color="auto"/>
            <w:right w:val="single" w:sz="4" w:space="0" w:color="auto"/>
          </w:tcBorders>
          <w:vAlign w:val="center"/>
        </w:tcPr>
        <w:p>
          <w:pPr>
            <w:jc w:val="center"/>
            <w:rPr>
              <w:b/>
              <w:color w:val="000000"/>
              <w:sz w:val="28"/>
              <w:szCs w:val="28"/>
            </w:rPr>
          </w:pPr>
          <w:r>
            <w:rPr>
              <w:rFonts w:asciiTheme="minorEastAsia" w:eastAsiaTheme="minorEastAsia" w:hAnsiTheme="minorEastAsia" w:cstheme="minorEastAsia" w:hint="eastAsia"/>
              <w:b/>
              <w:bCs/>
              <w:color w:val="FF0000"/>
              <w:sz w:val="28"/>
              <w:szCs w:val="28"/>
            </w:rPr>
            <w:t>书山有路勤为径，学海无涯苦作舟</w:t>
          </w:r>
        </w:p>
      </w:tc>
      <w:tc>
        <w:tcPr>
          <w:tcW w:w="2700" w:type="dxa"/>
          <w:tcBorders>
            <w:top w:val="single" w:sz="4" w:space="0" w:color="auto"/>
            <w:left w:val="single" w:sz="4" w:space="0" w:color="auto"/>
            <w:bottom w:val="single" w:sz="4" w:space="0" w:color="auto"/>
            <w:right w:val="nil"/>
          </w:tcBorders>
          <w:vAlign w:val="center"/>
        </w:tcPr>
        <w:p>
          <w:pPr>
            <w:rPr>
              <w:sz w:val="24"/>
            </w:rPr>
          </w:pPr>
          <w:r>
            <w:rPr>
              <w:rFonts w:ascii="Arial" w:eastAsia="黑体" w:hAnsi="Arial" w:hint="eastAsia"/>
            </w:rPr>
            <w:t>页码：</w:t>
          </w:r>
          <w:r>
            <w:rPr>
              <w:rFonts w:ascii="Arial" w:eastAsia="黑体" w:hAnsi="Arial" w:hint="eastAsia"/>
              <w:kern w:val="0"/>
            </w:rPr>
            <w:t>第</w:t>
          </w:r>
          <w:r>
            <w:rPr>
              <w:sz w:val="18"/>
              <w:szCs w:val="18"/>
            </w:rPr>
            <w:fldChar w:fldCharType="begin"/>
          </w:r>
          <w:r>
            <w:rPr>
              <w:rStyle w:val="PageNumber"/>
              <w:sz w:val="18"/>
              <w:szCs w:val="18"/>
            </w:rPr>
            <w:instrText xml:space="preserve"> PAGE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1</w:t>
          </w:r>
          <w:r>
            <w:rPr>
              <w:sz w:val="18"/>
              <w:szCs w:val="18"/>
            </w:rPr>
            <w:fldChar w:fldCharType="end"/>
          </w:r>
          <w:r>
            <w:rPr>
              <w:rFonts w:ascii="Arial" w:eastAsia="黑体" w:hAnsi="Arial" w:hint="eastAsia"/>
              <w:kern w:val="0"/>
            </w:rPr>
            <w:t>页</w:t>
          </w:r>
          <w:r>
            <w:rPr>
              <w:rFonts w:ascii="Arial" w:eastAsia="黑体" w:hAnsi="Arial"/>
              <w:kern w:val="0"/>
            </w:rPr>
            <w:t xml:space="preserve"> </w:t>
          </w:r>
          <w:r>
            <w:rPr>
              <w:rFonts w:ascii="Arial" w:eastAsia="黑体" w:hAnsi="Arial" w:hint="eastAsia"/>
              <w:kern w:val="0"/>
            </w:rPr>
            <w:t>共</w:t>
          </w:r>
          <w:r>
            <w:rPr>
              <w:sz w:val="18"/>
              <w:szCs w:val="18"/>
            </w:rPr>
            <w:fldChar w:fldCharType="begin"/>
          </w:r>
          <w:r>
            <w:rPr>
              <w:rStyle w:val="PageNumber"/>
              <w:sz w:val="18"/>
              <w:szCs w:val="18"/>
            </w:rPr>
            <w:instrText xml:space="preserve"> NUMPAGES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35</w:t>
          </w:r>
          <w:r>
            <w:rPr>
              <w:sz w:val="18"/>
              <w:szCs w:val="18"/>
            </w:rPr>
            <w:fldChar w:fldCharType="end"/>
          </w:r>
          <w:r>
            <w:rPr>
              <w:rFonts w:ascii="Arial" w:eastAsia="黑体" w:hAnsi="Arial" w:hint="eastAsia"/>
              <w:kern w:val="0"/>
            </w:rPr>
            <w:t>页</w:t>
          </w:r>
        </w:p>
      </w:tc>
    </w:tr>
  </w:tbl>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6866167" o:spid="_x0000_s2049" type="#_x0000_t136" alt="感谢您的下载" style="width:456.95pt;height:130.25pt;margin-top:0;margin-left:0;mso-height-relative:page;mso-position-horizontal:center;mso-position-horizontal-relative:margin;mso-position-vertical:center;mso-position-vertical-relative:margin;mso-width-relative:page;position:absolute;rotation:315;z-index:-251658240" coordsize="21600,21600" filled="t" fillcolor="#f8f8f8" stroked="t" strokecolor="white">
          <v:fill opacity="0"/>
          <v:textpath style="font-family:宋体;font-size:36pt;v-text-align:center" trim="t" fitpath="t" xscale="f" string="感谢您的下载"/>
          <o:lock v:ext="edit" aspectratio="t"/>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tbl>
    <w:tblPr>
      <w:tblStyle w:val="TableNormal"/>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
    <w:tblGrid>
      <w:gridCol w:w="2520"/>
      <w:gridCol w:w="4680"/>
      <w:gridCol w:w="2700"/>
    </w:tblGrid>
    <w:tr>
      <w:tblPrEx>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Ex>
      <w:trPr>
        <w:trHeight w:val="761"/>
        <w:jc w:val="center"/>
      </w:trPr>
      <w:tc>
        <w:tcPr>
          <w:tcW w:w="2520" w:type="dxa"/>
          <w:tcBorders>
            <w:top w:val="single" w:sz="4" w:space="0" w:color="auto"/>
            <w:left w:val="nil"/>
            <w:bottom w:val="single" w:sz="4" w:space="0" w:color="auto"/>
            <w:right w:val="single" w:sz="4" w:space="0" w:color="auto"/>
          </w:tcBorders>
          <w:vAlign w:val="center"/>
        </w:tcPr>
        <w:p>
          <w:pPr>
            <w:rPr>
              <w:rFonts w:ascii="Arial" w:eastAsia="黑体" w:hAnsi="Arial"/>
            </w:rPr>
          </w:pPr>
          <w:r>
            <w:rPr>
              <w:rFonts w:ascii="Arial" w:eastAsia="黑体" w:hAnsi="Arial" w:hint="eastAsia"/>
            </w:rPr>
            <w:t>编号：</w:t>
          </w:r>
        </w:p>
        <w:p>
          <w:pPr>
            <w:rPr>
              <w:rFonts w:ascii="Arial" w:eastAsia="黑体" w:hAnsi="Arial"/>
            </w:rPr>
          </w:pPr>
          <w:r>
            <w:rPr>
              <w:rFonts w:ascii="Arial" w:eastAsia="黑体" w:hAnsi="Arial" w:hint="eastAsia"/>
            </w:rPr>
            <w:t>时间：2021年x月x日</w:t>
          </w:r>
        </w:p>
        <w:p>
          <w:pPr>
            <w:jc w:val="center"/>
            <w:rPr>
              <w:sz w:val="28"/>
              <w:szCs w:val="28"/>
            </w:rPr>
          </w:pPr>
        </w:p>
      </w:tc>
      <w:tc>
        <w:tcPr>
          <w:tcW w:w="4680" w:type="dxa"/>
          <w:tcBorders>
            <w:top w:val="single" w:sz="4" w:space="0" w:color="auto"/>
            <w:left w:val="single" w:sz="4" w:space="0" w:color="auto"/>
            <w:bottom w:val="single" w:sz="4" w:space="0" w:color="auto"/>
            <w:right w:val="single" w:sz="4" w:space="0" w:color="auto"/>
          </w:tcBorders>
          <w:vAlign w:val="center"/>
        </w:tcPr>
        <w:p>
          <w:pPr>
            <w:jc w:val="center"/>
            <w:rPr>
              <w:b/>
              <w:color w:val="000000"/>
              <w:sz w:val="28"/>
              <w:szCs w:val="28"/>
            </w:rPr>
          </w:pPr>
          <w:r>
            <w:rPr>
              <w:rFonts w:asciiTheme="minorEastAsia" w:eastAsiaTheme="minorEastAsia" w:hAnsiTheme="minorEastAsia" w:cstheme="minorEastAsia" w:hint="eastAsia"/>
              <w:b/>
              <w:bCs/>
              <w:color w:val="FF0000"/>
              <w:sz w:val="28"/>
              <w:szCs w:val="28"/>
            </w:rPr>
            <w:t>书山有路勤为径，学海无涯苦作舟</w:t>
          </w:r>
        </w:p>
      </w:tc>
      <w:tc>
        <w:tcPr>
          <w:tcW w:w="2700" w:type="dxa"/>
          <w:tcBorders>
            <w:top w:val="single" w:sz="4" w:space="0" w:color="auto"/>
            <w:left w:val="single" w:sz="4" w:space="0" w:color="auto"/>
            <w:bottom w:val="single" w:sz="4" w:space="0" w:color="auto"/>
            <w:right w:val="nil"/>
          </w:tcBorders>
          <w:vAlign w:val="center"/>
        </w:tcPr>
        <w:p>
          <w:pPr>
            <w:rPr>
              <w:sz w:val="24"/>
            </w:rPr>
          </w:pPr>
          <w:r>
            <w:rPr>
              <w:rFonts w:ascii="Arial" w:eastAsia="黑体" w:hAnsi="Arial" w:hint="eastAsia"/>
            </w:rPr>
            <w:t>页码：</w:t>
          </w:r>
          <w:r>
            <w:rPr>
              <w:rFonts w:ascii="Arial" w:eastAsia="黑体" w:hAnsi="Arial" w:hint="eastAsia"/>
              <w:kern w:val="0"/>
            </w:rPr>
            <w:t>第</w:t>
          </w:r>
          <w:r>
            <w:rPr>
              <w:sz w:val="18"/>
              <w:szCs w:val="18"/>
            </w:rPr>
            <w:fldChar w:fldCharType="begin"/>
          </w:r>
          <w:r>
            <w:rPr>
              <w:rStyle w:val="PageNumber"/>
              <w:sz w:val="18"/>
              <w:szCs w:val="18"/>
            </w:rPr>
            <w:instrText xml:space="preserve"> PAGE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2</w:t>
          </w:r>
          <w:r>
            <w:rPr>
              <w:sz w:val="18"/>
              <w:szCs w:val="18"/>
            </w:rPr>
            <w:fldChar w:fldCharType="end"/>
          </w:r>
          <w:r>
            <w:rPr>
              <w:rFonts w:ascii="Arial" w:eastAsia="黑体" w:hAnsi="Arial" w:hint="eastAsia"/>
              <w:kern w:val="0"/>
            </w:rPr>
            <w:t>页</w:t>
          </w:r>
          <w:r>
            <w:rPr>
              <w:rFonts w:ascii="Arial" w:eastAsia="黑体" w:hAnsi="Arial"/>
              <w:kern w:val="0"/>
            </w:rPr>
            <w:t xml:space="preserve"> </w:t>
          </w:r>
          <w:r>
            <w:rPr>
              <w:rFonts w:ascii="Arial" w:eastAsia="黑体" w:hAnsi="Arial" w:hint="eastAsia"/>
              <w:kern w:val="0"/>
            </w:rPr>
            <w:t>共</w:t>
          </w:r>
          <w:r>
            <w:rPr>
              <w:sz w:val="18"/>
              <w:szCs w:val="18"/>
            </w:rPr>
            <w:fldChar w:fldCharType="begin"/>
          </w:r>
          <w:r>
            <w:rPr>
              <w:rStyle w:val="PageNumber"/>
              <w:sz w:val="18"/>
              <w:szCs w:val="18"/>
            </w:rPr>
            <w:instrText xml:space="preserve"> NUMPAGES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35</w:t>
          </w:r>
          <w:r>
            <w:rPr>
              <w:sz w:val="18"/>
              <w:szCs w:val="18"/>
            </w:rPr>
            <w:fldChar w:fldCharType="end"/>
          </w:r>
          <w:r>
            <w:rPr>
              <w:rFonts w:ascii="Arial" w:eastAsia="黑体" w:hAnsi="Arial" w:hint="eastAsia"/>
              <w:kern w:val="0"/>
            </w:rPr>
            <w:t>页</w:t>
          </w:r>
        </w:p>
      </w:tc>
    </w:tr>
  </w:tbl>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6866167" o:spid="_x0000_s2051" type="#_x0000_t136" alt="感谢您的下载" style="width:456.95pt;height:130.25pt;margin-top:0;margin-left:0;mso-height-relative:page;mso-position-horizontal:center;mso-position-horizontal-relative:margin;mso-position-vertical:center;mso-position-vertical-relative:margin;mso-width-relative:page;position:absolute;rotation:315;z-index:-251657216" coordsize="21600,21600" filled="t" fillcolor="#f8f8f8" stroked="t" strokecolor="white">
          <v:fill opacity="0"/>
          <v:textpath style="font-family:宋体;font-size:36pt;v-text-align:center" trim="t" fitpath="t" xscale="f" string="感谢您的下载"/>
          <o:lock v:ext="edit" aspectratio="t"/>
          <w10:wrap anchorx="margin" anchory="margin"/>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tbl>
    <w:tblPr>
      <w:tblStyle w:val="TableNormal"/>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
    <w:tblGrid>
      <w:gridCol w:w="2520"/>
      <w:gridCol w:w="4680"/>
      <w:gridCol w:w="2700"/>
    </w:tblGrid>
    <w:tr>
      <w:tblPrEx>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Ex>
      <w:trPr>
        <w:trHeight w:val="761"/>
        <w:jc w:val="center"/>
      </w:trPr>
      <w:tc>
        <w:tcPr>
          <w:tcW w:w="2520" w:type="dxa"/>
          <w:tcBorders>
            <w:top w:val="single" w:sz="4" w:space="0" w:color="auto"/>
            <w:left w:val="nil"/>
            <w:bottom w:val="single" w:sz="4" w:space="0" w:color="auto"/>
            <w:right w:val="single" w:sz="4" w:space="0" w:color="auto"/>
          </w:tcBorders>
          <w:vAlign w:val="center"/>
        </w:tcPr>
        <w:p>
          <w:pPr>
            <w:rPr>
              <w:rFonts w:ascii="Arial" w:eastAsia="黑体" w:hAnsi="Arial"/>
            </w:rPr>
          </w:pPr>
          <w:r>
            <w:rPr>
              <w:rFonts w:ascii="Arial" w:eastAsia="黑体" w:hAnsi="Arial" w:hint="eastAsia"/>
            </w:rPr>
            <w:t>编号：</w:t>
          </w:r>
        </w:p>
        <w:p>
          <w:pPr>
            <w:rPr>
              <w:rFonts w:ascii="Arial" w:eastAsia="黑体" w:hAnsi="Arial"/>
            </w:rPr>
          </w:pPr>
          <w:r>
            <w:rPr>
              <w:rFonts w:ascii="Arial" w:eastAsia="黑体" w:hAnsi="Arial" w:hint="eastAsia"/>
            </w:rPr>
            <w:t>时间：2021年x月x日</w:t>
          </w:r>
        </w:p>
        <w:p>
          <w:pPr>
            <w:jc w:val="center"/>
            <w:rPr>
              <w:sz w:val="28"/>
              <w:szCs w:val="28"/>
            </w:rPr>
          </w:pPr>
        </w:p>
      </w:tc>
      <w:tc>
        <w:tcPr>
          <w:tcW w:w="4680" w:type="dxa"/>
          <w:tcBorders>
            <w:top w:val="single" w:sz="4" w:space="0" w:color="auto"/>
            <w:left w:val="single" w:sz="4" w:space="0" w:color="auto"/>
            <w:bottom w:val="single" w:sz="4" w:space="0" w:color="auto"/>
            <w:right w:val="single" w:sz="4" w:space="0" w:color="auto"/>
          </w:tcBorders>
          <w:vAlign w:val="center"/>
        </w:tcPr>
        <w:p>
          <w:pPr>
            <w:jc w:val="center"/>
            <w:rPr>
              <w:b/>
              <w:color w:val="000000"/>
              <w:sz w:val="28"/>
              <w:szCs w:val="28"/>
            </w:rPr>
          </w:pPr>
          <w:r>
            <w:rPr>
              <w:rFonts w:asciiTheme="minorEastAsia" w:eastAsiaTheme="minorEastAsia" w:hAnsiTheme="minorEastAsia" w:cstheme="minorEastAsia" w:hint="eastAsia"/>
              <w:b/>
              <w:bCs/>
              <w:color w:val="FF0000"/>
              <w:sz w:val="28"/>
              <w:szCs w:val="28"/>
            </w:rPr>
            <w:t>书山有路勤为径，学海无涯苦作舟</w:t>
          </w:r>
        </w:p>
      </w:tc>
      <w:tc>
        <w:tcPr>
          <w:tcW w:w="2700" w:type="dxa"/>
          <w:tcBorders>
            <w:top w:val="single" w:sz="4" w:space="0" w:color="auto"/>
            <w:left w:val="single" w:sz="4" w:space="0" w:color="auto"/>
            <w:bottom w:val="single" w:sz="4" w:space="0" w:color="auto"/>
            <w:right w:val="nil"/>
          </w:tcBorders>
          <w:vAlign w:val="center"/>
        </w:tcPr>
        <w:p>
          <w:pPr>
            <w:rPr>
              <w:sz w:val="24"/>
            </w:rPr>
          </w:pPr>
          <w:r>
            <w:rPr>
              <w:rFonts w:ascii="Arial" w:eastAsia="黑体" w:hAnsi="Arial" w:hint="eastAsia"/>
            </w:rPr>
            <w:t>页码：</w:t>
          </w:r>
          <w:r>
            <w:rPr>
              <w:rFonts w:ascii="Arial" w:eastAsia="黑体" w:hAnsi="Arial" w:hint="eastAsia"/>
              <w:kern w:val="0"/>
            </w:rPr>
            <w:t>第</w:t>
          </w:r>
          <w:r>
            <w:rPr>
              <w:sz w:val="18"/>
              <w:szCs w:val="18"/>
            </w:rPr>
            <w:fldChar w:fldCharType="begin"/>
          </w:r>
          <w:r>
            <w:rPr>
              <w:rStyle w:val="PageNumber"/>
              <w:sz w:val="18"/>
              <w:szCs w:val="18"/>
            </w:rPr>
            <w:instrText xml:space="preserve"> PAGE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3</w:t>
          </w:r>
          <w:r>
            <w:rPr>
              <w:sz w:val="18"/>
              <w:szCs w:val="18"/>
            </w:rPr>
            <w:fldChar w:fldCharType="end"/>
          </w:r>
          <w:r>
            <w:rPr>
              <w:rFonts w:ascii="Arial" w:eastAsia="黑体" w:hAnsi="Arial" w:hint="eastAsia"/>
              <w:kern w:val="0"/>
            </w:rPr>
            <w:t>页</w:t>
          </w:r>
          <w:r>
            <w:rPr>
              <w:rFonts w:ascii="Arial" w:eastAsia="黑体" w:hAnsi="Arial"/>
              <w:kern w:val="0"/>
            </w:rPr>
            <w:t xml:space="preserve"> </w:t>
          </w:r>
          <w:r>
            <w:rPr>
              <w:rFonts w:ascii="Arial" w:eastAsia="黑体" w:hAnsi="Arial" w:hint="eastAsia"/>
              <w:kern w:val="0"/>
            </w:rPr>
            <w:t>共</w:t>
          </w:r>
          <w:r>
            <w:rPr>
              <w:sz w:val="18"/>
              <w:szCs w:val="18"/>
            </w:rPr>
            <w:fldChar w:fldCharType="begin"/>
          </w:r>
          <w:r>
            <w:rPr>
              <w:rStyle w:val="PageNumber"/>
              <w:sz w:val="18"/>
              <w:szCs w:val="18"/>
            </w:rPr>
            <w:instrText xml:space="preserve"> NUMPAGES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35</w:t>
          </w:r>
          <w:r>
            <w:rPr>
              <w:sz w:val="18"/>
              <w:szCs w:val="18"/>
            </w:rPr>
            <w:fldChar w:fldCharType="end"/>
          </w:r>
          <w:r>
            <w:rPr>
              <w:rFonts w:ascii="Arial" w:eastAsia="黑体" w:hAnsi="Arial" w:hint="eastAsia"/>
              <w:kern w:val="0"/>
            </w:rPr>
            <w:t>页</w:t>
          </w:r>
        </w:p>
      </w:tc>
    </w:tr>
  </w:tbl>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6866167" o:spid="_x0000_s2053" type="#_x0000_t136" alt="感谢您的下载" style="width:456.95pt;height:130.25pt;margin-top:0;margin-left:0;mso-height-relative:page;mso-position-horizontal:center;mso-position-horizontal-relative:margin;mso-position-vertical:center;mso-position-vertical-relative:margin;mso-width-relative:page;position:absolute;rotation:315;z-index:-251656192" coordsize="21600,21600" filled="t" fillcolor="#f8f8f8" stroked="t" strokecolor="white">
          <v:fill opacity="0"/>
          <v:textpath style="font-family:宋体;font-size:36pt;v-text-align:center" trim="t" fitpath="t" xscale="f" string="感谢您的下载"/>
          <o:lock v:ext="edit" aspectratio="t"/>
          <w10:wrap anchorx="margin" anchory="margin"/>
        </v:shape>
      </w:pic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tbl>
    <w:tblPr>
      <w:tblStyle w:val="TableNormal"/>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
    <w:tblGrid>
      <w:gridCol w:w="2520"/>
      <w:gridCol w:w="4680"/>
      <w:gridCol w:w="2700"/>
    </w:tblGrid>
    <w:tr>
      <w:tblPrEx>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Ex>
      <w:trPr>
        <w:trHeight w:val="761"/>
        <w:jc w:val="center"/>
      </w:trPr>
      <w:tc>
        <w:tcPr>
          <w:tcW w:w="2520" w:type="dxa"/>
          <w:tcBorders>
            <w:top w:val="single" w:sz="4" w:space="0" w:color="auto"/>
            <w:left w:val="nil"/>
            <w:bottom w:val="single" w:sz="4" w:space="0" w:color="auto"/>
            <w:right w:val="single" w:sz="4" w:space="0" w:color="auto"/>
          </w:tcBorders>
          <w:vAlign w:val="center"/>
        </w:tcPr>
        <w:p>
          <w:pPr>
            <w:rPr>
              <w:rFonts w:ascii="Arial" w:eastAsia="黑体" w:hAnsi="Arial"/>
            </w:rPr>
          </w:pPr>
          <w:r>
            <w:rPr>
              <w:rFonts w:ascii="Arial" w:eastAsia="黑体" w:hAnsi="Arial" w:hint="eastAsia"/>
            </w:rPr>
            <w:t>编号：</w:t>
          </w:r>
        </w:p>
        <w:p>
          <w:pPr>
            <w:rPr>
              <w:rFonts w:ascii="Arial" w:eastAsia="黑体" w:hAnsi="Arial"/>
            </w:rPr>
          </w:pPr>
          <w:r>
            <w:rPr>
              <w:rFonts w:ascii="Arial" w:eastAsia="黑体" w:hAnsi="Arial" w:hint="eastAsia"/>
            </w:rPr>
            <w:t>时间：2021年x月x日</w:t>
          </w:r>
        </w:p>
        <w:p>
          <w:pPr>
            <w:jc w:val="center"/>
            <w:rPr>
              <w:sz w:val="28"/>
              <w:szCs w:val="28"/>
            </w:rPr>
          </w:pPr>
        </w:p>
      </w:tc>
      <w:tc>
        <w:tcPr>
          <w:tcW w:w="4680" w:type="dxa"/>
          <w:tcBorders>
            <w:top w:val="single" w:sz="4" w:space="0" w:color="auto"/>
            <w:left w:val="single" w:sz="4" w:space="0" w:color="auto"/>
            <w:bottom w:val="single" w:sz="4" w:space="0" w:color="auto"/>
            <w:right w:val="single" w:sz="4" w:space="0" w:color="auto"/>
          </w:tcBorders>
          <w:vAlign w:val="center"/>
        </w:tcPr>
        <w:p>
          <w:pPr>
            <w:jc w:val="center"/>
            <w:rPr>
              <w:b/>
              <w:color w:val="000000"/>
              <w:sz w:val="28"/>
              <w:szCs w:val="28"/>
            </w:rPr>
          </w:pPr>
          <w:r>
            <w:rPr>
              <w:rFonts w:asciiTheme="minorEastAsia" w:eastAsiaTheme="minorEastAsia" w:hAnsiTheme="minorEastAsia" w:cstheme="minorEastAsia" w:hint="eastAsia"/>
              <w:b/>
              <w:bCs/>
              <w:color w:val="FF0000"/>
              <w:sz w:val="28"/>
              <w:szCs w:val="28"/>
            </w:rPr>
            <w:t>书山有路勤为径，学海无涯苦作舟</w:t>
          </w:r>
        </w:p>
      </w:tc>
      <w:tc>
        <w:tcPr>
          <w:tcW w:w="2700" w:type="dxa"/>
          <w:tcBorders>
            <w:top w:val="single" w:sz="4" w:space="0" w:color="auto"/>
            <w:left w:val="single" w:sz="4" w:space="0" w:color="auto"/>
            <w:bottom w:val="single" w:sz="4" w:space="0" w:color="auto"/>
            <w:right w:val="nil"/>
          </w:tcBorders>
          <w:vAlign w:val="center"/>
        </w:tcPr>
        <w:p>
          <w:pPr>
            <w:rPr>
              <w:sz w:val="24"/>
            </w:rPr>
          </w:pPr>
          <w:r>
            <w:rPr>
              <w:rFonts w:ascii="Arial" w:eastAsia="黑体" w:hAnsi="Arial" w:hint="eastAsia"/>
            </w:rPr>
            <w:t>页码：</w:t>
          </w:r>
          <w:r>
            <w:rPr>
              <w:rFonts w:ascii="Arial" w:eastAsia="黑体" w:hAnsi="Arial" w:hint="eastAsia"/>
              <w:kern w:val="0"/>
            </w:rPr>
            <w:t>第</w:t>
          </w:r>
          <w:r>
            <w:rPr>
              <w:sz w:val="18"/>
              <w:szCs w:val="18"/>
            </w:rPr>
            <w:fldChar w:fldCharType="begin"/>
          </w:r>
          <w:r>
            <w:rPr>
              <w:rStyle w:val="PageNumber"/>
              <w:sz w:val="18"/>
              <w:szCs w:val="18"/>
            </w:rPr>
            <w:instrText xml:space="preserve"> PAGE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5</w:t>
          </w:r>
          <w:r>
            <w:rPr>
              <w:sz w:val="18"/>
              <w:szCs w:val="18"/>
            </w:rPr>
            <w:fldChar w:fldCharType="end"/>
          </w:r>
          <w:r>
            <w:rPr>
              <w:rFonts w:ascii="Arial" w:eastAsia="黑体" w:hAnsi="Arial" w:hint="eastAsia"/>
              <w:kern w:val="0"/>
            </w:rPr>
            <w:t>页</w:t>
          </w:r>
          <w:r>
            <w:rPr>
              <w:rFonts w:ascii="Arial" w:eastAsia="黑体" w:hAnsi="Arial"/>
              <w:kern w:val="0"/>
            </w:rPr>
            <w:t xml:space="preserve"> </w:t>
          </w:r>
          <w:r>
            <w:rPr>
              <w:rFonts w:ascii="Arial" w:eastAsia="黑体" w:hAnsi="Arial" w:hint="eastAsia"/>
              <w:kern w:val="0"/>
            </w:rPr>
            <w:t>共</w:t>
          </w:r>
          <w:r>
            <w:rPr>
              <w:sz w:val="18"/>
              <w:szCs w:val="18"/>
            </w:rPr>
            <w:fldChar w:fldCharType="begin"/>
          </w:r>
          <w:r>
            <w:rPr>
              <w:rStyle w:val="PageNumber"/>
              <w:sz w:val="18"/>
              <w:szCs w:val="18"/>
            </w:rPr>
            <w:instrText xml:space="preserve"> NUMPAGES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35</w:t>
          </w:r>
          <w:r>
            <w:rPr>
              <w:sz w:val="18"/>
              <w:szCs w:val="18"/>
            </w:rPr>
            <w:fldChar w:fldCharType="end"/>
          </w:r>
          <w:r>
            <w:rPr>
              <w:rFonts w:ascii="Arial" w:eastAsia="黑体" w:hAnsi="Arial" w:hint="eastAsia"/>
              <w:kern w:val="0"/>
            </w:rPr>
            <w:t>页</w:t>
          </w:r>
        </w:p>
      </w:tc>
    </w:tr>
  </w:tbl>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6866167" o:spid="_x0000_s2055" type="#_x0000_t136" alt="感谢您的下载" style="width:456.95pt;height:130.25pt;margin-top:0;margin-left:0;mso-height-relative:page;mso-position-horizontal:center;mso-position-horizontal-relative:margin;mso-position-vertical:center;mso-position-vertical-relative:margin;mso-width-relative:page;position:absolute;rotation:315;z-index:-251655168" coordsize="21600,21600" filled="t" fillcolor="#f8f8f8" stroked="t" strokecolor="white">
          <v:fill opacity="0"/>
          <v:textpath style="font-family:宋体;font-size:36pt;v-text-align:center" trim="t" fitpath="t" xscale="f" string="感谢您的下载"/>
          <o:lock v:ext="edit" aspectratio="t"/>
          <w10:wrap anchorx="margin" anchory="margin"/>
        </v:shape>
      </w:pic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tbl>
    <w:tblPr>
      <w:tblStyle w:val="TableNormal"/>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
    <w:tblGrid>
      <w:gridCol w:w="2520"/>
      <w:gridCol w:w="4680"/>
      <w:gridCol w:w="2700"/>
    </w:tblGrid>
    <w:tr>
      <w:tblPrEx>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Ex>
      <w:trPr>
        <w:trHeight w:val="761"/>
        <w:jc w:val="center"/>
      </w:trPr>
      <w:tc>
        <w:tcPr>
          <w:tcW w:w="2520" w:type="dxa"/>
          <w:tcBorders>
            <w:top w:val="single" w:sz="4" w:space="0" w:color="auto"/>
            <w:left w:val="nil"/>
            <w:bottom w:val="single" w:sz="4" w:space="0" w:color="auto"/>
            <w:right w:val="single" w:sz="4" w:space="0" w:color="auto"/>
          </w:tcBorders>
          <w:vAlign w:val="center"/>
        </w:tcPr>
        <w:p>
          <w:pPr>
            <w:rPr>
              <w:rFonts w:ascii="Arial" w:eastAsia="黑体" w:hAnsi="Arial"/>
            </w:rPr>
          </w:pPr>
          <w:r>
            <w:rPr>
              <w:rFonts w:ascii="Arial" w:eastAsia="黑体" w:hAnsi="Arial" w:hint="eastAsia"/>
            </w:rPr>
            <w:t>编号：</w:t>
          </w:r>
        </w:p>
        <w:p>
          <w:pPr>
            <w:rPr>
              <w:rFonts w:ascii="Arial" w:eastAsia="黑体" w:hAnsi="Arial"/>
            </w:rPr>
          </w:pPr>
          <w:r>
            <w:rPr>
              <w:rFonts w:ascii="Arial" w:eastAsia="黑体" w:hAnsi="Arial" w:hint="eastAsia"/>
            </w:rPr>
            <w:t>时间：2021年x月x日</w:t>
          </w:r>
        </w:p>
        <w:p>
          <w:pPr>
            <w:jc w:val="center"/>
            <w:rPr>
              <w:sz w:val="28"/>
              <w:szCs w:val="28"/>
            </w:rPr>
          </w:pPr>
        </w:p>
      </w:tc>
      <w:tc>
        <w:tcPr>
          <w:tcW w:w="4680" w:type="dxa"/>
          <w:tcBorders>
            <w:top w:val="single" w:sz="4" w:space="0" w:color="auto"/>
            <w:left w:val="single" w:sz="4" w:space="0" w:color="auto"/>
            <w:bottom w:val="single" w:sz="4" w:space="0" w:color="auto"/>
            <w:right w:val="single" w:sz="4" w:space="0" w:color="auto"/>
          </w:tcBorders>
          <w:vAlign w:val="center"/>
        </w:tcPr>
        <w:p>
          <w:pPr>
            <w:jc w:val="center"/>
            <w:rPr>
              <w:b/>
              <w:color w:val="000000"/>
              <w:sz w:val="28"/>
              <w:szCs w:val="28"/>
            </w:rPr>
          </w:pPr>
          <w:r>
            <w:rPr>
              <w:rFonts w:asciiTheme="minorEastAsia" w:eastAsiaTheme="minorEastAsia" w:hAnsiTheme="minorEastAsia" w:cstheme="minorEastAsia" w:hint="eastAsia"/>
              <w:b/>
              <w:bCs/>
              <w:color w:val="FF0000"/>
              <w:sz w:val="28"/>
              <w:szCs w:val="28"/>
            </w:rPr>
            <w:t>书山有路勤为径，学海无涯苦作舟</w:t>
          </w:r>
        </w:p>
      </w:tc>
      <w:tc>
        <w:tcPr>
          <w:tcW w:w="2700" w:type="dxa"/>
          <w:tcBorders>
            <w:top w:val="single" w:sz="4" w:space="0" w:color="auto"/>
            <w:left w:val="single" w:sz="4" w:space="0" w:color="auto"/>
            <w:bottom w:val="single" w:sz="4" w:space="0" w:color="auto"/>
            <w:right w:val="nil"/>
          </w:tcBorders>
          <w:vAlign w:val="center"/>
        </w:tcPr>
        <w:p>
          <w:pPr>
            <w:rPr>
              <w:sz w:val="24"/>
            </w:rPr>
          </w:pPr>
          <w:r>
            <w:rPr>
              <w:rFonts w:ascii="Arial" w:eastAsia="黑体" w:hAnsi="Arial" w:hint="eastAsia"/>
            </w:rPr>
            <w:t>页码：</w:t>
          </w:r>
          <w:r>
            <w:rPr>
              <w:rFonts w:ascii="Arial" w:eastAsia="黑体" w:hAnsi="Arial" w:hint="eastAsia"/>
              <w:kern w:val="0"/>
            </w:rPr>
            <w:t>第</w:t>
          </w:r>
          <w:r>
            <w:rPr>
              <w:sz w:val="18"/>
              <w:szCs w:val="18"/>
            </w:rPr>
            <w:fldChar w:fldCharType="begin"/>
          </w:r>
          <w:r>
            <w:rPr>
              <w:rStyle w:val="PageNumber"/>
              <w:sz w:val="18"/>
              <w:szCs w:val="18"/>
            </w:rPr>
            <w:instrText xml:space="preserve"> PAGE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5</w:t>
          </w:r>
          <w:r>
            <w:rPr>
              <w:sz w:val="18"/>
              <w:szCs w:val="18"/>
            </w:rPr>
            <w:fldChar w:fldCharType="end"/>
          </w:r>
          <w:r>
            <w:rPr>
              <w:rFonts w:ascii="Arial" w:eastAsia="黑体" w:hAnsi="Arial" w:hint="eastAsia"/>
              <w:kern w:val="0"/>
            </w:rPr>
            <w:t>页</w:t>
          </w:r>
          <w:r>
            <w:rPr>
              <w:rFonts w:ascii="Arial" w:eastAsia="黑体" w:hAnsi="Arial"/>
              <w:kern w:val="0"/>
            </w:rPr>
            <w:t xml:space="preserve"> </w:t>
          </w:r>
          <w:r>
            <w:rPr>
              <w:rFonts w:ascii="Arial" w:eastAsia="黑体" w:hAnsi="Arial" w:hint="eastAsia"/>
              <w:kern w:val="0"/>
            </w:rPr>
            <w:t>共</w:t>
          </w:r>
          <w:r>
            <w:rPr>
              <w:sz w:val="18"/>
              <w:szCs w:val="18"/>
            </w:rPr>
            <w:fldChar w:fldCharType="begin"/>
          </w:r>
          <w:r>
            <w:rPr>
              <w:rStyle w:val="PageNumber"/>
              <w:sz w:val="18"/>
              <w:szCs w:val="18"/>
            </w:rPr>
            <w:instrText xml:space="preserve"> NUMPAGES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35</w:t>
          </w:r>
          <w:r>
            <w:rPr>
              <w:sz w:val="18"/>
              <w:szCs w:val="18"/>
            </w:rPr>
            <w:fldChar w:fldCharType="end"/>
          </w:r>
          <w:r>
            <w:rPr>
              <w:rFonts w:ascii="Arial" w:eastAsia="黑体" w:hAnsi="Arial" w:hint="eastAsia"/>
              <w:kern w:val="0"/>
            </w:rPr>
            <w:t>页</w:t>
          </w:r>
        </w:p>
      </w:tc>
    </w:tr>
  </w:tbl>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6866167" o:spid="_x0000_s2057" type="#_x0000_t136" alt="感谢您的下载" style="width:456.95pt;height:130.25pt;margin-top:0;margin-left:0;mso-height-relative:page;mso-position-horizontal:center;mso-position-horizontal-relative:margin;mso-position-vertical:center;mso-position-vertical-relative:margin;mso-width-relative:page;position:absolute;rotation:315;z-index:-251654144" coordsize="21600,21600" filled="t" fillcolor="#f8f8f8" stroked="t" strokecolor="white">
          <v:fill opacity="0"/>
          <v:textpath style="font-family:宋体;font-size:36pt;v-text-align:center" trim="t" fitpath="t" xscale="f" string="感谢您的下载"/>
          <o:lock v:ext="edit" aspectratio="t"/>
          <w10:wrap anchorx="margin" anchory="margin"/>
        </v:shape>
      </w:pic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tbl>
    <w:tblPr>
      <w:tblStyle w:val="TableNormal"/>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
    <w:tblGrid>
      <w:gridCol w:w="2520"/>
      <w:gridCol w:w="4680"/>
      <w:gridCol w:w="2700"/>
    </w:tblGrid>
    <w:tr>
      <w:tblPrEx>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Ex>
      <w:trPr>
        <w:trHeight w:val="761"/>
        <w:jc w:val="center"/>
      </w:trPr>
      <w:tc>
        <w:tcPr>
          <w:tcW w:w="2520" w:type="dxa"/>
          <w:tcBorders>
            <w:top w:val="single" w:sz="4" w:space="0" w:color="auto"/>
            <w:left w:val="nil"/>
            <w:bottom w:val="single" w:sz="4" w:space="0" w:color="auto"/>
            <w:right w:val="single" w:sz="4" w:space="0" w:color="auto"/>
          </w:tcBorders>
          <w:vAlign w:val="center"/>
        </w:tcPr>
        <w:p>
          <w:pPr>
            <w:rPr>
              <w:rFonts w:ascii="Arial" w:eastAsia="黑体" w:hAnsi="Arial"/>
            </w:rPr>
          </w:pPr>
          <w:r>
            <w:rPr>
              <w:rFonts w:ascii="Arial" w:eastAsia="黑体" w:hAnsi="Arial" w:hint="eastAsia"/>
            </w:rPr>
            <w:t>编号：</w:t>
          </w:r>
        </w:p>
        <w:p>
          <w:pPr>
            <w:rPr>
              <w:rFonts w:ascii="Arial" w:eastAsia="黑体" w:hAnsi="Arial"/>
            </w:rPr>
          </w:pPr>
          <w:r>
            <w:rPr>
              <w:rFonts w:ascii="Arial" w:eastAsia="黑体" w:hAnsi="Arial" w:hint="eastAsia"/>
            </w:rPr>
            <w:t>时间：2021年x月x日</w:t>
          </w:r>
        </w:p>
        <w:p>
          <w:pPr>
            <w:jc w:val="center"/>
            <w:rPr>
              <w:sz w:val="28"/>
              <w:szCs w:val="28"/>
            </w:rPr>
          </w:pPr>
        </w:p>
      </w:tc>
      <w:tc>
        <w:tcPr>
          <w:tcW w:w="4680" w:type="dxa"/>
          <w:tcBorders>
            <w:top w:val="single" w:sz="4" w:space="0" w:color="auto"/>
            <w:left w:val="single" w:sz="4" w:space="0" w:color="auto"/>
            <w:bottom w:val="single" w:sz="4" w:space="0" w:color="auto"/>
            <w:right w:val="single" w:sz="4" w:space="0" w:color="auto"/>
          </w:tcBorders>
          <w:vAlign w:val="center"/>
        </w:tcPr>
        <w:p>
          <w:pPr>
            <w:jc w:val="center"/>
            <w:rPr>
              <w:b/>
              <w:color w:val="000000"/>
              <w:sz w:val="28"/>
              <w:szCs w:val="28"/>
            </w:rPr>
          </w:pPr>
          <w:r>
            <w:rPr>
              <w:rFonts w:asciiTheme="minorEastAsia" w:eastAsiaTheme="minorEastAsia" w:hAnsiTheme="minorEastAsia" w:cstheme="minorEastAsia" w:hint="eastAsia"/>
              <w:b/>
              <w:bCs/>
              <w:color w:val="FF0000"/>
              <w:sz w:val="28"/>
              <w:szCs w:val="28"/>
            </w:rPr>
            <w:t>书山有路勤为径，学海无涯苦作舟</w:t>
          </w:r>
        </w:p>
      </w:tc>
      <w:tc>
        <w:tcPr>
          <w:tcW w:w="2700" w:type="dxa"/>
          <w:tcBorders>
            <w:top w:val="single" w:sz="4" w:space="0" w:color="auto"/>
            <w:left w:val="single" w:sz="4" w:space="0" w:color="auto"/>
            <w:bottom w:val="single" w:sz="4" w:space="0" w:color="auto"/>
            <w:right w:val="nil"/>
          </w:tcBorders>
          <w:vAlign w:val="center"/>
        </w:tcPr>
        <w:p>
          <w:pPr>
            <w:rPr>
              <w:sz w:val="24"/>
            </w:rPr>
          </w:pPr>
          <w:r>
            <w:rPr>
              <w:rFonts w:ascii="Arial" w:eastAsia="黑体" w:hAnsi="Arial" w:hint="eastAsia"/>
            </w:rPr>
            <w:t>页码：</w:t>
          </w:r>
          <w:r>
            <w:rPr>
              <w:rFonts w:ascii="Arial" w:eastAsia="黑体" w:hAnsi="Arial" w:hint="eastAsia"/>
              <w:kern w:val="0"/>
            </w:rPr>
            <w:t>第</w:t>
          </w:r>
          <w:r>
            <w:rPr>
              <w:sz w:val="18"/>
              <w:szCs w:val="18"/>
            </w:rPr>
            <w:fldChar w:fldCharType="begin"/>
          </w:r>
          <w:r>
            <w:rPr>
              <w:rStyle w:val="PageNumber"/>
              <w:sz w:val="18"/>
              <w:szCs w:val="18"/>
            </w:rPr>
            <w:instrText xml:space="preserve"> PAGE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6</w:t>
          </w:r>
          <w:r>
            <w:rPr>
              <w:sz w:val="18"/>
              <w:szCs w:val="18"/>
            </w:rPr>
            <w:fldChar w:fldCharType="end"/>
          </w:r>
          <w:r>
            <w:rPr>
              <w:rFonts w:ascii="Arial" w:eastAsia="黑体" w:hAnsi="Arial" w:hint="eastAsia"/>
              <w:kern w:val="0"/>
            </w:rPr>
            <w:t>页</w:t>
          </w:r>
          <w:r>
            <w:rPr>
              <w:rFonts w:ascii="Arial" w:eastAsia="黑体" w:hAnsi="Arial"/>
              <w:kern w:val="0"/>
            </w:rPr>
            <w:t xml:space="preserve"> </w:t>
          </w:r>
          <w:r>
            <w:rPr>
              <w:rFonts w:ascii="Arial" w:eastAsia="黑体" w:hAnsi="Arial" w:hint="eastAsia"/>
              <w:kern w:val="0"/>
            </w:rPr>
            <w:t>共</w:t>
          </w:r>
          <w:r>
            <w:rPr>
              <w:sz w:val="18"/>
              <w:szCs w:val="18"/>
            </w:rPr>
            <w:fldChar w:fldCharType="begin"/>
          </w:r>
          <w:r>
            <w:rPr>
              <w:rStyle w:val="PageNumber"/>
              <w:sz w:val="18"/>
              <w:szCs w:val="18"/>
            </w:rPr>
            <w:instrText xml:space="preserve"> NUMPAGES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35</w:t>
          </w:r>
          <w:r>
            <w:rPr>
              <w:sz w:val="18"/>
              <w:szCs w:val="18"/>
            </w:rPr>
            <w:fldChar w:fldCharType="end"/>
          </w:r>
          <w:r>
            <w:rPr>
              <w:rFonts w:ascii="Arial" w:eastAsia="黑体" w:hAnsi="Arial" w:hint="eastAsia"/>
              <w:kern w:val="0"/>
            </w:rPr>
            <w:t>页</w:t>
          </w:r>
        </w:p>
      </w:tc>
    </w:tr>
  </w:tbl>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6866167" o:spid="_x0000_s2059" type="#_x0000_t136" alt="感谢您的下载" style="width:456.95pt;height:130.25pt;margin-top:0;margin-left:0;mso-height-relative:page;mso-position-horizontal:center;mso-position-horizontal-relative:margin;mso-position-vertical:center;mso-position-vertical-relative:margin;mso-width-relative:page;position:absolute;rotation:315;z-index:-251653120" coordsize="21600,21600" filled="t" fillcolor="#f8f8f8" stroked="t" strokecolor="white">
          <v:fill opacity="0"/>
          <v:textpath style="font-family:宋体;font-size:36pt;v-text-align:center" trim="t" fitpath="t" xscale="f" string="感谢您的下载"/>
          <o:lock v:ext="edit" aspectratio="t"/>
          <w10:wrap anchorx="margin" anchory="margin"/>
        </v:shape>
      </w:pic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tbl>
    <w:tblPr>
      <w:tblStyle w:val="TableNormal"/>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
    <w:tblGrid>
      <w:gridCol w:w="2520"/>
      <w:gridCol w:w="4680"/>
      <w:gridCol w:w="2700"/>
    </w:tblGrid>
    <w:tr>
      <w:tblPrEx>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Ex>
      <w:trPr>
        <w:trHeight w:val="761"/>
        <w:jc w:val="center"/>
      </w:trPr>
      <w:tc>
        <w:tcPr>
          <w:tcW w:w="2520" w:type="dxa"/>
          <w:tcBorders>
            <w:top w:val="single" w:sz="4" w:space="0" w:color="auto"/>
            <w:left w:val="nil"/>
            <w:bottom w:val="single" w:sz="4" w:space="0" w:color="auto"/>
            <w:right w:val="single" w:sz="4" w:space="0" w:color="auto"/>
          </w:tcBorders>
          <w:vAlign w:val="center"/>
        </w:tcPr>
        <w:p>
          <w:pPr>
            <w:rPr>
              <w:rFonts w:ascii="Arial" w:eastAsia="黑体" w:hAnsi="Arial"/>
            </w:rPr>
          </w:pPr>
          <w:r>
            <w:rPr>
              <w:rFonts w:ascii="Arial" w:eastAsia="黑体" w:hAnsi="Arial" w:hint="eastAsia"/>
            </w:rPr>
            <w:t>编号：</w:t>
          </w:r>
        </w:p>
        <w:p>
          <w:pPr>
            <w:rPr>
              <w:rFonts w:ascii="Arial" w:eastAsia="黑体" w:hAnsi="Arial"/>
            </w:rPr>
          </w:pPr>
          <w:r>
            <w:rPr>
              <w:rFonts w:ascii="Arial" w:eastAsia="黑体" w:hAnsi="Arial" w:hint="eastAsia"/>
            </w:rPr>
            <w:t>时间：2021年x月x日</w:t>
          </w:r>
        </w:p>
        <w:p>
          <w:pPr>
            <w:jc w:val="center"/>
            <w:rPr>
              <w:sz w:val="28"/>
              <w:szCs w:val="28"/>
            </w:rPr>
          </w:pPr>
        </w:p>
      </w:tc>
      <w:tc>
        <w:tcPr>
          <w:tcW w:w="4680" w:type="dxa"/>
          <w:tcBorders>
            <w:top w:val="single" w:sz="4" w:space="0" w:color="auto"/>
            <w:left w:val="single" w:sz="4" w:space="0" w:color="auto"/>
            <w:bottom w:val="single" w:sz="4" w:space="0" w:color="auto"/>
            <w:right w:val="single" w:sz="4" w:space="0" w:color="auto"/>
          </w:tcBorders>
          <w:vAlign w:val="center"/>
        </w:tcPr>
        <w:p>
          <w:pPr>
            <w:jc w:val="center"/>
            <w:rPr>
              <w:b/>
              <w:color w:val="000000"/>
              <w:sz w:val="28"/>
              <w:szCs w:val="28"/>
            </w:rPr>
          </w:pPr>
          <w:r>
            <w:rPr>
              <w:rFonts w:asciiTheme="minorEastAsia" w:eastAsiaTheme="minorEastAsia" w:hAnsiTheme="minorEastAsia" w:cstheme="minorEastAsia" w:hint="eastAsia"/>
              <w:b/>
              <w:bCs/>
              <w:color w:val="FF0000"/>
              <w:sz w:val="28"/>
              <w:szCs w:val="28"/>
            </w:rPr>
            <w:t>书山有路勤为径，学海无涯苦作舟</w:t>
          </w:r>
        </w:p>
      </w:tc>
      <w:tc>
        <w:tcPr>
          <w:tcW w:w="2700" w:type="dxa"/>
          <w:tcBorders>
            <w:top w:val="single" w:sz="4" w:space="0" w:color="auto"/>
            <w:left w:val="single" w:sz="4" w:space="0" w:color="auto"/>
            <w:bottom w:val="single" w:sz="4" w:space="0" w:color="auto"/>
            <w:right w:val="nil"/>
          </w:tcBorders>
          <w:vAlign w:val="center"/>
        </w:tcPr>
        <w:p>
          <w:pPr>
            <w:rPr>
              <w:sz w:val="24"/>
            </w:rPr>
          </w:pPr>
          <w:r>
            <w:rPr>
              <w:rFonts w:ascii="Arial" w:eastAsia="黑体" w:hAnsi="Arial" w:hint="eastAsia"/>
            </w:rPr>
            <w:t>页码：</w:t>
          </w:r>
          <w:r>
            <w:rPr>
              <w:rFonts w:ascii="Arial" w:eastAsia="黑体" w:hAnsi="Arial" w:hint="eastAsia"/>
              <w:kern w:val="0"/>
            </w:rPr>
            <w:t>第</w:t>
          </w:r>
          <w:r>
            <w:rPr>
              <w:sz w:val="18"/>
              <w:szCs w:val="18"/>
            </w:rPr>
            <w:fldChar w:fldCharType="begin"/>
          </w:r>
          <w:r>
            <w:rPr>
              <w:rStyle w:val="PageNumber"/>
              <w:sz w:val="18"/>
              <w:szCs w:val="18"/>
            </w:rPr>
            <w:instrText xml:space="preserve"> PAGE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7</w:t>
          </w:r>
          <w:r>
            <w:rPr>
              <w:sz w:val="18"/>
              <w:szCs w:val="18"/>
            </w:rPr>
            <w:fldChar w:fldCharType="end"/>
          </w:r>
          <w:r>
            <w:rPr>
              <w:rFonts w:ascii="Arial" w:eastAsia="黑体" w:hAnsi="Arial" w:hint="eastAsia"/>
              <w:kern w:val="0"/>
            </w:rPr>
            <w:t>页</w:t>
          </w:r>
          <w:r>
            <w:rPr>
              <w:rFonts w:ascii="Arial" w:eastAsia="黑体" w:hAnsi="Arial"/>
              <w:kern w:val="0"/>
            </w:rPr>
            <w:t xml:space="preserve"> </w:t>
          </w:r>
          <w:r>
            <w:rPr>
              <w:rFonts w:ascii="Arial" w:eastAsia="黑体" w:hAnsi="Arial" w:hint="eastAsia"/>
              <w:kern w:val="0"/>
            </w:rPr>
            <w:t>共</w:t>
          </w:r>
          <w:r>
            <w:rPr>
              <w:sz w:val="18"/>
              <w:szCs w:val="18"/>
            </w:rPr>
            <w:fldChar w:fldCharType="begin"/>
          </w:r>
          <w:r>
            <w:rPr>
              <w:rStyle w:val="PageNumber"/>
              <w:sz w:val="18"/>
              <w:szCs w:val="18"/>
            </w:rPr>
            <w:instrText xml:space="preserve"> NUMPAGES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35</w:t>
          </w:r>
          <w:r>
            <w:rPr>
              <w:sz w:val="18"/>
              <w:szCs w:val="18"/>
            </w:rPr>
            <w:fldChar w:fldCharType="end"/>
          </w:r>
          <w:r>
            <w:rPr>
              <w:rFonts w:ascii="Arial" w:eastAsia="黑体" w:hAnsi="Arial" w:hint="eastAsia"/>
              <w:kern w:val="0"/>
            </w:rPr>
            <w:t>页</w:t>
          </w:r>
        </w:p>
      </w:tc>
    </w:tr>
  </w:tbl>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6866167" o:spid="_x0000_s2061" type="#_x0000_t136" alt="感谢您的下载" style="width:456.95pt;height:130.25pt;margin-top:0;margin-left:0;mso-height-relative:page;mso-position-horizontal:center;mso-position-horizontal-relative:margin;mso-position-vertical:center;mso-position-vertical-relative:margin;mso-width-relative:page;position:absolute;rotation:315;z-index:-251652096" coordsize="21600,21600" filled="t" fillcolor="#f8f8f8" stroked="t" strokecolor="white">
          <v:fill opacity="0"/>
          <v:textpath style="font-family:宋体;font-size:36pt;v-text-align:center" trim="t" fitpath="t" xscale="f" string="感谢您的下载"/>
          <o:lock v:ext="edit" aspectratio="t"/>
          <w10:wrap anchorx="margin" anchory="margin"/>
        </v:shape>
      </w:pic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tbl>
    <w:tblPr>
      <w:tblStyle w:val="TableNormal"/>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
    <w:tblGrid>
      <w:gridCol w:w="2520"/>
      <w:gridCol w:w="4680"/>
      <w:gridCol w:w="2700"/>
    </w:tblGrid>
    <w:tr>
      <w:tblPrEx>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Ex>
      <w:trPr>
        <w:trHeight w:val="761"/>
        <w:jc w:val="center"/>
      </w:trPr>
      <w:tc>
        <w:tcPr>
          <w:tcW w:w="2520" w:type="dxa"/>
          <w:tcBorders>
            <w:top w:val="single" w:sz="4" w:space="0" w:color="auto"/>
            <w:left w:val="nil"/>
            <w:bottom w:val="single" w:sz="4" w:space="0" w:color="auto"/>
            <w:right w:val="single" w:sz="4" w:space="0" w:color="auto"/>
          </w:tcBorders>
          <w:vAlign w:val="center"/>
        </w:tcPr>
        <w:p>
          <w:pPr>
            <w:rPr>
              <w:rFonts w:ascii="Arial" w:eastAsia="黑体" w:hAnsi="Arial"/>
            </w:rPr>
          </w:pPr>
          <w:r>
            <w:rPr>
              <w:rFonts w:ascii="Arial" w:eastAsia="黑体" w:hAnsi="Arial" w:hint="eastAsia"/>
            </w:rPr>
            <w:t>编号：</w:t>
          </w:r>
        </w:p>
        <w:p>
          <w:pPr>
            <w:rPr>
              <w:rFonts w:ascii="Arial" w:eastAsia="黑体" w:hAnsi="Arial"/>
            </w:rPr>
          </w:pPr>
          <w:r>
            <w:rPr>
              <w:rFonts w:ascii="Arial" w:eastAsia="黑体" w:hAnsi="Arial" w:hint="eastAsia"/>
            </w:rPr>
            <w:t>时间：2021年x月x日</w:t>
          </w:r>
        </w:p>
        <w:p>
          <w:pPr>
            <w:jc w:val="center"/>
            <w:rPr>
              <w:sz w:val="28"/>
              <w:szCs w:val="28"/>
            </w:rPr>
          </w:pPr>
        </w:p>
      </w:tc>
      <w:tc>
        <w:tcPr>
          <w:tcW w:w="4680" w:type="dxa"/>
          <w:tcBorders>
            <w:top w:val="single" w:sz="4" w:space="0" w:color="auto"/>
            <w:left w:val="single" w:sz="4" w:space="0" w:color="auto"/>
            <w:bottom w:val="single" w:sz="4" w:space="0" w:color="auto"/>
            <w:right w:val="single" w:sz="4" w:space="0" w:color="auto"/>
          </w:tcBorders>
          <w:vAlign w:val="center"/>
        </w:tcPr>
        <w:p>
          <w:pPr>
            <w:jc w:val="center"/>
            <w:rPr>
              <w:b/>
              <w:color w:val="000000"/>
              <w:sz w:val="28"/>
              <w:szCs w:val="28"/>
            </w:rPr>
          </w:pPr>
          <w:r>
            <w:rPr>
              <w:rFonts w:asciiTheme="minorEastAsia" w:eastAsiaTheme="minorEastAsia" w:hAnsiTheme="minorEastAsia" w:cstheme="minorEastAsia" w:hint="eastAsia"/>
              <w:b/>
              <w:bCs/>
              <w:color w:val="FF0000"/>
              <w:sz w:val="28"/>
              <w:szCs w:val="28"/>
            </w:rPr>
            <w:t>书山有路勤为径，学海无涯苦作舟</w:t>
          </w:r>
        </w:p>
      </w:tc>
      <w:tc>
        <w:tcPr>
          <w:tcW w:w="2700" w:type="dxa"/>
          <w:tcBorders>
            <w:top w:val="single" w:sz="4" w:space="0" w:color="auto"/>
            <w:left w:val="single" w:sz="4" w:space="0" w:color="auto"/>
            <w:bottom w:val="single" w:sz="4" w:space="0" w:color="auto"/>
            <w:right w:val="nil"/>
          </w:tcBorders>
          <w:vAlign w:val="center"/>
        </w:tcPr>
        <w:p>
          <w:pPr>
            <w:rPr>
              <w:sz w:val="24"/>
            </w:rPr>
          </w:pPr>
          <w:r>
            <w:rPr>
              <w:rFonts w:ascii="Arial" w:eastAsia="黑体" w:hAnsi="Arial" w:hint="eastAsia"/>
            </w:rPr>
            <w:t>页码：</w:t>
          </w:r>
          <w:r>
            <w:rPr>
              <w:rFonts w:ascii="Arial" w:eastAsia="黑体" w:hAnsi="Arial" w:hint="eastAsia"/>
              <w:kern w:val="0"/>
            </w:rPr>
            <w:t>第</w:t>
          </w:r>
          <w:r>
            <w:rPr>
              <w:sz w:val="18"/>
              <w:szCs w:val="18"/>
            </w:rPr>
            <w:fldChar w:fldCharType="begin"/>
          </w:r>
          <w:r>
            <w:rPr>
              <w:rStyle w:val="PageNumber"/>
              <w:sz w:val="18"/>
              <w:szCs w:val="18"/>
            </w:rPr>
            <w:instrText xml:space="preserve"> PAGE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8</w:t>
          </w:r>
          <w:r>
            <w:rPr>
              <w:sz w:val="18"/>
              <w:szCs w:val="18"/>
            </w:rPr>
            <w:fldChar w:fldCharType="end"/>
          </w:r>
          <w:r>
            <w:rPr>
              <w:rFonts w:ascii="Arial" w:eastAsia="黑体" w:hAnsi="Arial" w:hint="eastAsia"/>
              <w:kern w:val="0"/>
            </w:rPr>
            <w:t>页</w:t>
          </w:r>
          <w:r>
            <w:rPr>
              <w:rFonts w:ascii="Arial" w:eastAsia="黑体" w:hAnsi="Arial"/>
              <w:kern w:val="0"/>
            </w:rPr>
            <w:t xml:space="preserve"> </w:t>
          </w:r>
          <w:r>
            <w:rPr>
              <w:rFonts w:ascii="Arial" w:eastAsia="黑体" w:hAnsi="Arial" w:hint="eastAsia"/>
              <w:kern w:val="0"/>
            </w:rPr>
            <w:t>共</w:t>
          </w:r>
          <w:r>
            <w:rPr>
              <w:sz w:val="18"/>
              <w:szCs w:val="18"/>
            </w:rPr>
            <w:fldChar w:fldCharType="begin"/>
          </w:r>
          <w:r>
            <w:rPr>
              <w:rStyle w:val="PageNumber"/>
              <w:sz w:val="18"/>
              <w:szCs w:val="18"/>
            </w:rPr>
            <w:instrText xml:space="preserve"> NUMPAGES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35</w:t>
          </w:r>
          <w:r>
            <w:rPr>
              <w:sz w:val="18"/>
              <w:szCs w:val="18"/>
            </w:rPr>
            <w:fldChar w:fldCharType="end"/>
          </w:r>
          <w:r>
            <w:rPr>
              <w:rFonts w:ascii="Arial" w:eastAsia="黑体" w:hAnsi="Arial" w:hint="eastAsia"/>
              <w:kern w:val="0"/>
            </w:rPr>
            <w:t>页</w:t>
          </w:r>
        </w:p>
      </w:tc>
    </w:tr>
  </w:tbl>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6866167" o:spid="_x0000_s2063" type="#_x0000_t136" alt="感谢您的下载" style="width:456.95pt;height:130.25pt;margin-top:0;margin-left:0;mso-height-relative:page;mso-position-horizontal:center;mso-position-horizontal-relative:margin;mso-position-vertical:center;mso-position-vertical-relative:margin;mso-width-relative:page;position:absolute;rotation:315;z-index:-251651072" coordsize="21600,21600" filled="t" fillcolor="#f8f8f8" stroked="t" strokecolor="white">
          <v:fill opacity="0"/>
          <v:textpath style="font-family:宋体;font-size:36pt;v-text-align:center" trim="t" fitpath="t" xscale="f" string="感谢您的下载"/>
          <o:lock v:ext="edit" aspectratio="t"/>
          <w10:wrap anchorx="margin" anchory="margin"/>
        </v:shape>
      </w:pic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tbl>
    <w:tblPr>
      <w:tblStyle w:val="TableNormal"/>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
    <w:tblGrid>
      <w:gridCol w:w="2520"/>
      <w:gridCol w:w="4680"/>
      <w:gridCol w:w="2700"/>
    </w:tblGrid>
    <w:tr>
      <w:tblPrEx>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Ex>
      <w:trPr>
        <w:trHeight w:val="761"/>
        <w:jc w:val="center"/>
      </w:trPr>
      <w:tc>
        <w:tcPr>
          <w:tcW w:w="2520" w:type="dxa"/>
          <w:tcBorders>
            <w:top w:val="single" w:sz="4" w:space="0" w:color="auto"/>
            <w:left w:val="nil"/>
            <w:bottom w:val="single" w:sz="4" w:space="0" w:color="auto"/>
            <w:right w:val="single" w:sz="4" w:space="0" w:color="auto"/>
          </w:tcBorders>
          <w:vAlign w:val="center"/>
        </w:tcPr>
        <w:p>
          <w:pPr>
            <w:rPr>
              <w:rFonts w:ascii="Arial" w:eastAsia="黑体" w:hAnsi="Arial"/>
            </w:rPr>
          </w:pPr>
          <w:r>
            <w:rPr>
              <w:rFonts w:ascii="Arial" w:eastAsia="黑体" w:hAnsi="Arial" w:hint="eastAsia"/>
            </w:rPr>
            <w:t>编号：</w:t>
          </w:r>
        </w:p>
        <w:p>
          <w:pPr>
            <w:rPr>
              <w:rFonts w:ascii="Arial" w:eastAsia="黑体" w:hAnsi="Arial"/>
            </w:rPr>
          </w:pPr>
          <w:r>
            <w:rPr>
              <w:rFonts w:ascii="Arial" w:eastAsia="黑体" w:hAnsi="Arial" w:hint="eastAsia"/>
            </w:rPr>
            <w:t>时间：2021年x月x日</w:t>
          </w:r>
        </w:p>
        <w:p>
          <w:pPr>
            <w:jc w:val="center"/>
            <w:rPr>
              <w:sz w:val="28"/>
              <w:szCs w:val="28"/>
            </w:rPr>
          </w:pPr>
        </w:p>
      </w:tc>
      <w:tc>
        <w:tcPr>
          <w:tcW w:w="4680" w:type="dxa"/>
          <w:tcBorders>
            <w:top w:val="single" w:sz="4" w:space="0" w:color="auto"/>
            <w:left w:val="single" w:sz="4" w:space="0" w:color="auto"/>
            <w:bottom w:val="single" w:sz="4" w:space="0" w:color="auto"/>
            <w:right w:val="single" w:sz="4" w:space="0" w:color="auto"/>
          </w:tcBorders>
          <w:vAlign w:val="center"/>
        </w:tcPr>
        <w:p>
          <w:pPr>
            <w:jc w:val="center"/>
            <w:rPr>
              <w:b/>
              <w:color w:val="000000"/>
              <w:sz w:val="28"/>
              <w:szCs w:val="28"/>
            </w:rPr>
          </w:pPr>
          <w:r>
            <w:rPr>
              <w:rFonts w:asciiTheme="minorEastAsia" w:eastAsiaTheme="minorEastAsia" w:hAnsiTheme="minorEastAsia" w:cstheme="minorEastAsia" w:hint="eastAsia"/>
              <w:b/>
              <w:bCs/>
              <w:color w:val="FF0000"/>
              <w:sz w:val="28"/>
              <w:szCs w:val="28"/>
            </w:rPr>
            <w:t>书山有路勤为径，学海无涯苦作舟</w:t>
          </w:r>
        </w:p>
      </w:tc>
      <w:tc>
        <w:tcPr>
          <w:tcW w:w="2700" w:type="dxa"/>
          <w:tcBorders>
            <w:top w:val="single" w:sz="4" w:space="0" w:color="auto"/>
            <w:left w:val="single" w:sz="4" w:space="0" w:color="auto"/>
            <w:bottom w:val="single" w:sz="4" w:space="0" w:color="auto"/>
            <w:right w:val="nil"/>
          </w:tcBorders>
          <w:vAlign w:val="center"/>
        </w:tcPr>
        <w:p>
          <w:pPr>
            <w:rPr>
              <w:sz w:val="24"/>
            </w:rPr>
          </w:pPr>
          <w:r>
            <w:rPr>
              <w:rFonts w:ascii="Arial" w:eastAsia="黑体" w:hAnsi="Arial" w:hint="eastAsia"/>
            </w:rPr>
            <w:t>页码：</w:t>
          </w:r>
          <w:r>
            <w:rPr>
              <w:rFonts w:ascii="Arial" w:eastAsia="黑体" w:hAnsi="Arial" w:hint="eastAsia"/>
              <w:kern w:val="0"/>
            </w:rPr>
            <w:t>第</w:t>
          </w:r>
          <w:r>
            <w:rPr>
              <w:sz w:val="18"/>
              <w:szCs w:val="18"/>
            </w:rPr>
            <w:fldChar w:fldCharType="begin"/>
          </w:r>
          <w:r>
            <w:rPr>
              <w:rStyle w:val="PageNumber"/>
              <w:sz w:val="18"/>
              <w:szCs w:val="18"/>
            </w:rPr>
            <w:instrText xml:space="preserve"> PAGE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9</w:t>
          </w:r>
          <w:r>
            <w:rPr>
              <w:sz w:val="18"/>
              <w:szCs w:val="18"/>
            </w:rPr>
            <w:fldChar w:fldCharType="end"/>
          </w:r>
          <w:r>
            <w:rPr>
              <w:rFonts w:ascii="Arial" w:eastAsia="黑体" w:hAnsi="Arial" w:hint="eastAsia"/>
              <w:kern w:val="0"/>
            </w:rPr>
            <w:t>页</w:t>
          </w:r>
          <w:r>
            <w:rPr>
              <w:rFonts w:ascii="Arial" w:eastAsia="黑体" w:hAnsi="Arial"/>
              <w:kern w:val="0"/>
            </w:rPr>
            <w:t xml:space="preserve"> </w:t>
          </w:r>
          <w:r>
            <w:rPr>
              <w:rFonts w:ascii="Arial" w:eastAsia="黑体" w:hAnsi="Arial" w:hint="eastAsia"/>
              <w:kern w:val="0"/>
            </w:rPr>
            <w:t>共</w:t>
          </w:r>
          <w:r>
            <w:rPr>
              <w:sz w:val="18"/>
              <w:szCs w:val="18"/>
            </w:rPr>
            <w:fldChar w:fldCharType="begin"/>
          </w:r>
          <w:r>
            <w:rPr>
              <w:rStyle w:val="PageNumber"/>
              <w:sz w:val="18"/>
              <w:szCs w:val="18"/>
            </w:rPr>
            <w:instrText xml:space="preserve"> NUMPAGES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35</w:t>
          </w:r>
          <w:r>
            <w:rPr>
              <w:sz w:val="18"/>
              <w:szCs w:val="18"/>
            </w:rPr>
            <w:fldChar w:fldCharType="end"/>
          </w:r>
          <w:r>
            <w:rPr>
              <w:rFonts w:ascii="Arial" w:eastAsia="黑体" w:hAnsi="Arial" w:hint="eastAsia"/>
              <w:kern w:val="0"/>
            </w:rPr>
            <w:t>页</w:t>
          </w:r>
        </w:p>
      </w:tc>
    </w:tr>
  </w:tbl>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6866167" o:spid="_x0000_s2065" type="#_x0000_t136" alt="感谢您的下载" style="width:456.95pt;height:130.25pt;margin-top:0;margin-left:0;mso-height-relative:page;mso-position-horizontal:center;mso-position-horizontal-relative:margin;mso-position-vertical:center;mso-position-vertical-relative:margin;mso-width-relative:page;position:absolute;rotation:315;z-index:-251650048" coordsize="21600,21600" filled="t" fillcolor="#f8f8f8" stroked="t" strokecolor="white">
          <v:fill opacity="0"/>
          <v:textpath style="font-family:宋体;font-size:36pt;v-text-align:center" trim="t" fitpath="t" xscale="f" string="感谢您的下载"/>
          <o:lock v:ext="edit" aspectratio="t"/>
          <w10:wrap anchorx="margin" anchory="margin"/>
        </v:shape>
      </w:pic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tbl>
    <w:tblPr>
      <w:tblStyle w:val="TableNormal"/>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
    <w:tblGrid>
      <w:gridCol w:w="2520"/>
      <w:gridCol w:w="4680"/>
      <w:gridCol w:w="2700"/>
    </w:tblGrid>
    <w:tr>
      <w:tblPrEx>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Ex>
      <w:trPr>
        <w:trHeight w:val="761"/>
        <w:jc w:val="center"/>
      </w:trPr>
      <w:tc>
        <w:tcPr>
          <w:tcW w:w="2520" w:type="dxa"/>
          <w:tcBorders>
            <w:top w:val="single" w:sz="4" w:space="0" w:color="auto"/>
            <w:left w:val="nil"/>
            <w:bottom w:val="single" w:sz="4" w:space="0" w:color="auto"/>
            <w:right w:val="single" w:sz="4" w:space="0" w:color="auto"/>
          </w:tcBorders>
          <w:vAlign w:val="center"/>
        </w:tcPr>
        <w:p>
          <w:pPr>
            <w:rPr>
              <w:rFonts w:ascii="Arial" w:eastAsia="黑体" w:hAnsi="Arial"/>
            </w:rPr>
          </w:pPr>
          <w:r>
            <w:rPr>
              <w:rFonts w:ascii="Arial" w:eastAsia="黑体" w:hAnsi="Arial" w:hint="eastAsia"/>
            </w:rPr>
            <w:t>编号：</w:t>
          </w:r>
        </w:p>
        <w:p>
          <w:pPr>
            <w:rPr>
              <w:rFonts w:ascii="Arial" w:eastAsia="黑体" w:hAnsi="Arial"/>
            </w:rPr>
          </w:pPr>
          <w:r>
            <w:rPr>
              <w:rFonts w:ascii="Arial" w:eastAsia="黑体" w:hAnsi="Arial" w:hint="eastAsia"/>
            </w:rPr>
            <w:t>时间：2021年x月x日</w:t>
          </w:r>
        </w:p>
        <w:p>
          <w:pPr>
            <w:jc w:val="center"/>
            <w:rPr>
              <w:sz w:val="28"/>
              <w:szCs w:val="28"/>
            </w:rPr>
          </w:pPr>
        </w:p>
      </w:tc>
      <w:tc>
        <w:tcPr>
          <w:tcW w:w="4680" w:type="dxa"/>
          <w:tcBorders>
            <w:top w:val="single" w:sz="4" w:space="0" w:color="auto"/>
            <w:left w:val="single" w:sz="4" w:space="0" w:color="auto"/>
            <w:bottom w:val="single" w:sz="4" w:space="0" w:color="auto"/>
            <w:right w:val="single" w:sz="4" w:space="0" w:color="auto"/>
          </w:tcBorders>
          <w:vAlign w:val="center"/>
        </w:tcPr>
        <w:p>
          <w:pPr>
            <w:jc w:val="center"/>
            <w:rPr>
              <w:b/>
              <w:color w:val="000000"/>
              <w:sz w:val="28"/>
              <w:szCs w:val="28"/>
            </w:rPr>
          </w:pPr>
          <w:r>
            <w:rPr>
              <w:rFonts w:asciiTheme="minorEastAsia" w:eastAsiaTheme="minorEastAsia" w:hAnsiTheme="minorEastAsia" w:cstheme="minorEastAsia" w:hint="eastAsia"/>
              <w:b/>
              <w:bCs/>
              <w:color w:val="FF0000"/>
              <w:sz w:val="28"/>
              <w:szCs w:val="28"/>
            </w:rPr>
            <w:t>书山有路勤为径，学海无涯苦作舟</w:t>
          </w:r>
        </w:p>
      </w:tc>
      <w:tc>
        <w:tcPr>
          <w:tcW w:w="2700" w:type="dxa"/>
          <w:tcBorders>
            <w:top w:val="single" w:sz="4" w:space="0" w:color="auto"/>
            <w:left w:val="single" w:sz="4" w:space="0" w:color="auto"/>
            <w:bottom w:val="single" w:sz="4" w:space="0" w:color="auto"/>
            <w:right w:val="nil"/>
          </w:tcBorders>
          <w:vAlign w:val="center"/>
        </w:tcPr>
        <w:p>
          <w:pPr>
            <w:rPr>
              <w:sz w:val="24"/>
            </w:rPr>
          </w:pPr>
          <w:r>
            <w:rPr>
              <w:rFonts w:ascii="Arial" w:eastAsia="黑体" w:hAnsi="Arial" w:hint="eastAsia"/>
            </w:rPr>
            <w:t>页码：</w:t>
          </w:r>
          <w:r>
            <w:rPr>
              <w:rFonts w:ascii="Arial" w:eastAsia="黑体" w:hAnsi="Arial" w:hint="eastAsia"/>
              <w:kern w:val="0"/>
            </w:rPr>
            <w:t>第</w:t>
          </w:r>
          <w:r>
            <w:rPr>
              <w:sz w:val="18"/>
              <w:szCs w:val="18"/>
            </w:rPr>
            <w:fldChar w:fldCharType="begin"/>
          </w:r>
          <w:r>
            <w:rPr>
              <w:rStyle w:val="PageNumber"/>
              <w:sz w:val="18"/>
              <w:szCs w:val="18"/>
            </w:rPr>
            <w:instrText xml:space="preserve"> PAGE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10</w:t>
          </w:r>
          <w:r>
            <w:rPr>
              <w:sz w:val="18"/>
              <w:szCs w:val="18"/>
            </w:rPr>
            <w:fldChar w:fldCharType="end"/>
          </w:r>
          <w:r>
            <w:rPr>
              <w:rFonts w:ascii="Arial" w:eastAsia="黑体" w:hAnsi="Arial" w:hint="eastAsia"/>
              <w:kern w:val="0"/>
            </w:rPr>
            <w:t>页</w:t>
          </w:r>
          <w:r>
            <w:rPr>
              <w:rFonts w:ascii="Arial" w:eastAsia="黑体" w:hAnsi="Arial"/>
              <w:kern w:val="0"/>
            </w:rPr>
            <w:t xml:space="preserve"> </w:t>
          </w:r>
          <w:r>
            <w:rPr>
              <w:rFonts w:ascii="Arial" w:eastAsia="黑体" w:hAnsi="Arial" w:hint="eastAsia"/>
              <w:kern w:val="0"/>
            </w:rPr>
            <w:t>共</w:t>
          </w:r>
          <w:r>
            <w:rPr>
              <w:sz w:val="18"/>
              <w:szCs w:val="18"/>
            </w:rPr>
            <w:fldChar w:fldCharType="begin"/>
          </w:r>
          <w:r>
            <w:rPr>
              <w:rStyle w:val="PageNumber"/>
              <w:sz w:val="18"/>
              <w:szCs w:val="18"/>
            </w:rPr>
            <w:instrText xml:space="preserve"> NUMPAGES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35</w:t>
          </w:r>
          <w:r>
            <w:rPr>
              <w:sz w:val="18"/>
              <w:szCs w:val="18"/>
            </w:rPr>
            <w:fldChar w:fldCharType="end"/>
          </w:r>
          <w:r>
            <w:rPr>
              <w:rFonts w:ascii="Arial" w:eastAsia="黑体" w:hAnsi="Arial" w:hint="eastAsia"/>
              <w:kern w:val="0"/>
            </w:rPr>
            <w:t>页</w:t>
          </w:r>
        </w:p>
      </w:tc>
    </w:tr>
  </w:tbl>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6866167" o:spid="_x0000_s2067" type="#_x0000_t136" alt="感谢您的下载" style="width:456.95pt;height:130.25pt;margin-top:0;margin-left:0;mso-height-relative:page;mso-position-horizontal:center;mso-position-horizontal-relative:margin;mso-position-vertical:center;mso-position-vertical-relative:margin;mso-width-relative:page;position:absolute;rotation:315;z-index:-251649024" coordsize="21600,21600" filled="t" fillcolor="#f8f8f8" stroked="t" strokecolor="white">
          <v:fill opacity="0"/>
          <v:textpath style="font-family:宋体;font-size:36pt;v-text-align:center" trim="t" fitpath="t" xscale="f" string="感谢您的下载"/>
          <o:lock v:ext="edit" aspectratio="t"/>
          <w10:wrap anchorx="margin" anchory="margin"/>
        </v:shape>
      </w:pic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tbl>
    <w:tblPr>
      <w:tblStyle w:val="TableNormal"/>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
    <w:tblGrid>
      <w:gridCol w:w="2520"/>
      <w:gridCol w:w="4680"/>
      <w:gridCol w:w="2700"/>
    </w:tblGrid>
    <w:tr>
      <w:tblPrEx>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Ex>
      <w:trPr>
        <w:trHeight w:val="761"/>
        <w:jc w:val="center"/>
      </w:trPr>
      <w:tc>
        <w:tcPr>
          <w:tcW w:w="2520" w:type="dxa"/>
          <w:tcBorders>
            <w:top w:val="single" w:sz="4" w:space="0" w:color="auto"/>
            <w:left w:val="nil"/>
            <w:bottom w:val="single" w:sz="4" w:space="0" w:color="auto"/>
            <w:right w:val="single" w:sz="4" w:space="0" w:color="auto"/>
          </w:tcBorders>
          <w:vAlign w:val="center"/>
        </w:tcPr>
        <w:p>
          <w:pPr>
            <w:rPr>
              <w:rFonts w:ascii="Arial" w:eastAsia="黑体" w:hAnsi="Arial"/>
            </w:rPr>
          </w:pPr>
          <w:r>
            <w:rPr>
              <w:rFonts w:ascii="Arial" w:eastAsia="黑体" w:hAnsi="Arial" w:hint="eastAsia"/>
            </w:rPr>
            <w:t>编号：</w:t>
          </w:r>
        </w:p>
        <w:p>
          <w:pPr>
            <w:rPr>
              <w:rFonts w:ascii="Arial" w:eastAsia="黑体" w:hAnsi="Arial"/>
            </w:rPr>
          </w:pPr>
          <w:r>
            <w:rPr>
              <w:rFonts w:ascii="Arial" w:eastAsia="黑体" w:hAnsi="Arial" w:hint="eastAsia"/>
            </w:rPr>
            <w:t>时间：2021年x月x日</w:t>
          </w:r>
        </w:p>
        <w:p>
          <w:pPr>
            <w:jc w:val="center"/>
            <w:rPr>
              <w:sz w:val="28"/>
              <w:szCs w:val="28"/>
            </w:rPr>
          </w:pPr>
        </w:p>
      </w:tc>
      <w:tc>
        <w:tcPr>
          <w:tcW w:w="4680" w:type="dxa"/>
          <w:tcBorders>
            <w:top w:val="single" w:sz="4" w:space="0" w:color="auto"/>
            <w:left w:val="single" w:sz="4" w:space="0" w:color="auto"/>
            <w:bottom w:val="single" w:sz="4" w:space="0" w:color="auto"/>
            <w:right w:val="single" w:sz="4" w:space="0" w:color="auto"/>
          </w:tcBorders>
          <w:vAlign w:val="center"/>
        </w:tcPr>
        <w:p>
          <w:pPr>
            <w:jc w:val="center"/>
            <w:rPr>
              <w:b/>
              <w:color w:val="000000"/>
              <w:sz w:val="28"/>
              <w:szCs w:val="28"/>
            </w:rPr>
          </w:pPr>
          <w:r>
            <w:rPr>
              <w:rFonts w:asciiTheme="minorEastAsia" w:eastAsiaTheme="minorEastAsia" w:hAnsiTheme="minorEastAsia" w:cstheme="minorEastAsia" w:hint="eastAsia"/>
              <w:b/>
              <w:bCs/>
              <w:color w:val="FF0000"/>
              <w:sz w:val="28"/>
              <w:szCs w:val="28"/>
            </w:rPr>
            <w:t>书山有路勤为径，学海无涯苦作舟</w:t>
          </w:r>
        </w:p>
      </w:tc>
      <w:tc>
        <w:tcPr>
          <w:tcW w:w="2700" w:type="dxa"/>
          <w:tcBorders>
            <w:top w:val="single" w:sz="4" w:space="0" w:color="auto"/>
            <w:left w:val="single" w:sz="4" w:space="0" w:color="auto"/>
            <w:bottom w:val="single" w:sz="4" w:space="0" w:color="auto"/>
            <w:right w:val="nil"/>
          </w:tcBorders>
          <w:vAlign w:val="center"/>
        </w:tcPr>
        <w:p>
          <w:pPr>
            <w:rPr>
              <w:sz w:val="24"/>
            </w:rPr>
          </w:pPr>
          <w:r>
            <w:rPr>
              <w:rFonts w:ascii="Arial" w:eastAsia="黑体" w:hAnsi="Arial" w:hint="eastAsia"/>
            </w:rPr>
            <w:t>页码：</w:t>
          </w:r>
          <w:r>
            <w:rPr>
              <w:rFonts w:ascii="Arial" w:eastAsia="黑体" w:hAnsi="Arial" w:hint="eastAsia"/>
              <w:kern w:val="0"/>
            </w:rPr>
            <w:t>第</w:t>
          </w:r>
          <w:r>
            <w:rPr>
              <w:sz w:val="18"/>
              <w:szCs w:val="18"/>
            </w:rPr>
            <w:fldChar w:fldCharType="begin"/>
          </w:r>
          <w:r>
            <w:rPr>
              <w:rStyle w:val="PageNumber"/>
              <w:sz w:val="18"/>
              <w:szCs w:val="18"/>
            </w:rPr>
            <w:instrText xml:space="preserve"> PAGE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11</w:t>
          </w:r>
          <w:r>
            <w:rPr>
              <w:sz w:val="18"/>
              <w:szCs w:val="18"/>
            </w:rPr>
            <w:fldChar w:fldCharType="end"/>
          </w:r>
          <w:r>
            <w:rPr>
              <w:rFonts w:ascii="Arial" w:eastAsia="黑体" w:hAnsi="Arial" w:hint="eastAsia"/>
              <w:kern w:val="0"/>
            </w:rPr>
            <w:t>页</w:t>
          </w:r>
          <w:r>
            <w:rPr>
              <w:rFonts w:ascii="Arial" w:eastAsia="黑体" w:hAnsi="Arial"/>
              <w:kern w:val="0"/>
            </w:rPr>
            <w:t xml:space="preserve"> </w:t>
          </w:r>
          <w:r>
            <w:rPr>
              <w:rFonts w:ascii="Arial" w:eastAsia="黑体" w:hAnsi="Arial" w:hint="eastAsia"/>
              <w:kern w:val="0"/>
            </w:rPr>
            <w:t>共</w:t>
          </w:r>
          <w:r>
            <w:rPr>
              <w:sz w:val="18"/>
              <w:szCs w:val="18"/>
            </w:rPr>
            <w:fldChar w:fldCharType="begin"/>
          </w:r>
          <w:r>
            <w:rPr>
              <w:rStyle w:val="PageNumber"/>
              <w:sz w:val="18"/>
              <w:szCs w:val="18"/>
            </w:rPr>
            <w:instrText xml:space="preserve"> NUMPAGES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35</w:t>
          </w:r>
          <w:r>
            <w:rPr>
              <w:sz w:val="18"/>
              <w:szCs w:val="18"/>
            </w:rPr>
            <w:fldChar w:fldCharType="end"/>
          </w:r>
          <w:r>
            <w:rPr>
              <w:rFonts w:ascii="Arial" w:eastAsia="黑体" w:hAnsi="Arial" w:hint="eastAsia"/>
              <w:kern w:val="0"/>
            </w:rPr>
            <w:t>页</w:t>
          </w:r>
        </w:p>
      </w:tc>
    </w:tr>
  </w:tbl>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6866167" o:spid="_x0000_s2069" type="#_x0000_t136" alt="感谢您的下载" style="width:456.95pt;height:130.25pt;margin-top:0;margin-left:0;mso-height-relative:page;mso-position-horizontal:center;mso-position-horizontal-relative:margin;mso-position-vertical:center;mso-position-vertical-relative:margin;mso-width-relative:page;position:absolute;rotation:315;z-index:-251648000" coordsize="21600,21600" filled="t" fillcolor="#f8f8f8" stroked="t" strokecolor="white">
          <v:fill opacity="0"/>
          <v:textpath style="font-family:宋体;font-size:36pt;v-text-align:center" trim="t" fitpath="t" xscale="f" string="感谢您的下载"/>
          <o:lock v:ext="edit" aspectratio="t"/>
          <w10:wrap anchorx="margin" anchory="margin"/>
        </v:shape>
      </w:pic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tbl>
    <w:tblPr>
      <w:tblStyle w:val="TableNormal"/>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
    <w:tblGrid>
      <w:gridCol w:w="2520"/>
      <w:gridCol w:w="4680"/>
      <w:gridCol w:w="2700"/>
    </w:tblGrid>
    <w:tr>
      <w:tblPrEx>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Ex>
      <w:trPr>
        <w:trHeight w:val="761"/>
        <w:jc w:val="center"/>
      </w:trPr>
      <w:tc>
        <w:tcPr>
          <w:tcW w:w="2520" w:type="dxa"/>
          <w:tcBorders>
            <w:top w:val="single" w:sz="4" w:space="0" w:color="auto"/>
            <w:left w:val="nil"/>
            <w:bottom w:val="single" w:sz="4" w:space="0" w:color="auto"/>
            <w:right w:val="single" w:sz="4" w:space="0" w:color="auto"/>
          </w:tcBorders>
          <w:vAlign w:val="center"/>
        </w:tcPr>
        <w:p>
          <w:pPr>
            <w:rPr>
              <w:rFonts w:ascii="Arial" w:eastAsia="黑体" w:hAnsi="Arial"/>
            </w:rPr>
          </w:pPr>
          <w:r>
            <w:rPr>
              <w:rFonts w:ascii="Arial" w:eastAsia="黑体" w:hAnsi="Arial" w:hint="eastAsia"/>
            </w:rPr>
            <w:t>编号：</w:t>
          </w:r>
        </w:p>
        <w:p>
          <w:pPr>
            <w:rPr>
              <w:rFonts w:ascii="Arial" w:eastAsia="黑体" w:hAnsi="Arial"/>
            </w:rPr>
          </w:pPr>
          <w:r>
            <w:rPr>
              <w:rFonts w:ascii="Arial" w:eastAsia="黑体" w:hAnsi="Arial" w:hint="eastAsia"/>
            </w:rPr>
            <w:t>时间：2021年x月x日</w:t>
          </w:r>
        </w:p>
        <w:p>
          <w:pPr>
            <w:jc w:val="center"/>
            <w:rPr>
              <w:sz w:val="28"/>
              <w:szCs w:val="28"/>
            </w:rPr>
          </w:pPr>
        </w:p>
      </w:tc>
      <w:tc>
        <w:tcPr>
          <w:tcW w:w="4680" w:type="dxa"/>
          <w:tcBorders>
            <w:top w:val="single" w:sz="4" w:space="0" w:color="auto"/>
            <w:left w:val="single" w:sz="4" w:space="0" w:color="auto"/>
            <w:bottom w:val="single" w:sz="4" w:space="0" w:color="auto"/>
            <w:right w:val="single" w:sz="4" w:space="0" w:color="auto"/>
          </w:tcBorders>
          <w:vAlign w:val="center"/>
        </w:tcPr>
        <w:p>
          <w:pPr>
            <w:jc w:val="center"/>
            <w:rPr>
              <w:b/>
              <w:color w:val="000000"/>
              <w:sz w:val="28"/>
              <w:szCs w:val="28"/>
            </w:rPr>
          </w:pPr>
          <w:r>
            <w:rPr>
              <w:rFonts w:asciiTheme="minorEastAsia" w:eastAsiaTheme="minorEastAsia" w:hAnsiTheme="minorEastAsia" w:cstheme="minorEastAsia" w:hint="eastAsia"/>
              <w:b/>
              <w:bCs/>
              <w:color w:val="FF0000"/>
              <w:sz w:val="28"/>
              <w:szCs w:val="28"/>
            </w:rPr>
            <w:t>书山有路勤为径，学海无涯苦作舟</w:t>
          </w:r>
        </w:p>
      </w:tc>
      <w:tc>
        <w:tcPr>
          <w:tcW w:w="2700" w:type="dxa"/>
          <w:tcBorders>
            <w:top w:val="single" w:sz="4" w:space="0" w:color="auto"/>
            <w:left w:val="single" w:sz="4" w:space="0" w:color="auto"/>
            <w:bottom w:val="single" w:sz="4" w:space="0" w:color="auto"/>
            <w:right w:val="nil"/>
          </w:tcBorders>
          <w:vAlign w:val="center"/>
        </w:tcPr>
        <w:p>
          <w:pPr>
            <w:rPr>
              <w:sz w:val="24"/>
            </w:rPr>
          </w:pPr>
          <w:r>
            <w:rPr>
              <w:rFonts w:ascii="Arial" w:eastAsia="黑体" w:hAnsi="Arial" w:hint="eastAsia"/>
            </w:rPr>
            <w:t>页码：</w:t>
          </w:r>
          <w:r>
            <w:rPr>
              <w:rFonts w:ascii="Arial" w:eastAsia="黑体" w:hAnsi="Arial" w:hint="eastAsia"/>
              <w:kern w:val="0"/>
            </w:rPr>
            <w:t>第</w:t>
          </w:r>
          <w:r>
            <w:rPr>
              <w:sz w:val="18"/>
              <w:szCs w:val="18"/>
            </w:rPr>
            <w:fldChar w:fldCharType="begin"/>
          </w:r>
          <w:r>
            <w:rPr>
              <w:rStyle w:val="PageNumber"/>
              <w:sz w:val="18"/>
              <w:szCs w:val="18"/>
            </w:rPr>
            <w:instrText xml:space="preserve"> PAGE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12</w:t>
          </w:r>
          <w:r>
            <w:rPr>
              <w:sz w:val="18"/>
              <w:szCs w:val="18"/>
            </w:rPr>
            <w:fldChar w:fldCharType="end"/>
          </w:r>
          <w:r>
            <w:rPr>
              <w:rFonts w:ascii="Arial" w:eastAsia="黑体" w:hAnsi="Arial" w:hint="eastAsia"/>
              <w:kern w:val="0"/>
            </w:rPr>
            <w:t>页</w:t>
          </w:r>
          <w:r>
            <w:rPr>
              <w:rFonts w:ascii="Arial" w:eastAsia="黑体" w:hAnsi="Arial"/>
              <w:kern w:val="0"/>
            </w:rPr>
            <w:t xml:space="preserve"> </w:t>
          </w:r>
          <w:r>
            <w:rPr>
              <w:rFonts w:ascii="Arial" w:eastAsia="黑体" w:hAnsi="Arial" w:hint="eastAsia"/>
              <w:kern w:val="0"/>
            </w:rPr>
            <w:t>共</w:t>
          </w:r>
          <w:r>
            <w:rPr>
              <w:sz w:val="18"/>
              <w:szCs w:val="18"/>
            </w:rPr>
            <w:fldChar w:fldCharType="begin"/>
          </w:r>
          <w:r>
            <w:rPr>
              <w:rStyle w:val="PageNumber"/>
              <w:sz w:val="18"/>
              <w:szCs w:val="18"/>
            </w:rPr>
            <w:instrText xml:space="preserve"> NUMPAGES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35</w:t>
          </w:r>
          <w:r>
            <w:rPr>
              <w:sz w:val="18"/>
              <w:szCs w:val="18"/>
            </w:rPr>
            <w:fldChar w:fldCharType="end"/>
          </w:r>
          <w:r>
            <w:rPr>
              <w:rFonts w:ascii="Arial" w:eastAsia="黑体" w:hAnsi="Arial" w:hint="eastAsia"/>
              <w:kern w:val="0"/>
            </w:rPr>
            <w:t>页</w:t>
          </w:r>
        </w:p>
      </w:tc>
    </w:tr>
  </w:tbl>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6866167" o:spid="_x0000_s2071" type="#_x0000_t136" alt="感谢您的下载" style="width:456.95pt;height:130.25pt;margin-top:0;margin-left:0;mso-height-relative:page;mso-position-horizontal:center;mso-position-horizontal-relative:margin;mso-position-vertical:center;mso-position-vertical-relative:margin;mso-width-relative:page;position:absolute;rotation:315;z-index:-251646976" coordsize="21600,21600" filled="t" fillcolor="#f8f8f8" stroked="t" strokecolor="white">
          <v:fill opacity="0"/>
          <v:textpath style="font-family:宋体;font-size:36pt;v-text-align:center" trim="t" fitpath="t" xscale="f" string="感谢您的下载"/>
          <o:lock v:ext="edit" aspectratio="t"/>
          <w10:wrap anchorx="margin" anchory="margin"/>
        </v:shape>
      </w:pic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tbl>
    <w:tblPr>
      <w:tblStyle w:val="TableNormal"/>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
    <w:tblGrid>
      <w:gridCol w:w="2520"/>
      <w:gridCol w:w="4680"/>
      <w:gridCol w:w="2700"/>
    </w:tblGrid>
    <w:tr>
      <w:tblPrEx>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Ex>
      <w:trPr>
        <w:trHeight w:val="761"/>
        <w:jc w:val="center"/>
      </w:trPr>
      <w:tc>
        <w:tcPr>
          <w:tcW w:w="2520" w:type="dxa"/>
          <w:tcBorders>
            <w:top w:val="single" w:sz="4" w:space="0" w:color="auto"/>
            <w:left w:val="nil"/>
            <w:bottom w:val="single" w:sz="4" w:space="0" w:color="auto"/>
            <w:right w:val="single" w:sz="4" w:space="0" w:color="auto"/>
          </w:tcBorders>
          <w:vAlign w:val="center"/>
        </w:tcPr>
        <w:p>
          <w:pPr>
            <w:rPr>
              <w:rFonts w:ascii="Arial" w:eastAsia="黑体" w:hAnsi="Arial"/>
            </w:rPr>
          </w:pPr>
          <w:r>
            <w:rPr>
              <w:rFonts w:ascii="Arial" w:eastAsia="黑体" w:hAnsi="Arial" w:hint="eastAsia"/>
            </w:rPr>
            <w:t>编号：</w:t>
          </w:r>
        </w:p>
        <w:p>
          <w:pPr>
            <w:rPr>
              <w:rFonts w:ascii="Arial" w:eastAsia="黑体" w:hAnsi="Arial"/>
            </w:rPr>
          </w:pPr>
          <w:r>
            <w:rPr>
              <w:rFonts w:ascii="Arial" w:eastAsia="黑体" w:hAnsi="Arial" w:hint="eastAsia"/>
            </w:rPr>
            <w:t>时间：2021年x月x日</w:t>
          </w:r>
        </w:p>
        <w:p>
          <w:pPr>
            <w:jc w:val="center"/>
            <w:rPr>
              <w:sz w:val="28"/>
              <w:szCs w:val="28"/>
            </w:rPr>
          </w:pPr>
        </w:p>
      </w:tc>
      <w:tc>
        <w:tcPr>
          <w:tcW w:w="4680" w:type="dxa"/>
          <w:tcBorders>
            <w:top w:val="single" w:sz="4" w:space="0" w:color="auto"/>
            <w:left w:val="single" w:sz="4" w:space="0" w:color="auto"/>
            <w:bottom w:val="single" w:sz="4" w:space="0" w:color="auto"/>
            <w:right w:val="single" w:sz="4" w:space="0" w:color="auto"/>
          </w:tcBorders>
          <w:vAlign w:val="center"/>
        </w:tcPr>
        <w:p>
          <w:pPr>
            <w:jc w:val="center"/>
            <w:rPr>
              <w:b/>
              <w:color w:val="000000"/>
              <w:sz w:val="28"/>
              <w:szCs w:val="28"/>
            </w:rPr>
          </w:pPr>
          <w:r>
            <w:rPr>
              <w:rFonts w:asciiTheme="minorEastAsia" w:eastAsiaTheme="minorEastAsia" w:hAnsiTheme="minorEastAsia" w:cstheme="minorEastAsia" w:hint="eastAsia"/>
              <w:b/>
              <w:bCs/>
              <w:color w:val="FF0000"/>
              <w:sz w:val="28"/>
              <w:szCs w:val="28"/>
            </w:rPr>
            <w:t>书山有路勤为径，学海无涯苦作舟</w:t>
          </w:r>
        </w:p>
      </w:tc>
      <w:tc>
        <w:tcPr>
          <w:tcW w:w="2700" w:type="dxa"/>
          <w:tcBorders>
            <w:top w:val="single" w:sz="4" w:space="0" w:color="auto"/>
            <w:left w:val="single" w:sz="4" w:space="0" w:color="auto"/>
            <w:bottom w:val="single" w:sz="4" w:space="0" w:color="auto"/>
            <w:right w:val="nil"/>
          </w:tcBorders>
          <w:vAlign w:val="center"/>
        </w:tcPr>
        <w:p>
          <w:pPr>
            <w:rPr>
              <w:sz w:val="24"/>
            </w:rPr>
          </w:pPr>
          <w:r>
            <w:rPr>
              <w:rFonts w:ascii="Arial" w:eastAsia="黑体" w:hAnsi="Arial" w:hint="eastAsia"/>
            </w:rPr>
            <w:t>页码：</w:t>
          </w:r>
          <w:r>
            <w:rPr>
              <w:rFonts w:ascii="Arial" w:eastAsia="黑体" w:hAnsi="Arial" w:hint="eastAsia"/>
              <w:kern w:val="0"/>
            </w:rPr>
            <w:t>第</w:t>
          </w:r>
          <w:r>
            <w:rPr>
              <w:sz w:val="18"/>
              <w:szCs w:val="18"/>
            </w:rPr>
            <w:fldChar w:fldCharType="begin"/>
          </w:r>
          <w:r>
            <w:rPr>
              <w:rStyle w:val="PageNumber"/>
              <w:sz w:val="18"/>
              <w:szCs w:val="18"/>
            </w:rPr>
            <w:instrText xml:space="preserve"> PAGE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13</w:t>
          </w:r>
          <w:r>
            <w:rPr>
              <w:sz w:val="18"/>
              <w:szCs w:val="18"/>
            </w:rPr>
            <w:fldChar w:fldCharType="end"/>
          </w:r>
          <w:r>
            <w:rPr>
              <w:rFonts w:ascii="Arial" w:eastAsia="黑体" w:hAnsi="Arial" w:hint="eastAsia"/>
              <w:kern w:val="0"/>
            </w:rPr>
            <w:t>页</w:t>
          </w:r>
          <w:r>
            <w:rPr>
              <w:rFonts w:ascii="Arial" w:eastAsia="黑体" w:hAnsi="Arial"/>
              <w:kern w:val="0"/>
            </w:rPr>
            <w:t xml:space="preserve"> </w:t>
          </w:r>
          <w:r>
            <w:rPr>
              <w:rFonts w:ascii="Arial" w:eastAsia="黑体" w:hAnsi="Arial" w:hint="eastAsia"/>
              <w:kern w:val="0"/>
            </w:rPr>
            <w:t>共</w:t>
          </w:r>
          <w:r>
            <w:rPr>
              <w:sz w:val="18"/>
              <w:szCs w:val="18"/>
            </w:rPr>
            <w:fldChar w:fldCharType="begin"/>
          </w:r>
          <w:r>
            <w:rPr>
              <w:rStyle w:val="PageNumber"/>
              <w:sz w:val="18"/>
              <w:szCs w:val="18"/>
            </w:rPr>
            <w:instrText xml:space="preserve"> NUMPAGES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35</w:t>
          </w:r>
          <w:r>
            <w:rPr>
              <w:sz w:val="18"/>
              <w:szCs w:val="18"/>
            </w:rPr>
            <w:fldChar w:fldCharType="end"/>
          </w:r>
          <w:r>
            <w:rPr>
              <w:rFonts w:ascii="Arial" w:eastAsia="黑体" w:hAnsi="Arial" w:hint="eastAsia"/>
              <w:kern w:val="0"/>
            </w:rPr>
            <w:t>页</w:t>
          </w:r>
        </w:p>
      </w:tc>
    </w:tr>
  </w:tbl>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6866167" o:spid="_x0000_s2073" type="#_x0000_t136" alt="感谢您的下载" style="width:456.95pt;height:130.25pt;margin-top:0;margin-left:0;mso-height-relative:page;mso-position-horizontal:center;mso-position-horizontal-relative:margin;mso-position-vertical:center;mso-position-vertical-relative:margin;mso-width-relative:page;position:absolute;rotation:315;z-index:-251645952" coordsize="21600,21600" filled="t" fillcolor="#f8f8f8" stroked="t" strokecolor="white">
          <v:fill opacity="0"/>
          <v:textpath style="font-family:宋体;font-size:36pt;v-text-align:center" trim="t" fitpath="t" xscale="f" string="感谢您的下载"/>
          <o:lock v:ext="edit" aspectratio="t"/>
          <w10:wrap anchorx="margin" anchory="margin"/>
        </v:shape>
      </w:pic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tbl>
    <w:tblPr>
      <w:tblStyle w:val="TableNormal"/>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
    <w:tblGrid>
      <w:gridCol w:w="2520"/>
      <w:gridCol w:w="4680"/>
      <w:gridCol w:w="2700"/>
    </w:tblGrid>
    <w:tr>
      <w:tblPrEx>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Ex>
      <w:trPr>
        <w:trHeight w:val="761"/>
        <w:jc w:val="center"/>
      </w:trPr>
      <w:tc>
        <w:tcPr>
          <w:tcW w:w="2520" w:type="dxa"/>
          <w:tcBorders>
            <w:top w:val="single" w:sz="4" w:space="0" w:color="auto"/>
            <w:left w:val="nil"/>
            <w:bottom w:val="single" w:sz="4" w:space="0" w:color="auto"/>
            <w:right w:val="single" w:sz="4" w:space="0" w:color="auto"/>
          </w:tcBorders>
          <w:vAlign w:val="center"/>
        </w:tcPr>
        <w:p>
          <w:pPr>
            <w:rPr>
              <w:rFonts w:ascii="Arial" w:eastAsia="黑体" w:hAnsi="Arial"/>
            </w:rPr>
          </w:pPr>
          <w:r>
            <w:rPr>
              <w:rFonts w:ascii="Arial" w:eastAsia="黑体" w:hAnsi="Arial" w:hint="eastAsia"/>
            </w:rPr>
            <w:t>编号：</w:t>
          </w:r>
        </w:p>
        <w:p>
          <w:pPr>
            <w:rPr>
              <w:rFonts w:ascii="Arial" w:eastAsia="黑体" w:hAnsi="Arial"/>
            </w:rPr>
          </w:pPr>
          <w:r>
            <w:rPr>
              <w:rFonts w:ascii="Arial" w:eastAsia="黑体" w:hAnsi="Arial" w:hint="eastAsia"/>
            </w:rPr>
            <w:t>时间：2021年x月x日</w:t>
          </w:r>
        </w:p>
        <w:p>
          <w:pPr>
            <w:jc w:val="center"/>
            <w:rPr>
              <w:sz w:val="28"/>
              <w:szCs w:val="28"/>
            </w:rPr>
          </w:pPr>
        </w:p>
      </w:tc>
      <w:tc>
        <w:tcPr>
          <w:tcW w:w="4680" w:type="dxa"/>
          <w:tcBorders>
            <w:top w:val="single" w:sz="4" w:space="0" w:color="auto"/>
            <w:left w:val="single" w:sz="4" w:space="0" w:color="auto"/>
            <w:bottom w:val="single" w:sz="4" w:space="0" w:color="auto"/>
            <w:right w:val="single" w:sz="4" w:space="0" w:color="auto"/>
          </w:tcBorders>
          <w:vAlign w:val="center"/>
        </w:tcPr>
        <w:p>
          <w:pPr>
            <w:jc w:val="center"/>
            <w:rPr>
              <w:b/>
              <w:color w:val="000000"/>
              <w:sz w:val="28"/>
              <w:szCs w:val="28"/>
            </w:rPr>
          </w:pPr>
          <w:r>
            <w:rPr>
              <w:rFonts w:asciiTheme="minorEastAsia" w:eastAsiaTheme="minorEastAsia" w:hAnsiTheme="minorEastAsia" w:cstheme="minorEastAsia" w:hint="eastAsia"/>
              <w:b/>
              <w:bCs/>
              <w:color w:val="FF0000"/>
              <w:sz w:val="28"/>
              <w:szCs w:val="28"/>
            </w:rPr>
            <w:t>书山有路勤为径，学海无涯苦作舟</w:t>
          </w:r>
        </w:p>
      </w:tc>
      <w:tc>
        <w:tcPr>
          <w:tcW w:w="2700" w:type="dxa"/>
          <w:tcBorders>
            <w:top w:val="single" w:sz="4" w:space="0" w:color="auto"/>
            <w:left w:val="single" w:sz="4" w:space="0" w:color="auto"/>
            <w:bottom w:val="single" w:sz="4" w:space="0" w:color="auto"/>
            <w:right w:val="nil"/>
          </w:tcBorders>
          <w:vAlign w:val="center"/>
        </w:tcPr>
        <w:p>
          <w:pPr>
            <w:rPr>
              <w:sz w:val="24"/>
            </w:rPr>
          </w:pPr>
          <w:r>
            <w:rPr>
              <w:rFonts w:ascii="Arial" w:eastAsia="黑体" w:hAnsi="Arial" w:hint="eastAsia"/>
            </w:rPr>
            <w:t>页码：</w:t>
          </w:r>
          <w:r>
            <w:rPr>
              <w:rFonts w:ascii="Arial" w:eastAsia="黑体" w:hAnsi="Arial" w:hint="eastAsia"/>
              <w:kern w:val="0"/>
            </w:rPr>
            <w:t>第</w:t>
          </w:r>
          <w:r>
            <w:rPr>
              <w:sz w:val="18"/>
              <w:szCs w:val="18"/>
            </w:rPr>
            <w:fldChar w:fldCharType="begin"/>
          </w:r>
          <w:r>
            <w:rPr>
              <w:rStyle w:val="PageNumber"/>
              <w:sz w:val="18"/>
              <w:szCs w:val="18"/>
            </w:rPr>
            <w:instrText xml:space="preserve"> PAGE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14</w:t>
          </w:r>
          <w:r>
            <w:rPr>
              <w:sz w:val="18"/>
              <w:szCs w:val="18"/>
            </w:rPr>
            <w:fldChar w:fldCharType="end"/>
          </w:r>
          <w:r>
            <w:rPr>
              <w:rFonts w:ascii="Arial" w:eastAsia="黑体" w:hAnsi="Arial" w:hint="eastAsia"/>
              <w:kern w:val="0"/>
            </w:rPr>
            <w:t>页</w:t>
          </w:r>
          <w:r>
            <w:rPr>
              <w:rFonts w:ascii="Arial" w:eastAsia="黑体" w:hAnsi="Arial"/>
              <w:kern w:val="0"/>
            </w:rPr>
            <w:t xml:space="preserve"> </w:t>
          </w:r>
          <w:r>
            <w:rPr>
              <w:rFonts w:ascii="Arial" w:eastAsia="黑体" w:hAnsi="Arial" w:hint="eastAsia"/>
              <w:kern w:val="0"/>
            </w:rPr>
            <w:t>共</w:t>
          </w:r>
          <w:r>
            <w:rPr>
              <w:sz w:val="18"/>
              <w:szCs w:val="18"/>
            </w:rPr>
            <w:fldChar w:fldCharType="begin"/>
          </w:r>
          <w:r>
            <w:rPr>
              <w:rStyle w:val="PageNumber"/>
              <w:sz w:val="18"/>
              <w:szCs w:val="18"/>
            </w:rPr>
            <w:instrText xml:space="preserve"> NUMPAGES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35</w:t>
          </w:r>
          <w:r>
            <w:rPr>
              <w:sz w:val="18"/>
              <w:szCs w:val="18"/>
            </w:rPr>
            <w:fldChar w:fldCharType="end"/>
          </w:r>
          <w:r>
            <w:rPr>
              <w:rFonts w:ascii="Arial" w:eastAsia="黑体" w:hAnsi="Arial" w:hint="eastAsia"/>
              <w:kern w:val="0"/>
            </w:rPr>
            <w:t>页</w:t>
          </w:r>
        </w:p>
      </w:tc>
    </w:tr>
  </w:tbl>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6866167" o:spid="_x0000_s2075" type="#_x0000_t136" alt="感谢您的下载" style="width:456.95pt;height:130.25pt;margin-top:0;margin-left:0;mso-height-relative:page;mso-position-horizontal:center;mso-position-horizontal-relative:margin;mso-position-vertical:center;mso-position-vertical-relative:margin;mso-width-relative:page;position:absolute;rotation:315;z-index:-251644928" coordsize="21600,21600" filled="t" fillcolor="#f8f8f8" stroked="t" strokecolor="white">
          <v:fill opacity="0"/>
          <v:textpath style="font-family:宋体;font-size:36pt;v-text-align:center" trim="t" fitpath="t" xscale="f" string="感谢您的下载"/>
          <o:lock v:ext="edit" aspectratio="t"/>
          <w10:wrap anchorx="margin" anchory="margin"/>
        </v:shape>
      </w:pic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tbl>
    <w:tblPr>
      <w:tblStyle w:val="TableNormal"/>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
    <w:tblGrid>
      <w:gridCol w:w="2520"/>
      <w:gridCol w:w="4680"/>
      <w:gridCol w:w="2700"/>
    </w:tblGrid>
    <w:tr>
      <w:tblPrEx>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Ex>
      <w:trPr>
        <w:trHeight w:val="761"/>
        <w:jc w:val="center"/>
      </w:trPr>
      <w:tc>
        <w:tcPr>
          <w:tcW w:w="2520" w:type="dxa"/>
          <w:tcBorders>
            <w:top w:val="single" w:sz="4" w:space="0" w:color="auto"/>
            <w:left w:val="nil"/>
            <w:bottom w:val="single" w:sz="4" w:space="0" w:color="auto"/>
            <w:right w:val="single" w:sz="4" w:space="0" w:color="auto"/>
          </w:tcBorders>
          <w:vAlign w:val="center"/>
        </w:tcPr>
        <w:p>
          <w:pPr>
            <w:rPr>
              <w:rFonts w:ascii="Arial" w:eastAsia="黑体" w:hAnsi="Arial"/>
            </w:rPr>
          </w:pPr>
          <w:r>
            <w:rPr>
              <w:rFonts w:ascii="Arial" w:eastAsia="黑体" w:hAnsi="Arial" w:hint="eastAsia"/>
            </w:rPr>
            <w:t>编号：</w:t>
          </w:r>
        </w:p>
        <w:p>
          <w:pPr>
            <w:rPr>
              <w:rFonts w:ascii="Arial" w:eastAsia="黑体" w:hAnsi="Arial"/>
            </w:rPr>
          </w:pPr>
          <w:r>
            <w:rPr>
              <w:rFonts w:ascii="Arial" w:eastAsia="黑体" w:hAnsi="Arial" w:hint="eastAsia"/>
            </w:rPr>
            <w:t>时间：2021年x月x日</w:t>
          </w:r>
        </w:p>
        <w:p>
          <w:pPr>
            <w:jc w:val="center"/>
            <w:rPr>
              <w:sz w:val="28"/>
              <w:szCs w:val="28"/>
            </w:rPr>
          </w:pPr>
        </w:p>
      </w:tc>
      <w:tc>
        <w:tcPr>
          <w:tcW w:w="4680" w:type="dxa"/>
          <w:tcBorders>
            <w:top w:val="single" w:sz="4" w:space="0" w:color="auto"/>
            <w:left w:val="single" w:sz="4" w:space="0" w:color="auto"/>
            <w:bottom w:val="single" w:sz="4" w:space="0" w:color="auto"/>
            <w:right w:val="single" w:sz="4" w:space="0" w:color="auto"/>
          </w:tcBorders>
          <w:vAlign w:val="center"/>
        </w:tcPr>
        <w:p>
          <w:pPr>
            <w:jc w:val="center"/>
            <w:rPr>
              <w:b/>
              <w:color w:val="000000"/>
              <w:sz w:val="28"/>
              <w:szCs w:val="28"/>
            </w:rPr>
          </w:pPr>
          <w:r>
            <w:rPr>
              <w:rFonts w:asciiTheme="minorEastAsia" w:eastAsiaTheme="minorEastAsia" w:hAnsiTheme="minorEastAsia" w:cstheme="minorEastAsia" w:hint="eastAsia"/>
              <w:b/>
              <w:bCs/>
              <w:color w:val="FF0000"/>
              <w:sz w:val="28"/>
              <w:szCs w:val="28"/>
            </w:rPr>
            <w:t>书山有路勤为径，学海无涯苦作舟</w:t>
          </w:r>
        </w:p>
      </w:tc>
      <w:tc>
        <w:tcPr>
          <w:tcW w:w="2700" w:type="dxa"/>
          <w:tcBorders>
            <w:top w:val="single" w:sz="4" w:space="0" w:color="auto"/>
            <w:left w:val="single" w:sz="4" w:space="0" w:color="auto"/>
            <w:bottom w:val="single" w:sz="4" w:space="0" w:color="auto"/>
            <w:right w:val="nil"/>
          </w:tcBorders>
          <w:vAlign w:val="center"/>
        </w:tcPr>
        <w:p>
          <w:pPr>
            <w:rPr>
              <w:sz w:val="24"/>
            </w:rPr>
          </w:pPr>
          <w:r>
            <w:rPr>
              <w:rFonts w:ascii="Arial" w:eastAsia="黑体" w:hAnsi="Arial" w:hint="eastAsia"/>
            </w:rPr>
            <w:t>页码：</w:t>
          </w:r>
          <w:r>
            <w:rPr>
              <w:rFonts w:ascii="Arial" w:eastAsia="黑体" w:hAnsi="Arial" w:hint="eastAsia"/>
              <w:kern w:val="0"/>
            </w:rPr>
            <w:t>第</w:t>
          </w:r>
          <w:r>
            <w:rPr>
              <w:sz w:val="18"/>
              <w:szCs w:val="18"/>
            </w:rPr>
            <w:fldChar w:fldCharType="begin"/>
          </w:r>
          <w:r>
            <w:rPr>
              <w:rStyle w:val="PageNumber"/>
              <w:sz w:val="18"/>
              <w:szCs w:val="18"/>
            </w:rPr>
            <w:instrText xml:space="preserve"> PAGE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15</w:t>
          </w:r>
          <w:r>
            <w:rPr>
              <w:sz w:val="18"/>
              <w:szCs w:val="18"/>
            </w:rPr>
            <w:fldChar w:fldCharType="end"/>
          </w:r>
          <w:r>
            <w:rPr>
              <w:rFonts w:ascii="Arial" w:eastAsia="黑体" w:hAnsi="Arial" w:hint="eastAsia"/>
              <w:kern w:val="0"/>
            </w:rPr>
            <w:t>页</w:t>
          </w:r>
          <w:r>
            <w:rPr>
              <w:rFonts w:ascii="Arial" w:eastAsia="黑体" w:hAnsi="Arial"/>
              <w:kern w:val="0"/>
            </w:rPr>
            <w:t xml:space="preserve"> </w:t>
          </w:r>
          <w:r>
            <w:rPr>
              <w:rFonts w:ascii="Arial" w:eastAsia="黑体" w:hAnsi="Arial" w:hint="eastAsia"/>
              <w:kern w:val="0"/>
            </w:rPr>
            <w:t>共</w:t>
          </w:r>
          <w:r>
            <w:rPr>
              <w:sz w:val="18"/>
              <w:szCs w:val="18"/>
            </w:rPr>
            <w:fldChar w:fldCharType="begin"/>
          </w:r>
          <w:r>
            <w:rPr>
              <w:rStyle w:val="PageNumber"/>
              <w:sz w:val="18"/>
              <w:szCs w:val="18"/>
            </w:rPr>
            <w:instrText xml:space="preserve"> NUMPAGES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35</w:t>
          </w:r>
          <w:r>
            <w:rPr>
              <w:sz w:val="18"/>
              <w:szCs w:val="18"/>
            </w:rPr>
            <w:fldChar w:fldCharType="end"/>
          </w:r>
          <w:r>
            <w:rPr>
              <w:rFonts w:ascii="Arial" w:eastAsia="黑体" w:hAnsi="Arial" w:hint="eastAsia"/>
              <w:kern w:val="0"/>
            </w:rPr>
            <w:t>页</w:t>
          </w:r>
        </w:p>
      </w:tc>
    </w:tr>
  </w:tbl>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6866167" o:spid="_x0000_s2077" type="#_x0000_t136" alt="感谢您的下载" style="width:456.95pt;height:130.25pt;margin-top:0;margin-left:0;mso-height-relative:page;mso-position-horizontal:center;mso-position-horizontal-relative:margin;mso-position-vertical:center;mso-position-vertical-relative:margin;mso-width-relative:page;position:absolute;rotation:315;z-index:-251643904" coordsize="21600,21600" filled="t" fillcolor="#f8f8f8" stroked="t" strokecolor="white">
          <v:fill opacity="0"/>
          <v:textpath style="font-family:宋体;font-size:36pt;v-text-align:center" trim="t" fitpath="t" xscale="f" string="感谢您的下载"/>
          <o:lock v:ext="edit" aspectratio="t"/>
          <w10:wrap anchorx="margin" anchory="margin"/>
        </v:shape>
      </w:pic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tbl>
    <w:tblPr>
      <w:tblStyle w:val="TableNormal"/>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
    <w:tblGrid>
      <w:gridCol w:w="2520"/>
      <w:gridCol w:w="4680"/>
      <w:gridCol w:w="2700"/>
    </w:tblGrid>
    <w:tr>
      <w:tblPrEx>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Ex>
      <w:trPr>
        <w:trHeight w:val="761"/>
        <w:jc w:val="center"/>
      </w:trPr>
      <w:tc>
        <w:tcPr>
          <w:tcW w:w="2520" w:type="dxa"/>
          <w:tcBorders>
            <w:top w:val="single" w:sz="4" w:space="0" w:color="auto"/>
            <w:left w:val="nil"/>
            <w:bottom w:val="single" w:sz="4" w:space="0" w:color="auto"/>
            <w:right w:val="single" w:sz="4" w:space="0" w:color="auto"/>
          </w:tcBorders>
          <w:vAlign w:val="center"/>
        </w:tcPr>
        <w:p>
          <w:pPr>
            <w:rPr>
              <w:rFonts w:ascii="Arial" w:eastAsia="黑体" w:hAnsi="Arial"/>
            </w:rPr>
          </w:pPr>
          <w:r>
            <w:rPr>
              <w:rFonts w:ascii="Arial" w:eastAsia="黑体" w:hAnsi="Arial" w:hint="eastAsia"/>
            </w:rPr>
            <w:t>编号：</w:t>
          </w:r>
        </w:p>
        <w:p>
          <w:pPr>
            <w:rPr>
              <w:rFonts w:ascii="Arial" w:eastAsia="黑体" w:hAnsi="Arial"/>
            </w:rPr>
          </w:pPr>
          <w:r>
            <w:rPr>
              <w:rFonts w:ascii="Arial" w:eastAsia="黑体" w:hAnsi="Arial" w:hint="eastAsia"/>
            </w:rPr>
            <w:t>时间：2021年x月x日</w:t>
          </w:r>
        </w:p>
        <w:p>
          <w:pPr>
            <w:jc w:val="center"/>
            <w:rPr>
              <w:sz w:val="28"/>
              <w:szCs w:val="28"/>
            </w:rPr>
          </w:pPr>
        </w:p>
      </w:tc>
      <w:tc>
        <w:tcPr>
          <w:tcW w:w="4680" w:type="dxa"/>
          <w:tcBorders>
            <w:top w:val="single" w:sz="4" w:space="0" w:color="auto"/>
            <w:left w:val="single" w:sz="4" w:space="0" w:color="auto"/>
            <w:bottom w:val="single" w:sz="4" w:space="0" w:color="auto"/>
            <w:right w:val="single" w:sz="4" w:space="0" w:color="auto"/>
          </w:tcBorders>
          <w:vAlign w:val="center"/>
        </w:tcPr>
        <w:p>
          <w:pPr>
            <w:jc w:val="center"/>
            <w:rPr>
              <w:b/>
              <w:color w:val="000000"/>
              <w:sz w:val="28"/>
              <w:szCs w:val="28"/>
            </w:rPr>
          </w:pPr>
          <w:r>
            <w:rPr>
              <w:rFonts w:asciiTheme="minorEastAsia" w:eastAsiaTheme="minorEastAsia" w:hAnsiTheme="minorEastAsia" w:cstheme="minorEastAsia" w:hint="eastAsia"/>
              <w:b/>
              <w:bCs/>
              <w:color w:val="FF0000"/>
              <w:sz w:val="28"/>
              <w:szCs w:val="28"/>
            </w:rPr>
            <w:t>书山有路勤为径，学海无涯苦作舟</w:t>
          </w:r>
        </w:p>
      </w:tc>
      <w:tc>
        <w:tcPr>
          <w:tcW w:w="2700" w:type="dxa"/>
          <w:tcBorders>
            <w:top w:val="single" w:sz="4" w:space="0" w:color="auto"/>
            <w:left w:val="single" w:sz="4" w:space="0" w:color="auto"/>
            <w:bottom w:val="single" w:sz="4" w:space="0" w:color="auto"/>
            <w:right w:val="nil"/>
          </w:tcBorders>
          <w:vAlign w:val="center"/>
        </w:tcPr>
        <w:p>
          <w:pPr>
            <w:rPr>
              <w:sz w:val="24"/>
            </w:rPr>
          </w:pPr>
          <w:r>
            <w:rPr>
              <w:rFonts w:ascii="Arial" w:eastAsia="黑体" w:hAnsi="Arial" w:hint="eastAsia"/>
            </w:rPr>
            <w:t>页码：</w:t>
          </w:r>
          <w:r>
            <w:rPr>
              <w:rFonts w:ascii="Arial" w:eastAsia="黑体" w:hAnsi="Arial" w:hint="eastAsia"/>
              <w:kern w:val="0"/>
            </w:rPr>
            <w:t>第</w:t>
          </w:r>
          <w:r>
            <w:rPr>
              <w:sz w:val="18"/>
              <w:szCs w:val="18"/>
            </w:rPr>
            <w:fldChar w:fldCharType="begin"/>
          </w:r>
          <w:r>
            <w:rPr>
              <w:rStyle w:val="PageNumber"/>
              <w:sz w:val="18"/>
              <w:szCs w:val="18"/>
            </w:rPr>
            <w:instrText xml:space="preserve"> PAGE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16</w:t>
          </w:r>
          <w:r>
            <w:rPr>
              <w:sz w:val="18"/>
              <w:szCs w:val="18"/>
            </w:rPr>
            <w:fldChar w:fldCharType="end"/>
          </w:r>
          <w:r>
            <w:rPr>
              <w:rFonts w:ascii="Arial" w:eastAsia="黑体" w:hAnsi="Arial" w:hint="eastAsia"/>
              <w:kern w:val="0"/>
            </w:rPr>
            <w:t>页</w:t>
          </w:r>
          <w:r>
            <w:rPr>
              <w:rFonts w:ascii="Arial" w:eastAsia="黑体" w:hAnsi="Arial"/>
              <w:kern w:val="0"/>
            </w:rPr>
            <w:t xml:space="preserve"> </w:t>
          </w:r>
          <w:r>
            <w:rPr>
              <w:rFonts w:ascii="Arial" w:eastAsia="黑体" w:hAnsi="Arial" w:hint="eastAsia"/>
              <w:kern w:val="0"/>
            </w:rPr>
            <w:t>共</w:t>
          </w:r>
          <w:r>
            <w:rPr>
              <w:sz w:val="18"/>
              <w:szCs w:val="18"/>
            </w:rPr>
            <w:fldChar w:fldCharType="begin"/>
          </w:r>
          <w:r>
            <w:rPr>
              <w:rStyle w:val="PageNumber"/>
              <w:sz w:val="18"/>
              <w:szCs w:val="18"/>
            </w:rPr>
            <w:instrText xml:space="preserve"> NUMPAGES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35</w:t>
          </w:r>
          <w:r>
            <w:rPr>
              <w:sz w:val="18"/>
              <w:szCs w:val="18"/>
            </w:rPr>
            <w:fldChar w:fldCharType="end"/>
          </w:r>
          <w:r>
            <w:rPr>
              <w:rFonts w:ascii="Arial" w:eastAsia="黑体" w:hAnsi="Arial" w:hint="eastAsia"/>
              <w:kern w:val="0"/>
            </w:rPr>
            <w:t>页</w:t>
          </w:r>
        </w:p>
      </w:tc>
    </w:tr>
  </w:tbl>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6866167" o:spid="_x0000_s2079" type="#_x0000_t136" alt="感谢您的下载" style="width:456.95pt;height:130.25pt;margin-top:0;margin-left:0;mso-height-relative:page;mso-position-horizontal:center;mso-position-horizontal-relative:margin;mso-position-vertical:center;mso-position-vertical-relative:margin;mso-width-relative:page;position:absolute;rotation:315;z-index:-251642880" coordsize="21600,21600" filled="t" fillcolor="#f8f8f8" stroked="t" strokecolor="white">
          <v:fill opacity="0"/>
          <v:textpath style="font-family:宋体;font-size:36pt;v-text-align:center" trim="t" fitpath="t" xscale="f" string="感谢您的下载"/>
          <o:lock v:ext="edit" aspectratio="t"/>
          <w10:wrap anchorx="margin" anchory="margin"/>
        </v:shape>
      </w:pic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tbl>
    <w:tblPr>
      <w:tblStyle w:val="TableNormal"/>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
    <w:tblGrid>
      <w:gridCol w:w="2520"/>
      <w:gridCol w:w="4680"/>
      <w:gridCol w:w="2700"/>
    </w:tblGrid>
    <w:tr>
      <w:tblPrEx>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Ex>
      <w:trPr>
        <w:trHeight w:val="761"/>
        <w:jc w:val="center"/>
      </w:trPr>
      <w:tc>
        <w:tcPr>
          <w:tcW w:w="2520" w:type="dxa"/>
          <w:tcBorders>
            <w:top w:val="single" w:sz="4" w:space="0" w:color="auto"/>
            <w:left w:val="nil"/>
            <w:bottom w:val="single" w:sz="4" w:space="0" w:color="auto"/>
            <w:right w:val="single" w:sz="4" w:space="0" w:color="auto"/>
          </w:tcBorders>
          <w:vAlign w:val="center"/>
        </w:tcPr>
        <w:p>
          <w:pPr>
            <w:rPr>
              <w:rFonts w:ascii="Arial" w:eastAsia="黑体" w:hAnsi="Arial"/>
            </w:rPr>
          </w:pPr>
          <w:r>
            <w:rPr>
              <w:rFonts w:ascii="Arial" w:eastAsia="黑体" w:hAnsi="Arial" w:hint="eastAsia"/>
            </w:rPr>
            <w:t>编号：</w:t>
          </w:r>
        </w:p>
        <w:p>
          <w:pPr>
            <w:rPr>
              <w:rFonts w:ascii="Arial" w:eastAsia="黑体" w:hAnsi="Arial"/>
            </w:rPr>
          </w:pPr>
          <w:r>
            <w:rPr>
              <w:rFonts w:ascii="Arial" w:eastAsia="黑体" w:hAnsi="Arial" w:hint="eastAsia"/>
            </w:rPr>
            <w:t>时间：2021年x月x日</w:t>
          </w:r>
        </w:p>
        <w:p>
          <w:pPr>
            <w:jc w:val="center"/>
            <w:rPr>
              <w:sz w:val="28"/>
              <w:szCs w:val="28"/>
            </w:rPr>
          </w:pPr>
        </w:p>
      </w:tc>
      <w:tc>
        <w:tcPr>
          <w:tcW w:w="4680" w:type="dxa"/>
          <w:tcBorders>
            <w:top w:val="single" w:sz="4" w:space="0" w:color="auto"/>
            <w:left w:val="single" w:sz="4" w:space="0" w:color="auto"/>
            <w:bottom w:val="single" w:sz="4" w:space="0" w:color="auto"/>
            <w:right w:val="single" w:sz="4" w:space="0" w:color="auto"/>
          </w:tcBorders>
          <w:vAlign w:val="center"/>
        </w:tcPr>
        <w:p>
          <w:pPr>
            <w:jc w:val="center"/>
            <w:rPr>
              <w:b/>
              <w:color w:val="000000"/>
              <w:sz w:val="28"/>
              <w:szCs w:val="28"/>
            </w:rPr>
          </w:pPr>
          <w:r>
            <w:rPr>
              <w:rFonts w:asciiTheme="minorEastAsia" w:eastAsiaTheme="minorEastAsia" w:hAnsiTheme="minorEastAsia" w:cstheme="minorEastAsia" w:hint="eastAsia"/>
              <w:b/>
              <w:bCs/>
              <w:color w:val="FF0000"/>
              <w:sz w:val="28"/>
              <w:szCs w:val="28"/>
            </w:rPr>
            <w:t>书山有路勤为径，学海无涯苦作舟</w:t>
          </w:r>
        </w:p>
      </w:tc>
      <w:tc>
        <w:tcPr>
          <w:tcW w:w="2700" w:type="dxa"/>
          <w:tcBorders>
            <w:top w:val="single" w:sz="4" w:space="0" w:color="auto"/>
            <w:left w:val="single" w:sz="4" w:space="0" w:color="auto"/>
            <w:bottom w:val="single" w:sz="4" w:space="0" w:color="auto"/>
            <w:right w:val="nil"/>
          </w:tcBorders>
          <w:vAlign w:val="center"/>
        </w:tcPr>
        <w:p>
          <w:pPr>
            <w:rPr>
              <w:sz w:val="24"/>
            </w:rPr>
          </w:pPr>
          <w:r>
            <w:rPr>
              <w:rFonts w:ascii="Arial" w:eastAsia="黑体" w:hAnsi="Arial" w:hint="eastAsia"/>
            </w:rPr>
            <w:t>页码：</w:t>
          </w:r>
          <w:r>
            <w:rPr>
              <w:rFonts w:ascii="Arial" w:eastAsia="黑体" w:hAnsi="Arial" w:hint="eastAsia"/>
              <w:kern w:val="0"/>
            </w:rPr>
            <w:t>第</w:t>
          </w:r>
          <w:r>
            <w:rPr>
              <w:sz w:val="18"/>
              <w:szCs w:val="18"/>
            </w:rPr>
            <w:fldChar w:fldCharType="begin"/>
          </w:r>
          <w:r>
            <w:rPr>
              <w:rStyle w:val="PageNumber"/>
              <w:sz w:val="18"/>
              <w:szCs w:val="18"/>
            </w:rPr>
            <w:instrText xml:space="preserve"> PAGE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18</w:t>
          </w:r>
          <w:r>
            <w:rPr>
              <w:sz w:val="18"/>
              <w:szCs w:val="18"/>
            </w:rPr>
            <w:fldChar w:fldCharType="end"/>
          </w:r>
          <w:r>
            <w:rPr>
              <w:rFonts w:ascii="Arial" w:eastAsia="黑体" w:hAnsi="Arial" w:hint="eastAsia"/>
              <w:kern w:val="0"/>
            </w:rPr>
            <w:t>页</w:t>
          </w:r>
          <w:r>
            <w:rPr>
              <w:rFonts w:ascii="Arial" w:eastAsia="黑体" w:hAnsi="Arial"/>
              <w:kern w:val="0"/>
            </w:rPr>
            <w:t xml:space="preserve"> </w:t>
          </w:r>
          <w:r>
            <w:rPr>
              <w:rFonts w:ascii="Arial" w:eastAsia="黑体" w:hAnsi="Arial" w:hint="eastAsia"/>
              <w:kern w:val="0"/>
            </w:rPr>
            <w:t>共</w:t>
          </w:r>
          <w:r>
            <w:rPr>
              <w:sz w:val="18"/>
              <w:szCs w:val="18"/>
            </w:rPr>
            <w:fldChar w:fldCharType="begin"/>
          </w:r>
          <w:r>
            <w:rPr>
              <w:rStyle w:val="PageNumber"/>
              <w:sz w:val="18"/>
              <w:szCs w:val="18"/>
            </w:rPr>
            <w:instrText xml:space="preserve"> NUMPAGES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35</w:t>
          </w:r>
          <w:r>
            <w:rPr>
              <w:sz w:val="18"/>
              <w:szCs w:val="18"/>
            </w:rPr>
            <w:fldChar w:fldCharType="end"/>
          </w:r>
          <w:r>
            <w:rPr>
              <w:rFonts w:ascii="Arial" w:eastAsia="黑体" w:hAnsi="Arial" w:hint="eastAsia"/>
              <w:kern w:val="0"/>
            </w:rPr>
            <w:t>页</w:t>
          </w:r>
        </w:p>
      </w:tc>
    </w:tr>
  </w:tbl>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6866167" o:spid="_x0000_s2081" type="#_x0000_t136" alt="感谢您的下载" style="width:456.95pt;height:130.25pt;margin-top:0;margin-left:0;mso-height-relative:page;mso-position-horizontal:center;mso-position-horizontal-relative:margin;mso-position-vertical:center;mso-position-vertical-relative:margin;mso-width-relative:page;position:absolute;rotation:315;z-index:-251641856" coordsize="21600,21600" filled="t" fillcolor="#f8f8f8" stroked="t" strokecolor="white">
          <v:fill opacity="0"/>
          <v:textpath style="font-family:宋体;font-size:36pt;v-text-align:center" trim="t" fitpath="t" xscale="f" string="感谢您的下载"/>
          <o:lock v:ext="edit" aspectratio="t"/>
          <w10:wrap anchorx="margin" anchory="margin"/>
        </v:shape>
      </w:pic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tbl>
    <w:tblPr>
      <w:tblStyle w:val="TableNormal"/>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
    <w:tblGrid>
      <w:gridCol w:w="2520"/>
      <w:gridCol w:w="4680"/>
      <w:gridCol w:w="2700"/>
    </w:tblGrid>
    <w:tr>
      <w:tblPrEx>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Ex>
      <w:trPr>
        <w:trHeight w:val="761"/>
        <w:jc w:val="center"/>
      </w:trPr>
      <w:tc>
        <w:tcPr>
          <w:tcW w:w="2520" w:type="dxa"/>
          <w:tcBorders>
            <w:top w:val="single" w:sz="4" w:space="0" w:color="auto"/>
            <w:left w:val="nil"/>
            <w:bottom w:val="single" w:sz="4" w:space="0" w:color="auto"/>
            <w:right w:val="single" w:sz="4" w:space="0" w:color="auto"/>
          </w:tcBorders>
          <w:vAlign w:val="center"/>
        </w:tcPr>
        <w:p>
          <w:pPr>
            <w:rPr>
              <w:rFonts w:ascii="Arial" w:eastAsia="黑体" w:hAnsi="Arial"/>
            </w:rPr>
          </w:pPr>
          <w:r>
            <w:rPr>
              <w:rFonts w:ascii="Arial" w:eastAsia="黑体" w:hAnsi="Arial" w:hint="eastAsia"/>
            </w:rPr>
            <w:t>编号：</w:t>
          </w:r>
        </w:p>
        <w:p>
          <w:pPr>
            <w:rPr>
              <w:rFonts w:ascii="Arial" w:eastAsia="黑体" w:hAnsi="Arial"/>
            </w:rPr>
          </w:pPr>
          <w:r>
            <w:rPr>
              <w:rFonts w:ascii="Arial" w:eastAsia="黑体" w:hAnsi="Arial" w:hint="eastAsia"/>
            </w:rPr>
            <w:t>时间：2021年x月x日</w:t>
          </w:r>
        </w:p>
        <w:p>
          <w:pPr>
            <w:jc w:val="center"/>
            <w:rPr>
              <w:sz w:val="28"/>
              <w:szCs w:val="28"/>
            </w:rPr>
          </w:pPr>
        </w:p>
      </w:tc>
      <w:tc>
        <w:tcPr>
          <w:tcW w:w="4680" w:type="dxa"/>
          <w:tcBorders>
            <w:top w:val="single" w:sz="4" w:space="0" w:color="auto"/>
            <w:left w:val="single" w:sz="4" w:space="0" w:color="auto"/>
            <w:bottom w:val="single" w:sz="4" w:space="0" w:color="auto"/>
            <w:right w:val="single" w:sz="4" w:space="0" w:color="auto"/>
          </w:tcBorders>
          <w:vAlign w:val="center"/>
        </w:tcPr>
        <w:p>
          <w:pPr>
            <w:jc w:val="center"/>
            <w:rPr>
              <w:b/>
              <w:color w:val="000000"/>
              <w:sz w:val="28"/>
              <w:szCs w:val="28"/>
            </w:rPr>
          </w:pPr>
          <w:r>
            <w:rPr>
              <w:rFonts w:asciiTheme="minorEastAsia" w:eastAsiaTheme="minorEastAsia" w:hAnsiTheme="minorEastAsia" w:cstheme="minorEastAsia" w:hint="eastAsia"/>
              <w:b/>
              <w:bCs/>
              <w:color w:val="FF0000"/>
              <w:sz w:val="28"/>
              <w:szCs w:val="28"/>
            </w:rPr>
            <w:t>书山有路勤为径，学海无涯苦作舟</w:t>
          </w:r>
        </w:p>
      </w:tc>
      <w:tc>
        <w:tcPr>
          <w:tcW w:w="2700" w:type="dxa"/>
          <w:tcBorders>
            <w:top w:val="single" w:sz="4" w:space="0" w:color="auto"/>
            <w:left w:val="single" w:sz="4" w:space="0" w:color="auto"/>
            <w:bottom w:val="single" w:sz="4" w:space="0" w:color="auto"/>
            <w:right w:val="nil"/>
          </w:tcBorders>
          <w:vAlign w:val="center"/>
        </w:tcPr>
        <w:p>
          <w:pPr>
            <w:rPr>
              <w:sz w:val="24"/>
            </w:rPr>
          </w:pPr>
          <w:r>
            <w:rPr>
              <w:rFonts w:ascii="Arial" w:eastAsia="黑体" w:hAnsi="Arial" w:hint="eastAsia"/>
            </w:rPr>
            <w:t>页码：</w:t>
          </w:r>
          <w:r>
            <w:rPr>
              <w:rFonts w:ascii="Arial" w:eastAsia="黑体" w:hAnsi="Arial" w:hint="eastAsia"/>
              <w:kern w:val="0"/>
            </w:rPr>
            <w:t>第</w:t>
          </w:r>
          <w:r>
            <w:rPr>
              <w:sz w:val="18"/>
              <w:szCs w:val="18"/>
            </w:rPr>
            <w:fldChar w:fldCharType="begin"/>
          </w:r>
          <w:r>
            <w:rPr>
              <w:rStyle w:val="PageNumber"/>
              <w:sz w:val="18"/>
              <w:szCs w:val="18"/>
            </w:rPr>
            <w:instrText xml:space="preserve"> PAGE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18</w:t>
          </w:r>
          <w:r>
            <w:rPr>
              <w:sz w:val="18"/>
              <w:szCs w:val="18"/>
            </w:rPr>
            <w:fldChar w:fldCharType="end"/>
          </w:r>
          <w:r>
            <w:rPr>
              <w:rFonts w:ascii="Arial" w:eastAsia="黑体" w:hAnsi="Arial" w:hint="eastAsia"/>
              <w:kern w:val="0"/>
            </w:rPr>
            <w:t>页</w:t>
          </w:r>
          <w:r>
            <w:rPr>
              <w:rFonts w:ascii="Arial" w:eastAsia="黑体" w:hAnsi="Arial"/>
              <w:kern w:val="0"/>
            </w:rPr>
            <w:t xml:space="preserve"> </w:t>
          </w:r>
          <w:r>
            <w:rPr>
              <w:rFonts w:ascii="Arial" w:eastAsia="黑体" w:hAnsi="Arial" w:hint="eastAsia"/>
              <w:kern w:val="0"/>
            </w:rPr>
            <w:t>共</w:t>
          </w:r>
          <w:r>
            <w:rPr>
              <w:sz w:val="18"/>
              <w:szCs w:val="18"/>
            </w:rPr>
            <w:fldChar w:fldCharType="begin"/>
          </w:r>
          <w:r>
            <w:rPr>
              <w:rStyle w:val="PageNumber"/>
              <w:sz w:val="18"/>
              <w:szCs w:val="18"/>
            </w:rPr>
            <w:instrText xml:space="preserve"> NUMPAGES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35</w:t>
          </w:r>
          <w:r>
            <w:rPr>
              <w:sz w:val="18"/>
              <w:szCs w:val="18"/>
            </w:rPr>
            <w:fldChar w:fldCharType="end"/>
          </w:r>
          <w:r>
            <w:rPr>
              <w:rFonts w:ascii="Arial" w:eastAsia="黑体" w:hAnsi="Arial" w:hint="eastAsia"/>
              <w:kern w:val="0"/>
            </w:rPr>
            <w:t>页</w:t>
          </w:r>
        </w:p>
      </w:tc>
    </w:tr>
  </w:tbl>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6866167" o:spid="_x0000_s2083" type="#_x0000_t136" alt="感谢您的下载" style="width:456.95pt;height:130.25pt;margin-top:0;margin-left:0;mso-height-relative:page;mso-position-horizontal:center;mso-position-horizontal-relative:margin;mso-position-vertical:center;mso-position-vertical-relative:margin;mso-width-relative:page;position:absolute;rotation:315;z-index:-251640832" coordsize="21600,21600" filled="t" fillcolor="#f8f8f8" stroked="t" strokecolor="white">
          <v:fill opacity="0"/>
          <v:textpath style="font-family:宋体;font-size:36pt;v-text-align:center" trim="t" fitpath="t" xscale="f" string="感谢您的下载"/>
          <o:lock v:ext="edit" aspectratio="t"/>
          <w10:wrap anchorx="margin" anchory="margin"/>
        </v:shape>
      </w:pic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tbl>
    <w:tblPr>
      <w:tblStyle w:val="TableNormal"/>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
    <w:tblGrid>
      <w:gridCol w:w="2520"/>
      <w:gridCol w:w="4680"/>
      <w:gridCol w:w="2700"/>
    </w:tblGrid>
    <w:tr>
      <w:tblPrEx>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Ex>
      <w:trPr>
        <w:trHeight w:val="761"/>
        <w:jc w:val="center"/>
      </w:trPr>
      <w:tc>
        <w:tcPr>
          <w:tcW w:w="2520" w:type="dxa"/>
          <w:tcBorders>
            <w:top w:val="single" w:sz="4" w:space="0" w:color="auto"/>
            <w:left w:val="nil"/>
            <w:bottom w:val="single" w:sz="4" w:space="0" w:color="auto"/>
            <w:right w:val="single" w:sz="4" w:space="0" w:color="auto"/>
          </w:tcBorders>
          <w:vAlign w:val="center"/>
        </w:tcPr>
        <w:p>
          <w:pPr>
            <w:rPr>
              <w:rFonts w:ascii="Arial" w:eastAsia="黑体" w:hAnsi="Arial"/>
            </w:rPr>
          </w:pPr>
          <w:r>
            <w:rPr>
              <w:rFonts w:ascii="Arial" w:eastAsia="黑体" w:hAnsi="Arial" w:hint="eastAsia"/>
            </w:rPr>
            <w:t>编号：</w:t>
          </w:r>
        </w:p>
        <w:p>
          <w:pPr>
            <w:rPr>
              <w:rFonts w:ascii="Arial" w:eastAsia="黑体" w:hAnsi="Arial"/>
            </w:rPr>
          </w:pPr>
          <w:r>
            <w:rPr>
              <w:rFonts w:ascii="Arial" w:eastAsia="黑体" w:hAnsi="Arial" w:hint="eastAsia"/>
            </w:rPr>
            <w:t>时间：2021年x月x日</w:t>
          </w:r>
        </w:p>
        <w:p>
          <w:pPr>
            <w:jc w:val="center"/>
            <w:rPr>
              <w:sz w:val="28"/>
              <w:szCs w:val="28"/>
            </w:rPr>
          </w:pPr>
        </w:p>
      </w:tc>
      <w:tc>
        <w:tcPr>
          <w:tcW w:w="4680" w:type="dxa"/>
          <w:tcBorders>
            <w:top w:val="single" w:sz="4" w:space="0" w:color="auto"/>
            <w:left w:val="single" w:sz="4" w:space="0" w:color="auto"/>
            <w:bottom w:val="single" w:sz="4" w:space="0" w:color="auto"/>
            <w:right w:val="single" w:sz="4" w:space="0" w:color="auto"/>
          </w:tcBorders>
          <w:vAlign w:val="center"/>
        </w:tcPr>
        <w:p>
          <w:pPr>
            <w:jc w:val="center"/>
            <w:rPr>
              <w:b/>
              <w:color w:val="000000"/>
              <w:sz w:val="28"/>
              <w:szCs w:val="28"/>
            </w:rPr>
          </w:pPr>
          <w:r>
            <w:rPr>
              <w:rFonts w:asciiTheme="minorEastAsia" w:eastAsiaTheme="minorEastAsia" w:hAnsiTheme="minorEastAsia" w:cstheme="minorEastAsia" w:hint="eastAsia"/>
              <w:b/>
              <w:bCs/>
              <w:color w:val="FF0000"/>
              <w:sz w:val="28"/>
              <w:szCs w:val="28"/>
            </w:rPr>
            <w:t>书山有路勤为径，学海无涯苦作舟</w:t>
          </w:r>
        </w:p>
      </w:tc>
      <w:tc>
        <w:tcPr>
          <w:tcW w:w="2700" w:type="dxa"/>
          <w:tcBorders>
            <w:top w:val="single" w:sz="4" w:space="0" w:color="auto"/>
            <w:left w:val="single" w:sz="4" w:space="0" w:color="auto"/>
            <w:bottom w:val="single" w:sz="4" w:space="0" w:color="auto"/>
            <w:right w:val="nil"/>
          </w:tcBorders>
          <w:vAlign w:val="center"/>
        </w:tcPr>
        <w:p>
          <w:pPr>
            <w:rPr>
              <w:sz w:val="24"/>
            </w:rPr>
          </w:pPr>
          <w:r>
            <w:rPr>
              <w:rFonts w:ascii="Arial" w:eastAsia="黑体" w:hAnsi="Arial" w:hint="eastAsia"/>
            </w:rPr>
            <w:t>页码：</w:t>
          </w:r>
          <w:r>
            <w:rPr>
              <w:rFonts w:ascii="Arial" w:eastAsia="黑体" w:hAnsi="Arial" w:hint="eastAsia"/>
              <w:kern w:val="0"/>
            </w:rPr>
            <w:t>第</w:t>
          </w:r>
          <w:r>
            <w:rPr>
              <w:sz w:val="18"/>
              <w:szCs w:val="18"/>
            </w:rPr>
            <w:fldChar w:fldCharType="begin"/>
          </w:r>
          <w:r>
            <w:rPr>
              <w:rStyle w:val="PageNumber"/>
              <w:sz w:val="18"/>
              <w:szCs w:val="18"/>
            </w:rPr>
            <w:instrText xml:space="preserve"> PAGE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20</w:t>
          </w:r>
          <w:r>
            <w:rPr>
              <w:sz w:val="18"/>
              <w:szCs w:val="18"/>
            </w:rPr>
            <w:fldChar w:fldCharType="end"/>
          </w:r>
          <w:r>
            <w:rPr>
              <w:rFonts w:ascii="Arial" w:eastAsia="黑体" w:hAnsi="Arial" w:hint="eastAsia"/>
              <w:kern w:val="0"/>
            </w:rPr>
            <w:t>页</w:t>
          </w:r>
          <w:r>
            <w:rPr>
              <w:rFonts w:ascii="Arial" w:eastAsia="黑体" w:hAnsi="Arial"/>
              <w:kern w:val="0"/>
            </w:rPr>
            <w:t xml:space="preserve"> </w:t>
          </w:r>
          <w:r>
            <w:rPr>
              <w:rFonts w:ascii="Arial" w:eastAsia="黑体" w:hAnsi="Arial" w:hint="eastAsia"/>
              <w:kern w:val="0"/>
            </w:rPr>
            <w:t>共</w:t>
          </w:r>
          <w:r>
            <w:rPr>
              <w:sz w:val="18"/>
              <w:szCs w:val="18"/>
            </w:rPr>
            <w:fldChar w:fldCharType="begin"/>
          </w:r>
          <w:r>
            <w:rPr>
              <w:rStyle w:val="PageNumber"/>
              <w:sz w:val="18"/>
              <w:szCs w:val="18"/>
            </w:rPr>
            <w:instrText xml:space="preserve"> NUMPAGES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35</w:t>
          </w:r>
          <w:r>
            <w:rPr>
              <w:sz w:val="18"/>
              <w:szCs w:val="18"/>
            </w:rPr>
            <w:fldChar w:fldCharType="end"/>
          </w:r>
          <w:r>
            <w:rPr>
              <w:rFonts w:ascii="Arial" w:eastAsia="黑体" w:hAnsi="Arial" w:hint="eastAsia"/>
              <w:kern w:val="0"/>
            </w:rPr>
            <w:t>页</w:t>
          </w:r>
        </w:p>
      </w:tc>
    </w:tr>
  </w:tbl>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6866167" o:spid="_x0000_s2085" type="#_x0000_t136" alt="感谢您的下载" style="width:456.95pt;height:130.25pt;margin-top:0;margin-left:0;mso-height-relative:page;mso-position-horizontal:center;mso-position-horizontal-relative:margin;mso-position-vertical:center;mso-position-vertical-relative:margin;mso-width-relative:page;position:absolute;rotation:315;z-index:-251639808" coordsize="21600,21600" filled="t" fillcolor="#f8f8f8" stroked="t" strokecolor="white">
          <v:fill opacity="0"/>
          <v:textpath style="font-family:宋体;font-size:36pt;v-text-align:center" trim="t" fitpath="t" xscale="f" string="感谢您的下载"/>
          <o:lock v:ext="edit" aspectratio="t"/>
          <w10:wrap anchorx="margin" anchory="margin"/>
        </v:shape>
      </w:pic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tbl>
    <w:tblPr>
      <w:tblStyle w:val="TableNormal"/>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
    <w:tblGrid>
      <w:gridCol w:w="2520"/>
      <w:gridCol w:w="4680"/>
      <w:gridCol w:w="2700"/>
    </w:tblGrid>
    <w:tr>
      <w:tblPrEx>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Ex>
      <w:trPr>
        <w:trHeight w:val="761"/>
        <w:jc w:val="center"/>
      </w:trPr>
      <w:tc>
        <w:tcPr>
          <w:tcW w:w="2520" w:type="dxa"/>
          <w:tcBorders>
            <w:top w:val="single" w:sz="4" w:space="0" w:color="auto"/>
            <w:left w:val="nil"/>
            <w:bottom w:val="single" w:sz="4" w:space="0" w:color="auto"/>
            <w:right w:val="single" w:sz="4" w:space="0" w:color="auto"/>
          </w:tcBorders>
          <w:vAlign w:val="center"/>
        </w:tcPr>
        <w:p>
          <w:pPr>
            <w:rPr>
              <w:rFonts w:ascii="Arial" w:eastAsia="黑体" w:hAnsi="Arial"/>
            </w:rPr>
          </w:pPr>
          <w:r>
            <w:rPr>
              <w:rFonts w:ascii="Arial" w:eastAsia="黑体" w:hAnsi="Arial" w:hint="eastAsia"/>
            </w:rPr>
            <w:t>编号：</w:t>
          </w:r>
        </w:p>
        <w:p>
          <w:pPr>
            <w:rPr>
              <w:rFonts w:ascii="Arial" w:eastAsia="黑体" w:hAnsi="Arial"/>
            </w:rPr>
          </w:pPr>
          <w:r>
            <w:rPr>
              <w:rFonts w:ascii="Arial" w:eastAsia="黑体" w:hAnsi="Arial" w:hint="eastAsia"/>
            </w:rPr>
            <w:t>时间：2021年x月x日</w:t>
          </w:r>
        </w:p>
        <w:p>
          <w:pPr>
            <w:jc w:val="center"/>
            <w:rPr>
              <w:sz w:val="28"/>
              <w:szCs w:val="28"/>
            </w:rPr>
          </w:pPr>
        </w:p>
      </w:tc>
      <w:tc>
        <w:tcPr>
          <w:tcW w:w="4680" w:type="dxa"/>
          <w:tcBorders>
            <w:top w:val="single" w:sz="4" w:space="0" w:color="auto"/>
            <w:left w:val="single" w:sz="4" w:space="0" w:color="auto"/>
            <w:bottom w:val="single" w:sz="4" w:space="0" w:color="auto"/>
            <w:right w:val="single" w:sz="4" w:space="0" w:color="auto"/>
          </w:tcBorders>
          <w:vAlign w:val="center"/>
        </w:tcPr>
        <w:p>
          <w:pPr>
            <w:jc w:val="center"/>
            <w:rPr>
              <w:b/>
              <w:color w:val="000000"/>
              <w:sz w:val="28"/>
              <w:szCs w:val="28"/>
            </w:rPr>
          </w:pPr>
          <w:r>
            <w:rPr>
              <w:rFonts w:asciiTheme="minorEastAsia" w:eastAsiaTheme="minorEastAsia" w:hAnsiTheme="minorEastAsia" w:cstheme="minorEastAsia" w:hint="eastAsia"/>
              <w:b/>
              <w:bCs/>
              <w:color w:val="FF0000"/>
              <w:sz w:val="28"/>
              <w:szCs w:val="28"/>
            </w:rPr>
            <w:t>书山有路勤为径，学海无涯苦作舟</w:t>
          </w:r>
        </w:p>
      </w:tc>
      <w:tc>
        <w:tcPr>
          <w:tcW w:w="2700" w:type="dxa"/>
          <w:tcBorders>
            <w:top w:val="single" w:sz="4" w:space="0" w:color="auto"/>
            <w:left w:val="single" w:sz="4" w:space="0" w:color="auto"/>
            <w:bottom w:val="single" w:sz="4" w:space="0" w:color="auto"/>
            <w:right w:val="nil"/>
          </w:tcBorders>
          <w:vAlign w:val="center"/>
        </w:tcPr>
        <w:p>
          <w:pPr>
            <w:rPr>
              <w:sz w:val="24"/>
            </w:rPr>
          </w:pPr>
          <w:r>
            <w:rPr>
              <w:rFonts w:ascii="Arial" w:eastAsia="黑体" w:hAnsi="Arial" w:hint="eastAsia"/>
            </w:rPr>
            <w:t>页码：</w:t>
          </w:r>
          <w:r>
            <w:rPr>
              <w:rFonts w:ascii="Arial" w:eastAsia="黑体" w:hAnsi="Arial" w:hint="eastAsia"/>
              <w:kern w:val="0"/>
            </w:rPr>
            <w:t>第</w:t>
          </w:r>
          <w:r>
            <w:rPr>
              <w:sz w:val="18"/>
              <w:szCs w:val="18"/>
            </w:rPr>
            <w:fldChar w:fldCharType="begin"/>
          </w:r>
          <w:r>
            <w:rPr>
              <w:rStyle w:val="PageNumber"/>
              <w:sz w:val="18"/>
              <w:szCs w:val="18"/>
            </w:rPr>
            <w:instrText xml:space="preserve"> PAGE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21</w:t>
          </w:r>
          <w:r>
            <w:rPr>
              <w:sz w:val="18"/>
              <w:szCs w:val="18"/>
            </w:rPr>
            <w:fldChar w:fldCharType="end"/>
          </w:r>
          <w:r>
            <w:rPr>
              <w:rFonts w:ascii="Arial" w:eastAsia="黑体" w:hAnsi="Arial" w:hint="eastAsia"/>
              <w:kern w:val="0"/>
            </w:rPr>
            <w:t>页</w:t>
          </w:r>
          <w:r>
            <w:rPr>
              <w:rFonts w:ascii="Arial" w:eastAsia="黑体" w:hAnsi="Arial"/>
              <w:kern w:val="0"/>
            </w:rPr>
            <w:t xml:space="preserve"> </w:t>
          </w:r>
          <w:r>
            <w:rPr>
              <w:rFonts w:ascii="Arial" w:eastAsia="黑体" w:hAnsi="Arial" w:hint="eastAsia"/>
              <w:kern w:val="0"/>
            </w:rPr>
            <w:t>共</w:t>
          </w:r>
          <w:r>
            <w:rPr>
              <w:sz w:val="18"/>
              <w:szCs w:val="18"/>
            </w:rPr>
            <w:fldChar w:fldCharType="begin"/>
          </w:r>
          <w:r>
            <w:rPr>
              <w:rStyle w:val="PageNumber"/>
              <w:sz w:val="18"/>
              <w:szCs w:val="18"/>
            </w:rPr>
            <w:instrText xml:space="preserve"> NUMPAGES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35</w:t>
          </w:r>
          <w:r>
            <w:rPr>
              <w:sz w:val="18"/>
              <w:szCs w:val="18"/>
            </w:rPr>
            <w:fldChar w:fldCharType="end"/>
          </w:r>
          <w:r>
            <w:rPr>
              <w:rFonts w:ascii="Arial" w:eastAsia="黑体" w:hAnsi="Arial" w:hint="eastAsia"/>
              <w:kern w:val="0"/>
            </w:rPr>
            <w:t>页</w:t>
          </w:r>
        </w:p>
      </w:tc>
    </w:tr>
  </w:tbl>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6866167" o:spid="_x0000_s2087" type="#_x0000_t136" alt="感谢您的下载" style="width:456.95pt;height:130.25pt;margin-top:0;margin-left:0;mso-height-relative:page;mso-position-horizontal:center;mso-position-horizontal-relative:margin;mso-position-vertical:center;mso-position-vertical-relative:margin;mso-width-relative:page;position:absolute;rotation:315;z-index:-251638784" coordsize="21600,21600" filled="t" fillcolor="#f8f8f8" stroked="t" strokecolor="white">
          <v:fill opacity="0"/>
          <v:textpath style="font-family:宋体;font-size:36pt;v-text-align:center" trim="t" fitpath="t" xscale="f" string="感谢您的下载"/>
          <o:lock v:ext="edit" aspectratio="t"/>
          <w10:wrap anchorx="margin" anchory="margin"/>
        </v:shape>
      </w:pic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tbl>
    <w:tblPr>
      <w:tblStyle w:val="TableNormal"/>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
    <w:tblGrid>
      <w:gridCol w:w="2520"/>
      <w:gridCol w:w="4680"/>
      <w:gridCol w:w="2700"/>
    </w:tblGrid>
    <w:tr>
      <w:tblPrEx>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Ex>
      <w:trPr>
        <w:trHeight w:val="761"/>
        <w:jc w:val="center"/>
      </w:trPr>
      <w:tc>
        <w:tcPr>
          <w:tcW w:w="2520" w:type="dxa"/>
          <w:tcBorders>
            <w:top w:val="single" w:sz="4" w:space="0" w:color="auto"/>
            <w:left w:val="nil"/>
            <w:bottom w:val="single" w:sz="4" w:space="0" w:color="auto"/>
            <w:right w:val="single" w:sz="4" w:space="0" w:color="auto"/>
          </w:tcBorders>
          <w:vAlign w:val="center"/>
        </w:tcPr>
        <w:p>
          <w:pPr>
            <w:rPr>
              <w:rFonts w:ascii="Arial" w:eastAsia="黑体" w:hAnsi="Arial"/>
            </w:rPr>
          </w:pPr>
          <w:r>
            <w:rPr>
              <w:rFonts w:ascii="Arial" w:eastAsia="黑体" w:hAnsi="Arial" w:hint="eastAsia"/>
            </w:rPr>
            <w:t>编号：</w:t>
          </w:r>
        </w:p>
        <w:p>
          <w:pPr>
            <w:rPr>
              <w:rFonts w:ascii="Arial" w:eastAsia="黑体" w:hAnsi="Arial"/>
            </w:rPr>
          </w:pPr>
          <w:r>
            <w:rPr>
              <w:rFonts w:ascii="Arial" w:eastAsia="黑体" w:hAnsi="Arial" w:hint="eastAsia"/>
            </w:rPr>
            <w:t>时间：2021年x月x日</w:t>
          </w:r>
        </w:p>
        <w:p>
          <w:pPr>
            <w:jc w:val="center"/>
            <w:rPr>
              <w:sz w:val="28"/>
              <w:szCs w:val="28"/>
            </w:rPr>
          </w:pPr>
        </w:p>
      </w:tc>
      <w:tc>
        <w:tcPr>
          <w:tcW w:w="4680" w:type="dxa"/>
          <w:tcBorders>
            <w:top w:val="single" w:sz="4" w:space="0" w:color="auto"/>
            <w:left w:val="single" w:sz="4" w:space="0" w:color="auto"/>
            <w:bottom w:val="single" w:sz="4" w:space="0" w:color="auto"/>
            <w:right w:val="single" w:sz="4" w:space="0" w:color="auto"/>
          </w:tcBorders>
          <w:vAlign w:val="center"/>
        </w:tcPr>
        <w:p>
          <w:pPr>
            <w:jc w:val="center"/>
            <w:rPr>
              <w:b/>
              <w:color w:val="000000"/>
              <w:sz w:val="28"/>
              <w:szCs w:val="28"/>
            </w:rPr>
          </w:pPr>
          <w:r>
            <w:rPr>
              <w:rFonts w:asciiTheme="minorEastAsia" w:eastAsiaTheme="minorEastAsia" w:hAnsiTheme="minorEastAsia" w:cstheme="minorEastAsia" w:hint="eastAsia"/>
              <w:b/>
              <w:bCs/>
              <w:color w:val="FF0000"/>
              <w:sz w:val="28"/>
              <w:szCs w:val="28"/>
            </w:rPr>
            <w:t>书山有路勤为径，学海无涯苦作舟</w:t>
          </w:r>
        </w:p>
      </w:tc>
      <w:tc>
        <w:tcPr>
          <w:tcW w:w="2700" w:type="dxa"/>
          <w:tcBorders>
            <w:top w:val="single" w:sz="4" w:space="0" w:color="auto"/>
            <w:left w:val="single" w:sz="4" w:space="0" w:color="auto"/>
            <w:bottom w:val="single" w:sz="4" w:space="0" w:color="auto"/>
            <w:right w:val="nil"/>
          </w:tcBorders>
          <w:vAlign w:val="center"/>
        </w:tcPr>
        <w:p>
          <w:pPr>
            <w:rPr>
              <w:sz w:val="24"/>
            </w:rPr>
          </w:pPr>
          <w:r>
            <w:rPr>
              <w:rFonts w:ascii="Arial" w:eastAsia="黑体" w:hAnsi="Arial" w:hint="eastAsia"/>
            </w:rPr>
            <w:t>页码：</w:t>
          </w:r>
          <w:r>
            <w:rPr>
              <w:rFonts w:ascii="Arial" w:eastAsia="黑体" w:hAnsi="Arial" w:hint="eastAsia"/>
              <w:kern w:val="0"/>
            </w:rPr>
            <w:t>第</w:t>
          </w:r>
          <w:r>
            <w:rPr>
              <w:sz w:val="18"/>
              <w:szCs w:val="18"/>
            </w:rPr>
            <w:fldChar w:fldCharType="begin"/>
          </w:r>
          <w:r>
            <w:rPr>
              <w:rStyle w:val="PageNumber"/>
              <w:sz w:val="18"/>
              <w:szCs w:val="18"/>
            </w:rPr>
            <w:instrText xml:space="preserve"> PAGE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21</w:t>
          </w:r>
          <w:r>
            <w:rPr>
              <w:sz w:val="18"/>
              <w:szCs w:val="18"/>
            </w:rPr>
            <w:fldChar w:fldCharType="end"/>
          </w:r>
          <w:r>
            <w:rPr>
              <w:rFonts w:ascii="Arial" w:eastAsia="黑体" w:hAnsi="Arial" w:hint="eastAsia"/>
              <w:kern w:val="0"/>
            </w:rPr>
            <w:t>页</w:t>
          </w:r>
          <w:r>
            <w:rPr>
              <w:rFonts w:ascii="Arial" w:eastAsia="黑体" w:hAnsi="Arial"/>
              <w:kern w:val="0"/>
            </w:rPr>
            <w:t xml:space="preserve"> </w:t>
          </w:r>
          <w:r>
            <w:rPr>
              <w:rFonts w:ascii="Arial" w:eastAsia="黑体" w:hAnsi="Arial" w:hint="eastAsia"/>
              <w:kern w:val="0"/>
            </w:rPr>
            <w:t>共</w:t>
          </w:r>
          <w:r>
            <w:rPr>
              <w:sz w:val="18"/>
              <w:szCs w:val="18"/>
            </w:rPr>
            <w:fldChar w:fldCharType="begin"/>
          </w:r>
          <w:r>
            <w:rPr>
              <w:rStyle w:val="PageNumber"/>
              <w:sz w:val="18"/>
              <w:szCs w:val="18"/>
            </w:rPr>
            <w:instrText xml:space="preserve"> NUMPAGES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35</w:t>
          </w:r>
          <w:r>
            <w:rPr>
              <w:sz w:val="18"/>
              <w:szCs w:val="18"/>
            </w:rPr>
            <w:fldChar w:fldCharType="end"/>
          </w:r>
          <w:r>
            <w:rPr>
              <w:rFonts w:ascii="Arial" w:eastAsia="黑体" w:hAnsi="Arial" w:hint="eastAsia"/>
              <w:kern w:val="0"/>
            </w:rPr>
            <w:t>页</w:t>
          </w:r>
        </w:p>
      </w:tc>
    </w:tr>
  </w:tbl>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6866167" o:spid="_x0000_s2089" type="#_x0000_t136" alt="感谢您的下载" style="width:456.95pt;height:130.25pt;margin-top:0;margin-left:0;mso-height-relative:page;mso-position-horizontal:center;mso-position-horizontal-relative:margin;mso-position-vertical:center;mso-position-vertical-relative:margin;mso-width-relative:page;position:absolute;rotation:315;z-index:-251637760" coordsize="21600,21600" filled="t" fillcolor="#f8f8f8" stroked="t" strokecolor="white">
          <v:fill opacity="0"/>
          <v:textpath style="font-family:宋体;font-size:36pt;v-text-align:center" trim="t" fitpath="t" xscale="f" string="感谢您的下载"/>
          <o:lock v:ext="edit" aspectratio="t"/>
          <w10:wrap anchorx="margin" anchory="margin"/>
        </v:shape>
      </w:pic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tbl>
    <w:tblPr>
      <w:tblStyle w:val="TableNormal"/>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
    <w:tblGrid>
      <w:gridCol w:w="2520"/>
      <w:gridCol w:w="4680"/>
      <w:gridCol w:w="2700"/>
    </w:tblGrid>
    <w:tr>
      <w:tblPrEx>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Ex>
      <w:trPr>
        <w:trHeight w:val="761"/>
        <w:jc w:val="center"/>
      </w:trPr>
      <w:tc>
        <w:tcPr>
          <w:tcW w:w="2520" w:type="dxa"/>
          <w:tcBorders>
            <w:top w:val="single" w:sz="4" w:space="0" w:color="auto"/>
            <w:left w:val="nil"/>
            <w:bottom w:val="single" w:sz="4" w:space="0" w:color="auto"/>
            <w:right w:val="single" w:sz="4" w:space="0" w:color="auto"/>
          </w:tcBorders>
          <w:vAlign w:val="center"/>
        </w:tcPr>
        <w:p>
          <w:pPr>
            <w:rPr>
              <w:rFonts w:ascii="Arial" w:eastAsia="黑体" w:hAnsi="Arial"/>
            </w:rPr>
          </w:pPr>
          <w:r>
            <w:rPr>
              <w:rFonts w:ascii="Arial" w:eastAsia="黑体" w:hAnsi="Arial" w:hint="eastAsia"/>
            </w:rPr>
            <w:t>编号：</w:t>
          </w:r>
        </w:p>
        <w:p>
          <w:pPr>
            <w:rPr>
              <w:rFonts w:ascii="Arial" w:eastAsia="黑体" w:hAnsi="Arial"/>
            </w:rPr>
          </w:pPr>
          <w:r>
            <w:rPr>
              <w:rFonts w:ascii="Arial" w:eastAsia="黑体" w:hAnsi="Arial" w:hint="eastAsia"/>
            </w:rPr>
            <w:t>时间：2021年x月x日</w:t>
          </w:r>
        </w:p>
        <w:p>
          <w:pPr>
            <w:jc w:val="center"/>
            <w:rPr>
              <w:sz w:val="28"/>
              <w:szCs w:val="28"/>
            </w:rPr>
          </w:pPr>
        </w:p>
      </w:tc>
      <w:tc>
        <w:tcPr>
          <w:tcW w:w="4680" w:type="dxa"/>
          <w:tcBorders>
            <w:top w:val="single" w:sz="4" w:space="0" w:color="auto"/>
            <w:left w:val="single" w:sz="4" w:space="0" w:color="auto"/>
            <w:bottom w:val="single" w:sz="4" w:space="0" w:color="auto"/>
            <w:right w:val="single" w:sz="4" w:space="0" w:color="auto"/>
          </w:tcBorders>
          <w:vAlign w:val="center"/>
        </w:tcPr>
        <w:p>
          <w:pPr>
            <w:jc w:val="center"/>
            <w:rPr>
              <w:b/>
              <w:color w:val="000000"/>
              <w:sz w:val="28"/>
              <w:szCs w:val="28"/>
            </w:rPr>
          </w:pPr>
          <w:r>
            <w:rPr>
              <w:rFonts w:asciiTheme="minorEastAsia" w:eastAsiaTheme="minorEastAsia" w:hAnsiTheme="minorEastAsia" w:cstheme="minorEastAsia" w:hint="eastAsia"/>
              <w:b/>
              <w:bCs/>
              <w:color w:val="FF0000"/>
              <w:sz w:val="28"/>
              <w:szCs w:val="28"/>
            </w:rPr>
            <w:t>书山有路勤为径，学海无涯苦作舟</w:t>
          </w:r>
        </w:p>
      </w:tc>
      <w:tc>
        <w:tcPr>
          <w:tcW w:w="2700" w:type="dxa"/>
          <w:tcBorders>
            <w:top w:val="single" w:sz="4" w:space="0" w:color="auto"/>
            <w:left w:val="single" w:sz="4" w:space="0" w:color="auto"/>
            <w:bottom w:val="single" w:sz="4" w:space="0" w:color="auto"/>
            <w:right w:val="nil"/>
          </w:tcBorders>
          <w:vAlign w:val="center"/>
        </w:tcPr>
        <w:p>
          <w:pPr>
            <w:rPr>
              <w:sz w:val="24"/>
            </w:rPr>
          </w:pPr>
          <w:r>
            <w:rPr>
              <w:rFonts w:ascii="Arial" w:eastAsia="黑体" w:hAnsi="Arial" w:hint="eastAsia"/>
            </w:rPr>
            <w:t>页码：</w:t>
          </w:r>
          <w:r>
            <w:rPr>
              <w:rFonts w:ascii="Arial" w:eastAsia="黑体" w:hAnsi="Arial" w:hint="eastAsia"/>
              <w:kern w:val="0"/>
            </w:rPr>
            <w:t>第</w:t>
          </w:r>
          <w:r>
            <w:rPr>
              <w:sz w:val="18"/>
              <w:szCs w:val="18"/>
            </w:rPr>
            <w:fldChar w:fldCharType="begin"/>
          </w:r>
          <w:r>
            <w:rPr>
              <w:rStyle w:val="PageNumber"/>
              <w:sz w:val="18"/>
              <w:szCs w:val="18"/>
            </w:rPr>
            <w:instrText xml:space="preserve"> PAGE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22</w:t>
          </w:r>
          <w:r>
            <w:rPr>
              <w:sz w:val="18"/>
              <w:szCs w:val="18"/>
            </w:rPr>
            <w:fldChar w:fldCharType="end"/>
          </w:r>
          <w:r>
            <w:rPr>
              <w:rFonts w:ascii="Arial" w:eastAsia="黑体" w:hAnsi="Arial" w:hint="eastAsia"/>
              <w:kern w:val="0"/>
            </w:rPr>
            <w:t>页</w:t>
          </w:r>
          <w:r>
            <w:rPr>
              <w:rFonts w:ascii="Arial" w:eastAsia="黑体" w:hAnsi="Arial"/>
              <w:kern w:val="0"/>
            </w:rPr>
            <w:t xml:space="preserve"> </w:t>
          </w:r>
          <w:r>
            <w:rPr>
              <w:rFonts w:ascii="Arial" w:eastAsia="黑体" w:hAnsi="Arial" w:hint="eastAsia"/>
              <w:kern w:val="0"/>
            </w:rPr>
            <w:t>共</w:t>
          </w:r>
          <w:r>
            <w:rPr>
              <w:sz w:val="18"/>
              <w:szCs w:val="18"/>
            </w:rPr>
            <w:fldChar w:fldCharType="begin"/>
          </w:r>
          <w:r>
            <w:rPr>
              <w:rStyle w:val="PageNumber"/>
              <w:sz w:val="18"/>
              <w:szCs w:val="18"/>
            </w:rPr>
            <w:instrText xml:space="preserve"> NUMPAGES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35</w:t>
          </w:r>
          <w:r>
            <w:rPr>
              <w:sz w:val="18"/>
              <w:szCs w:val="18"/>
            </w:rPr>
            <w:fldChar w:fldCharType="end"/>
          </w:r>
          <w:r>
            <w:rPr>
              <w:rFonts w:ascii="Arial" w:eastAsia="黑体" w:hAnsi="Arial" w:hint="eastAsia"/>
              <w:kern w:val="0"/>
            </w:rPr>
            <w:t>页</w:t>
          </w:r>
        </w:p>
      </w:tc>
    </w:tr>
  </w:tbl>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6866167" o:spid="_x0000_s2091" type="#_x0000_t136" alt="感谢您的下载" style="width:456.95pt;height:130.25pt;margin-top:0;margin-left:0;mso-height-relative:page;mso-position-horizontal:center;mso-position-horizontal-relative:margin;mso-position-vertical:center;mso-position-vertical-relative:margin;mso-width-relative:page;position:absolute;rotation:315;z-index:-251636736" coordsize="21600,21600" filled="t" fillcolor="#f8f8f8" stroked="t" strokecolor="white">
          <v:fill opacity="0"/>
          <v:textpath style="font-family:宋体;font-size:36pt;v-text-align:center" trim="t" fitpath="t" xscale="f" string="感谢您的下载"/>
          <o:lock v:ext="edit" aspectratio="t"/>
          <w10:wrap anchorx="margin" anchory="margin"/>
        </v:shape>
      </w:pic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tbl>
    <w:tblPr>
      <w:tblStyle w:val="TableNormal"/>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
    <w:tblGrid>
      <w:gridCol w:w="2520"/>
      <w:gridCol w:w="4680"/>
      <w:gridCol w:w="2700"/>
    </w:tblGrid>
    <w:tr>
      <w:tblPrEx>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Ex>
      <w:trPr>
        <w:trHeight w:val="761"/>
        <w:jc w:val="center"/>
      </w:trPr>
      <w:tc>
        <w:tcPr>
          <w:tcW w:w="2520" w:type="dxa"/>
          <w:tcBorders>
            <w:top w:val="single" w:sz="4" w:space="0" w:color="auto"/>
            <w:left w:val="nil"/>
            <w:bottom w:val="single" w:sz="4" w:space="0" w:color="auto"/>
            <w:right w:val="single" w:sz="4" w:space="0" w:color="auto"/>
          </w:tcBorders>
          <w:vAlign w:val="center"/>
        </w:tcPr>
        <w:p>
          <w:pPr>
            <w:rPr>
              <w:rFonts w:ascii="Arial" w:eastAsia="黑体" w:hAnsi="Arial"/>
            </w:rPr>
          </w:pPr>
          <w:r>
            <w:rPr>
              <w:rFonts w:ascii="Arial" w:eastAsia="黑体" w:hAnsi="Arial" w:hint="eastAsia"/>
            </w:rPr>
            <w:t>编号：</w:t>
          </w:r>
        </w:p>
        <w:p>
          <w:pPr>
            <w:rPr>
              <w:rFonts w:ascii="Arial" w:eastAsia="黑体" w:hAnsi="Arial"/>
            </w:rPr>
          </w:pPr>
          <w:r>
            <w:rPr>
              <w:rFonts w:ascii="Arial" w:eastAsia="黑体" w:hAnsi="Arial" w:hint="eastAsia"/>
            </w:rPr>
            <w:t>时间：2021年x月x日</w:t>
          </w:r>
        </w:p>
        <w:p>
          <w:pPr>
            <w:jc w:val="center"/>
            <w:rPr>
              <w:sz w:val="28"/>
              <w:szCs w:val="28"/>
            </w:rPr>
          </w:pPr>
        </w:p>
      </w:tc>
      <w:tc>
        <w:tcPr>
          <w:tcW w:w="4680" w:type="dxa"/>
          <w:tcBorders>
            <w:top w:val="single" w:sz="4" w:space="0" w:color="auto"/>
            <w:left w:val="single" w:sz="4" w:space="0" w:color="auto"/>
            <w:bottom w:val="single" w:sz="4" w:space="0" w:color="auto"/>
            <w:right w:val="single" w:sz="4" w:space="0" w:color="auto"/>
          </w:tcBorders>
          <w:vAlign w:val="center"/>
        </w:tcPr>
        <w:p>
          <w:pPr>
            <w:jc w:val="center"/>
            <w:rPr>
              <w:b/>
              <w:color w:val="000000"/>
              <w:sz w:val="28"/>
              <w:szCs w:val="28"/>
            </w:rPr>
          </w:pPr>
          <w:r>
            <w:rPr>
              <w:rFonts w:asciiTheme="minorEastAsia" w:eastAsiaTheme="minorEastAsia" w:hAnsiTheme="minorEastAsia" w:cstheme="minorEastAsia" w:hint="eastAsia"/>
              <w:b/>
              <w:bCs/>
              <w:color w:val="FF0000"/>
              <w:sz w:val="28"/>
              <w:szCs w:val="28"/>
            </w:rPr>
            <w:t>书山有路勤为径，学海无涯苦作舟</w:t>
          </w:r>
        </w:p>
      </w:tc>
      <w:tc>
        <w:tcPr>
          <w:tcW w:w="2700" w:type="dxa"/>
          <w:tcBorders>
            <w:top w:val="single" w:sz="4" w:space="0" w:color="auto"/>
            <w:left w:val="single" w:sz="4" w:space="0" w:color="auto"/>
            <w:bottom w:val="single" w:sz="4" w:space="0" w:color="auto"/>
            <w:right w:val="nil"/>
          </w:tcBorders>
          <w:vAlign w:val="center"/>
        </w:tcPr>
        <w:p>
          <w:pPr>
            <w:rPr>
              <w:sz w:val="24"/>
            </w:rPr>
          </w:pPr>
          <w:r>
            <w:rPr>
              <w:rFonts w:ascii="Arial" w:eastAsia="黑体" w:hAnsi="Arial" w:hint="eastAsia"/>
            </w:rPr>
            <w:t>页码：</w:t>
          </w:r>
          <w:r>
            <w:rPr>
              <w:rFonts w:ascii="Arial" w:eastAsia="黑体" w:hAnsi="Arial" w:hint="eastAsia"/>
              <w:kern w:val="0"/>
            </w:rPr>
            <w:t>第</w:t>
          </w:r>
          <w:r>
            <w:rPr>
              <w:sz w:val="18"/>
              <w:szCs w:val="18"/>
            </w:rPr>
            <w:fldChar w:fldCharType="begin"/>
          </w:r>
          <w:r>
            <w:rPr>
              <w:rStyle w:val="PageNumber"/>
              <w:sz w:val="18"/>
              <w:szCs w:val="18"/>
            </w:rPr>
            <w:instrText xml:space="preserve"> PAGE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23</w:t>
          </w:r>
          <w:r>
            <w:rPr>
              <w:sz w:val="18"/>
              <w:szCs w:val="18"/>
            </w:rPr>
            <w:fldChar w:fldCharType="end"/>
          </w:r>
          <w:r>
            <w:rPr>
              <w:rFonts w:ascii="Arial" w:eastAsia="黑体" w:hAnsi="Arial" w:hint="eastAsia"/>
              <w:kern w:val="0"/>
            </w:rPr>
            <w:t>页</w:t>
          </w:r>
          <w:r>
            <w:rPr>
              <w:rFonts w:ascii="Arial" w:eastAsia="黑体" w:hAnsi="Arial"/>
              <w:kern w:val="0"/>
            </w:rPr>
            <w:t xml:space="preserve"> </w:t>
          </w:r>
          <w:r>
            <w:rPr>
              <w:rFonts w:ascii="Arial" w:eastAsia="黑体" w:hAnsi="Arial" w:hint="eastAsia"/>
              <w:kern w:val="0"/>
            </w:rPr>
            <w:t>共</w:t>
          </w:r>
          <w:r>
            <w:rPr>
              <w:sz w:val="18"/>
              <w:szCs w:val="18"/>
            </w:rPr>
            <w:fldChar w:fldCharType="begin"/>
          </w:r>
          <w:r>
            <w:rPr>
              <w:rStyle w:val="PageNumber"/>
              <w:sz w:val="18"/>
              <w:szCs w:val="18"/>
            </w:rPr>
            <w:instrText xml:space="preserve"> NUMPAGES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35</w:t>
          </w:r>
          <w:r>
            <w:rPr>
              <w:sz w:val="18"/>
              <w:szCs w:val="18"/>
            </w:rPr>
            <w:fldChar w:fldCharType="end"/>
          </w:r>
          <w:r>
            <w:rPr>
              <w:rFonts w:ascii="Arial" w:eastAsia="黑体" w:hAnsi="Arial" w:hint="eastAsia"/>
              <w:kern w:val="0"/>
            </w:rPr>
            <w:t>页</w:t>
          </w:r>
        </w:p>
      </w:tc>
    </w:tr>
  </w:tbl>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6866167" o:spid="_x0000_s2093" type="#_x0000_t136" alt="感谢您的下载" style="width:456.95pt;height:130.25pt;margin-top:0;margin-left:0;mso-height-relative:page;mso-position-horizontal:center;mso-position-horizontal-relative:margin;mso-position-vertical:center;mso-position-vertical-relative:margin;mso-width-relative:page;position:absolute;rotation:315;z-index:-251635712" coordsize="21600,21600" filled="t" fillcolor="#f8f8f8" stroked="t" strokecolor="white">
          <v:fill opacity="0"/>
          <v:textpath style="font-family:宋体;font-size:36pt;v-text-align:center" trim="t" fitpath="t" xscale="f" string="感谢您的下载"/>
          <o:lock v:ext="edit" aspectratio="t"/>
          <w10:wrap anchorx="margin" anchory="margin"/>
        </v:shape>
      </w:pic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tbl>
    <w:tblPr>
      <w:tblStyle w:val="TableNormal"/>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
    <w:tblGrid>
      <w:gridCol w:w="2520"/>
      <w:gridCol w:w="4680"/>
      <w:gridCol w:w="2700"/>
    </w:tblGrid>
    <w:tr>
      <w:tblPrEx>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Ex>
      <w:trPr>
        <w:trHeight w:val="761"/>
        <w:jc w:val="center"/>
      </w:trPr>
      <w:tc>
        <w:tcPr>
          <w:tcW w:w="2520" w:type="dxa"/>
          <w:tcBorders>
            <w:top w:val="single" w:sz="4" w:space="0" w:color="auto"/>
            <w:left w:val="nil"/>
            <w:bottom w:val="single" w:sz="4" w:space="0" w:color="auto"/>
            <w:right w:val="single" w:sz="4" w:space="0" w:color="auto"/>
          </w:tcBorders>
          <w:vAlign w:val="center"/>
        </w:tcPr>
        <w:p>
          <w:pPr>
            <w:rPr>
              <w:rFonts w:ascii="Arial" w:eastAsia="黑体" w:hAnsi="Arial"/>
            </w:rPr>
          </w:pPr>
          <w:r>
            <w:rPr>
              <w:rFonts w:ascii="Arial" w:eastAsia="黑体" w:hAnsi="Arial" w:hint="eastAsia"/>
            </w:rPr>
            <w:t>编号：</w:t>
          </w:r>
        </w:p>
        <w:p>
          <w:pPr>
            <w:rPr>
              <w:rFonts w:ascii="Arial" w:eastAsia="黑体" w:hAnsi="Arial"/>
            </w:rPr>
          </w:pPr>
          <w:r>
            <w:rPr>
              <w:rFonts w:ascii="Arial" w:eastAsia="黑体" w:hAnsi="Arial" w:hint="eastAsia"/>
            </w:rPr>
            <w:t>时间：2021年x月x日</w:t>
          </w:r>
        </w:p>
        <w:p>
          <w:pPr>
            <w:jc w:val="center"/>
            <w:rPr>
              <w:sz w:val="28"/>
              <w:szCs w:val="28"/>
            </w:rPr>
          </w:pPr>
        </w:p>
      </w:tc>
      <w:tc>
        <w:tcPr>
          <w:tcW w:w="4680" w:type="dxa"/>
          <w:tcBorders>
            <w:top w:val="single" w:sz="4" w:space="0" w:color="auto"/>
            <w:left w:val="single" w:sz="4" w:space="0" w:color="auto"/>
            <w:bottom w:val="single" w:sz="4" w:space="0" w:color="auto"/>
            <w:right w:val="single" w:sz="4" w:space="0" w:color="auto"/>
          </w:tcBorders>
          <w:vAlign w:val="center"/>
        </w:tcPr>
        <w:p>
          <w:pPr>
            <w:jc w:val="center"/>
            <w:rPr>
              <w:b/>
              <w:color w:val="000000"/>
              <w:sz w:val="28"/>
              <w:szCs w:val="28"/>
            </w:rPr>
          </w:pPr>
          <w:r>
            <w:rPr>
              <w:rFonts w:asciiTheme="minorEastAsia" w:eastAsiaTheme="minorEastAsia" w:hAnsiTheme="minorEastAsia" w:cstheme="minorEastAsia" w:hint="eastAsia"/>
              <w:b/>
              <w:bCs/>
              <w:color w:val="FF0000"/>
              <w:sz w:val="28"/>
              <w:szCs w:val="28"/>
            </w:rPr>
            <w:t>书山有路勤为径，学海无涯苦作舟</w:t>
          </w:r>
        </w:p>
      </w:tc>
      <w:tc>
        <w:tcPr>
          <w:tcW w:w="2700" w:type="dxa"/>
          <w:tcBorders>
            <w:top w:val="single" w:sz="4" w:space="0" w:color="auto"/>
            <w:left w:val="single" w:sz="4" w:space="0" w:color="auto"/>
            <w:bottom w:val="single" w:sz="4" w:space="0" w:color="auto"/>
            <w:right w:val="nil"/>
          </w:tcBorders>
          <w:vAlign w:val="center"/>
        </w:tcPr>
        <w:p>
          <w:pPr>
            <w:rPr>
              <w:sz w:val="24"/>
            </w:rPr>
          </w:pPr>
          <w:r>
            <w:rPr>
              <w:rFonts w:ascii="Arial" w:eastAsia="黑体" w:hAnsi="Arial" w:hint="eastAsia"/>
            </w:rPr>
            <w:t>页码：</w:t>
          </w:r>
          <w:r>
            <w:rPr>
              <w:rFonts w:ascii="Arial" w:eastAsia="黑体" w:hAnsi="Arial" w:hint="eastAsia"/>
              <w:kern w:val="0"/>
            </w:rPr>
            <w:t>第</w:t>
          </w:r>
          <w:r>
            <w:rPr>
              <w:sz w:val="18"/>
              <w:szCs w:val="18"/>
            </w:rPr>
            <w:fldChar w:fldCharType="begin"/>
          </w:r>
          <w:r>
            <w:rPr>
              <w:rStyle w:val="PageNumber"/>
              <w:sz w:val="18"/>
              <w:szCs w:val="18"/>
            </w:rPr>
            <w:instrText xml:space="preserve"> PAGE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24</w:t>
          </w:r>
          <w:r>
            <w:rPr>
              <w:sz w:val="18"/>
              <w:szCs w:val="18"/>
            </w:rPr>
            <w:fldChar w:fldCharType="end"/>
          </w:r>
          <w:r>
            <w:rPr>
              <w:rFonts w:ascii="Arial" w:eastAsia="黑体" w:hAnsi="Arial" w:hint="eastAsia"/>
              <w:kern w:val="0"/>
            </w:rPr>
            <w:t>页</w:t>
          </w:r>
          <w:r>
            <w:rPr>
              <w:rFonts w:ascii="Arial" w:eastAsia="黑体" w:hAnsi="Arial"/>
              <w:kern w:val="0"/>
            </w:rPr>
            <w:t xml:space="preserve"> </w:t>
          </w:r>
          <w:r>
            <w:rPr>
              <w:rFonts w:ascii="Arial" w:eastAsia="黑体" w:hAnsi="Arial" w:hint="eastAsia"/>
              <w:kern w:val="0"/>
            </w:rPr>
            <w:t>共</w:t>
          </w:r>
          <w:r>
            <w:rPr>
              <w:sz w:val="18"/>
              <w:szCs w:val="18"/>
            </w:rPr>
            <w:fldChar w:fldCharType="begin"/>
          </w:r>
          <w:r>
            <w:rPr>
              <w:rStyle w:val="PageNumber"/>
              <w:sz w:val="18"/>
              <w:szCs w:val="18"/>
            </w:rPr>
            <w:instrText xml:space="preserve"> NUMPAGES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35</w:t>
          </w:r>
          <w:r>
            <w:rPr>
              <w:sz w:val="18"/>
              <w:szCs w:val="18"/>
            </w:rPr>
            <w:fldChar w:fldCharType="end"/>
          </w:r>
          <w:r>
            <w:rPr>
              <w:rFonts w:ascii="Arial" w:eastAsia="黑体" w:hAnsi="Arial" w:hint="eastAsia"/>
              <w:kern w:val="0"/>
            </w:rPr>
            <w:t>页</w:t>
          </w:r>
        </w:p>
      </w:tc>
    </w:tr>
  </w:tbl>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6866167" o:spid="_x0000_s2095" type="#_x0000_t136" alt="感谢您的下载" style="width:456.95pt;height:130.25pt;margin-top:0;margin-left:0;mso-height-relative:page;mso-position-horizontal:center;mso-position-horizontal-relative:margin;mso-position-vertical:center;mso-position-vertical-relative:margin;mso-width-relative:page;position:absolute;rotation:315;z-index:-251634688" coordsize="21600,21600" filled="t" fillcolor="#f8f8f8" stroked="t" strokecolor="white">
          <v:fill opacity="0"/>
          <v:textpath style="font-family:宋体;font-size:36pt;v-text-align:center" trim="t" fitpath="t" xscale="f" string="感谢您的下载"/>
          <o:lock v:ext="edit" aspectratio="t"/>
          <w10:wrap anchorx="margin" anchory="margin"/>
        </v:shape>
      </w:pic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tbl>
    <w:tblPr>
      <w:tblStyle w:val="TableNormal"/>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
    <w:tblGrid>
      <w:gridCol w:w="2520"/>
      <w:gridCol w:w="4680"/>
      <w:gridCol w:w="2700"/>
    </w:tblGrid>
    <w:tr>
      <w:tblPrEx>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Ex>
      <w:trPr>
        <w:trHeight w:val="761"/>
        <w:jc w:val="center"/>
      </w:trPr>
      <w:tc>
        <w:tcPr>
          <w:tcW w:w="2520" w:type="dxa"/>
          <w:tcBorders>
            <w:top w:val="single" w:sz="4" w:space="0" w:color="auto"/>
            <w:left w:val="nil"/>
            <w:bottom w:val="single" w:sz="4" w:space="0" w:color="auto"/>
            <w:right w:val="single" w:sz="4" w:space="0" w:color="auto"/>
          </w:tcBorders>
          <w:vAlign w:val="center"/>
        </w:tcPr>
        <w:p>
          <w:pPr>
            <w:rPr>
              <w:rFonts w:ascii="Arial" w:eastAsia="黑体" w:hAnsi="Arial"/>
            </w:rPr>
          </w:pPr>
          <w:r>
            <w:rPr>
              <w:rFonts w:ascii="Arial" w:eastAsia="黑体" w:hAnsi="Arial" w:hint="eastAsia"/>
            </w:rPr>
            <w:t>编号：</w:t>
          </w:r>
        </w:p>
        <w:p>
          <w:pPr>
            <w:rPr>
              <w:rFonts w:ascii="Arial" w:eastAsia="黑体" w:hAnsi="Arial"/>
            </w:rPr>
          </w:pPr>
          <w:r>
            <w:rPr>
              <w:rFonts w:ascii="Arial" w:eastAsia="黑体" w:hAnsi="Arial" w:hint="eastAsia"/>
            </w:rPr>
            <w:t>时间：2021年x月x日</w:t>
          </w:r>
        </w:p>
        <w:p>
          <w:pPr>
            <w:jc w:val="center"/>
            <w:rPr>
              <w:sz w:val="28"/>
              <w:szCs w:val="28"/>
            </w:rPr>
          </w:pPr>
        </w:p>
      </w:tc>
      <w:tc>
        <w:tcPr>
          <w:tcW w:w="4680" w:type="dxa"/>
          <w:tcBorders>
            <w:top w:val="single" w:sz="4" w:space="0" w:color="auto"/>
            <w:left w:val="single" w:sz="4" w:space="0" w:color="auto"/>
            <w:bottom w:val="single" w:sz="4" w:space="0" w:color="auto"/>
            <w:right w:val="single" w:sz="4" w:space="0" w:color="auto"/>
          </w:tcBorders>
          <w:vAlign w:val="center"/>
        </w:tcPr>
        <w:p>
          <w:pPr>
            <w:jc w:val="center"/>
            <w:rPr>
              <w:b/>
              <w:color w:val="000000"/>
              <w:sz w:val="28"/>
              <w:szCs w:val="28"/>
            </w:rPr>
          </w:pPr>
          <w:r>
            <w:rPr>
              <w:rFonts w:asciiTheme="minorEastAsia" w:eastAsiaTheme="minorEastAsia" w:hAnsiTheme="minorEastAsia" w:cstheme="minorEastAsia" w:hint="eastAsia"/>
              <w:b/>
              <w:bCs/>
              <w:color w:val="FF0000"/>
              <w:sz w:val="28"/>
              <w:szCs w:val="28"/>
            </w:rPr>
            <w:t>书山有路勤为径，学海无涯苦作舟</w:t>
          </w:r>
        </w:p>
      </w:tc>
      <w:tc>
        <w:tcPr>
          <w:tcW w:w="2700" w:type="dxa"/>
          <w:tcBorders>
            <w:top w:val="single" w:sz="4" w:space="0" w:color="auto"/>
            <w:left w:val="single" w:sz="4" w:space="0" w:color="auto"/>
            <w:bottom w:val="single" w:sz="4" w:space="0" w:color="auto"/>
            <w:right w:val="nil"/>
          </w:tcBorders>
          <w:vAlign w:val="center"/>
        </w:tcPr>
        <w:p>
          <w:pPr>
            <w:rPr>
              <w:sz w:val="24"/>
            </w:rPr>
          </w:pPr>
          <w:r>
            <w:rPr>
              <w:rFonts w:ascii="Arial" w:eastAsia="黑体" w:hAnsi="Arial" w:hint="eastAsia"/>
            </w:rPr>
            <w:t>页码：</w:t>
          </w:r>
          <w:r>
            <w:rPr>
              <w:rFonts w:ascii="Arial" w:eastAsia="黑体" w:hAnsi="Arial" w:hint="eastAsia"/>
              <w:kern w:val="0"/>
            </w:rPr>
            <w:t>第</w:t>
          </w:r>
          <w:r>
            <w:rPr>
              <w:sz w:val="18"/>
              <w:szCs w:val="18"/>
            </w:rPr>
            <w:fldChar w:fldCharType="begin"/>
          </w:r>
          <w:r>
            <w:rPr>
              <w:rStyle w:val="PageNumber"/>
              <w:sz w:val="18"/>
              <w:szCs w:val="18"/>
            </w:rPr>
            <w:instrText xml:space="preserve"> PAGE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26</w:t>
          </w:r>
          <w:r>
            <w:rPr>
              <w:sz w:val="18"/>
              <w:szCs w:val="18"/>
            </w:rPr>
            <w:fldChar w:fldCharType="end"/>
          </w:r>
          <w:r>
            <w:rPr>
              <w:rFonts w:ascii="Arial" w:eastAsia="黑体" w:hAnsi="Arial" w:hint="eastAsia"/>
              <w:kern w:val="0"/>
            </w:rPr>
            <w:t>页</w:t>
          </w:r>
          <w:r>
            <w:rPr>
              <w:rFonts w:ascii="Arial" w:eastAsia="黑体" w:hAnsi="Arial"/>
              <w:kern w:val="0"/>
            </w:rPr>
            <w:t xml:space="preserve"> </w:t>
          </w:r>
          <w:r>
            <w:rPr>
              <w:rFonts w:ascii="Arial" w:eastAsia="黑体" w:hAnsi="Arial" w:hint="eastAsia"/>
              <w:kern w:val="0"/>
            </w:rPr>
            <w:t>共</w:t>
          </w:r>
          <w:r>
            <w:rPr>
              <w:sz w:val="18"/>
              <w:szCs w:val="18"/>
            </w:rPr>
            <w:fldChar w:fldCharType="begin"/>
          </w:r>
          <w:r>
            <w:rPr>
              <w:rStyle w:val="PageNumber"/>
              <w:sz w:val="18"/>
              <w:szCs w:val="18"/>
            </w:rPr>
            <w:instrText xml:space="preserve"> NUMPAGES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35</w:t>
          </w:r>
          <w:r>
            <w:rPr>
              <w:sz w:val="18"/>
              <w:szCs w:val="18"/>
            </w:rPr>
            <w:fldChar w:fldCharType="end"/>
          </w:r>
          <w:r>
            <w:rPr>
              <w:rFonts w:ascii="Arial" w:eastAsia="黑体" w:hAnsi="Arial" w:hint="eastAsia"/>
              <w:kern w:val="0"/>
            </w:rPr>
            <w:t>页</w:t>
          </w:r>
        </w:p>
      </w:tc>
    </w:tr>
  </w:tbl>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6866167" o:spid="_x0000_s2097" type="#_x0000_t136" alt="感谢您的下载" style="width:456.95pt;height:130.25pt;margin-top:0;margin-left:0;mso-height-relative:page;mso-position-horizontal:center;mso-position-horizontal-relative:margin;mso-position-vertical:center;mso-position-vertical-relative:margin;mso-width-relative:page;position:absolute;rotation:315;z-index:-251633664" coordsize="21600,21600" filled="t" fillcolor="#f8f8f8" stroked="t" strokecolor="white">
          <v:fill opacity="0"/>
          <v:textpath style="font-family:宋体;font-size:36pt;v-text-align:center" trim="t" fitpath="t" xscale="f" string="感谢您的下载"/>
          <o:lock v:ext="edit" aspectratio="t"/>
          <w10:wrap anchorx="margin" anchory="margin"/>
        </v:shape>
      </w:pic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tbl>
    <w:tblPr>
      <w:tblStyle w:val="TableNormal"/>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
    <w:tblGrid>
      <w:gridCol w:w="2520"/>
      <w:gridCol w:w="4680"/>
      <w:gridCol w:w="2700"/>
    </w:tblGrid>
    <w:tr>
      <w:tblPrEx>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Ex>
      <w:trPr>
        <w:trHeight w:val="761"/>
        <w:jc w:val="center"/>
      </w:trPr>
      <w:tc>
        <w:tcPr>
          <w:tcW w:w="2520" w:type="dxa"/>
          <w:tcBorders>
            <w:top w:val="single" w:sz="4" w:space="0" w:color="auto"/>
            <w:left w:val="nil"/>
            <w:bottom w:val="single" w:sz="4" w:space="0" w:color="auto"/>
            <w:right w:val="single" w:sz="4" w:space="0" w:color="auto"/>
          </w:tcBorders>
          <w:vAlign w:val="center"/>
        </w:tcPr>
        <w:p>
          <w:pPr>
            <w:rPr>
              <w:rFonts w:ascii="Arial" w:eastAsia="黑体" w:hAnsi="Arial"/>
            </w:rPr>
          </w:pPr>
          <w:r>
            <w:rPr>
              <w:rFonts w:ascii="Arial" w:eastAsia="黑体" w:hAnsi="Arial" w:hint="eastAsia"/>
            </w:rPr>
            <w:t>编号：</w:t>
          </w:r>
        </w:p>
        <w:p>
          <w:pPr>
            <w:rPr>
              <w:rFonts w:ascii="Arial" w:eastAsia="黑体" w:hAnsi="Arial"/>
            </w:rPr>
          </w:pPr>
          <w:r>
            <w:rPr>
              <w:rFonts w:ascii="Arial" w:eastAsia="黑体" w:hAnsi="Arial" w:hint="eastAsia"/>
            </w:rPr>
            <w:t>时间：2021年x月x日</w:t>
          </w:r>
        </w:p>
        <w:p>
          <w:pPr>
            <w:jc w:val="center"/>
            <w:rPr>
              <w:sz w:val="28"/>
              <w:szCs w:val="28"/>
            </w:rPr>
          </w:pPr>
        </w:p>
      </w:tc>
      <w:tc>
        <w:tcPr>
          <w:tcW w:w="4680" w:type="dxa"/>
          <w:tcBorders>
            <w:top w:val="single" w:sz="4" w:space="0" w:color="auto"/>
            <w:left w:val="single" w:sz="4" w:space="0" w:color="auto"/>
            <w:bottom w:val="single" w:sz="4" w:space="0" w:color="auto"/>
            <w:right w:val="single" w:sz="4" w:space="0" w:color="auto"/>
          </w:tcBorders>
          <w:vAlign w:val="center"/>
        </w:tcPr>
        <w:p>
          <w:pPr>
            <w:jc w:val="center"/>
            <w:rPr>
              <w:b/>
              <w:color w:val="000000"/>
              <w:sz w:val="28"/>
              <w:szCs w:val="28"/>
            </w:rPr>
          </w:pPr>
          <w:r>
            <w:rPr>
              <w:rFonts w:asciiTheme="minorEastAsia" w:eastAsiaTheme="minorEastAsia" w:hAnsiTheme="minorEastAsia" w:cstheme="minorEastAsia" w:hint="eastAsia"/>
              <w:b/>
              <w:bCs/>
              <w:color w:val="FF0000"/>
              <w:sz w:val="28"/>
              <w:szCs w:val="28"/>
            </w:rPr>
            <w:t>书山有路勤为径，学海无涯苦作舟</w:t>
          </w:r>
        </w:p>
      </w:tc>
      <w:tc>
        <w:tcPr>
          <w:tcW w:w="2700" w:type="dxa"/>
          <w:tcBorders>
            <w:top w:val="single" w:sz="4" w:space="0" w:color="auto"/>
            <w:left w:val="single" w:sz="4" w:space="0" w:color="auto"/>
            <w:bottom w:val="single" w:sz="4" w:space="0" w:color="auto"/>
            <w:right w:val="nil"/>
          </w:tcBorders>
          <w:vAlign w:val="center"/>
        </w:tcPr>
        <w:p>
          <w:pPr>
            <w:rPr>
              <w:sz w:val="24"/>
            </w:rPr>
          </w:pPr>
          <w:r>
            <w:rPr>
              <w:rFonts w:ascii="Arial" w:eastAsia="黑体" w:hAnsi="Arial" w:hint="eastAsia"/>
            </w:rPr>
            <w:t>页码：</w:t>
          </w:r>
          <w:r>
            <w:rPr>
              <w:rFonts w:ascii="Arial" w:eastAsia="黑体" w:hAnsi="Arial" w:hint="eastAsia"/>
              <w:kern w:val="0"/>
            </w:rPr>
            <w:t>第</w:t>
          </w:r>
          <w:r>
            <w:rPr>
              <w:sz w:val="18"/>
              <w:szCs w:val="18"/>
            </w:rPr>
            <w:fldChar w:fldCharType="begin"/>
          </w:r>
          <w:r>
            <w:rPr>
              <w:rStyle w:val="PageNumber"/>
              <w:sz w:val="18"/>
              <w:szCs w:val="18"/>
            </w:rPr>
            <w:instrText xml:space="preserve"> PAGE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26</w:t>
          </w:r>
          <w:r>
            <w:rPr>
              <w:sz w:val="18"/>
              <w:szCs w:val="18"/>
            </w:rPr>
            <w:fldChar w:fldCharType="end"/>
          </w:r>
          <w:r>
            <w:rPr>
              <w:rFonts w:ascii="Arial" w:eastAsia="黑体" w:hAnsi="Arial" w:hint="eastAsia"/>
              <w:kern w:val="0"/>
            </w:rPr>
            <w:t>页</w:t>
          </w:r>
          <w:r>
            <w:rPr>
              <w:rFonts w:ascii="Arial" w:eastAsia="黑体" w:hAnsi="Arial"/>
              <w:kern w:val="0"/>
            </w:rPr>
            <w:t xml:space="preserve"> </w:t>
          </w:r>
          <w:r>
            <w:rPr>
              <w:rFonts w:ascii="Arial" w:eastAsia="黑体" w:hAnsi="Arial" w:hint="eastAsia"/>
              <w:kern w:val="0"/>
            </w:rPr>
            <w:t>共</w:t>
          </w:r>
          <w:r>
            <w:rPr>
              <w:sz w:val="18"/>
              <w:szCs w:val="18"/>
            </w:rPr>
            <w:fldChar w:fldCharType="begin"/>
          </w:r>
          <w:r>
            <w:rPr>
              <w:rStyle w:val="PageNumber"/>
              <w:sz w:val="18"/>
              <w:szCs w:val="18"/>
            </w:rPr>
            <w:instrText xml:space="preserve"> NUMPAGES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35</w:t>
          </w:r>
          <w:r>
            <w:rPr>
              <w:sz w:val="18"/>
              <w:szCs w:val="18"/>
            </w:rPr>
            <w:fldChar w:fldCharType="end"/>
          </w:r>
          <w:r>
            <w:rPr>
              <w:rFonts w:ascii="Arial" w:eastAsia="黑体" w:hAnsi="Arial" w:hint="eastAsia"/>
              <w:kern w:val="0"/>
            </w:rPr>
            <w:t>页</w:t>
          </w:r>
        </w:p>
      </w:tc>
    </w:tr>
  </w:tbl>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6866167" o:spid="_x0000_s2099" type="#_x0000_t136" alt="感谢您的下载" style="width:456.95pt;height:130.25pt;margin-top:0;margin-left:0;mso-height-relative:page;mso-position-horizontal:center;mso-position-horizontal-relative:margin;mso-position-vertical:center;mso-position-vertical-relative:margin;mso-width-relative:page;position:absolute;rotation:315;z-index:-251632640" coordsize="21600,21600" filled="t" fillcolor="#f8f8f8" stroked="t" strokecolor="white">
          <v:fill opacity="0"/>
          <v:textpath style="font-family:宋体;font-size:36pt;v-text-align:center" trim="t" fitpath="t" xscale="f" string="感谢您的下载"/>
          <o:lock v:ext="edit" aspectratio="t"/>
          <w10:wrap anchorx="margin" anchory="margin"/>
        </v:shape>
      </w:pic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tbl>
    <w:tblPr>
      <w:tblStyle w:val="TableNormal"/>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
    <w:tblGrid>
      <w:gridCol w:w="2520"/>
      <w:gridCol w:w="4680"/>
      <w:gridCol w:w="2700"/>
    </w:tblGrid>
    <w:tr>
      <w:tblPrEx>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Ex>
      <w:trPr>
        <w:trHeight w:val="761"/>
        <w:jc w:val="center"/>
      </w:trPr>
      <w:tc>
        <w:tcPr>
          <w:tcW w:w="2520" w:type="dxa"/>
          <w:tcBorders>
            <w:top w:val="single" w:sz="4" w:space="0" w:color="auto"/>
            <w:left w:val="nil"/>
            <w:bottom w:val="single" w:sz="4" w:space="0" w:color="auto"/>
            <w:right w:val="single" w:sz="4" w:space="0" w:color="auto"/>
          </w:tcBorders>
          <w:vAlign w:val="center"/>
        </w:tcPr>
        <w:p>
          <w:pPr>
            <w:rPr>
              <w:rFonts w:ascii="Arial" w:eastAsia="黑体" w:hAnsi="Arial"/>
            </w:rPr>
          </w:pPr>
          <w:r>
            <w:rPr>
              <w:rFonts w:ascii="Arial" w:eastAsia="黑体" w:hAnsi="Arial" w:hint="eastAsia"/>
            </w:rPr>
            <w:t>编号：</w:t>
          </w:r>
        </w:p>
        <w:p>
          <w:pPr>
            <w:rPr>
              <w:rFonts w:ascii="Arial" w:eastAsia="黑体" w:hAnsi="Arial"/>
            </w:rPr>
          </w:pPr>
          <w:r>
            <w:rPr>
              <w:rFonts w:ascii="Arial" w:eastAsia="黑体" w:hAnsi="Arial" w:hint="eastAsia"/>
            </w:rPr>
            <w:t>时间：2021年x月x日</w:t>
          </w:r>
        </w:p>
        <w:p>
          <w:pPr>
            <w:jc w:val="center"/>
            <w:rPr>
              <w:sz w:val="28"/>
              <w:szCs w:val="28"/>
            </w:rPr>
          </w:pPr>
        </w:p>
      </w:tc>
      <w:tc>
        <w:tcPr>
          <w:tcW w:w="4680" w:type="dxa"/>
          <w:tcBorders>
            <w:top w:val="single" w:sz="4" w:space="0" w:color="auto"/>
            <w:left w:val="single" w:sz="4" w:space="0" w:color="auto"/>
            <w:bottom w:val="single" w:sz="4" w:space="0" w:color="auto"/>
            <w:right w:val="single" w:sz="4" w:space="0" w:color="auto"/>
          </w:tcBorders>
          <w:vAlign w:val="center"/>
        </w:tcPr>
        <w:p>
          <w:pPr>
            <w:jc w:val="center"/>
            <w:rPr>
              <w:b/>
              <w:color w:val="000000"/>
              <w:sz w:val="28"/>
              <w:szCs w:val="28"/>
            </w:rPr>
          </w:pPr>
          <w:r>
            <w:rPr>
              <w:rFonts w:asciiTheme="minorEastAsia" w:eastAsiaTheme="minorEastAsia" w:hAnsiTheme="minorEastAsia" w:cstheme="minorEastAsia" w:hint="eastAsia"/>
              <w:b/>
              <w:bCs/>
              <w:color w:val="FF0000"/>
              <w:sz w:val="28"/>
              <w:szCs w:val="28"/>
            </w:rPr>
            <w:t>书山有路勤为径，学海无涯苦作舟</w:t>
          </w:r>
        </w:p>
      </w:tc>
      <w:tc>
        <w:tcPr>
          <w:tcW w:w="2700" w:type="dxa"/>
          <w:tcBorders>
            <w:top w:val="single" w:sz="4" w:space="0" w:color="auto"/>
            <w:left w:val="single" w:sz="4" w:space="0" w:color="auto"/>
            <w:bottom w:val="single" w:sz="4" w:space="0" w:color="auto"/>
            <w:right w:val="nil"/>
          </w:tcBorders>
          <w:vAlign w:val="center"/>
        </w:tcPr>
        <w:p>
          <w:pPr>
            <w:rPr>
              <w:sz w:val="24"/>
            </w:rPr>
          </w:pPr>
          <w:r>
            <w:rPr>
              <w:rFonts w:ascii="Arial" w:eastAsia="黑体" w:hAnsi="Arial" w:hint="eastAsia"/>
            </w:rPr>
            <w:t>页码：</w:t>
          </w:r>
          <w:r>
            <w:rPr>
              <w:rFonts w:ascii="Arial" w:eastAsia="黑体" w:hAnsi="Arial" w:hint="eastAsia"/>
              <w:kern w:val="0"/>
            </w:rPr>
            <w:t>第</w:t>
          </w:r>
          <w:r>
            <w:rPr>
              <w:sz w:val="18"/>
              <w:szCs w:val="18"/>
            </w:rPr>
            <w:fldChar w:fldCharType="begin"/>
          </w:r>
          <w:r>
            <w:rPr>
              <w:rStyle w:val="PageNumber"/>
              <w:sz w:val="18"/>
              <w:szCs w:val="18"/>
            </w:rPr>
            <w:instrText xml:space="preserve"> PAGE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27</w:t>
          </w:r>
          <w:r>
            <w:rPr>
              <w:sz w:val="18"/>
              <w:szCs w:val="18"/>
            </w:rPr>
            <w:fldChar w:fldCharType="end"/>
          </w:r>
          <w:r>
            <w:rPr>
              <w:rFonts w:ascii="Arial" w:eastAsia="黑体" w:hAnsi="Arial" w:hint="eastAsia"/>
              <w:kern w:val="0"/>
            </w:rPr>
            <w:t>页</w:t>
          </w:r>
          <w:r>
            <w:rPr>
              <w:rFonts w:ascii="Arial" w:eastAsia="黑体" w:hAnsi="Arial"/>
              <w:kern w:val="0"/>
            </w:rPr>
            <w:t xml:space="preserve"> </w:t>
          </w:r>
          <w:r>
            <w:rPr>
              <w:rFonts w:ascii="Arial" w:eastAsia="黑体" w:hAnsi="Arial" w:hint="eastAsia"/>
              <w:kern w:val="0"/>
            </w:rPr>
            <w:t>共</w:t>
          </w:r>
          <w:r>
            <w:rPr>
              <w:sz w:val="18"/>
              <w:szCs w:val="18"/>
            </w:rPr>
            <w:fldChar w:fldCharType="begin"/>
          </w:r>
          <w:r>
            <w:rPr>
              <w:rStyle w:val="PageNumber"/>
              <w:sz w:val="18"/>
              <w:szCs w:val="18"/>
            </w:rPr>
            <w:instrText xml:space="preserve"> NUMPAGES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35</w:t>
          </w:r>
          <w:r>
            <w:rPr>
              <w:sz w:val="18"/>
              <w:szCs w:val="18"/>
            </w:rPr>
            <w:fldChar w:fldCharType="end"/>
          </w:r>
          <w:r>
            <w:rPr>
              <w:rFonts w:ascii="Arial" w:eastAsia="黑体" w:hAnsi="Arial" w:hint="eastAsia"/>
              <w:kern w:val="0"/>
            </w:rPr>
            <w:t>页</w:t>
          </w:r>
        </w:p>
      </w:tc>
    </w:tr>
  </w:tbl>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6866167" o:spid="_x0000_s2101" type="#_x0000_t136" alt="感谢您的下载" style="width:456.95pt;height:130.25pt;margin-top:0;margin-left:0;mso-height-relative:page;mso-position-horizontal:center;mso-position-horizontal-relative:margin;mso-position-vertical:center;mso-position-vertical-relative:margin;mso-width-relative:page;position:absolute;rotation:315;z-index:-251631616" coordsize="21600,21600" filled="t" fillcolor="#f8f8f8" stroked="t" strokecolor="white">
          <v:fill opacity="0"/>
          <v:textpath style="font-family:宋体;font-size:36pt;v-text-align:center" trim="t" fitpath="t" xscale="f" string="感谢您的下载"/>
          <o:lock v:ext="edit" aspectratio="t"/>
          <w10:wrap anchorx="margin" anchory="margin"/>
        </v:shape>
      </w:pict>
    </w: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tbl>
    <w:tblPr>
      <w:tblStyle w:val="TableNormal"/>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
    <w:tblGrid>
      <w:gridCol w:w="2520"/>
      <w:gridCol w:w="4680"/>
      <w:gridCol w:w="2700"/>
    </w:tblGrid>
    <w:tr>
      <w:tblPrEx>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Ex>
      <w:trPr>
        <w:trHeight w:val="761"/>
        <w:jc w:val="center"/>
      </w:trPr>
      <w:tc>
        <w:tcPr>
          <w:tcW w:w="2520" w:type="dxa"/>
          <w:tcBorders>
            <w:top w:val="single" w:sz="4" w:space="0" w:color="auto"/>
            <w:left w:val="nil"/>
            <w:bottom w:val="single" w:sz="4" w:space="0" w:color="auto"/>
            <w:right w:val="single" w:sz="4" w:space="0" w:color="auto"/>
          </w:tcBorders>
          <w:vAlign w:val="center"/>
        </w:tcPr>
        <w:p>
          <w:pPr>
            <w:rPr>
              <w:rFonts w:ascii="Arial" w:eastAsia="黑体" w:hAnsi="Arial"/>
            </w:rPr>
          </w:pPr>
          <w:r>
            <w:rPr>
              <w:rFonts w:ascii="Arial" w:eastAsia="黑体" w:hAnsi="Arial" w:hint="eastAsia"/>
            </w:rPr>
            <w:t>编号：</w:t>
          </w:r>
        </w:p>
        <w:p>
          <w:pPr>
            <w:rPr>
              <w:rFonts w:ascii="Arial" w:eastAsia="黑体" w:hAnsi="Arial"/>
            </w:rPr>
          </w:pPr>
          <w:r>
            <w:rPr>
              <w:rFonts w:ascii="Arial" w:eastAsia="黑体" w:hAnsi="Arial" w:hint="eastAsia"/>
            </w:rPr>
            <w:t>时间：2021年x月x日</w:t>
          </w:r>
        </w:p>
        <w:p>
          <w:pPr>
            <w:jc w:val="center"/>
            <w:rPr>
              <w:sz w:val="28"/>
              <w:szCs w:val="28"/>
            </w:rPr>
          </w:pPr>
        </w:p>
      </w:tc>
      <w:tc>
        <w:tcPr>
          <w:tcW w:w="4680" w:type="dxa"/>
          <w:tcBorders>
            <w:top w:val="single" w:sz="4" w:space="0" w:color="auto"/>
            <w:left w:val="single" w:sz="4" w:space="0" w:color="auto"/>
            <w:bottom w:val="single" w:sz="4" w:space="0" w:color="auto"/>
            <w:right w:val="single" w:sz="4" w:space="0" w:color="auto"/>
          </w:tcBorders>
          <w:vAlign w:val="center"/>
        </w:tcPr>
        <w:p>
          <w:pPr>
            <w:jc w:val="center"/>
            <w:rPr>
              <w:b/>
              <w:color w:val="000000"/>
              <w:sz w:val="28"/>
              <w:szCs w:val="28"/>
            </w:rPr>
          </w:pPr>
          <w:r>
            <w:rPr>
              <w:rFonts w:asciiTheme="minorEastAsia" w:eastAsiaTheme="minorEastAsia" w:hAnsiTheme="minorEastAsia" w:cstheme="minorEastAsia" w:hint="eastAsia"/>
              <w:b/>
              <w:bCs/>
              <w:color w:val="FF0000"/>
              <w:sz w:val="28"/>
              <w:szCs w:val="28"/>
            </w:rPr>
            <w:t>书山有路勤为径，学海无涯苦作舟</w:t>
          </w:r>
        </w:p>
      </w:tc>
      <w:tc>
        <w:tcPr>
          <w:tcW w:w="2700" w:type="dxa"/>
          <w:tcBorders>
            <w:top w:val="single" w:sz="4" w:space="0" w:color="auto"/>
            <w:left w:val="single" w:sz="4" w:space="0" w:color="auto"/>
            <w:bottom w:val="single" w:sz="4" w:space="0" w:color="auto"/>
            <w:right w:val="nil"/>
          </w:tcBorders>
          <w:vAlign w:val="center"/>
        </w:tcPr>
        <w:p>
          <w:pPr>
            <w:rPr>
              <w:sz w:val="24"/>
            </w:rPr>
          </w:pPr>
          <w:r>
            <w:rPr>
              <w:rFonts w:ascii="Arial" w:eastAsia="黑体" w:hAnsi="Arial" w:hint="eastAsia"/>
            </w:rPr>
            <w:t>页码：</w:t>
          </w:r>
          <w:r>
            <w:rPr>
              <w:rFonts w:ascii="Arial" w:eastAsia="黑体" w:hAnsi="Arial" w:hint="eastAsia"/>
              <w:kern w:val="0"/>
            </w:rPr>
            <w:t>第</w:t>
          </w:r>
          <w:r>
            <w:rPr>
              <w:sz w:val="18"/>
              <w:szCs w:val="18"/>
            </w:rPr>
            <w:fldChar w:fldCharType="begin"/>
          </w:r>
          <w:r>
            <w:rPr>
              <w:rStyle w:val="PageNumber"/>
              <w:sz w:val="18"/>
              <w:szCs w:val="18"/>
            </w:rPr>
            <w:instrText xml:space="preserve"> PAGE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28</w:t>
          </w:r>
          <w:r>
            <w:rPr>
              <w:sz w:val="18"/>
              <w:szCs w:val="18"/>
            </w:rPr>
            <w:fldChar w:fldCharType="end"/>
          </w:r>
          <w:r>
            <w:rPr>
              <w:rFonts w:ascii="Arial" w:eastAsia="黑体" w:hAnsi="Arial" w:hint="eastAsia"/>
              <w:kern w:val="0"/>
            </w:rPr>
            <w:t>页</w:t>
          </w:r>
          <w:r>
            <w:rPr>
              <w:rFonts w:ascii="Arial" w:eastAsia="黑体" w:hAnsi="Arial"/>
              <w:kern w:val="0"/>
            </w:rPr>
            <w:t xml:space="preserve"> </w:t>
          </w:r>
          <w:r>
            <w:rPr>
              <w:rFonts w:ascii="Arial" w:eastAsia="黑体" w:hAnsi="Arial" w:hint="eastAsia"/>
              <w:kern w:val="0"/>
            </w:rPr>
            <w:t>共</w:t>
          </w:r>
          <w:r>
            <w:rPr>
              <w:sz w:val="18"/>
              <w:szCs w:val="18"/>
            </w:rPr>
            <w:fldChar w:fldCharType="begin"/>
          </w:r>
          <w:r>
            <w:rPr>
              <w:rStyle w:val="PageNumber"/>
              <w:sz w:val="18"/>
              <w:szCs w:val="18"/>
            </w:rPr>
            <w:instrText xml:space="preserve"> NUMPAGES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35</w:t>
          </w:r>
          <w:r>
            <w:rPr>
              <w:sz w:val="18"/>
              <w:szCs w:val="18"/>
            </w:rPr>
            <w:fldChar w:fldCharType="end"/>
          </w:r>
          <w:r>
            <w:rPr>
              <w:rFonts w:ascii="Arial" w:eastAsia="黑体" w:hAnsi="Arial" w:hint="eastAsia"/>
              <w:kern w:val="0"/>
            </w:rPr>
            <w:t>页</w:t>
          </w:r>
        </w:p>
      </w:tc>
    </w:tr>
  </w:tbl>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6866167" o:spid="_x0000_s2103" type="#_x0000_t136" alt="感谢您的下载" style="width:456.95pt;height:130.25pt;margin-top:0;margin-left:0;mso-height-relative:page;mso-position-horizontal:center;mso-position-horizontal-relative:margin;mso-position-vertical:center;mso-position-vertical-relative:margin;mso-width-relative:page;position:absolute;rotation:315;z-index:-251630592" coordsize="21600,21600" filled="t" fillcolor="#f8f8f8" stroked="t" strokecolor="white">
          <v:fill opacity="0"/>
          <v:textpath style="font-family:宋体;font-size:36pt;v-text-align:center" trim="t" fitpath="t" xscale="f" string="感谢您的下载"/>
          <o:lock v:ext="edit" aspectratio="t"/>
          <w10:wrap anchorx="margin" anchory="margin"/>
        </v:shape>
      </w:pict>
    </w: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tbl>
    <w:tblPr>
      <w:tblStyle w:val="TableNormal"/>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
    <w:tblGrid>
      <w:gridCol w:w="2520"/>
      <w:gridCol w:w="4680"/>
      <w:gridCol w:w="2700"/>
    </w:tblGrid>
    <w:tr>
      <w:tblPrEx>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Ex>
      <w:trPr>
        <w:trHeight w:val="761"/>
        <w:jc w:val="center"/>
      </w:trPr>
      <w:tc>
        <w:tcPr>
          <w:tcW w:w="2520" w:type="dxa"/>
          <w:tcBorders>
            <w:top w:val="single" w:sz="4" w:space="0" w:color="auto"/>
            <w:left w:val="nil"/>
            <w:bottom w:val="single" w:sz="4" w:space="0" w:color="auto"/>
            <w:right w:val="single" w:sz="4" w:space="0" w:color="auto"/>
          </w:tcBorders>
          <w:vAlign w:val="center"/>
        </w:tcPr>
        <w:p>
          <w:pPr>
            <w:rPr>
              <w:rFonts w:ascii="Arial" w:eastAsia="黑体" w:hAnsi="Arial"/>
            </w:rPr>
          </w:pPr>
          <w:r>
            <w:rPr>
              <w:rFonts w:ascii="Arial" w:eastAsia="黑体" w:hAnsi="Arial" w:hint="eastAsia"/>
            </w:rPr>
            <w:t>编号：</w:t>
          </w:r>
        </w:p>
        <w:p>
          <w:pPr>
            <w:rPr>
              <w:rFonts w:ascii="Arial" w:eastAsia="黑体" w:hAnsi="Arial"/>
            </w:rPr>
          </w:pPr>
          <w:r>
            <w:rPr>
              <w:rFonts w:ascii="Arial" w:eastAsia="黑体" w:hAnsi="Arial" w:hint="eastAsia"/>
            </w:rPr>
            <w:t>时间：2021年x月x日</w:t>
          </w:r>
        </w:p>
        <w:p>
          <w:pPr>
            <w:jc w:val="center"/>
            <w:rPr>
              <w:sz w:val="28"/>
              <w:szCs w:val="28"/>
            </w:rPr>
          </w:pPr>
        </w:p>
      </w:tc>
      <w:tc>
        <w:tcPr>
          <w:tcW w:w="4680" w:type="dxa"/>
          <w:tcBorders>
            <w:top w:val="single" w:sz="4" w:space="0" w:color="auto"/>
            <w:left w:val="single" w:sz="4" w:space="0" w:color="auto"/>
            <w:bottom w:val="single" w:sz="4" w:space="0" w:color="auto"/>
            <w:right w:val="single" w:sz="4" w:space="0" w:color="auto"/>
          </w:tcBorders>
          <w:vAlign w:val="center"/>
        </w:tcPr>
        <w:p>
          <w:pPr>
            <w:jc w:val="center"/>
            <w:rPr>
              <w:b/>
              <w:color w:val="000000"/>
              <w:sz w:val="28"/>
              <w:szCs w:val="28"/>
            </w:rPr>
          </w:pPr>
          <w:r>
            <w:rPr>
              <w:rFonts w:asciiTheme="minorEastAsia" w:eastAsiaTheme="minorEastAsia" w:hAnsiTheme="minorEastAsia" w:cstheme="minorEastAsia" w:hint="eastAsia"/>
              <w:b/>
              <w:bCs/>
              <w:color w:val="FF0000"/>
              <w:sz w:val="28"/>
              <w:szCs w:val="28"/>
            </w:rPr>
            <w:t>书山有路勤为径，学海无涯苦作舟</w:t>
          </w:r>
        </w:p>
      </w:tc>
      <w:tc>
        <w:tcPr>
          <w:tcW w:w="2700" w:type="dxa"/>
          <w:tcBorders>
            <w:top w:val="single" w:sz="4" w:space="0" w:color="auto"/>
            <w:left w:val="single" w:sz="4" w:space="0" w:color="auto"/>
            <w:bottom w:val="single" w:sz="4" w:space="0" w:color="auto"/>
            <w:right w:val="nil"/>
          </w:tcBorders>
          <w:vAlign w:val="center"/>
        </w:tcPr>
        <w:p>
          <w:pPr>
            <w:rPr>
              <w:sz w:val="24"/>
            </w:rPr>
          </w:pPr>
          <w:r>
            <w:rPr>
              <w:rFonts w:ascii="Arial" w:eastAsia="黑体" w:hAnsi="Arial" w:hint="eastAsia"/>
            </w:rPr>
            <w:t>页码：</w:t>
          </w:r>
          <w:r>
            <w:rPr>
              <w:rFonts w:ascii="Arial" w:eastAsia="黑体" w:hAnsi="Arial" w:hint="eastAsia"/>
              <w:kern w:val="0"/>
            </w:rPr>
            <w:t>第</w:t>
          </w:r>
          <w:r>
            <w:rPr>
              <w:sz w:val="18"/>
              <w:szCs w:val="18"/>
            </w:rPr>
            <w:fldChar w:fldCharType="begin"/>
          </w:r>
          <w:r>
            <w:rPr>
              <w:rStyle w:val="PageNumber"/>
              <w:sz w:val="18"/>
              <w:szCs w:val="18"/>
            </w:rPr>
            <w:instrText xml:space="preserve"> PAGE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29</w:t>
          </w:r>
          <w:r>
            <w:rPr>
              <w:sz w:val="18"/>
              <w:szCs w:val="18"/>
            </w:rPr>
            <w:fldChar w:fldCharType="end"/>
          </w:r>
          <w:r>
            <w:rPr>
              <w:rFonts w:ascii="Arial" w:eastAsia="黑体" w:hAnsi="Arial" w:hint="eastAsia"/>
              <w:kern w:val="0"/>
            </w:rPr>
            <w:t>页</w:t>
          </w:r>
          <w:r>
            <w:rPr>
              <w:rFonts w:ascii="Arial" w:eastAsia="黑体" w:hAnsi="Arial"/>
              <w:kern w:val="0"/>
            </w:rPr>
            <w:t xml:space="preserve"> </w:t>
          </w:r>
          <w:r>
            <w:rPr>
              <w:rFonts w:ascii="Arial" w:eastAsia="黑体" w:hAnsi="Arial" w:hint="eastAsia"/>
              <w:kern w:val="0"/>
            </w:rPr>
            <w:t>共</w:t>
          </w:r>
          <w:r>
            <w:rPr>
              <w:sz w:val="18"/>
              <w:szCs w:val="18"/>
            </w:rPr>
            <w:fldChar w:fldCharType="begin"/>
          </w:r>
          <w:r>
            <w:rPr>
              <w:rStyle w:val="PageNumber"/>
              <w:sz w:val="18"/>
              <w:szCs w:val="18"/>
            </w:rPr>
            <w:instrText xml:space="preserve"> NUMPAGES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35</w:t>
          </w:r>
          <w:r>
            <w:rPr>
              <w:sz w:val="18"/>
              <w:szCs w:val="18"/>
            </w:rPr>
            <w:fldChar w:fldCharType="end"/>
          </w:r>
          <w:r>
            <w:rPr>
              <w:rFonts w:ascii="Arial" w:eastAsia="黑体" w:hAnsi="Arial" w:hint="eastAsia"/>
              <w:kern w:val="0"/>
            </w:rPr>
            <w:t>页</w:t>
          </w:r>
        </w:p>
      </w:tc>
    </w:tr>
  </w:tbl>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6866167" o:spid="_x0000_s2105" type="#_x0000_t136" alt="感谢您的下载" style="width:456.95pt;height:130.25pt;margin-top:0;margin-left:0;mso-height-relative:page;mso-position-horizontal:center;mso-position-horizontal-relative:margin;mso-position-vertical:center;mso-position-vertical-relative:margin;mso-width-relative:page;position:absolute;rotation:315;z-index:-251629568" coordsize="21600,21600" filled="t" fillcolor="#f8f8f8" stroked="t" strokecolor="white">
          <v:fill opacity="0"/>
          <v:textpath style="font-family:宋体;font-size:36pt;v-text-align:center" trim="t" fitpath="t" xscale="f" string="感谢您的下载"/>
          <o:lock v:ext="edit" aspectratio="t"/>
          <w10:wrap anchorx="margin" anchory="margin"/>
        </v:shape>
      </w:pic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tbl>
    <w:tblPr>
      <w:tblStyle w:val="TableNormal"/>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
    <w:tblGrid>
      <w:gridCol w:w="2520"/>
      <w:gridCol w:w="4680"/>
      <w:gridCol w:w="2700"/>
    </w:tblGrid>
    <w:tr>
      <w:tblPrEx>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Ex>
      <w:trPr>
        <w:trHeight w:val="761"/>
        <w:jc w:val="center"/>
      </w:trPr>
      <w:tc>
        <w:tcPr>
          <w:tcW w:w="2520" w:type="dxa"/>
          <w:tcBorders>
            <w:top w:val="single" w:sz="4" w:space="0" w:color="auto"/>
            <w:left w:val="nil"/>
            <w:bottom w:val="single" w:sz="4" w:space="0" w:color="auto"/>
            <w:right w:val="single" w:sz="4" w:space="0" w:color="auto"/>
          </w:tcBorders>
          <w:vAlign w:val="center"/>
        </w:tcPr>
        <w:p>
          <w:pPr>
            <w:rPr>
              <w:rFonts w:ascii="Arial" w:eastAsia="黑体" w:hAnsi="Arial"/>
            </w:rPr>
          </w:pPr>
          <w:r>
            <w:rPr>
              <w:rFonts w:ascii="Arial" w:eastAsia="黑体" w:hAnsi="Arial" w:hint="eastAsia"/>
            </w:rPr>
            <w:t>编号：</w:t>
          </w:r>
        </w:p>
        <w:p>
          <w:pPr>
            <w:rPr>
              <w:rFonts w:ascii="Arial" w:eastAsia="黑体" w:hAnsi="Arial"/>
            </w:rPr>
          </w:pPr>
          <w:r>
            <w:rPr>
              <w:rFonts w:ascii="Arial" w:eastAsia="黑体" w:hAnsi="Arial" w:hint="eastAsia"/>
            </w:rPr>
            <w:t>时间：2021年x月x日</w:t>
          </w:r>
        </w:p>
        <w:p>
          <w:pPr>
            <w:jc w:val="center"/>
            <w:rPr>
              <w:sz w:val="28"/>
              <w:szCs w:val="28"/>
            </w:rPr>
          </w:pPr>
        </w:p>
      </w:tc>
      <w:tc>
        <w:tcPr>
          <w:tcW w:w="4680" w:type="dxa"/>
          <w:tcBorders>
            <w:top w:val="single" w:sz="4" w:space="0" w:color="auto"/>
            <w:left w:val="single" w:sz="4" w:space="0" w:color="auto"/>
            <w:bottom w:val="single" w:sz="4" w:space="0" w:color="auto"/>
            <w:right w:val="single" w:sz="4" w:space="0" w:color="auto"/>
          </w:tcBorders>
          <w:vAlign w:val="center"/>
        </w:tcPr>
        <w:p>
          <w:pPr>
            <w:jc w:val="center"/>
            <w:rPr>
              <w:b/>
              <w:color w:val="000000"/>
              <w:sz w:val="28"/>
              <w:szCs w:val="28"/>
            </w:rPr>
          </w:pPr>
          <w:r>
            <w:rPr>
              <w:rFonts w:asciiTheme="minorEastAsia" w:eastAsiaTheme="minorEastAsia" w:hAnsiTheme="minorEastAsia" w:cstheme="minorEastAsia" w:hint="eastAsia"/>
              <w:b/>
              <w:bCs/>
              <w:color w:val="FF0000"/>
              <w:sz w:val="28"/>
              <w:szCs w:val="28"/>
            </w:rPr>
            <w:t>书山有路勤为径，学海无涯苦作舟</w:t>
          </w:r>
        </w:p>
      </w:tc>
      <w:tc>
        <w:tcPr>
          <w:tcW w:w="2700" w:type="dxa"/>
          <w:tcBorders>
            <w:top w:val="single" w:sz="4" w:space="0" w:color="auto"/>
            <w:left w:val="single" w:sz="4" w:space="0" w:color="auto"/>
            <w:bottom w:val="single" w:sz="4" w:space="0" w:color="auto"/>
            <w:right w:val="nil"/>
          </w:tcBorders>
          <w:vAlign w:val="center"/>
        </w:tcPr>
        <w:p>
          <w:pPr>
            <w:rPr>
              <w:sz w:val="24"/>
            </w:rPr>
          </w:pPr>
          <w:r>
            <w:rPr>
              <w:rFonts w:ascii="Arial" w:eastAsia="黑体" w:hAnsi="Arial" w:hint="eastAsia"/>
            </w:rPr>
            <w:t>页码：</w:t>
          </w:r>
          <w:r>
            <w:rPr>
              <w:rFonts w:ascii="Arial" w:eastAsia="黑体" w:hAnsi="Arial" w:hint="eastAsia"/>
              <w:kern w:val="0"/>
            </w:rPr>
            <w:t>第</w:t>
          </w:r>
          <w:r>
            <w:rPr>
              <w:sz w:val="18"/>
              <w:szCs w:val="18"/>
            </w:rPr>
            <w:fldChar w:fldCharType="begin"/>
          </w:r>
          <w:r>
            <w:rPr>
              <w:rStyle w:val="PageNumber"/>
              <w:sz w:val="18"/>
              <w:szCs w:val="18"/>
            </w:rPr>
            <w:instrText xml:space="preserve"> PAGE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30</w:t>
          </w:r>
          <w:r>
            <w:rPr>
              <w:sz w:val="18"/>
              <w:szCs w:val="18"/>
            </w:rPr>
            <w:fldChar w:fldCharType="end"/>
          </w:r>
          <w:r>
            <w:rPr>
              <w:rFonts w:ascii="Arial" w:eastAsia="黑体" w:hAnsi="Arial" w:hint="eastAsia"/>
              <w:kern w:val="0"/>
            </w:rPr>
            <w:t>页</w:t>
          </w:r>
          <w:r>
            <w:rPr>
              <w:rFonts w:ascii="Arial" w:eastAsia="黑体" w:hAnsi="Arial"/>
              <w:kern w:val="0"/>
            </w:rPr>
            <w:t xml:space="preserve"> </w:t>
          </w:r>
          <w:r>
            <w:rPr>
              <w:rFonts w:ascii="Arial" w:eastAsia="黑体" w:hAnsi="Arial" w:hint="eastAsia"/>
              <w:kern w:val="0"/>
            </w:rPr>
            <w:t>共</w:t>
          </w:r>
          <w:r>
            <w:rPr>
              <w:sz w:val="18"/>
              <w:szCs w:val="18"/>
            </w:rPr>
            <w:fldChar w:fldCharType="begin"/>
          </w:r>
          <w:r>
            <w:rPr>
              <w:rStyle w:val="PageNumber"/>
              <w:sz w:val="18"/>
              <w:szCs w:val="18"/>
            </w:rPr>
            <w:instrText xml:space="preserve"> NUMPAGES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35</w:t>
          </w:r>
          <w:r>
            <w:rPr>
              <w:sz w:val="18"/>
              <w:szCs w:val="18"/>
            </w:rPr>
            <w:fldChar w:fldCharType="end"/>
          </w:r>
          <w:r>
            <w:rPr>
              <w:rFonts w:ascii="Arial" w:eastAsia="黑体" w:hAnsi="Arial" w:hint="eastAsia"/>
              <w:kern w:val="0"/>
            </w:rPr>
            <w:t>页</w:t>
          </w:r>
        </w:p>
      </w:tc>
    </w:tr>
  </w:tbl>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6866167" o:spid="_x0000_s2107" type="#_x0000_t136" alt="感谢您的下载" style="width:456.95pt;height:130.25pt;margin-top:0;margin-left:0;mso-height-relative:page;mso-position-horizontal:center;mso-position-horizontal-relative:margin;mso-position-vertical:center;mso-position-vertical-relative:margin;mso-width-relative:page;position:absolute;rotation:315;z-index:-251628544" coordsize="21600,21600" filled="t" fillcolor="#f8f8f8" stroked="t" strokecolor="white">
          <v:fill opacity="0"/>
          <v:textpath style="font-family:宋体;font-size:36pt;v-text-align:center" trim="t" fitpath="t" xscale="f" string="感谢您的下载"/>
          <o:lock v:ext="edit" aspectratio="t"/>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02715CC0"/>
    <w:multiLevelType w:val="multilevel"/>
    <w:tmpl w:val="02715CC0"/>
    <w:lvl w:ilvl="0">
      <w:start w:val="1"/>
      <w:numFmt w:val="decimal"/>
      <w:lvlText w:val="%1、"/>
      <w:lvlJc w:val="left"/>
      <w:pPr>
        <w:tabs>
          <w:tab w:val="left" w:pos="810"/>
        </w:tabs>
        <w:ind w:left="810" w:hanging="360"/>
      </w:pPr>
      <w:rPr>
        <w:rFonts w:hint="eastAsia"/>
      </w:rPr>
    </w:lvl>
    <w:lvl w:ilvl="1">
      <w:start w:val="1"/>
      <w:numFmt w:val="lowerLetter"/>
      <w:lvlText w:val="%2)"/>
      <w:lvlJc w:val="left"/>
      <w:pPr>
        <w:tabs>
          <w:tab w:val="left" w:pos="1290"/>
        </w:tabs>
        <w:ind w:left="1290" w:hanging="420"/>
      </w:pPr>
    </w:lvl>
    <w:lvl w:ilvl="2">
      <w:start w:val="1"/>
      <w:numFmt w:val="lowerRoman"/>
      <w:lvlText w:val="%3."/>
      <w:lvlJc w:val="right"/>
      <w:pPr>
        <w:tabs>
          <w:tab w:val="left" w:pos="1710"/>
        </w:tabs>
        <w:ind w:left="1710" w:hanging="420"/>
      </w:pPr>
    </w:lvl>
    <w:lvl w:ilvl="3">
      <w:start w:val="1"/>
      <w:numFmt w:val="decimal"/>
      <w:lvlText w:val="%4."/>
      <w:lvlJc w:val="left"/>
      <w:pPr>
        <w:tabs>
          <w:tab w:val="left" w:pos="2130"/>
        </w:tabs>
        <w:ind w:left="2130" w:hanging="420"/>
      </w:pPr>
    </w:lvl>
    <w:lvl w:ilvl="4">
      <w:start w:val="1"/>
      <w:numFmt w:val="lowerLetter"/>
      <w:lvlText w:val="%5)"/>
      <w:lvlJc w:val="left"/>
      <w:pPr>
        <w:tabs>
          <w:tab w:val="left" w:pos="2550"/>
        </w:tabs>
        <w:ind w:left="2550" w:hanging="420"/>
      </w:pPr>
    </w:lvl>
    <w:lvl w:ilvl="5">
      <w:start w:val="1"/>
      <w:numFmt w:val="lowerRoman"/>
      <w:lvlText w:val="%6."/>
      <w:lvlJc w:val="right"/>
      <w:pPr>
        <w:tabs>
          <w:tab w:val="left" w:pos="2970"/>
        </w:tabs>
        <w:ind w:left="2970" w:hanging="420"/>
      </w:pPr>
    </w:lvl>
    <w:lvl w:ilvl="6">
      <w:start w:val="1"/>
      <w:numFmt w:val="decimal"/>
      <w:lvlText w:val="%7."/>
      <w:lvlJc w:val="left"/>
      <w:pPr>
        <w:tabs>
          <w:tab w:val="left" w:pos="3390"/>
        </w:tabs>
        <w:ind w:left="3390" w:hanging="420"/>
      </w:pPr>
    </w:lvl>
    <w:lvl w:ilvl="7">
      <w:start w:val="1"/>
      <w:numFmt w:val="lowerLetter"/>
      <w:lvlText w:val="%8)"/>
      <w:lvlJc w:val="left"/>
      <w:pPr>
        <w:tabs>
          <w:tab w:val="left" w:pos="3810"/>
        </w:tabs>
        <w:ind w:left="3810" w:hanging="420"/>
      </w:pPr>
    </w:lvl>
    <w:lvl w:ilvl="8">
      <w:start w:val="1"/>
      <w:numFmt w:val="lowerRoman"/>
      <w:lvlText w:val="%9."/>
      <w:lvlJc w:val="right"/>
      <w:pPr>
        <w:tabs>
          <w:tab w:val="left" w:pos="4230"/>
        </w:tabs>
        <w:ind w:left="4230" w:hanging="420"/>
      </w:pPr>
    </w:lvl>
  </w:abstractNum>
  <w:abstractNum w:abstractNumId="1">
    <w:nsid w:val="06064F64"/>
    <w:multiLevelType w:val="multilevel"/>
    <w:tmpl w:val="06064F64"/>
    <w:lvl w:ilvl="0">
      <w:start w:val="1"/>
      <w:numFmt w:val="decimal"/>
      <w:lvlText w:val="%1、"/>
      <w:lvlJc w:val="left"/>
      <w:pPr>
        <w:tabs>
          <w:tab w:val="left" w:pos="810"/>
        </w:tabs>
        <w:ind w:left="810" w:hanging="360"/>
      </w:pPr>
      <w:rPr>
        <w:rFonts w:hint="eastAsia"/>
      </w:rPr>
    </w:lvl>
    <w:lvl w:ilvl="1">
      <w:start w:val="1"/>
      <w:numFmt w:val="lowerLetter"/>
      <w:lvlText w:val="%2)"/>
      <w:lvlJc w:val="left"/>
      <w:pPr>
        <w:tabs>
          <w:tab w:val="left" w:pos="1290"/>
        </w:tabs>
        <w:ind w:left="1290" w:hanging="420"/>
      </w:pPr>
    </w:lvl>
    <w:lvl w:ilvl="2">
      <w:start w:val="1"/>
      <w:numFmt w:val="lowerRoman"/>
      <w:lvlText w:val="%3."/>
      <w:lvlJc w:val="right"/>
      <w:pPr>
        <w:tabs>
          <w:tab w:val="left" w:pos="1710"/>
        </w:tabs>
        <w:ind w:left="1710" w:hanging="420"/>
      </w:pPr>
    </w:lvl>
    <w:lvl w:ilvl="3">
      <w:start w:val="1"/>
      <w:numFmt w:val="decimal"/>
      <w:lvlText w:val="%4."/>
      <w:lvlJc w:val="left"/>
      <w:pPr>
        <w:tabs>
          <w:tab w:val="left" w:pos="2130"/>
        </w:tabs>
        <w:ind w:left="2130" w:hanging="420"/>
      </w:pPr>
    </w:lvl>
    <w:lvl w:ilvl="4">
      <w:start w:val="1"/>
      <w:numFmt w:val="lowerLetter"/>
      <w:lvlText w:val="%5)"/>
      <w:lvlJc w:val="left"/>
      <w:pPr>
        <w:tabs>
          <w:tab w:val="left" w:pos="2550"/>
        </w:tabs>
        <w:ind w:left="2550" w:hanging="420"/>
      </w:pPr>
    </w:lvl>
    <w:lvl w:ilvl="5">
      <w:start w:val="1"/>
      <w:numFmt w:val="lowerRoman"/>
      <w:lvlText w:val="%6."/>
      <w:lvlJc w:val="right"/>
      <w:pPr>
        <w:tabs>
          <w:tab w:val="left" w:pos="2970"/>
        </w:tabs>
        <w:ind w:left="2970" w:hanging="420"/>
      </w:pPr>
    </w:lvl>
    <w:lvl w:ilvl="6">
      <w:start w:val="1"/>
      <w:numFmt w:val="decimal"/>
      <w:lvlText w:val="%7."/>
      <w:lvlJc w:val="left"/>
      <w:pPr>
        <w:tabs>
          <w:tab w:val="left" w:pos="3390"/>
        </w:tabs>
        <w:ind w:left="3390" w:hanging="420"/>
      </w:pPr>
    </w:lvl>
    <w:lvl w:ilvl="7">
      <w:start w:val="1"/>
      <w:numFmt w:val="lowerLetter"/>
      <w:lvlText w:val="%8)"/>
      <w:lvlJc w:val="left"/>
      <w:pPr>
        <w:tabs>
          <w:tab w:val="left" w:pos="3810"/>
        </w:tabs>
        <w:ind w:left="3810" w:hanging="420"/>
      </w:pPr>
    </w:lvl>
    <w:lvl w:ilvl="8">
      <w:start w:val="1"/>
      <w:numFmt w:val="lowerRoman"/>
      <w:lvlText w:val="%9."/>
      <w:lvlJc w:val="right"/>
      <w:pPr>
        <w:tabs>
          <w:tab w:val="left" w:pos="4230"/>
        </w:tabs>
        <w:ind w:left="4230" w:hanging="420"/>
      </w:pPr>
    </w:lvl>
  </w:abstractNum>
  <w:abstractNum w:abstractNumId="2">
    <w:nsid w:val="09842C9F"/>
    <w:multiLevelType w:val="multilevel"/>
    <w:tmpl w:val="6E4E6B77"/>
    <w:lvl w:ilvl="0">
      <w:start w:val="1"/>
      <w:numFmt w:val="decimal"/>
      <w:lvlText w:val="%1、"/>
      <w:lvlJc w:val="left"/>
      <w:pPr>
        <w:tabs>
          <w:tab w:val="left" w:pos="810"/>
        </w:tabs>
        <w:ind w:left="810" w:hanging="360"/>
      </w:pPr>
      <w:rPr>
        <w:rFonts w:hint="default"/>
      </w:rPr>
    </w:lvl>
    <w:lvl w:ilvl="1">
      <w:start w:val="1"/>
      <w:numFmt w:val="lowerLetter"/>
      <w:lvlText w:val="%2)"/>
      <w:lvlJc w:val="left"/>
      <w:pPr>
        <w:tabs>
          <w:tab w:val="left" w:pos="1290"/>
        </w:tabs>
        <w:ind w:left="1290" w:hanging="420"/>
      </w:pPr>
    </w:lvl>
    <w:lvl w:ilvl="2">
      <w:start w:val="1"/>
      <w:numFmt w:val="lowerRoman"/>
      <w:lvlText w:val="%3."/>
      <w:lvlJc w:val="right"/>
      <w:pPr>
        <w:tabs>
          <w:tab w:val="left" w:pos="1710"/>
        </w:tabs>
        <w:ind w:left="1710" w:hanging="420"/>
      </w:pPr>
    </w:lvl>
    <w:lvl w:ilvl="3">
      <w:start w:val="1"/>
      <w:numFmt w:val="decimal"/>
      <w:lvlText w:val="%4."/>
      <w:lvlJc w:val="left"/>
      <w:pPr>
        <w:tabs>
          <w:tab w:val="left" w:pos="2130"/>
        </w:tabs>
        <w:ind w:left="2130" w:hanging="420"/>
      </w:pPr>
    </w:lvl>
    <w:lvl w:ilvl="4">
      <w:start w:val="1"/>
      <w:numFmt w:val="lowerLetter"/>
      <w:lvlText w:val="%5)"/>
      <w:lvlJc w:val="left"/>
      <w:pPr>
        <w:tabs>
          <w:tab w:val="left" w:pos="2550"/>
        </w:tabs>
        <w:ind w:left="2550" w:hanging="420"/>
      </w:pPr>
    </w:lvl>
    <w:lvl w:ilvl="5">
      <w:start w:val="1"/>
      <w:numFmt w:val="lowerRoman"/>
      <w:lvlText w:val="%6."/>
      <w:lvlJc w:val="right"/>
      <w:pPr>
        <w:tabs>
          <w:tab w:val="left" w:pos="2970"/>
        </w:tabs>
        <w:ind w:left="2970" w:hanging="420"/>
      </w:pPr>
    </w:lvl>
    <w:lvl w:ilvl="6">
      <w:start w:val="1"/>
      <w:numFmt w:val="decimal"/>
      <w:lvlText w:val="%7."/>
      <w:lvlJc w:val="left"/>
      <w:pPr>
        <w:tabs>
          <w:tab w:val="left" w:pos="3390"/>
        </w:tabs>
        <w:ind w:left="3390" w:hanging="420"/>
      </w:pPr>
    </w:lvl>
    <w:lvl w:ilvl="7">
      <w:start w:val="1"/>
      <w:numFmt w:val="lowerLetter"/>
      <w:lvlText w:val="%8)"/>
      <w:lvlJc w:val="left"/>
      <w:pPr>
        <w:tabs>
          <w:tab w:val="left" w:pos="3810"/>
        </w:tabs>
        <w:ind w:left="3810" w:hanging="420"/>
      </w:pPr>
    </w:lvl>
    <w:lvl w:ilvl="8">
      <w:start w:val="1"/>
      <w:numFmt w:val="lowerRoman"/>
      <w:lvlText w:val="%9."/>
      <w:lvlJc w:val="right"/>
      <w:pPr>
        <w:tabs>
          <w:tab w:val="left" w:pos="4230"/>
        </w:tabs>
        <w:ind w:left="4230" w:hanging="420"/>
      </w:pPr>
    </w:lvl>
  </w:abstractNum>
  <w:abstractNum w:abstractNumId="3">
    <w:nsid w:val="0ADA6F98"/>
    <w:multiLevelType w:val="multilevel"/>
    <w:tmpl w:val="0ADA6F98"/>
    <w:lvl w:ilvl="0">
      <w:start w:val="1"/>
      <w:numFmt w:val="decimal"/>
      <w:lvlText w:val="%1、"/>
      <w:lvlJc w:val="left"/>
      <w:pPr>
        <w:tabs>
          <w:tab w:val="left" w:pos="690"/>
        </w:tabs>
        <w:ind w:left="690" w:hanging="360"/>
      </w:pPr>
      <w:rPr>
        <w:rFonts w:hint="default"/>
      </w:rPr>
    </w:lvl>
    <w:lvl w:ilvl="1">
      <w:start w:val="1"/>
      <w:numFmt w:val="lowerLetter"/>
      <w:lvlText w:val="%2)"/>
      <w:lvlJc w:val="left"/>
      <w:pPr>
        <w:tabs>
          <w:tab w:val="left" w:pos="1170"/>
        </w:tabs>
        <w:ind w:left="1170" w:hanging="420"/>
      </w:pPr>
    </w:lvl>
    <w:lvl w:ilvl="2">
      <w:start w:val="1"/>
      <w:numFmt w:val="lowerRoman"/>
      <w:lvlText w:val="%3."/>
      <w:lvlJc w:val="right"/>
      <w:pPr>
        <w:tabs>
          <w:tab w:val="left" w:pos="1590"/>
        </w:tabs>
        <w:ind w:left="1590" w:hanging="420"/>
      </w:pPr>
    </w:lvl>
    <w:lvl w:ilvl="3">
      <w:start w:val="1"/>
      <w:numFmt w:val="decimal"/>
      <w:lvlText w:val="%4."/>
      <w:lvlJc w:val="left"/>
      <w:pPr>
        <w:tabs>
          <w:tab w:val="left" w:pos="2010"/>
        </w:tabs>
        <w:ind w:left="2010" w:hanging="420"/>
      </w:pPr>
    </w:lvl>
    <w:lvl w:ilvl="4">
      <w:start w:val="1"/>
      <w:numFmt w:val="lowerLetter"/>
      <w:lvlText w:val="%5)"/>
      <w:lvlJc w:val="left"/>
      <w:pPr>
        <w:tabs>
          <w:tab w:val="left" w:pos="2430"/>
        </w:tabs>
        <w:ind w:left="2430" w:hanging="420"/>
      </w:pPr>
    </w:lvl>
    <w:lvl w:ilvl="5">
      <w:start w:val="1"/>
      <w:numFmt w:val="lowerRoman"/>
      <w:lvlText w:val="%6."/>
      <w:lvlJc w:val="right"/>
      <w:pPr>
        <w:tabs>
          <w:tab w:val="left" w:pos="2850"/>
        </w:tabs>
        <w:ind w:left="2850" w:hanging="420"/>
      </w:pPr>
    </w:lvl>
    <w:lvl w:ilvl="6">
      <w:start w:val="1"/>
      <w:numFmt w:val="decimal"/>
      <w:lvlText w:val="%7."/>
      <w:lvlJc w:val="left"/>
      <w:pPr>
        <w:tabs>
          <w:tab w:val="left" w:pos="3270"/>
        </w:tabs>
        <w:ind w:left="3270" w:hanging="420"/>
      </w:pPr>
    </w:lvl>
    <w:lvl w:ilvl="7">
      <w:start w:val="1"/>
      <w:numFmt w:val="lowerLetter"/>
      <w:lvlText w:val="%8)"/>
      <w:lvlJc w:val="left"/>
      <w:pPr>
        <w:tabs>
          <w:tab w:val="left" w:pos="3690"/>
        </w:tabs>
        <w:ind w:left="3690" w:hanging="420"/>
      </w:pPr>
    </w:lvl>
    <w:lvl w:ilvl="8">
      <w:start w:val="1"/>
      <w:numFmt w:val="lowerRoman"/>
      <w:lvlText w:val="%9."/>
      <w:lvlJc w:val="right"/>
      <w:pPr>
        <w:tabs>
          <w:tab w:val="left" w:pos="4110"/>
        </w:tabs>
        <w:ind w:left="4110" w:hanging="420"/>
      </w:pPr>
    </w:lvl>
  </w:abstractNum>
  <w:abstractNum w:abstractNumId="4">
    <w:nsid w:val="0D83101E"/>
    <w:multiLevelType w:val="multilevel"/>
    <w:tmpl w:val="0D83101E"/>
    <w:lvl w:ilvl="0">
      <w:start w:val="1"/>
      <w:numFmt w:val="decimal"/>
      <w:lvlText w:val="%1、"/>
      <w:lvlJc w:val="left"/>
      <w:pPr>
        <w:tabs>
          <w:tab w:val="left" w:pos="780"/>
        </w:tabs>
        <w:ind w:left="780" w:hanging="360"/>
      </w:pPr>
      <w:rPr>
        <w:rFonts w:hint="default"/>
      </w:rPr>
    </w:lvl>
    <w:lvl w:ilvl="1">
      <w:start w:val="1"/>
      <w:numFmt w:val="lowerLetter"/>
      <w:lvlText w:val="%2)"/>
      <w:lvlJc w:val="left"/>
      <w:pPr>
        <w:tabs>
          <w:tab w:val="left" w:pos="1260"/>
        </w:tabs>
        <w:ind w:left="1260" w:hanging="420"/>
      </w:pPr>
    </w:lvl>
    <w:lvl w:ilvl="2">
      <w:start w:val="1"/>
      <w:numFmt w:val="lowerRoman"/>
      <w:lvlText w:val="%3."/>
      <w:lvlJc w:val="right"/>
      <w:pPr>
        <w:tabs>
          <w:tab w:val="left" w:pos="1680"/>
        </w:tabs>
        <w:ind w:left="1680" w:hanging="420"/>
      </w:pPr>
    </w:lvl>
    <w:lvl w:ilvl="3">
      <w:start w:val="1"/>
      <w:numFmt w:val="decimal"/>
      <w:lvlText w:val="%4."/>
      <w:lvlJc w:val="left"/>
      <w:pPr>
        <w:tabs>
          <w:tab w:val="left" w:pos="2100"/>
        </w:tabs>
        <w:ind w:left="2100" w:hanging="420"/>
      </w:pPr>
    </w:lvl>
    <w:lvl w:ilvl="4">
      <w:start w:val="1"/>
      <w:numFmt w:val="lowerLetter"/>
      <w:lvlText w:val="%5)"/>
      <w:lvlJc w:val="left"/>
      <w:pPr>
        <w:tabs>
          <w:tab w:val="left" w:pos="2520"/>
        </w:tabs>
        <w:ind w:left="2520" w:hanging="420"/>
      </w:pPr>
    </w:lvl>
    <w:lvl w:ilvl="5">
      <w:start w:val="1"/>
      <w:numFmt w:val="lowerRoman"/>
      <w:lvlText w:val="%6."/>
      <w:lvlJc w:val="right"/>
      <w:pPr>
        <w:tabs>
          <w:tab w:val="left" w:pos="2940"/>
        </w:tabs>
        <w:ind w:left="2940" w:hanging="420"/>
      </w:pPr>
    </w:lvl>
    <w:lvl w:ilvl="6">
      <w:start w:val="1"/>
      <w:numFmt w:val="decimal"/>
      <w:lvlText w:val="%7."/>
      <w:lvlJc w:val="left"/>
      <w:pPr>
        <w:tabs>
          <w:tab w:val="left" w:pos="3360"/>
        </w:tabs>
        <w:ind w:left="3360" w:hanging="420"/>
      </w:pPr>
    </w:lvl>
    <w:lvl w:ilvl="7">
      <w:start w:val="1"/>
      <w:numFmt w:val="lowerLetter"/>
      <w:lvlText w:val="%8)"/>
      <w:lvlJc w:val="left"/>
      <w:pPr>
        <w:tabs>
          <w:tab w:val="left" w:pos="3780"/>
        </w:tabs>
        <w:ind w:left="3780" w:hanging="420"/>
      </w:pPr>
    </w:lvl>
    <w:lvl w:ilvl="8">
      <w:start w:val="1"/>
      <w:numFmt w:val="lowerRoman"/>
      <w:lvlText w:val="%9."/>
      <w:lvlJc w:val="right"/>
      <w:pPr>
        <w:tabs>
          <w:tab w:val="left" w:pos="4200"/>
        </w:tabs>
        <w:ind w:left="4200" w:hanging="420"/>
      </w:pPr>
    </w:lvl>
  </w:abstractNum>
  <w:abstractNum w:abstractNumId="5">
    <w:nsid w:val="0EF74499"/>
    <w:multiLevelType w:val="multilevel"/>
    <w:tmpl w:val="0EF74499"/>
    <w:lvl w:ilvl="0">
      <w:start w:val="1"/>
      <w:numFmt w:val="decimal"/>
      <w:lvlText w:val="%1、"/>
      <w:lvlJc w:val="left"/>
      <w:pPr>
        <w:tabs>
          <w:tab w:val="left" w:pos="810"/>
        </w:tabs>
        <w:ind w:left="810" w:hanging="360"/>
      </w:pPr>
      <w:rPr>
        <w:rFonts w:hint="eastAsia"/>
      </w:rPr>
    </w:lvl>
    <w:lvl w:ilvl="1">
      <w:start w:val="1"/>
      <w:numFmt w:val="lowerLetter"/>
      <w:lvlText w:val="%2)"/>
      <w:lvlJc w:val="left"/>
      <w:pPr>
        <w:tabs>
          <w:tab w:val="left" w:pos="1290"/>
        </w:tabs>
        <w:ind w:left="1290" w:hanging="420"/>
      </w:pPr>
    </w:lvl>
    <w:lvl w:ilvl="2">
      <w:start w:val="1"/>
      <w:numFmt w:val="lowerRoman"/>
      <w:lvlText w:val="%3."/>
      <w:lvlJc w:val="right"/>
      <w:pPr>
        <w:tabs>
          <w:tab w:val="left" w:pos="1710"/>
        </w:tabs>
        <w:ind w:left="1710" w:hanging="420"/>
      </w:pPr>
    </w:lvl>
    <w:lvl w:ilvl="3">
      <w:start w:val="1"/>
      <w:numFmt w:val="decimal"/>
      <w:lvlText w:val="%4."/>
      <w:lvlJc w:val="left"/>
      <w:pPr>
        <w:tabs>
          <w:tab w:val="left" w:pos="2130"/>
        </w:tabs>
        <w:ind w:left="2130" w:hanging="420"/>
      </w:pPr>
    </w:lvl>
    <w:lvl w:ilvl="4">
      <w:start w:val="1"/>
      <w:numFmt w:val="lowerLetter"/>
      <w:lvlText w:val="%5)"/>
      <w:lvlJc w:val="left"/>
      <w:pPr>
        <w:tabs>
          <w:tab w:val="left" w:pos="2550"/>
        </w:tabs>
        <w:ind w:left="2550" w:hanging="420"/>
      </w:pPr>
    </w:lvl>
    <w:lvl w:ilvl="5">
      <w:start w:val="1"/>
      <w:numFmt w:val="lowerRoman"/>
      <w:lvlText w:val="%6."/>
      <w:lvlJc w:val="right"/>
      <w:pPr>
        <w:tabs>
          <w:tab w:val="left" w:pos="2970"/>
        </w:tabs>
        <w:ind w:left="2970" w:hanging="420"/>
      </w:pPr>
    </w:lvl>
    <w:lvl w:ilvl="6">
      <w:start w:val="1"/>
      <w:numFmt w:val="decimal"/>
      <w:lvlText w:val="%7."/>
      <w:lvlJc w:val="left"/>
      <w:pPr>
        <w:tabs>
          <w:tab w:val="left" w:pos="3390"/>
        </w:tabs>
        <w:ind w:left="3390" w:hanging="420"/>
      </w:pPr>
    </w:lvl>
    <w:lvl w:ilvl="7">
      <w:start w:val="1"/>
      <w:numFmt w:val="lowerLetter"/>
      <w:lvlText w:val="%8)"/>
      <w:lvlJc w:val="left"/>
      <w:pPr>
        <w:tabs>
          <w:tab w:val="left" w:pos="3810"/>
        </w:tabs>
        <w:ind w:left="3810" w:hanging="420"/>
      </w:pPr>
    </w:lvl>
    <w:lvl w:ilvl="8">
      <w:start w:val="1"/>
      <w:numFmt w:val="lowerRoman"/>
      <w:lvlText w:val="%9."/>
      <w:lvlJc w:val="right"/>
      <w:pPr>
        <w:tabs>
          <w:tab w:val="left" w:pos="4230"/>
        </w:tabs>
        <w:ind w:left="4230" w:hanging="420"/>
      </w:pPr>
    </w:lvl>
  </w:abstractNum>
  <w:abstractNum w:abstractNumId="6">
    <w:nsid w:val="0FDA53AE"/>
    <w:multiLevelType w:val="multilevel"/>
    <w:tmpl w:val="0FDA53AE"/>
    <w:lvl w:ilvl="0">
      <w:start w:val="1"/>
      <w:numFmt w:val="decimal"/>
      <w:lvlText w:val="%1、"/>
      <w:lvlJc w:val="left"/>
      <w:pPr>
        <w:tabs>
          <w:tab w:val="left" w:pos="810"/>
        </w:tabs>
        <w:ind w:left="810" w:hanging="360"/>
      </w:pPr>
      <w:rPr>
        <w:rFonts w:hint="eastAsia"/>
      </w:rPr>
    </w:lvl>
    <w:lvl w:ilvl="1">
      <w:start w:val="1"/>
      <w:numFmt w:val="lowerLetter"/>
      <w:lvlText w:val="%2)"/>
      <w:lvlJc w:val="left"/>
      <w:pPr>
        <w:tabs>
          <w:tab w:val="left" w:pos="1290"/>
        </w:tabs>
        <w:ind w:left="1290" w:hanging="420"/>
      </w:pPr>
    </w:lvl>
    <w:lvl w:ilvl="2">
      <w:start w:val="1"/>
      <w:numFmt w:val="lowerRoman"/>
      <w:lvlText w:val="%3."/>
      <w:lvlJc w:val="right"/>
      <w:pPr>
        <w:tabs>
          <w:tab w:val="left" w:pos="1710"/>
        </w:tabs>
        <w:ind w:left="1710" w:hanging="420"/>
      </w:pPr>
    </w:lvl>
    <w:lvl w:ilvl="3">
      <w:start w:val="1"/>
      <w:numFmt w:val="decimal"/>
      <w:lvlText w:val="%4."/>
      <w:lvlJc w:val="left"/>
      <w:pPr>
        <w:tabs>
          <w:tab w:val="left" w:pos="2130"/>
        </w:tabs>
        <w:ind w:left="2130" w:hanging="420"/>
      </w:pPr>
    </w:lvl>
    <w:lvl w:ilvl="4">
      <w:start w:val="1"/>
      <w:numFmt w:val="lowerLetter"/>
      <w:lvlText w:val="%5)"/>
      <w:lvlJc w:val="left"/>
      <w:pPr>
        <w:tabs>
          <w:tab w:val="left" w:pos="2550"/>
        </w:tabs>
        <w:ind w:left="2550" w:hanging="420"/>
      </w:pPr>
    </w:lvl>
    <w:lvl w:ilvl="5">
      <w:start w:val="1"/>
      <w:numFmt w:val="lowerRoman"/>
      <w:lvlText w:val="%6."/>
      <w:lvlJc w:val="right"/>
      <w:pPr>
        <w:tabs>
          <w:tab w:val="left" w:pos="2970"/>
        </w:tabs>
        <w:ind w:left="2970" w:hanging="420"/>
      </w:pPr>
    </w:lvl>
    <w:lvl w:ilvl="6">
      <w:start w:val="1"/>
      <w:numFmt w:val="decimal"/>
      <w:lvlText w:val="%7."/>
      <w:lvlJc w:val="left"/>
      <w:pPr>
        <w:tabs>
          <w:tab w:val="left" w:pos="3390"/>
        </w:tabs>
        <w:ind w:left="3390" w:hanging="420"/>
      </w:pPr>
    </w:lvl>
    <w:lvl w:ilvl="7">
      <w:start w:val="1"/>
      <w:numFmt w:val="lowerLetter"/>
      <w:lvlText w:val="%8)"/>
      <w:lvlJc w:val="left"/>
      <w:pPr>
        <w:tabs>
          <w:tab w:val="left" w:pos="3810"/>
        </w:tabs>
        <w:ind w:left="3810" w:hanging="420"/>
      </w:pPr>
    </w:lvl>
    <w:lvl w:ilvl="8">
      <w:start w:val="1"/>
      <w:numFmt w:val="lowerRoman"/>
      <w:lvlText w:val="%9."/>
      <w:lvlJc w:val="right"/>
      <w:pPr>
        <w:tabs>
          <w:tab w:val="left" w:pos="4230"/>
        </w:tabs>
        <w:ind w:left="4230" w:hanging="420"/>
      </w:pPr>
    </w:lvl>
  </w:abstractNum>
  <w:abstractNum w:abstractNumId="7">
    <w:nsid w:val="11936D15"/>
    <w:multiLevelType w:val="multilevel"/>
    <w:tmpl w:val="11936D15"/>
    <w:lvl w:ilvl="0">
      <w:start w:val="1"/>
      <w:numFmt w:val="decimal"/>
      <w:lvlText w:val="%1、"/>
      <w:lvlJc w:val="left"/>
      <w:pPr>
        <w:tabs>
          <w:tab w:val="left" w:pos="810"/>
        </w:tabs>
        <w:ind w:left="810" w:hanging="360"/>
      </w:pPr>
      <w:rPr>
        <w:rFonts w:hint="eastAsia"/>
      </w:rPr>
    </w:lvl>
    <w:lvl w:ilvl="1">
      <w:start w:val="1"/>
      <w:numFmt w:val="lowerLetter"/>
      <w:lvlText w:val="%2)"/>
      <w:lvlJc w:val="left"/>
      <w:pPr>
        <w:tabs>
          <w:tab w:val="left" w:pos="1290"/>
        </w:tabs>
        <w:ind w:left="1290" w:hanging="420"/>
      </w:pPr>
    </w:lvl>
    <w:lvl w:ilvl="2">
      <w:start w:val="1"/>
      <w:numFmt w:val="lowerRoman"/>
      <w:lvlText w:val="%3."/>
      <w:lvlJc w:val="right"/>
      <w:pPr>
        <w:tabs>
          <w:tab w:val="left" w:pos="1710"/>
        </w:tabs>
        <w:ind w:left="1710" w:hanging="420"/>
      </w:pPr>
    </w:lvl>
    <w:lvl w:ilvl="3">
      <w:start w:val="1"/>
      <w:numFmt w:val="decimal"/>
      <w:lvlText w:val="%4."/>
      <w:lvlJc w:val="left"/>
      <w:pPr>
        <w:tabs>
          <w:tab w:val="left" w:pos="2130"/>
        </w:tabs>
        <w:ind w:left="2130" w:hanging="420"/>
      </w:pPr>
    </w:lvl>
    <w:lvl w:ilvl="4">
      <w:start w:val="1"/>
      <w:numFmt w:val="lowerLetter"/>
      <w:lvlText w:val="%5)"/>
      <w:lvlJc w:val="left"/>
      <w:pPr>
        <w:tabs>
          <w:tab w:val="left" w:pos="2550"/>
        </w:tabs>
        <w:ind w:left="2550" w:hanging="420"/>
      </w:pPr>
    </w:lvl>
    <w:lvl w:ilvl="5">
      <w:start w:val="1"/>
      <w:numFmt w:val="lowerRoman"/>
      <w:lvlText w:val="%6."/>
      <w:lvlJc w:val="right"/>
      <w:pPr>
        <w:tabs>
          <w:tab w:val="left" w:pos="2970"/>
        </w:tabs>
        <w:ind w:left="2970" w:hanging="420"/>
      </w:pPr>
    </w:lvl>
    <w:lvl w:ilvl="6">
      <w:start w:val="1"/>
      <w:numFmt w:val="decimal"/>
      <w:lvlText w:val="%7."/>
      <w:lvlJc w:val="left"/>
      <w:pPr>
        <w:tabs>
          <w:tab w:val="left" w:pos="3390"/>
        </w:tabs>
        <w:ind w:left="3390" w:hanging="420"/>
      </w:pPr>
    </w:lvl>
    <w:lvl w:ilvl="7">
      <w:start w:val="1"/>
      <w:numFmt w:val="lowerLetter"/>
      <w:lvlText w:val="%8)"/>
      <w:lvlJc w:val="left"/>
      <w:pPr>
        <w:tabs>
          <w:tab w:val="left" w:pos="3810"/>
        </w:tabs>
        <w:ind w:left="3810" w:hanging="420"/>
      </w:pPr>
    </w:lvl>
    <w:lvl w:ilvl="8">
      <w:start w:val="1"/>
      <w:numFmt w:val="lowerRoman"/>
      <w:lvlText w:val="%9."/>
      <w:lvlJc w:val="right"/>
      <w:pPr>
        <w:tabs>
          <w:tab w:val="left" w:pos="4230"/>
        </w:tabs>
        <w:ind w:left="4230" w:hanging="420"/>
      </w:pPr>
    </w:lvl>
  </w:abstractNum>
  <w:abstractNum w:abstractNumId="8">
    <w:nsid w:val="120342F8"/>
    <w:multiLevelType w:val="multilevel"/>
    <w:tmpl w:val="120342F8"/>
    <w:lvl w:ilvl="0">
      <w:start w:val="1"/>
      <w:numFmt w:val="decimal"/>
      <w:lvlText w:val="%1、"/>
      <w:lvlJc w:val="left"/>
      <w:pPr>
        <w:tabs>
          <w:tab w:val="left" w:pos="780"/>
        </w:tabs>
        <w:ind w:left="780" w:hanging="360"/>
      </w:pPr>
      <w:rPr>
        <w:rFonts w:hint="default"/>
      </w:rPr>
    </w:lvl>
    <w:lvl w:ilvl="1">
      <w:start w:val="1"/>
      <w:numFmt w:val="lowerLetter"/>
      <w:lvlText w:val="%2)"/>
      <w:lvlJc w:val="left"/>
      <w:pPr>
        <w:tabs>
          <w:tab w:val="left" w:pos="1260"/>
        </w:tabs>
        <w:ind w:left="1260" w:hanging="420"/>
      </w:pPr>
    </w:lvl>
    <w:lvl w:ilvl="2">
      <w:start w:val="1"/>
      <w:numFmt w:val="lowerRoman"/>
      <w:lvlText w:val="%3."/>
      <w:lvlJc w:val="right"/>
      <w:pPr>
        <w:tabs>
          <w:tab w:val="left" w:pos="1680"/>
        </w:tabs>
        <w:ind w:left="1680" w:hanging="420"/>
      </w:pPr>
    </w:lvl>
    <w:lvl w:ilvl="3">
      <w:start w:val="1"/>
      <w:numFmt w:val="decimal"/>
      <w:lvlText w:val="%4."/>
      <w:lvlJc w:val="left"/>
      <w:pPr>
        <w:tabs>
          <w:tab w:val="left" w:pos="2100"/>
        </w:tabs>
        <w:ind w:left="2100" w:hanging="420"/>
      </w:pPr>
    </w:lvl>
    <w:lvl w:ilvl="4">
      <w:start w:val="1"/>
      <w:numFmt w:val="lowerLetter"/>
      <w:lvlText w:val="%5)"/>
      <w:lvlJc w:val="left"/>
      <w:pPr>
        <w:tabs>
          <w:tab w:val="left" w:pos="2520"/>
        </w:tabs>
        <w:ind w:left="2520" w:hanging="420"/>
      </w:pPr>
    </w:lvl>
    <w:lvl w:ilvl="5">
      <w:start w:val="1"/>
      <w:numFmt w:val="lowerRoman"/>
      <w:lvlText w:val="%6."/>
      <w:lvlJc w:val="right"/>
      <w:pPr>
        <w:tabs>
          <w:tab w:val="left" w:pos="2940"/>
        </w:tabs>
        <w:ind w:left="2940" w:hanging="420"/>
      </w:pPr>
    </w:lvl>
    <w:lvl w:ilvl="6">
      <w:start w:val="1"/>
      <w:numFmt w:val="decimal"/>
      <w:lvlText w:val="%7."/>
      <w:lvlJc w:val="left"/>
      <w:pPr>
        <w:tabs>
          <w:tab w:val="left" w:pos="3360"/>
        </w:tabs>
        <w:ind w:left="3360" w:hanging="420"/>
      </w:pPr>
    </w:lvl>
    <w:lvl w:ilvl="7">
      <w:start w:val="1"/>
      <w:numFmt w:val="lowerLetter"/>
      <w:lvlText w:val="%8)"/>
      <w:lvlJc w:val="left"/>
      <w:pPr>
        <w:tabs>
          <w:tab w:val="left" w:pos="3780"/>
        </w:tabs>
        <w:ind w:left="3780" w:hanging="420"/>
      </w:pPr>
    </w:lvl>
    <w:lvl w:ilvl="8">
      <w:start w:val="1"/>
      <w:numFmt w:val="lowerRoman"/>
      <w:lvlText w:val="%9."/>
      <w:lvlJc w:val="right"/>
      <w:pPr>
        <w:tabs>
          <w:tab w:val="left" w:pos="4200"/>
        </w:tabs>
        <w:ind w:left="4200" w:hanging="420"/>
      </w:pPr>
    </w:lvl>
  </w:abstractNum>
  <w:abstractNum w:abstractNumId="9">
    <w:nsid w:val="14506B6C"/>
    <w:multiLevelType w:val="multilevel"/>
    <w:tmpl w:val="14506B6C"/>
    <w:lvl w:ilvl="0">
      <w:start w:val="1"/>
      <w:numFmt w:val="decimal"/>
      <w:lvlText w:val="%1、"/>
      <w:lvlJc w:val="left"/>
      <w:pPr>
        <w:tabs>
          <w:tab w:val="left" w:pos="780"/>
        </w:tabs>
        <w:ind w:left="780" w:hanging="360"/>
      </w:pPr>
      <w:rPr>
        <w:rFonts w:hint="default"/>
      </w:rPr>
    </w:lvl>
    <w:lvl w:ilvl="1">
      <w:start w:val="1"/>
      <w:numFmt w:val="lowerLetter"/>
      <w:lvlText w:val="%2)"/>
      <w:lvlJc w:val="left"/>
      <w:pPr>
        <w:tabs>
          <w:tab w:val="left" w:pos="1260"/>
        </w:tabs>
        <w:ind w:left="1260" w:hanging="420"/>
      </w:pPr>
    </w:lvl>
    <w:lvl w:ilvl="2">
      <w:start w:val="1"/>
      <w:numFmt w:val="lowerRoman"/>
      <w:lvlText w:val="%3."/>
      <w:lvlJc w:val="right"/>
      <w:pPr>
        <w:tabs>
          <w:tab w:val="left" w:pos="1680"/>
        </w:tabs>
        <w:ind w:left="1680" w:hanging="420"/>
      </w:pPr>
    </w:lvl>
    <w:lvl w:ilvl="3">
      <w:start w:val="1"/>
      <w:numFmt w:val="decimal"/>
      <w:lvlText w:val="%4."/>
      <w:lvlJc w:val="left"/>
      <w:pPr>
        <w:tabs>
          <w:tab w:val="left" w:pos="2100"/>
        </w:tabs>
        <w:ind w:left="2100" w:hanging="420"/>
      </w:pPr>
    </w:lvl>
    <w:lvl w:ilvl="4">
      <w:start w:val="1"/>
      <w:numFmt w:val="lowerLetter"/>
      <w:lvlText w:val="%5)"/>
      <w:lvlJc w:val="left"/>
      <w:pPr>
        <w:tabs>
          <w:tab w:val="left" w:pos="2520"/>
        </w:tabs>
        <w:ind w:left="2520" w:hanging="420"/>
      </w:pPr>
    </w:lvl>
    <w:lvl w:ilvl="5">
      <w:start w:val="1"/>
      <w:numFmt w:val="lowerRoman"/>
      <w:lvlText w:val="%6."/>
      <w:lvlJc w:val="right"/>
      <w:pPr>
        <w:tabs>
          <w:tab w:val="left" w:pos="2940"/>
        </w:tabs>
        <w:ind w:left="2940" w:hanging="420"/>
      </w:pPr>
    </w:lvl>
    <w:lvl w:ilvl="6">
      <w:start w:val="1"/>
      <w:numFmt w:val="decimal"/>
      <w:lvlText w:val="%7."/>
      <w:lvlJc w:val="left"/>
      <w:pPr>
        <w:tabs>
          <w:tab w:val="left" w:pos="3360"/>
        </w:tabs>
        <w:ind w:left="3360" w:hanging="420"/>
      </w:pPr>
    </w:lvl>
    <w:lvl w:ilvl="7">
      <w:start w:val="1"/>
      <w:numFmt w:val="lowerLetter"/>
      <w:lvlText w:val="%8)"/>
      <w:lvlJc w:val="left"/>
      <w:pPr>
        <w:tabs>
          <w:tab w:val="left" w:pos="3780"/>
        </w:tabs>
        <w:ind w:left="3780" w:hanging="420"/>
      </w:pPr>
    </w:lvl>
    <w:lvl w:ilvl="8">
      <w:start w:val="1"/>
      <w:numFmt w:val="lowerRoman"/>
      <w:lvlText w:val="%9."/>
      <w:lvlJc w:val="right"/>
      <w:pPr>
        <w:tabs>
          <w:tab w:val="left" w:pos="4200"/>
        </w:tabs>
        <w:ind w:left="4200" w:hanging="420"/>
      </w:pPr>
    </w:lvl>
  </w:abstractNum>
  <w:abstractNum w:abstractNumId="10">
    <w:nsid w:val="14792486"/>
    <w:multiLevelType w:val="multilevel"/>
    <w:tmpl w:val="14792486"/>
    <w:lvl w:ilvl="0">
      <w:start w:val="1"/>
      <w:numFmt w:val="decimal"/>
      <w:lvlText w:val="%1、"/>
      <w:lvlJc w:val="left"/>
      <w:pPr>
        <w:tabs>
          <w:tab w:val="left" w:pos="900"/>
        </w:tabs>
        <w:ind w:left="900" w:hanging="360"/>
      </w:pPr>
      <w:rPr>
        <w:rFonts w:hint="eastAsia"/>
      </w:rPr>
    </w:lvl>
    <w:lvl w:ilvl="1">
      <w:start w:val="1"/>
      <w:numFmt w:val="lowerLetter"/>
      <w:lvlText w:val="%2)"/>
      <w:lvlJc w:val="left"/>
      <w:pPr>
        <w:tabs>
          <w:tab w:val="left" w:pos="1380"/>
        </w:tabs>
        <w:ind w:left="1380" w:hanging="420"/>
      </w:pPr>
    </w:lvl>
    <w:lvl w:ilvl="2">
      <w:start w:val="1"/>
      <w:numFmt w:val="lowerRoman"/>
      <w:lvlText w:val="%3."/>
      <w:lvlJc w:val="right"/>
      <w:pPr>
        <w:tabs>
          <w:tab w:val="left" w:pos="1800"/>
        </w:tabs>
        <w:ind w:left="1800" w:hanging="420"/>
      </w:pPr>
    </w:lvl>
    <w:lvl w:ilvl="3">
      <w:start w:val="1"/>
      <w:numFmt w:val="decimal"/>
      <w:lvlText w:val="%4."/>
      <w:lvlJc w:val="left"/>
      <w:pPr>
        <w:tabs>
          <w:tab w:val="left" w:pos="2220"/>
        </w:tabs>
        <w:ind w:left="2220" w:hanging="420"/>
      </w:pPr>
    </w:lvl>
    <w:lvl w:ilvl="4">
      <w:start w:val="1"/>
      <w:numFmt w:val="lowerLetter"/>
      <w:lvlText w:val="%5)"/>
      <w:lvlJc w:val="left"/>
      <w:pPr>
        <w:tabs>
          <w:tab w:val="left" w:pos="2640"/>
        </w:tabs>
        <w:ind w:left="2640" w:hanging="420"/>
      </w:pPr>
    </w:lvl>
    <w:lvl w:ilvl="5">
      <w:start w:val="1"/>
      <w:numFmt w:val="lowerRoman"/>
      <w:lvlText w:val="%6."/>
      <w:lvlJc w:val="right"/>
      <w:pPr>
        <w:tabs>
          <w:tab w:val="left" w:pos="3060"/>
        </w:tabs>
        <w:ind w:left="3060" w:hanging="420"/>
      </w:pPr>
    </w:lvl>
    <w:lvl w:ilvl="6">
      <w:start w:val="1"/>
      <w:numFmt w:val="decimal"/>
      <w:lvlText w:val="%7."/>
      <w:lvlJc w:val="left"/>
      <w:pPr>
        <w:tabs>
          <w:tab w:val="left" w:pos="3480"/>
        </w:tabs>
        <w:ind w:left="3480" w:hanging="420"/>
      </w:pPr>
    </w:lvl>
    <w:lvl w:ilvl="7">
      <w:start w:val="1"/>
      <w:numFmt w:val="lowerLetter"/>
      <w:lvlText w:val="%8)"/>
      <w:lvlJc w:val="left"/>
      <w:pPr>
        <w:tabs>
          <w:tab w:val="left" w:pos="3900"/>
        </w:tabs>
        <w:ind w:left="3900" w:hanging="420"/>
      </w:pPr>
    </w:lvl>
    <w:lvl w:ilvl="8">
      <w:start w:val="1"/>
      <w:numFmt w:val="lowerRoman"/>
      <w:lvlText w:val="%9."/>
      <w:lvlJc w:val="right"/>
      <w:pPr>
        <w:tabs>
          <w:tab w:val="left" w:pos="4320"/>
        </w:tabs>
        <w:ind w:left="4320" w:hanging="420"/>
      </w:pPr>
    </w:lvl>
  </w:abstractNum>
  <w:abstractNum w:abstractNumId="11">
    <w:nsid w:val="16654430"/>
    <w:multiLevelType w:val="multilevel"/>
    <w:tmpl w:val="16654430"/>
    <w:lvl w:ilvl="0">
      <w:start w:val="1"/>
      <w:numFmt w:val="decimal"/>
      <w:lvlText w:val="%1、"/>
      <w:lvlJc w:val="left"/>
      <w:pPr>
        <w:tabs>
          <w:tab w:val="left" w:pos="810"/>
        </w:tabs>
        <w:ind w:left="810" w:hanging="390"/>
      </w:pPr>
      <w:rPr>
        <w:rFonts w:hint="default"/>
      </w:rPr>
    </w:lvl>
    <w:lvl w:ilvl="1">
      <w:start w:val="1"/>
      <w:numFmt w:val="lowerLetter"/>
      <w:lvlText w:val="%2)"/>
      <w:lvlJc w:val="left"/>
      <w:pPr>
        <w:tabs>
          <w:tab w:val="left" w:pos="1260"/>
        </w:tabs>
        <w:ind w:left="1260" w:hanging="420"/>
      </w:pPr>
    </w:lvl>
    <w:lvl w:ilvl="2">
      <w:start w:val="1"/>
      <w:numFmt w:val="lowerRoman"/>
      <w:lvlText w:val="%3."/>
      <w:lvlJc w:val="right"/>
      <w:pPr>
        <w:tabs>
          <w:tab w:val="left" w:pos="1680"/>
        </w:tabs>
        <w:ind w:left="1680" w:hanging="420"/>
      </w:pPr>
    </w:lvl>
    <w:lvl w:ilvl="3">
      <w:start w:val="1"/>
      <w:numFmt w:val="decimal"/>
      <w:lvlText w:val="%4."/>
      <w:lvlJc w:val="left"/>
      <w:pPr>
        <w:tabs>
          <w:tab w:val="left" w:pos="2100"/>
        </w:tabs>
        <w:ind w:left="2100" w:hanging="420"/>
      </w:pPr>
    </w:lvl>
    <w:lvl w:ilvl="4">
      <w:start w:val="1"/>
      <w:numFmt w:val="lowerLetter"/>
      <w:lvlText w:val="%5)"/>
      <w:lvlJc w:val="left"/>
      <w:pPr>
        <w:tabs>
          <w:tab w:val="left" w:pos="2520"/>
        </w:tabs>
        <w:ind w:left="2520" w:hanging="420"/>
      </w:pPr>
    </w:lvl>
    <w:lvl w:ilvl="5">
      <w:start w:val="1"/>
      <w:numFmt w:val="lowerRoman"/>
      <w:lvlText w:val="%6."/>
      <w:lvlJc w:val="right"/>
      <w:pPr>
        <w:tabs>
          <w:tab w:val="left" w:pos="2940"/>
        </w:tabs>
        <w:ind w:left="2940" w:hanging="420"/>
      </w:pPr>
    </w:lvl>
    <w:lvl w:ilvl="6">
      <w:start w:val="1"/>
      <w:numFmt w:val="decimal"/>
      <w:lvlText w:val="%7."/>
      <w:lvlJc w:val="left"/>
      <w:pPr>
        <w:tabs>
          <w:tab w:val="left" w:pos="3360"/>
        </w:tabs>
        <w:ind w:left="3360" w:hanging="420"/>
      </w:pPr>
    </w:lvl>
    <w:lvl w:ilvl="7">
      <w:start w:val="1"/>
      <w:numFmt w:val="lowerLetter"/>
      <w:lvlText w:val="%8)"/>
      <w:lvlJc w:val="left"/>
      <w:pPr>
        <w:tabs>
          <w:tab w:val="left" w:pos="3780"/>
        </w:tabs>
        <w:ind w:left="3780" w:hanging="420"/>
      </w:pPr>
    </w:lvl>
    <w:lvl w:ilvl="8">
      <w:start w:val="1"/>
      <w:numFmt w:val="lowerRoman"/>
      <w:lvlText w:val="%9."/>
      <w:lvlJc w:val="right"/>
      <w:pPr>
        <w:tabs>
          <w:tab w:val="left" w:pos="4200"/>
        </w:tabs>
        <w:ind w:left="4200" w:hanging="420"/>
      </w:pPr>
    </w:lvl>
  </w:abstractNum>
  <w:abstractNum w:abstractNumId="12">
    <w:nsid w:val="1696AB6C"/>
    <w:multiLevelType w:val="multilevel"/>
    <w:tmpl w:val="21975181"/>
    <w:lvl w:ilvl="0">
      <w:start w:val="1"/>
      <w:numFmt w:val="decimal"/>
      <w:lvlText w:val="%1、"/>
      <w:lvlJc w:val="left"/>
      <w:pPr>
        <w:tabs>
          <w:tab w:val="left" w:pos="840"/>
        </w:tabs>
        <w:ind w:left="840" w:hanging="360"/>
      </w:pPr>
      <w:rPr>
        <w:rFonts w:hint="default"/>
      </w:rPr>
    </w:lvl>
    <w:lvl w:ilvl="1">
      <w:start w:val="1"/>
      <w:numFmt w:val="lowerLetter"/>
      <w:lvlText w:val="%2)"/>
      <w:lvlJc w:val="left"/>
      <w:pPr>
        <w:tabs>
          <w:tab w:val="left" w:pos="1320"/>
        </w:tabs>
        <w:ind w:left="1320" w:hanging="420"/>
      </w:pPr>
    </w:lvl>
    <w:lvl w:ilvl="2">
      <w:start w:val="1"/>
      <w:numFmt w:val="lowerRoman"/>
      <w:lvlText w:val="%3."/>
      <w:lvlJc w:val="right"/>
      <w:pPr>
        <w:tabs>
          <w:tab w:val="left" w:pos="1740"/>
        </w:tabs>
        <w:ind w:left="1740" w:hanging="420"/>
      </w:pPr>
    </w:lvl>
    <w:lvl w:ilvl="3">
      <w:start w:val="1"/>
      <w:numFmt w:val="decimal"/>
      <w:lvlText w:val="%4."/>
      <w:lvlJc w:val="left"/>
      <w:pPr>
        <w:tabs>
          <w:tab w:val="left" w:pos="2160"/>
        </w:tabs>
        <w:ind w:left="2160" w:hanging="420"/>
      </w:pPr>
    </w:lvl>
    <w:lvl w:ilvl="4">
      <w:start w:val="1"/>
      <w:numFmt w:val="lowerLetter"/>
      <w:lvlText w:val="%5)"/>
      <w:lvlJc w:val="left"/>
      <w:pPr>
        <w:tabs>
          <w:tab w:val="left" w:pos="2580"/>
        </w:tabs>
        <w:ind w:left="2580" w:hanging="420"/>
      </w:pPr>
    </w:lvl>
    <w:lvl w:ilvl="5">
      <w:start w:val="1"/>
      <w:numFmt w:val="lowerRoman"/>
      <w:lvlText w:val="%6."/>
      <w:lvlJc w:val="right"/>
      <w:pPr>
        <w:tabs>
          <w:tab w:val="left" w:pos="3000"/>
        </w:tabs>
        <w:ind w:left="3000" w:hanging="420"/>
      </w:pPr>
    </w:lvl>
    <w:lvl w:ilvl="6">
      <w:start w:val="1"/>
      <w:numFmt w:val="decimal"/>
      <w:lvlText w:val="%7."/>
      <w:lvlJc w:val="left"/>
      <w:pPr>
        <w:tabs>
          <w:tab w:val="left" w:pos="3420"/>
        </w:tabs>
        <w:ind w:left="3420" w:hanging="420"/>
      </w:pPr>
    </w:lvl>
    <w:lvl w:ilvl="7">
      <w:start w:val="1"/>
      <w:numFmt w:val="lowerLetter"/>
      <w:lvlText w:val="%8)"/>
      <w:lvlJc w:val="left"/>
      <w:pPr>
        <w:tabs>
          <w:tab w:val="left" w:pos="3840"/>
        </w:tabs>
        <w:ind w:left="3840" w:hanging="420"/>
      </w:pPr>
    </w:lvl>
    <w:lvl w:ilvl="8">
      <w:start w:val="1"/>
      <w:numFmt w:val="lowerRoman"/>
      <w:lvlText w:val="%9."/>
      <w:lvlJc w:val="right"/>
      <w:pPr>
        <w:tabs>
          <w:tab w:val="left" w:pos="4260"/>
        </w:tabs>
        <w:ind w:left="4260" w:hanging="420"/>
      </w:pPr>
    </w:lvl>
  </w:abstractNum>
  <w:abstractNum w:abstractNumId="13">
    <w:nsid w:val="17106CCA"/>
    <w:multiLevelType w:val="multilevel"/>
    <w:tmpl w:val="17106CCA"/>
    <w:lvl w:ilvl="0">
      <w:start w:val="1"/>
      <w:numFmt w:val="decimal"/>
      <w:lvlText w:val="%1、"/>
      <w:lvlJc w:val="left"/>
      <w:pPr>
        <w:tabs>
          <w:tab w:val="left" w:pos="810"/>
        </w:tabs>
        <w:ind w:left="810" w:hanging="360"/>
      </w:pPr>
      <w:rPr>
        <w:rFonts w:hint="eastAsia"/>
      </w:rPr>
    </w:lvl>
    <w:lvl w:ilvl="1">
      <w:start w:val="1"/>
      <w:numFmt w:val="lowerLetter"/>
      <w:lvlText w:val="%2)"/>
      <w:lvlJc w:val="left"/>
      <w:pPr>
        <w:tabs>
          <w:tab w:val="left" w:pos="1290"/>
        </w:tabs>
        <w:ind w:left="1290" w:hanging="420"/>
      </w:pPr>
    </w:lvl>
    <w:lvl w:ilvl="2">
      <w:start w:val="1"/>
      <w:numFmt w:val="lowerRoman"/>
      <w:lvlText w:val="%3."/>
      <w:lvlJc w:val="right"/>
      <w:pPr>
        <w:tabs>
          <w:tab w:val="left" w:pos="1710"/>
        </w:tabs>
        <w:ind w:left="1710" w:hanging="420"/>
      </w:pPr>
    </w:lvl>
    <w:lvl w:ilvl="3">
      <w:start w:val="1"/>
      <w:numFmt w:val="decimal"/>
      <w:lvlText w:val="%4."/>
      <w:lvlJc w:val="left"/>
      <w:pPr>
        <w:tabs>
          <w:tab w:val="left" w:pos="2130"/>
        </w:tabs>
        <w:ind w:left="2130" w:hanging="420"/>
      </w:pPr>
    </w:lvl>
    <w:lvl w:ilvl="4">
      <w:start w:val="1"/>
      <w:numFmt w:val="lowerLetter"/>
      <w:lvlText w:val="%5)"/>
      <w:lvlJc w:val="left"/>
      <w:pPr>
        <w:tabs>
          <w:tab w:val="left" w:pos="2550"/>
        </w:tabs>
        <w:ind w:left="2550" w:hanging="420"/>
      </w:pPr>
    </w:lvl>
    <w:lvl w:ilvl="5">
      <w:start w:val="1"/>
      <w:numFmt w:val="lowerRoman"/>
      <w:lvlText w:val="%6."/>
      <w:lvlJc w:val="right"/>
      <w:pPr>
        <w:tabs>
          <w:tab w:val="left" w:pos="2970"/>
        </w:tabs>
        <w:ind w:left="2970" w:hanging="420"/>
      </w:pPr>
    </w:lvl>
    <w:lvl w:ilvl="6">
      <w:start w:val="1"/>
      <w:numFmt w:val="decimal"/>
      <w:lvlText w:val="%7."/>
      <w:lvlJc w:val="left"/>
      <w:pPr>
        <w:tabs>
          <w:tab w:val="left" w:pos="3390"/>
        </w:tabs>
        <w:ind w:left="3390" w:hanging="420"/>
      </w:pPr>
    </w:lvl>
    <w:lvl w:ilvl="7">
      <w:start w:val="1"/>
      <w:numFmt w:val="lowerLetter"/>
      <w:lvlText w:val="%8)"/>
      <w:lvlJc w:val="left"/>
      <w:pPr>
        <w:tabs>
          <w:tab w:val="left" w:pos="3810"/>
        </w:tabs>
        <w:ind w:left="3810" w:hanging="420"/>
      </w:pPr>
    </w:lvl>
    <w:lvl w:ilvl="8">
      <w:start w:val="1"/>
      <w:numFmt w:val="lowerRoman"/>
      <w:lvlText w:val="%9."/>
      <w:lvlJc w:val="right"/>
      <w:pPr>
        <w:tabs>
          <w:tab w:val="left" w:pos="4230"/>
        </w:tabs>
        <w:ind w:left="4230" w:hanging="420"/>
      </w:pPr>
    </w:lvl>
  </w:abstractNum>
  <w:abstractNum w:abstractNumId="14">
    <w:nsid w:val="198A7BAA"/>
    <w:multiLevelType w:val="multilevel"/>
    <w:tmpl w:val="198A7BAA"/>
    <w:lvl w:ilvl="0">
      <w:start w:val="3"/>
      <w:numFmt w:val="decimal"/>
      <w:lvlText w:val="%1、"/>
      <w:lvlJc w:val="left"/>
      <w:pPr>
        <w:tabs>
          <w:tab w:val="left" w:pos="719"/>
        </w:tabs>
        <w:ind w:left="719" w:hanging="360"/>
      </w:pPr>
      <w:rPr>
        <w:rFonts w:hint="default"/>
      </w:rPr>
    </w:lvl>
    <w:lvl w:ilvl="1">
      <w:start w:val="1"/>
      <w:numFmt w:val="upperRoman"/>
      <w:lvlText w:val="%2、"/>
      <w:lvlJc w:val="left"/>
      <w:pPr>
        <w:tabs>
          <w:tab w:val="left" w:pos="1499"/>
        </w:tabs>
        <w:ind w:left="1499" w:hanging="720"/>
      </w:pPr>
      <w:rPr>
        <w:rFonts w:hint="default"/>
      </w:rPr>
    </w:lvl>
    <w:lvl w:ilvl="2">
      <w:start w:val="1"/>
      <w:numFmt w:val="lowerRoman"/>
      <w:lvlText w:val="%3."/>
      <w:lvlJc w:val="right"/>
      <w:pPr>
        <w:tabs>
          <w:tab w:val="left" w:pos="1619"/>
        </w:tabs>
        <w:ind w:left="1619" w:hanging="420"/>
      </w:pPr>
    </w:lvl>
    <w:lvl w:ilvl="3">
      <w:start w:val="1"/>
      <w:numFmt w:val="decimal"/>
      <w:lvlText w:val="%4."/>
      <w:lvlJc w:val="left"/>
      <w:pPr>
        <w:tabs>
          <w:tab w:val="left" w:pos="2039"/>
        </w:tabs>
        <w:ind w:left="2039" w:hanging="420"/>
      </w:pPr>
    </w:lvl>
    <w:lvl w:ilvl="4">
      <w:start w:val="1"/>
      <w:numFmt w:val="lowerLetter"/>
      <w:lvlText w:val="%5)"/>
      <w:lvlJc w:val="left"/>
      <w:pPr>
        <w:tabs>
          <w:tab w:val="left" w:pos="2459"/>
        </w:tabs>
        <w:ind w:left="2459" w:hanging="420"/>
      </w:pPr>
    </w:lvl>
    <w:lvl w:ilvl="5">
      <w:start w:val="1"/>
      <w:numFmt w:val="lowerRoman"/>
      <w:lvlText w:val="%6."/>
      <w:lvlJc w:val="right"/>
      <w:pPr>
        <w:tabs>
          <w:tab w:val="left" w:pos="2879"/>
        </w:tabs>
        <w:ind w:left="2879" w:hanging="420"/>
      </w:pPr>
    </w:lvl>
    <w:lvl w:ilvl="6">
      <w:start w:val="1"/>
      <w:numFmt w:val="decimal"/>
      <w:lvlText w:val="%7."/>
      <w:lvlJc w:val="left"/>
      <w:pPr>
        <w:tabs>
          <w:tab w:val="left" w:pos="3299"/>
        </w:tabs>
        <w:ind w:left="3299" w:hanging="420"/>
      </w:pPr>
    </w:lvl>
    <w:lvl w:ilvl="7">
      <w:start w:val="1"/>
      <w:numFmt w:val="lowerLetter"/>
      <w:lvlText w:val="%8)"/>
      <w:lvlJc w:val="left"/>
      <w:pPr>
        <w:tabs>
          <w:tab w:val="left" w:pos="3719"/>
        </w:tabs>
        <w:ind w:left="3719" w:hanging="420"/>
      </w:pPr>
    </w:lvl>
    <w:lvl w:ilvl="8">
      <w:start w:val="1"/>
      <w:numFmt w:val="lowerRoman"/>
      <w:lvlText w:val="%9."/>
      <w:lvlJc w:val="right"/>
      <w:pPr>
        <w:tabs>
          <w:tab w:val="left" w:pos="4139"/>
        </w:tabs>
        <w:ind w:left="4139" w:hanging="420"/>
      </w:pPr>
    </w:lvl>
  </w:abstractNum>
  <w:abstractNum w:abstractNumId="15">
    <w:nsid w:val="1C575FF5"/>
    <w:multiLevelType w:val="multilevel"/>
    <w:tmpl w:val="14792486"/>
    <w:lvl w:ilvl="0">
      <w:start w:val="1"/>
      <w:numFmt w:val="decimal"/>
      <w:lvlText w:val="%1、"/>
      <w:lvlJc w:val="left"/>
      <w:pPr>
        <w:tabs>
          <w:tab w:val="left" w:pos="900"/>
        </w:tabs>
        <w:ind w:left="900" w:hanging="360"/>
      </w:pPr>
      <w:rPr>
        <w:rFonts w:hint="eastAsia"/>
      </w:rPr>
    </w:lvl>
    <w:lvl w:ilvl="1">
      <w:start w:val="1"/>
      <w:numFmt w:val="lowerLetter"/>
      <w:lvlText w:val="%2)"/>
      <w:lvlJc w:val="left"/>
      <w:pPr>
        <w:tabs>
          <w:tab w:val="left" w:pos="1380"/>
        </w:tabs>
        <w:ind w:left="1380" w:hanging="420"/>
      </w:pPr>
    </w:lvl>
    <w:lvl w:ilvl="2">
      <w:start w:val="1"/>
      <w:numFmt w:val="lowerRoman"/>
      <w:lvlText w:val="%3."/>
      <w:lvlJc w:val="right"/>
      <w:pPr>
        <w:tabs>
          <w:tab w:val="left" w:pos="1800"/>
        </w:tabs>
        <w:ind w:left="1800" w:hanging="420"/>
      </w:pPr>
    </w:lvl>
    <w:lvl w:ilvl="3">
      <w:start w:val="1"/>
      <w:numFmt w:val="decimal"/>
      <w:lvlText w:val="%4."/>
      <w:lvlJc w:val="left"/>
      <w:pPr>
        <w:tabs>
          <w:tab w:val="left" w:pos="2220"/>
        </w:tabs>
        <w:ind w:left="2220" w:hanging="420"/>
      </w:pPr>
    </w:lvl>
    <w:lvl w:ilvl="4">
      <w:start w:val="1"/>
      <w:numFmt w:val="lowerLetter"/>
      <w:lvlText w:val="%5)"/>
      <w:lvlJc w:val="left"/>
      <w:pPr>
        <w:tabs>
          <w:tab w:val="left" w:pos="2640"/>
        </w:tabs>
        <w:ind w:left="2640" w:hanging="420"/>
      </w:pPr>
    </w:lvl>
    <w:lvl w:ilvl="5">
      <w:start w:val="1"/>
      <w:numFmt w:val="lowerRoman"/>
      <w:lvlText w:val="%6."/>
      <w:lvlJc w:val="right"/>
      <w:pPr>
        <w:tabs>
          <w:tab w:val="left" w:pos="3060"/>
        </w:tabs>
        <w:ind w:left="3060" w:hanging="420"/>
      </w:pPr>
    </w:lvl>
    <w:lvl w:ilvl="6">
      <w:start w:val="1"/>
      <w:numFmt w:val="decimal"/>
      <w:lvlText w:val="%7."/>
      <w:lvlJc w:val="left"/>
      <w:pPr>
        <w:tabs>
          <w:tab w:val="left" w:pos="3480"/>
        </w:tabs>
        <w:ind w:left="3480" w:hanging="420"/>
      </w:pPr>
    </w:lvl>
    <w:lvl w:ilvl="7">
      <w:start w:val="1"/>
      <w:numFmt w:val="lowerLetter"/>
      <w:lvlText w:val="%8)"/>
      <w:lvlJc w:val="left"/>
      <w:pPr>
        <w:tabs>
          <w:tab w:val="left" w:pos="3900"/>
        </w:tabs>
        <w:ind w:left="3900" w:hanging="420"/>
      </w:pPr>
    </w:lvl>
    <w:lvl w:ilvl="8">
      <w:start w:val="1"/>
      <w:numFmt w:val="lowerRoman"/>
      <w:lvlText w:val="%9."/>
      <w:lvlJc w:val="right"/>
      <w:pPr>
        <w:tabs>
          <w:tab w:val="left" w:pos="4320"/>
        </w:tabs>
        <w:ind w:left="4320" w:hanging="420"/>
      </w:pPr>
    </w:lvl>
  </w:abstractNum>
  <w:abstractNum w:abstractNumId="16">
    <w:nsid w:val="1D4A1CF7"/>
    <w:multiLevelType w:val="multilevel"/>
    <w:tmpl w:val="42FD13EE"/>
    <w:lvl w:ilvl="0">
      <w:start w:val="1"/>
      <w:numFmt w:val="decimal"/>
      <w:lvlText w:val="%1、"/>
      <w:lvlJc w:val="left"/>
      <w:pPr>
        <w:tabs>
          <w:tab w:val="left" w:pos="840"/>
        </w:tabs>
        <w:ind w:left="840" w:hanging="360"/>
      </w:pPr>
      <w:rPr>
        <w:rFonts w:hint="default"/>
      </w:rPr>
    </w:lvl>
    <w:lvl w:ilvl="1">
      <w:start w:val="1"/>
      <w:numFmt w:val="lowerLetter"/>
      <w:lvlText w:val="%2)"/>
      <w:lvlJc w:val="left"/>
      <w:pPr>
        <w:tabs>
          <w:tab w:val="left" w:pos="1320"/>
        </w:tabs>
        <w:ind w:left="1320" w:hanging="420"/>
      </w:pPr>
    </w:lvl>
    <w:lvl w:ilvl="2">
      <w:start w:val="1"/>
      <w:numFmt w:val="lowerRoman"/>
      <w:lvlText w:val="%3."/>
      <w:lvlJc w:val="right"/>
      <w:pPr>
        <w:tabs>
          <w:tab w:val="left" w:pos="1740"/>
        </w:tabs>
        <w:ind w:left="1740" w:hanging="420"/>
      </w:pPr>
    </w:lvl>
    <w:lvl w:ilvl="3">
      <w:start w:val="1"/>
      <w:numFmt w:val="decimal"/>
      <w:lvlText w:val="%4."/>
      <w:lvlJc w:val="left"/>
      <w:pPr>
        <w:tabs>
          <w:tab w:val="left" w:pos="2160"/>
        </w:tabs>
        <w:ind w:left="2160" w:hanging="420"/>
      </w:pPr>
    </w:lvl>
    <w:lvl w:ilvl="4">
      <w:start w:val="1"/>
      <w:numFmt w:val="lowerLetter"/>
      <w:lvlText w:val="%5)"/>
      <w:lvlJc w:val="left"/>
      <w:pPr>
        <w:tabs>
          <w:tab w:val="left" w:pos="2580"/>
        </w:tabs>
        <w:ind w:left="2580" w:hanging="420"/>
      </w:pPr>
    </w:lvl>
    <w:lvl w:ilvl="5">
      <w:start w:val="1"/>
      <w:numFmt w:val="lowerRoman"/>
      <w:lvlText w:val="%6."/>
      <w:lvlJc w:val="right"/>
      <w:pPr>
        <w:tabs>
          <w:tab w:val="left" w:pos="3000"/>
        </w:tabs>
        <w:ind w:left="3000" w:hanging="420"/>
      </w:pPr>
    </w:lvl>
    <w:lvl w:ilvl="6">
      <w:start w:val="1"/>
      <w:numFmt w:val="decimal"/>
      <w:lvlText w:val="%7."/>
      <w:lvlJc w:val="left"/>
      <w:pPr>
        <w:tabs>
          <w:tab w:val="left" w:pos="3420"/>
        </w:tabs>
        <w:ind w:left="3420" w:hanging="420"/>
      </w:pPr>
    </w:lvl>
    <w:lvl w:ilvl="7">
      <w:start w:val="1"/>
      <w:numFmt w:val="lowerLetter"/>
      <w:lvlText w:val="%8)"/>
      <w:lvlJc w:val="left"/>
      <w:pPr>
        <w:tabs>
          <w:tab w:val="left" w:pos="3840"/>
        </w:tabs>
        <w:ind w:left="3840" w:hanging="420"/>
      </w:pPr>
    </w:lvl>
    <w:lvl w:ilvl="8">
      <w:start w:val="1"/>
      <w:numFmt w:val="lowerRoman"/>
      <w:lvlText w:val="%9."/>
      <w:lvlJc w:val="right"/>
      <w:pPr>
        <w:tabs>
          <w:tab w:val="left" w:pos="4260"/>
        </w:tabs>
        <w:ind w:left="4260" w:hanging="420"/>
      </w:pPr>
    </w:lvl>
  </w:abstractNum>
  <w:abstractNum w:abstractNumId="17">
    <w:nsid w:val="2152062A"/>
    <w:multiLevelType w:val="multilevel"/>
    <w:tmpl w:val="2152062A"/>
    <w:lvl w:ilvl="0">
      <w:start w:val="1"/>
      <w:numFmt w:val="decimal"/>
      <w:lvlText w:val="%1、"/>
      <w:lvlJc w:val="left"/>
      <w:pPr>
        <w:tabs>
          <w:tab w:val="left" w:pos="690"/>
        </w:tabs>
        <w:ind w:left="690" w:hanging="360"/>
      </w:pPr>
      <w:rPr>
        <w:rFonts w:hint="default"/>
      </w:rPr>
    </w:lvl>
    <w:lvl w:ilvl="1">
      <w:start w:val="1"/>
      <w:numFmt w:val="lowerLetter"/>
      <w:lvlText w:val="%2)"/>
      <w:lvlJc w:val="left"/>
      <w:pPr>
        <w:tabs>
          <w:tab w:val="left" w:pos="1170"/>
        </w:tabs>
        <w:ind w:left="1170" w:hanging="420"/>
      </w:pPr>
    </w:lvl>
    <w:lvl w:ilvl="2">
      <w:start w:val="1"/>
      <w:numFmt w:val="lowerRoman"/>
      <w:lvlText w:val="%3."/>
      <w:lvlJc w:val="right"/>
      <w:pPr>
        <w:tabs>
          <w:tab w:val="left" w:pos="1590"/>
        </w:tabs>
        <w:ind w:left="1590" w:hanging="420"/>
      </w:pPr>
    </w:lvl>
    <w:lvl w:ilvl="3">
      <w:start w:val="1"/>
      <w:numFmt w:val="decimal"/>
      <w:lvlText w:val="%4."/>
      <w:lvlJc w:val="left"/>
      <w:pPr>
        <w:tabs>
          <w:tab w:val="left" w:pos="2010"/>
        </w:tabs>
        <w:ind w:left="2010" w:hanging="420"/>
      </w:pPr>
    </w:lvl>
    <w:lvl w:ilvl="4">
      <w:start w:val="1"/>
      <w:numFmt w:val="lowerLetter"/>
      <w:lvlText w:val="%5)"/>
      <w:lvlJc w:val="left"/>
      <w:pPr>
        <w:tabs>
          <w:tab w:val="left" w:pos="2430"/>
        </w:tabs>
        <w:ind w:left="2430" w:hanging="420"/>
      </w:pPr>
    </w:lvl>
    <w:lvl w:ilvl="5">
      <w:start w:val="1"/>
      <w:numFmt w:val="lowerRoman"/>
      <w:lvlText w:val="%6."/>
      <w:lvlJc w:val="right"/>
      <w:pPr>
        <w:tabs>
          <w:tab w:val="left" w:pos="2850"/>
        </w:tabs>
        <w:ind w:left="2850" w:hanging="420"/>
      </w:pPr>
    </w:lvl>
    <w:lvl w:ilvl="6">
      <w:start w:val="1"/>
      <w:numFmt w:val="decimal"/>
      <w:lvlText w:val="%7."/>
      <w:lvlJc w:val="left"/>
      <w:pPr>
        <w:tabs>
          <w:tab w:val="left" w:pos="3270"/>
        </w:tabs>
        <w:ind w:left="3270" w:hanging="420"/>
      </w:pPr>
    </w:lvl>
    <w:lvl w:ilvl="7">
      <w:start w:val="1"/>
      <w:numFmt w:val="lowerLetter"/>
      <w:lvlText w:val="%8)"/>
      <w:lvlJc w:val="left"/>
      <w:pPr>
        <w:tabs>
          <w:tab w:val="left" w:pos="3690"/>
        </w:tabs>
        <w:ind w:left="3690" w:hanging="420"/>
      </w:pPr>
    </w:lvl>
    <w:lvl w:ilvl="8">
      <w:start w:val="1"/>
      <w:numFmt w:val="lowerRoman"/>
      <w:lvlText w:val="%9."/>
      <w:lvlJc w:val="right"/>
      <w:pPr>
        <w:tabs>
          <w:tab w:val="left" w:pos="4110"/>
        </w:tabs>
        <w:ind w:left="4110" w:hanging="420"/>
      </w:pPr>
    </w:lvl>
  </w:abstractNum>
  <w:abstractNum w:abstractNumId="18">
    <w:nsid w:val="21975181"/>
    <w:multiLevelType w:val="multilevel"/>
    <w:tmpl w:val="21975181"/>
    <w:lvl w:ilvl="0">
      <w:start w:val="1"/>
      <w:numFmt w:val="decimal"/>
      <w:lvlText w:val="%1、"/>
      <w:lvlJc w:val="left"/>
      <w:pPr>
        <w:tabs>
          <w:tab w:val="left" w:pos="840"/>
        </w:tabs>
        <w:ind w:left="840" w:hanging="360"/>
      </w:pPr>
      <w:rPr>
        <w:rFonts w:hint="default"/>
      </w:rPr>
    </w:lvl>
    <w:lvl w:ilvl="1">
      <w:start w:val="1"/>
      <w:numFmt w:val="lowerLetter"/>
      <w:lvlText w:val="%2)"/>
      <w:lvlJc w:val="left"/>
      <w:pPr>
        <w:tabs>
          <w:tab w:val="left" w:pos="1320"/>
        </w:tabs>
        <w:ind w:left="1320" w:hanging="420"/>
      </w:pPr>
    </w:lvl>
    <w:lvl w:ilvl="2">
      <w:start w:val="1"/>
      <w:numFmt w:val="lowerRoman"/>
      <w:lvlText w:val="%3."/>
      <w:lvlJc w:val="right"/>
      <w:pPr>
        <w:tabs>
          <w:tab w:val="left" w:pos="1740"/>
        </w:tabs>
        <w:ind w:left="1740" w:hanging="420"/>
      </w:pPr>
    </w:lvl>
    <w:lvl w:ilvl="3">
      <w:start w:val="1"/>
      <w:numFmt w:val="decimal"/>
      <w:lvlText w:val="%4."/>
      <w:lvlJc w:val="left"/>
      <w:pPr>
        <w:tabs>
          <w:tab w:val="left" w:pos="2160"/>
        </w:tabs>
        <w:ind w:left="2160" w:hanging="420"/>
      </w:pPr>
    </w:lvl>
    <w:lvl w:ilvl="4">
      <w:start w:val="1"/>
      <w:numFmt w:val="lowerLetter"/>
      <w:lvlText w:val="%5)"/>
      <w:lvlJc w:val="left"/>
      <w:pPr>
        <w:tabs>
          <w:tab w:val="left" w:pos="2580"/>
        </w:tabs>
        <w:ind w:left="2580" w:hanging="420"/>
      </w:pPr>
    </w:lvl>
    <w:lvl w:ilvl="5">
      <w:start w:val="1"/>
      <w:numFmt w:val="lowerRoman"/>
      <w:lvlText w:val="%6."/>
      <w:lvlJc w:val="right"/>
      <w:pPr>
        <w:tabs>
          <w:tab w:val="left" w:pos="3000"/>
        </w:tabs>
        <w:ind w:left="3000" w:hanging="420"/>
      </w:pPr>
    </w:lvl>
    <w:lvl w:ilvl="6">
      <w:start w:val="1"/>
      <w:numFmt w:val="decimal"/>
      <w:lvlText w:val="%7."/>
      <w:lvlJc w:val="left"/>
      <w:pPr>
        <w:tabs>
          <w:tab w:val="left" w:pos="3420"/>
        </w:tabs>
        <w:ind w:left="3420" w:hanging="420"/>
      </w:pPr>
    </w:lvl>
    <w:lvl w:ilvl="7">
      <w:start w:val="1"/>
      <w:numFmt w:val="lowerLetter"/>
      <w:lvlText w:val="%8)"/>
      <w:lvlJc w:val="left"/>
      <w:pPr>
        <w:tabs>
          <w:tab w:val="left" w:pos="3840"/>
        </w:tabs>
        <w:ind w:left="3840" w:hanging="420"/>
      </w:pPr>
    </w:lvl>
    <w:lvl w:ilvl="8">
      <w:start w:val="1"/>
      <w:numFmt w:val="lowerRoman"/>
      <w:lvlText w:val="%9."/>
      <w:lvlJc w:val="right"/>
      <w:pPr>
        <w:tabs>
          <w:tab w:val="left" w:pos="4260"/>
        </w:tabs>
        <w:ind w:left="4260" w:hanging="420"/>
      </w:pPr>
    </w:lvl>
  </w:abstractNum>
  <w:abstractNum w:abstractNumId="19">
    <w:nsid w:val="2400452C"/>
    <w:multiLevelType w:val="multilevel"/>
    <w:tmpl w:val="2400452C"/>
    <w:lvl w:ilvl="0">
      <w:start w:val="1"/>
      <w:numFmt w:val="decimal"/>
      <w:lvlText w:val="%1、"/>
      <w:lvlJc w:val="left"/>
      <w:pPr>
        <w:tabs>
          <w:tab w:val="left" w:pos="675"/>
        </w:tabs>
        <w:ind w:left="675" w:hanging="360"/>
      </w:pPr>
      <w:rPr>
        <w:rFonts w:hint="default"/>
      </w:rPr>
    </w:lvl>
    <w:lvl w:ilvl="1">
      <w:start w:val="1"/>
      <w:numFmt w:val="lowerLetter"/>
      <w:lvlText w:val="%2)"/>
      <w:lvlJc w:val="left"/>
      <w:pPr>
        <w:tabs>
          <w:tab w:val="left" w:pos="1155"/>
        </w:tabs>
        <w:ind w:left="1155" w:hanging="420"/>
      </w:pPr>
    </w:lvl>
    <w:lvl w:ilvl="2">
      <w:start w:val="1"/>
      <w:numFmt w:val="lowerRoman"/>
      <w:lvlText w:val="%3."/>
      <w:lvlJc w:val="right"/>
      <w:pPr>
        <w:tabs>
          <w:tab w:val="left" w:pos="1575"/>
        </w:tabs>
        <w:ind w:left="1575" w:hanging="420"/>
      </w:pPr>
    </w:lvl>
    <w:lvl w:ilvl="3">
      <w:start w:val="1"/>
      <w:numFmt w:val="decimal"/>
      <w:lvlText w:val="%4."/>
      <w:lvlJc w:val="left"/>
      <w:pPr>
        <w:tabs>
          <w:tab w:val="left" w:pos="1995"/>
        </w:tabs>
        <w:ind w:left="1995" w:hanging="420"/>
      </w:pPr>
    </w:lvl>
    <w:lvl w:ilvl="4">
      <w:start w:val="1"/>
      <w:numFmt w:val="lowerLetter"/>
      <w:lvlText w:val="%5)"/>
      <w:lvlJc w:val="left"/>
      <w:pPr>
        <w:tabs>
          <w:tab w:val="left" w:pos="2415"/>
        </w:tabs>
        <w:ind w:left="2415" w:hanging="420"/>
      </w:pPr>
    </w:lvl>
    <w:lvl w:ilvl="5">
      <w:start w:val="1"/>
      <w:numFmt w:val="lowerRoman"/>
      <w:lvlText w:val="%6."/>
      <w:lvlJc w:val="right"/>
      <w:pPr>
        <w:tabs>
          <w:tab w:val="left" w:pos="2835"/>
        </w:tabs>
        <w:ind w:left="2835" w:hanging="420"/>
      </w:pPr>
    </w:lvl>
    <w:lvl w:ilvl="6">
      <w:start w:val="1"/>
      <w:numFmt w:val="decimal"/>
      <w:lvlText w:val="%7."/>
      <w:lvlJc w:val="left"/>
      <w:pPr>
        <w:tabs>
          <w:tab w:val="left" w:pos="3255"/>
        </w:tabs>
        <w:ind w:left="3255" w:hanging="420"/>
      </w:pPr>
    </w:lvl>
    <w:lvl w:ilvl="7">
      <w:start w:val="1"/>
      <w:numFmt w:val="lowerLetter"/>
      <w:lvlText w:val="%8)"/>
      <w:lvlJc w:val="left"/>
      <w:pPr>
        <w:tabs>
          <w:tab w:val="left" w:pos="3675"/>
        </w:tabs>
        <w:ind w:left="3675" w:hanging="420"/>
      </w:pPr>
    </w:lvl>
    <w:lvl w:ilvl="8">
      <w:start w:val="1"/>
      <w:numFmt w:val="lowerRoman"/>
      <w:lvlText w:val="%9."/>
      <w:lvlJc w:val="right"/>
      <w:pPr>
        <w:tabs>
          <w:tab w:val="left" w:pos="4095"/>
        </w:tabs>
        <w:ind w:left="4095" w:hanging="420"/>
      </w:pPr>
    </w:lvl>
  </w:abstractNum>
  <w:abstractNum w:abstractNumId="20">
    <w:nsid w:val="256F3AA6"/>
    <w:multiLevelType w:val="multilevel"/>
    <w:tmpl w:val="256F3AA6"/>
    <w:lvl w:ilvl="0">
      <w:start w:val="1"/>
      <w:numFmt w:val="decimal"/>
      <w:lvlText w:val="%1、"/>
      <w:lvlJc w:val="left"/>
      <w:pPr>
        <w:tabs>
          <w:tab w:val="left" w:pos="795"/>
        </w:tabs>
        <w:ind w:left="795" w:hanging="360"/>
      </w:pPr>
      <w:rPr>
        <w:rFonts w:hint="default"/>
      </w:rPr>
    </w:lvl>
    <w:lvl w:ilvl="1">
      <w:start w:val="1"/>
      <w:numFmt w:val="lowerLetter"/>
      <w:lvlText w:val="%2)"/>
      <w:lvlJc w:val="left"/>
      <w:pPr>
        <w:tabs>
          <w:tab w:val="left" w:pos="1275"/>
        </w:tabs>
        <w:ind w:left="1275" w:hanging="420"/>
      </w:pPr>
    </w:lvl>
    <w:lvl w:ilvl="2">
      <w:start w:val="1"/>
      <w:numFmt w:val="lowerRoman"/>
      <w:lvlText w:val="%3."/>
      <w:lvlJc w:val="right"/>
      <w:pPr>
        <w:tabs>
          <w:tab w:val="left" w:pos="1695"/>
        </w:tabs>
        <w:ind w:left="1695" w:hanging="420"/>
      </w:pPr>
    </w:lvl>
    <w:lvl w:ilvl="3">
      <w:start w:val="1"/>
      <w:numFmt w:val="decimal"/>
      <w:lvlText w:val="%4."/>
      <w:lvlJc w:val="left"/>
      <w:pPr>
        <w:tabs>
          <w:tab w:val="left" w:pos="2115"/>
        </w:tabs>
        <w:ind w:left="2115" w:hanging="420"/>
      </w:pPr>
    </w:lvl>
    <w:lvl w:ilvl="4">
      <w:start w:val="1"/>
      <w:numFmt w:val="lowerLetter"/>
      <w:lvlText w:val="%5)"/>
      <w:lvlJc w:val="left"/>
      <w:pPr>
        <w:tabs>
          <w:tab w:val="left" w:pos="2535"/>
        </w:tabs>
        <w:ind w:left="2535" w:hanging="420"/>
      </w:pPr>
    </w:lvl>
    <w:lvl w:ilvl="5">
      <w:start w:val="1"/>
      <w:numFmt w:val="lowerRoman"/>
      <w:lvlText w:val="%6."/>
      <w:lvlJc w:val="right"/>
      <w:pPr>
        <w:tabs>
          <w:tab w:val="left" w:pos="2955"/>
        </w:tabs>
        <w:ind w:left="2955" w:hanging="420"/>
      </w:pPr>
    </w:lvl>
    <w:lvl w:ilvl="6">
      <w:start w:val="1"/>
      <w:numFmt w:val="decimal"/>
      <w:lvlText w:val="%7."/>
      <w:lvlJc w:val="left"/>
      <w:pPr>
        <w:tabs>
          <w:tab w:val="left" w:pos="3375"/>
        </w:tabs>
        <w:ind w:left="3375" w:hanging="420"/>
      </w:pPr>
    </w:lvl>
    <w:lvl w:ilvl="7">
      <w:start w:val="1"/>
      <w:numFmt w:val="lowerLetter"/>
      <w:lvlText w:val="%8)"/>
      <w:lvlJc w:val="left"/>
      <w:pPr>
        <w:tabs>
          <w:tab w:val="left" w:pos="3795"/>
        </w:tabs>
        <w:ind w:left="3795" w:hanging="420"/>
      </w:pPr>
    </w:lvl>
    <w:lvl w:ilvl="8">
      <w:start w:val="1"/>
      <w:numFmt w:val="lowerRoman"/>
      <w:lvlText w:val="%9."/>
      <w:lvlJc w:val="right"/>
      <w:pPr>
        <w:tabs>
          <w:tab w:val="left" w:pos="4215"/>
        </w:tabs>
        <w:ind w:left="4215" w:hanging="420"/>
      </w:pPr>
    </w:lvl>
  </w:abstractNum>
  <w:abstractNum w:abstractNumId="21">
    <w:nsid w:val="25BE2FE8"/>
    <w:multiLevelType w:val="multilevel"/>
    <w:tmpl w:val="70263111"/>
    <w:lvl w:ilvl="0">
      <w:start w:val="1"/>
      <w:numFmt w:val="decimal"/>
      <w:lvlText w:val="%1、"/>
      <w:lvlJc w:val="left"/>
      <w:pPr>
        <w:tabs>
          <w:tab w:val="left" w:pos="780"/>
        </w:tabs>
        <w:ind w:left="780" w:hanging="360"/>
      </w:pPr>
      <w:rPr>
        <w:rFonts w:ascii="Times New Roman" w:eastAsia="Times New Roman" w:hAnsi="Times New Roman" w:cs="Times New Roman"/>
      </w:rPr>
    </w:lvl>
    <w:lvl w:ilvl="1">
      <w:start w:val="1"/>
      <w:numFmt w:val="decimal"/>
      <w:lvlText w:val="%2、"/>
      <w:lvlJc w:val="left"/>
      <w:pPr>
        <w:tabs>
          <w:tab w:val="left" w:pos="1200"/>
        </w:tabs>
        <w:ind w:left="1200" w:hanging="360"/>
      </w:pPr>
      <w:rPr>
        <w:rFonts w:ascii="Times New Roman" w:eastAsia="Times New Roman" w:hAnsi="Times New Roman" w:cs="Times New Roman"/>
      </w:rPr>
    </w:lvl>
    <w:lvl w:ilvl="2">
      <w:start w:val="1"/>
      <w:numFmt w:val="lowerRoman"/>
      <w:lvlText w:val="%3."/>
      <w:lvlJc w:val="right"/>
      <w:pPr>
        <w:tabs>
          <w:tab w:val="left" w:pos="1680"/>
        </w:tabs>
        <w:ind w:left="1680" w:hanging="420"/>
      </w:pPr>
    </w:lvl>
    <w:lvl w:ilvl="3">
      <w:start w:val="1"/>
      <w:numFmt w:val="decimal"/>
      <w:lvlText w:val="%4."/>
      <w:lvlJc w:val="left"/>
      <w:pPr>
        <w:tabs>
          <w:tab w:val="left" w:pos="2100"/>
        </w:tabs>
        <w:ind w:left="2100" w:hanging="420"/>
      </w:pPr>
    </w:lvl>
    <w:lvl w:ilvl="4">
      <w:start w:val="1"/>
      <w:numFmt w:val="lowerLetter"/>
      <w:lvlText w:val="%5)"/>
      <w:lvlJc w:val="left"/>
      <w:pPr>
        <w:tabs>
          <w:tab w:val="left" w:pos="2520"/>
        </w:tabs>
        <w:ind w:left="2520" w:hanging="420"/>
      </w:pPr>
    </w:lvl>
    <w:lvl w:ilvl="5">
      <w:start w:val="1"/>
      <w:numFmt w:val="lowerRoman"/>
      <w:lvlText w:val="%6."/>
      <w:lvlJc w:val="right"/>
      <w:pPr>
        <w:tabs>
          <w:tab w:val="left" w:pos="2940"/>
        </w:tabs>
        <w:ind w:left="2940" w:hanging="420"/>
      </w:pPr>
    </w:lvl>
    <w:lvl w:ilvl="6">
      <w:start w:val="1"/>
      <w:numFmt w:val="decimal"/>
      <w:lvlText w:val="%7."/>
      <w:lvlJc w:val="left"/>
      <w:pPr>
        <w:tabs>
          <w:tab w:val="left" w:pos="3360"/>
        </w:tabs>
        <w:ind w:left="3360" w:hanging="420"/>
      </w:pPr>
    </w:lvl>
    <w:lvl w:ilvl="7">
      <w:start w:val="1"/>
      <w:numFmt w:val="lowerLetter"/>
      <w:lvlText w:val="%8)"/>
      <w:lvlJc w:val="left"/>
      <w:pPr>
        <w:tabs>
          <w:tab w:val="left" w:pos="3780"/>
        </w:tabs>
        <w:ind w:left="3780" w:hanging="420"/>
      </w:pPr>
    </w:lvl>
    <w:lvl w:ilvl="8">
      <w:start w:val="1"/>
      <w:numFmt w:val="lowerRoman"/>
      <w:lvlText w:val="%9."/>
      <w:lvlJc w:val="right"/>
      <w:pPr>
        <w:tabs>
          <w:tab w:val="left" w:pos="4200"/>
        </w:tabs>
        <w:ind w:left="4200" w:hanging="420"/>
      </w:pPr>
    </w:lvl>
  </w:abstractNum>
  <w:abstractNum w:abstractNumId="22">
    <w:nsid w:val="27CD2098"/>
    <w:multiLevelType w:val="multilevel"/>
    <w:tmpl w:val="27CD2098"/>
    <w:lvl w:ilvl="0">
      <w:start w:val="1"/>
      <w:numFmt w:val="decimal"/>
      <w:lvlText w:val="%1、"/>
      <w:lvlJc w:val="left"/>
      <w:pPr>
        <w:tabs>
          <w:tab w:val="left" w:pos="780"/>
        </w:tabs>
        <w:ind w:left="780" w:hanging="360"/>
      </w:pPr>
      <w:rPr>
        <w:rFonts w:hint="default"/>
      </w:rPr>
    </w:lvl>
    <w:lvl w:ilvl="1">
      <w:start w:val="1"/>
      <w:numFmt w:val="lowerLetter"/>
      <w:lvlText w:val="%2)"/>
      <w:lvlJc w:val="left"/>
      <w:pPr>
        <w:tabs>
          <w:tab w:val="left" w:pos="1260"/>
        </w:tabs>
        <w:ind w:left="1260" w:hanging="420"/>
      </w:pPr>
    </w:lvl>
    <w:lvl w:ilvl="2">
      <w:start w:val="1"/>
      <w:numFmt w:val="lowerRoman"/>
      <w:lvlText w:val="%3."/>
      <w:lvlJc w:val="right"/>
      <w:pPr>
        <w:tabs>
          <w:tab w:val="left" w:pos="1680"/>
        </w:tabs>
        <w:ind w:left="1680" w:hanging="420"/>
      </w:pPr>
    </w:lvl>
    <w:lvl w:ilvl="3">
      <w:start w:val="1"/>
      <w:numFmt w:val="decimal"/>
      <w:lvlText w:val="%4."/>
      <w:lvlJc w:val="left"/>
      <w:pPr>
        <w:tabs>
          <w:tab w:val="left" w:pos="2100"/>
        </w:tabs>
        <w:ind w:left="2100" w:hanging="420"/>
      </w:pPr>
    </w:lvl>
    <w:lvl w:ilvl="4">
      <w:start w:val="1"/>
      <w:numFmt w:val="lowerLetter"/>
      <w:lvlText w:val="%5)"/>
      <w:lvlJc w:val="left"/>
      <w:pPr>
        <w:tabs>
          <w:tab w:val="left" w:pos="2520"/>
        </w:tabs>
        <w:ind w:left="2520" w:hanging="420"/>
      </w:pPr>
    </w:lvl>
    <w:lvl w:ilvl="5">
      <w:start w:val="1"/>
      <w:numFmt w:val="lowerRoman"/>
      <w:lvlText w:val="%6."/>
      <w:lvlJc w:val="right"/>
      <w:pPr>
        <w:tabs>
          <w:tab w:val="left" w:pos="2940"/>
        </w:tabs>
        <w:ind w:left="2940" w:hanging="420"/>
      </w:pPr>
    </w:lvl>
    <w:lvl w:ilvl="6">
      <w:start w:val="1"/>
      <w:numFmt w:val="decimal"/>
      <w:lvlText w:val="%7."/>
      <w:lvlJc w:val="left"/>
      <w:pPr>
        <w:tabs>
          <w:tab w:val="left" w:pos="3360"/>
        </w:tabs>
        <w:ind w:left="3360" w:hanging="420"/>
      </w:pPr>
    </w:lvl>
    <w:lvl w:ilvl="7">
      <w:start w:val="1"/>
      <w:numFmt w:val="lowerLetter"/>
      <w:lvlText w:val="%8)"/>
      <w:lvlJc w:val="left"/>
      <w:pPr>
        <w:tabs>
          <w:tab w:val="left" w:pos="3780"/>
        </w:tabs>
        <w:ind w:left="3780" w:hanging="420"/>
      </w:pPr>
    </w:lvl>
    <w:lvl w:ilvl="8">
      <w:start w:val="1"/>
      <w:numFmt w:val="lowerRoman"/>
      <w:lvlText w:val="%9."/>
      <w:lvlJc w:val="right"/>
      <w:pPr>
        <w:tabs>
          <w:tab w:val="left" w:pos="4200"/>
        </w:tabs>
        <w:ind w:left="4200" w:hanging="420"/>
      </w:pPr>
    </w:lvl>
  </w:abstractNum>
  <w:abstractNum w:abstractNumId="23">
    <w:nsid w:val="2B0050FD"/>
    <w:multiLevelType w:val="multilevel"/>
    <w:tmpl w:val="2B0050FD"/>
    <w:lvl w:ilvl="0">
      <w:start w:val="1"/>
      <w:numFmt w:val="decimal"/>
      <w:lvlText w:val="%1、"/>
      <w:lvlJc w:val="left"/>
      <w:pPr>
        <w:tabs>
          <w:tab w:val="left" w:pos="825"/>
        </w:tabs>
        <w:ind w:left="825" w:hanging="405"/>
      </w:pPr>
      <w:rPr>
        <w:rFonts w:hint="default"/>
      </w:rPr>
    </w:lvl>
    <w:lvl w:ilvl="1">
      <w:start w:val="1"/>
      <w:numFmt w:val="lowerLetter"/>
      <w:lvlText w:val="%2)"/>
      <w:lvlJc w:val="left"/>
      <w:pPr>
        <w:tabs>
          <w:tab w:val="left" w:pos="1260"/>
        </w:tabs>
        <w:ind w:left="1260" w:hanging="420"/>
      </w:pPr>
    </w:lvl>
    <w:lvl w:ilvl="2">
      <w:start w:val="1"/>
      <w:numFmt w:val="lowerRoman"/>
      <w:lvlText w:val="%3."/>
      <w:lvlJc w:val="right"/>
      <w:pPr>
        <w:tabs>
          <w:tab w:val="left" w:pos="1680"/>
        </w:tabs>
        <w:ind w:left="1680" w:hanging="420"/>
      </w:pPr>
    </w:lvl>
    <w:lvl w:ilvl="3">
      <w:start w:val="1"/>
      <w:numFmt w:val="decimal"/>
      <w:lvlText w:val="%4."/>
      <w:lvlJc w:val="left"/>
      <w:pPr>
        <w:tabs>
          <w:tab w:val="left" w:pos="2100"/>
        </w:tabs>
        <w:ind w:left="2100" w:hanging="420"/>
      </w:pPr>
    </w:lvl>
    <w:lvl w:ilvl="4">
      <w:start w:val="1"/>
      <w:numFmt w:val="lowerLetter"/>
      <w:lvlText w:val="%5)"/>
      <w:lvlJc w:val="left"/>
      <w:pPr>
        <w:tabs>
          <w:tab w:val="left" w:pos="2520"/>
        </w:tabs>
        <w:ind w:left="2520" w:hanging="420"/>
      </w:pPr>
    </w:lvl>
    <w:lvl w:ilvl="5">
      <w:start w:val="1"/>
      <w:numFmt w:val="lowerRoman"/>
      <w:lvlText w:val="%6."/>
      <w:lvlJc w:val="right"/>
      <w:pPr>
        <w:tabs>
          <w:tab w:val="left" w:pos="2940"/>
        </w:tabs>
        <w:ind w:left="2940" w:hanging="420"/>
      </w:pPr>
    </w:lvl>
    <w:lvl w:ilvl="6">
      <w:start w:val="1"/>
      <w:numFmt w:val="decimal"/>
      <w:lvlText w:val="%7."/>
      <w:lvlJc w:val="left"/>
      <w:pPr>
        <w:tabs>
          <w:tab w:val="left" w:pos="3360"/>
        </w:tabs>
        <w:ind w:left="3360" w:hanging="420"/>
      </w:pPr>
    </w:lvl>
    <w:lvl w:ilvl="7">
      <w:start w:val="1"/>
      <w:numFmt w:val="lowerLetter"/>
      <w:lvlText w:val="%8)"/>
      <w:lvlJc w:val="left"/>
      <w:pPr>
        <w:tabs>
          <w:tab w:val="left" w:pos="3780"/>
        </w:tabs>
        <w:ind w:left="3780" w:hanging="420"/>
      </w:pPr>
    </w:lvl>
    <w:lvl w:ilvl="8">
      <w:start w:val="1"/>
      <w:numFmt w:val="lowerRoman"/>
      <w:lvlText w:val="%9."/>
      <w:lvlJc w:val="right"/>
      <w:pPr>
        <w:tabs>
          <w:tab w:val="left" w:pos="4200"/>
        </w:tabs>
        <w:ind w:left="4200" w:hanging="420"/>
      </w:pPr>
    </w:lvl>
  </w:abstractNum>
  <w:abstractNum w:abstractNumId="24">
    <w:nsid w:val="2B866C75"/>
    <w:multiLevelType w:val="multilevel"/>
    <w:tmpl w:val="2B866C75"/>
    <w:lvl w:ilvl="0">
      <w:start w:val="4"/>
      <w:numFmt w:val="decimal"/>
      <w:lvlText w:val="%1、"/>
      <w:lvlJc w:val="left"/>
      <w:pPr>
        <w:tabs>
          <w:tab w:val="left" w:pos="719"/>
        </w:tabs>
        <w:ind w:left="719" w:hanging="360"/>
      </w:pPr>
      <w:rPr>
        <w:rFonts w:hint="default"/>
      </w:rPr>
    </w:lvl>
    <w:lvl w:ilvl="1">
      <w:start w:val="1"/>
      <w:numFmt w:val="lowerLetter"/>
      <w:lvlText w:val="%2)"/>
      <w:lvlJc w:val="left"/>
      <w:pPr>
        <w:tabs>
          <w:tab w:val="left" w:pos="1199"/>
        </w:tabs>
        <w:ind w:left="1199" w:hanging="420"/>
      </w:pPr>
    </w:lvl>
    <w:lvl w:ilvl="2">
      <w:start w:val="1"/>
      <w:numFmt w:val="lowerRoman"/>
      <w:lvlText w:val="%3."/>
      <w:lvlJc w:val="right"/>
      <w:pPr>
        <w:tabs>
          <w:tab w:val="left" w:pos="1619"/>
        </w:tabs>
        <w:ind w:left="1619" w:hanging="420"/>
      </w:pPr>
    </w:lvl>
    <w:lvl w:ilvl="3">
      <w:start w:val="1"/>
      <w:numFmt w:val="decimal"/>
      <w:lvlText w:val="%4."/>
      <w:lvlJc w:val="left"/>
      <w:pPr>
        <w:tabs>
          <w:tab w:val="left" w:pos="2039"/>
        </w:tabs>
        <w:ind w:left="2039" w:hanging="420"/>
      </w:pPr>
    </w:lvl>
    <w:lvl w:ilvl="4">
      <w:start w:val="1"/>
      <w:numFmt w:val="lowerLetter"/>
      <w:lvlText w:val="%5)"/>
      <w:lvlJc w:val="left"/>
      <w:pPr>
        <w:tabs>
          <w:tab w:val="left" w:pos="2459"/>
        </w:tabs>
        <w:ind w:left="2459" w:hanging="420"/>
      </w:pPr>
    </w:lvl>
    <w:lvl w:ilvl="5">
      <w:start w:val="1"/>
      <w:numFmt w:val="lowerRoman"/>
      <w:lvlText w:val="%6."/>
      <w:lvlJc w:val="right"/>
      <w:pPr>
        <w:tabs>
          <w:tab w:val="left" w:pos="2879"/>
        </w:tabs>
        <w:ind w:left="2879" w:hanging="420"/>
      </w:pPr>
    </w:lvl>
    <w:lvl w:ilvl="6">
      <w:start w:val="1"/>
      <w:numFmt w:val="decimal"/>
      <w:lvlText w:val="%7."/>
      <w:lvlJc w:val="left"/>
      <w:pPr>
        <w:tabs>
          <w:tab w:val="left" w:pos="3299"/>
        </w:tabs>
        <w:ind w:left="3299" w:hanging="420"/>
      </w:pPr>
    </w:lvl>
    <w:lvl w:ilvl="7">
      <w:start w:val="1"/>
      <w:numFmt w:val="lowerLetter"/>
      <w:lvlText w:val="%8)"/>
      <w:lvlJc w:val="left"/>
      <w:pPr>
        <w:tabs>
          <w:tab w:val="left" w:pos="3719"/>
        </w:tabs>
        <w:ind w:left="3719" w:hanging="420"/>
      </w:pPr>
    </w:lvl>
    <w:lvl w:ilvl="8">
      <w:start w:val="1"/>
      <w:numFmt w:val="lowerRoman"/>
      <w:lvlText w:val="%9."/>
      <w:lvlJc w:val="right"/>
      <w:pPr>
        <w:tabs>
          <w:tab w:val="left" w:pos="4139"/>
        </w:tabs>
        <w:ind w:left="4139" w:hanging="420"/>
      </w:pPr>
    </w:lvl>
  </w:abstractNum>
  <w:abstractNum w:abstractNumId="25">
    <w:nsid w:val="2D030A6E"/>
    <w:multiLevelType w:val="multilevel"/>
    <w:tmpl w:val="0EF74499"/>
    <w:lvl w:ilvl="0">
      <w:start w:val="1"/>
      <w:numFmt w:val="decimal"/>
      <w:lvlText w:val="%1、"/>
      <w:lvlJc w:val="left"/>
      <w:pPr>
        <w:tabs>
          <w:tab w:val="left" w:pos="810"/>
        </w:tabs>
        <w:ind w:left="810" w:hanging="360"/>
      </w:pPr>
      <w:rPr>
        <w:rFonts w:hint="eastAsia"/>
      </w:rPr>
    </w:lvl>
    <w:lvl w:ilvl="1">
      <w:start w:val="1"/>
      <w:numFmt w:val="lowerLetter"/>
      <w:lvlText w:val="%2)"/>
      <w:lvlJc w:val="left"/>
      <w:pPr>
        <w:tabs>
          <w:tab w:val="left" w:pos="1290"/>
        </w:tabs>
        <w:ind w:left="1290" w:hanging="420"/>
      </w:pPr>
    </w:lvl>
    <w:lvl w:ilvl="2">
      <w:start w:val="1"/>
      <w:numFmt w:val="lowerRoman"/>
      <w:lvlText w:val="%3."/>
      <w:lvlJc w:val="right"/>
      <w:pPr>
        <w:tabs>
          <w:tab w:val="left" w:pos="1710"/>
        </w:tabs>
        <w:ind w:left="1710" w:hanging="420"/>
      </w:pPr>
    </w:lvl>
    <w:lvl w:ilvl="3">
      <w:start w:val="1"/>
      <w:numFmt w:val="decimal"/>
      <w:lvlText w:val="%4."/>
      <w:lvlJc w:val="left"/>
      <w:pPr>
        <w:tabs>
          <w:tab w:val="left" w:pos="2130"/>
        </w:tabs>
        <w:ind w:left="2130" w:hanging="420"/>
      </w:pPr>
    </w:lvl>
    <w:lvl w:ilvl="4">
      <w:start w:val="1"/>
      <w:numFmt w:val="lowerLetter"/>
      <w:lvlText w:val="%5)"/>
      <w:lvlJc w:val="left"/>
      <w:pPr>
        <w:tabs>
          <w:tab w:val="left" w:pos="2550"/>
        </w:tabs>
        <w:ind w:left="2550" w:hanging="420"/>
      </w:pPr>
    </w:lvl>
    <w:lvl w:ilvl="5">
      <w:start w:val="1"/>
      <w:numFmt w:val="lowerRoman"/>
      <w:lvlText w:val="%6."/>
      <w:lvlJc w:val="right"/>
      <w:pPr>
        <w:tabs>
          <w:tab w:val="left" w:pos="2970"/>
        </w:tabs>
        <w:ind w:left="2970" w:hanging="420"/>
      </w:pPr>
    </w:lvl>
    <w:lvl w:ilvl="6">
      <w:start w:val="1"/>
      <w:numFmt w:val="decimal"/>
      <w:lvlText w:val="%7."/>
      <w:lvlJc w:val="left"/>
      <w:pPr>
        <w:tabs>
          <w:tab w:val="left" w:pos="3390"/>
        </w:tabs>
        <w:ind w:left="3390" w:hanging="420"/>
      </w:pPr>
    </w:lvl>
    <w:lvl w:ilvl="7">
      <w:start w:val="1"/>
      <w:numFmt w:val="lowerLetter"/>
      <w:lvlText w:val="%8)"/>
      <w:lvlJc w:val="left"/>
      <w:pPr>
        <w:tabs>
          <w:tab w:val="left" w:pos="3810"/>
        </w:tabs>
        <w:ind w:left="3810" w:hanging="420"/>
      </w:pPr>
    </w:lvl>
    <w:lvl w:ilvl="8">
      <w:start w:val="1"/>
      <w:numFmt w:val="lowerRoman"/>
      <w:lvlText w:val="%9."/>
      <w:lvlJc w:val="right"/>
      <w:pPr>
        <w:tabs>
          <w:tab w:val="left" w:pos="4230"/>
        </w:tabs>
        <w:ind w:left="4230" w:hanging="420"/>
      </w:pPr>
    </w:lvl>
  </w:abstractNum>
  <w:abstractNum w:abstractNumId="26">
    <w:nsid w:val="2E813C47"/>
    <w:multiLevelType w:val="multilevel"/>
    <w:tmpl w:val="2E813C47"/>
    <w:lvl w:ilvl="0">
      <w:start w:val="1"/>
      <w:numFmt w:val="decimal"/>
      <w:lvlText w:val="%1、"/>
      <w:lvlJc w:val="left"/>
      <w:pPr>
        <w:tabs>
          <w:tab w:val="left" w:pos="795"/>
        </w:tabs>
        <w:ind w:left="795" w:hanging="360"/>
      </w:pPr>
      <w:rPr>
        <w:rFonts w:hint="default"/>
      </w:rPr>
    </w:lvl>
    <w:lvl w:ilvl="1">
      <w:start w:val="1"/>
      <w:numFmt w:val="lowerLetter"/>
      <w:lvlText w:val="%2)"/>
      <w:lvlJc w:val="left"/>
      <w:pPr>
        <w:tabs>
          <w:tab w:val="left" w:pos="1275"/>
        </w:tabs>
        <w:ind w:left="1275" w:hanging="420"/>
      </w:pPr>
    </w:lvl>
    <w:lvl w:ilvl="2">
      <w:start w:val="1"/>
      <w:numFmt w:val="lowerRoman"/>
      <w:lvlText w:val="%3."/>
      <w:lvlJc w:val="right"/>
      <w:pPr>
        <w:tabs>
          <w:tab w:val="left" w:pos="1695"/>
        </w:tabs>
        <w:ind w:left="1695" w:hanging="420"/>
      </w:pPr>
    </w:lvl>
    <w:lvl w:ilvl="3">
      <w:start w:val="1"/>
      <w:numFmt w:val="decimal"/>
      <w:lvlText w:val="%4."/>
      <w:lvlJc w:val="left"/>
      <w:pPr>
        <w:tabs>
          <w:tab w:val="left" w:pos="2115"/>
        </w:tabs>
        <w:ind w:left="2115" w:hanging="420"/>
      </w:pPr>
    </w:lvl>
    <w:lvl w:ilvl="4">
      <w:start w:val="1"/>
      <w:numFmt w:val="lowerLetter"/>
      <w:lvlText w:val="%5)"/>
      <w:lvlJc w:val="left"/>
      <w:pPr>
        <w:tabs>
          <w:tab w:val="left" w:pos="2535"/>
        </w:tabs>
        <w:ind w:left="2535" w:hanging="420"/>
      </w:pPr>
    </w:lvl>
    <w:lvl w:ilvl="5">
      <w:start w:val="1"/>
      <w:numFmt w:val="lowerRoman"/>
      <w:lvlText w:val="%6."/>
      <w:lvlJc w:val="right"/>
      <w:pPr>
        <w:tabs>
          <w:tab w:val="left" w:pos="2955"/>
        </w:tabs>
        <w:ind w:left="2955" w:hanging="420"/>
      </w:pPr>
    </w:lvl>
    <w:lvl w:ilvl="6">
      <w:start w:val="1"/>
      <w:numFmt w:val="decimal"/>
      <w:lvlText w:val="%7."/>
      <w:lvlJc w:val="left"/>
      <w:pPr>
        <w:tabs>
          <w:tab w:val="left" w:pos="3375"/>
        </w:tabs>
        <w:ind w:left="3375" w:hanging="420"/>
      </w:pPr>
    </w:lvl>
    <w:lvl w:ilvl="7">
      <w:start w:val="1"/>
      <w:numFmt w:val="lowerLetter"/>
      <w:lvlText w:val="%8)"/>
      <w:lvlJc w:val="left"/>
      <w:pPr>
        <w:tabs>
          <w:tab w:val="left" w:pos="3795"/>
        </w:tabs>
        <w:ind w:left="3795" w:hanging="420"/>
      </w:pPr>
    </w:lvl>
    <w:lvl w:ilvl="8">
      <w:start w:val="1"/>
      <w:numFmt w:val="lowerRoman"/>
      <w:lvlText w:val="%9."/>
      <w:lvlJc w:val="right"/>
      <w:pPr>
        <w:tabs>
          <w:tab w:val="left" w:pos="4215"/>
        </w:tabs>
        <w:ind w:left="4215" w:hanging="420"/>
      </w:pPr>
    </w:lvl>
  </w:abstractNum>
  <w:abstractNum w:abstractNumId="27">
    <w:nsid w:val="2F312508"/>
    <w:multiLevelType w:val="multilevel"/>
    <w:tmpl w:val="2F312508"/>
    <w:lvl w:ilvl="0">
      <w:start w:val="1"/>
      <w:numFmt w:val="decimal"/>
      <w:lvlText w:val="%1、"/>
      <w:lvlJc w:val="left"/>
      <w:pPr>
        <w:tabs>
          <w:tab w:val="left" w:pos="690"/>
        </w:tabs>
        <w:ind w:left="690" w:hanging="360"/>
      </w:pPr>
      <w:rPr>
        <w:rFonts w:hint="default"/>
      </w:rPr>
    </w:lvl>
    <w:lvl w:ilvl="1">
      <w:start w:val="1"/>
      <w:numFmt w:val="lowerLetter"/>
      <w:lvlText w:val="%2)"/>
      <w:lvlJc w:val="left"/>
      <w:pPr>
        <w:tabs>
          <w:tab w:val="left" w:pos="1170"/>
        </w:tabs>
        <w:ind w:left="1170" w:hanging="420"/>
      </w:pPr>
    </w:lvl>
    <w:lvl w:ilvl="2">
      <w:start w:val="1"/>
      <w:numFmt w:val="lowerRoman"/>
      <w:lvlText w:val="%3."/>
      <w:lvlJc w:val="right"/>
      <w:pPr>
        <w:tabs>
          <w:tab w:val="left" w:pos="1590"/>
        </w:tabs>
        <w:ind w:left="1590" w:hanging="420"/>
      </w:pPr>
    </w:lvl>
    <w:lvl w:ilvl="3">
      <w:start w:val="1"/>
      <w:numFmt w:val="decimal"/>
      <w:lvlText w:val="%4."/>
      <w:lvlJc w:val="left"/>
      <w:pPr>
        <w:tabs>
          <w:tab w:val="left" w:pos="2010"/>
        </w:tabs>
        <w:ind w:left="2010" w:hanging="420"/>
      </w:pPr>
    </w:lvl>
    <w:lvl w:ilvl="4">
      <w:start w:val="1"/>
      <w:numFmt w:val="lowerLetter"/>
      <w:lvlText w:val="%5)"/>
      <w:lvlJc w:val="left"/>
      <w:pPr>
        <w:tabs>
          <w:tab w:val="left" w:pos="2430"/>
        </w:tabs>
        <w:ind w:left="2430" w:hanging="420"/>
      </w:pPr>
    </w:lvl>
    <w:lvl w:ilvl="5">
      <w:start w:val="1"/>
      <w:numFmt w:val="lowerRoman"/>
      <w:lvlText w:val="%6."/>
      <w:lvlJc w:val="right"/>
      <w:pPr>
        <w:tabs>
          <w:tab w:val="left" w:pos="2850"/>
        </w:tabs>
        <w:ind w:left="2850" w:hanging="420"/>
      </w:pPr>
    </w:lvl>
    <w:lvl w:ilvl="6">
      <w:start w:val="1"/>
      <w:numFmt w:val="decimal"/>
      <w:lvlText w:val="%7."/>
      <w:lvlJc w:val="left"/>
      <w:pPr>
        <w:tabs>
          <w:tab w:val="left" w:pos="3270"/>
        </w:tabs>
        <w:ind w:left="3270" w:hanging="420"/>
      </w:pPr>
    </w:lvl>
    <w:lvl w:ilvl="7">
      <w:start w:val="1"/>
      <w:numFmt w:val="lowerLetter"/>
      <w:lvlText w:val="%8)"/>
      <w:lvlJc w:val="left"/>
      <w:pPr>
        <w:tabs>
          <w:tab w:val="left" w:pos="3690"/>
        </w:tabs>
        <w:ind w:left="3690" w:hanging="420"/>
      </w:pPr>
    </w:lvl>
    <w:lvl w:ilvl="8">
      <w:start w:val="1"/>
      <w:numFmt w:val="lowerRoman"/>
      <w:lvlText w:val="%9."/>
      <w:lvlJc w:val="right"/>
      <w:pPr>
        <w:tabs>
          <w:tab w:val="left" w:pos="4110"/>
        </w:tabs>
        <w:ind w:left="4110" w:hanging="420"/>
      </w:pPr>
    </w:lvl>
  </w:abstractNum>
  <w:abstractNum w:abstractNumId="28">
    <w:nsid w:val="30FB4206"/>
    <w:multiLevelType w:val="multilevel"/>
    <w:tmpl w:val="30FB4206"/>
    <w:lvl w:ilvl="0">
      <w:start w:val="1"/>
      <w:numFmt w:val="decimal"/>
      <w:lvlText w:val="%1、"/>
      <w:lvlJc w:val="left"/>
      <w:pPr>
        <w:tabs>
          <w:tab w:val="left" w:pos="780"/>
        </w:tabs>
        <w:ind w:left="780" w:hanging="360"/>
      </w:pPr>
      <w:rPr>
        <w:rFonts w:hint="default"/>
      </w:rPr>
    </w:lvl>
    <w:lvl w:ilvl="1">
      <w:start w:val="1"/>
      <w:numFmt w:val="lowerLetter"/>
      <w:lvlText w:val="%2)"/>
      <w:lvlJc w:val="left"/>
      <w:pPr>
        <w:tabs>
          <w:tab w:val="left" w:pos="1260"/>
        </w:tabs>
        <w:ind w:left="1260" w:hanging="420"/>
      </w:pPr>
    </w:lvl>
    <w:lvl w:ilvl="2">
      <w:start w:val="1"/>
      <w:numFmt w:val="lowerRoman"/>
      <w:lvlText w:val="%3."/>
      <w:lvlJc w:val="right"/>
      <w:pPr>
        <w:tabs>
          <w:tab w:val="left" w:pos="1680"/>
        </w:tabs>
        <w:ind w:left="1680" w:hanging="420"/>
      </w:pPr>
    </w:lvl>
    <w:lvl w:ilvl="3">
      <w:start w:val="1"/>
      <w:numFmt w:val="decimal"/>
      <w:lvlText w:val="%4."/>
      <w:lvlJc w:val="left"/>
      <w:pPr>
        <w:tabs>
          <w:tab w:val="left" w:pos="2100"/>
        </w:tabs>
        <w:ind w:left="2100" w:hanging="420"/>
      </w:pPr>
    </w:lvl>
    <w:lvl w:ilvl="4">
      <w:start w:val="1"/>
      <w:numFmt w:val="lowerLetter"/>
      <w:lvlText w:val="%5)"/>
      <w:lvlJc w:val="left"/>
      <w:pPr>
        <w:tabs>
          <w:tab w:val="left" w:pos="2520"/>
        </w:tabs>
        <w:ind w:left="2520" w:hanging="420"/>
      </w:pPr>
    </w:lvl>
    <w:lvl w:ilvl="5">
      <w:start w:val="1"/>
      <w:numFmt w:val="lowerRoman"/>
      <w:lvlText w:val="%6."/>
      <w:lvlJc w:val="right"/>
      <w:pPr>
        <w:tabs>
          <w:tab w:val="left" w:pos="2940"/>
        </w:tabs>
        <w:ind w:left="2940" w:hanging="420"/>
      </w:pPr>
    </w:lvl>
    <w:lvl w:ilvl="6">
      <w:start w:val="1"/>
      <w:numFmt w:val="decimal"/>
      <w:lvlText w:val="%7."/>
      <w:lvlJc w:val="left"/>
      <w:pPr>
        <w:tabs>
          <w:tab w:val="left" w:pos="3360"/>
        </w:tabs>
        <w:ind w:left="3360" w:hanging="420"/>
      </w:pPr>
    </w:lvl>
    <w:lvl w:ilvl="7">
      <w:start w:val="1"/>
      <w:numFmt w:val="lowerLetter"/>
      <w:lvlText w:val="%8)"/>
      <w:lvlJc w:val="left"/>
      <w:pPr>
        <w:tabs>
          <w:tab w:val="left" w:pos="3780"/>
        </w:tabs>
        <w:ind w:left="3780" w:hanging="420"/>
      </w:pPr>
    </w:lvl>
    <w:lvl w:ilvl="8">
      <w:start w:val="1"/>
      <w:numFmt w:val="lowerRoman"/>
      <w:lvlText w:val="%9."/>
      <w:lvlJc w:val="right"/>
      <w:pPr>
        <w:tabs>
          <w:tab w:val="left" w:pos="4200"/>
        </w:tabs>
        <w:ind w:left="4200" w:hanging="420"/>
      </w:pPr>
    </w:lvl>
  </w:abstractNum>
  <w:abstractNum w:abstractNumId="29">
    <w:nsid w:val="32885985"/>
    <w:multiLevelType w:val="multilevel"/>
    <w:tmpl w:val="32885985"/>
    <w:lvl w:ilvl="0">
      <w:start w:val="1"/>
      <w:numFmt w:val="decimal"/>
      <w:lvlText w:val="%1、"/>
      <w:lvlJc w:val="left"/>
      <w:pPr>
        <w:tabs>
          <w:tab w:val="left" w:pos="780"/>
        </w:tabs>
        <w:ind w:left="780" w:hanging="360"/>
      </w:pPr>
      <w:rPr>
        <w:rFonts w:ascii="Times New Roman" w:eastAsia="Times New Roman" w:hAnsi="Times New Roman" w:cs="Times New Roman"/>
      </w:rPr>
    </w:lvl>
    <w:lvl w:ilvl="1">
      <w:start w:val="1"/>
      <w:numFmt w:val="lowerLetter"/>
      <w:lvlText w:val="%2)"/>
      <w:lvlJc w:val="left"/>
      <w:pPr>
        <w:tabs>
          <w:tab w:val="left" w:pos="1260"/>
        </w:tabs>
        <w:ind w:left="1260" w:hanging="420"/>
      </w:pPr>
    </w:lvl>
    <w:lvl w:ilvl="2">
      <w:start w:val="1"/>
      <w:numFmt w:val="lowerRoman"/>
      <w:lvlText w:val="%3."/>
      <w:lvlJc w:val="right"/>
      <w:pPr>
        <w:tabs>
          <w:tab w:val="left" w:pos="1680"/>
        </w:tabs>
        <w:ind w:left="1680" w:hanging="420"/>
      </w:pPr>
    </w:lvl>
    <w:lvl w:ilvl="3">
      <w:start w:val="1"/>
      <w:numFmt w:val="decimal"/>
      <w:lvlText w:val="%4."/>
      <w:lvlJc w:val="left"/>
      <w:pPr>
        <w:tabs>
          <w:tab w:val="left" w:pos="2100"/>
        </w:tabs>
        <w:ind w:left="2100" w:hanging="420"/>
      </w:pPr>
    </w:lvl>
    <w:lvl w:ilvl="4">
      <w:start w:val="1"/>
      <w:numFmt w:val="lowerLetter"/>
      <w:lvlText w:val="%5)"/>
      <w:lvlJc w:val="left"/>
      <w:pPr>
        <w:tabs>
          <w:tab w:val="left" w:pos="2520"/>
        </w:tabs>
        <w:ind w:left="2520" w:hanging="420"/>
      </w:pPr>
    </w:lvl>
    <w:lvl w:ilvl="5">
      <w:start w:val="1"/>
      <w:numFmt w:val="lowerRoman"/>
      <w:lvlText w:val="%6."/>
      <w:lvlJc w:val="right"/>
      <w:pPr>
        <w:tabs>
          <w:tab w:val="left" w:pos="2940"/>
        </w:tabs>
        <w:ind w:left="2940" w:hanging="420"/>
      </w:pPr>
    </w:lvl>
    <w:lvl w:ilvl="6">
      <w:start w:val="1"/>
      <w:numFmt w:val="decimal"/>
      <w:lvlText w:val="%7."/>
      <w:lvlJc w:val="left"/>
      <w:pPr>
        <w:tabs>
          <w:tab w:val="left" w:pos="3360"/>
        </w:tabs>
        <w:ind w:left="3360" w:hanging="420"/>
      </w:pPr>
    </w:lvl>
    <w:lvl w:ilvl="7">
      <w:start w:val="1"/>
      <w:numFmt w:val="lowerLetter"/>
      <w:lvlText w:val="%8)"/>
      <w:lvlJc w:val="left"/>
      <w:pPr>
        <w:tabs>
          <w:tab w:val="left" w:pos="3780"/>
        </w:tabs>
        <w:ind w:left="3780" w:hanging="420"/>
      </w:pPr>
    </w:lvl>
    <w:lvl w:ilvl="8">
      <w:start w:val="1"/>
      <w:numFmt w:val="lowerRoman"/>
      <w:lvlText w:val="%9."/>
      <w:lvlJc w:val="right"/>
      <w:pPr>
        <w:tabs>
          <w:tab w:val="left" w:pos="4200"/>
        </w:tabs>
        <w:ind w:left="4200" w:hanging="420"/>
      </w:pPr>
    </w:lvl>
  </w:abstractNum>
  <w:abstractNum w:abstractNumId="30">
    <w:nsid w:val="36425230"/>
    <w:multiLevelType w:val="multilevel"/>
    <w:tmpl w:val="36425230"/>
    <w:lvl w:ilvl="0">
      <w:start w:val="1"/>
      <w:numFmt w:val="decimal"/>
      <w:lvlText w:val="%1、"/>
      <w:lvlJc w:val="left"/>
      <w:pPr>
        <w:tabs>
          <w:tab w:val="left" w:pos="780"/>
        </w:tabs>
        <w:ind w:left="780" w:hanging="360"/>
      </w:pPr>
      <w:rPr>
        <w:rFonts w:hint="default"/>
      </w:rPr>
    </w:lvl>
    <w:lvl w:ilvl="1">
      <w:start w:val="1"/>
      <w:numFmt w:val="lowerLetter"/>
      <w:lvlText w:val="%2)"/>
      <w:lvlJc w:val="left"/>
      <w:pPr>
        <w:tabs>
          <w:tab w:val="left" w:pos="1260"/>
        </w:tabs>
        <w:ind w:left="1260" w:hanging="420"/>
      </w:pPr>
    </w:lvl>
    <w:lvl w:ilvl="2">
      <w:start w:val="1"/>
      <w:numFmt w:val="lowerRoman"/>
      <w:lvlText w:val="%3."/>
      <w:lvlJc w:val="right"/>
      <w:pPr>
        <w:tabs>
          <w:tab w:val="left" w:pos="1680"/>
        </w:tabs>
        <w:ind w:left="1680" w:hanging="420"/>
      </w:pPr>
    </w:lvl>
    <w:lvl w:ilvl="3">
      <w:start w:val="1"/>
      <w:numFmt w:val="decimal"/>
      <w:lvlText w:val="%4."/>
      <w:lvlJc w:val="left"/>
      <w:pPr>
        <w:tabs>
          <w:tab w:val="left" w:pos="2100"/>
        </w:tabs>
        <w:ind w:left="2100" w:hanging="420"/>
      </w:pPr>
    </w:lvl>
    <w:lvl w:ilvl="4">
      <w:start w:val="1"/>
      <w:numFmt w:val="lowerLetter"/>
      <w:lvlText w:val="%5)"/>
      <w:lvlJc w:val="left"/>
      <w:pPr>
        <w:tabs>
          <w:tab w:val="left" w:pos="2520"/>
        </w:tabs>
        <w:ind w:left="2520" w:hanging="420"/>
      </w:pPr>
    </w:lvl>
    <w:lvl w:ilvl="5">
      <w:start w:val="1"/>
      <w:numFmt w:val="lowerRoman"/>
      <w:lvlText w:val="%6."/>
      <w:lvlJc w:val="right"/>
      <w:pPr>
        <w:tabs>
          <w:tab w:val="left" w:pos="2940"/>
        </w:tabs>
        <w:ind w:left="2940" w:hanging="420"/>
      </w:pPr>
    </w:lvl>
    <w:lvl w:ilvl="6">
      <w:start w:val="1"/>
      <w:numFmt w:val="decimal"/>
      <w:lvlText w:val="%7."/>
      <w:lvlJc w:val="left"/>
      <w:pPr>
        <w:tabs>
          <w:tab w:val="left" w:pos="3360"/>
        </w:tabs>
        <w:ind w:left="3360" w:hanging="420"/>
      </w:pPr>
    </w:lvl>
    <w:lvl w:ilvl="7">
      <w:start w:val="1"/>
      <w:numFmt w:val="lowerLetter"/>
      <w:lvlText w:val="%8)"/>
      <w:lvlJc w:val="left"/>
      <w:pPr>
        <w:tabs>
          <w:tab w:val="left" w:pos="3780"/>
        </w:tabs>
        <w:ind w:left="3780" w:hanging="420"/>
      </w:pPr>
    </w:lvl>
    <w:lvl w:ilvl="8">
      <w:start w:val="1"/>
      <w:numFmt w:val="lowerRoman"/>
      <w:lvlText w:val="%9."/>
      <w:lvlJc w:val="right"/>
      <w:pPr>
        <w:tabs>
          <w:tab w:val="left" w:pos="4200"/>
        </w:tabs>
        <w:ind w:left="4200" w:hanging="420"/>
      </w:pPr>
    </w:lvl>
  </w:abstractNum>
  <w:abstractNum w:abstractNumId="31">
    <w:nsid w:val="37F09D73"/>
    <w:multiLevelType w:val="multilevel"/>
    <w:tmpl w:val="60172855"/>
    <w:lvl w:ilvl="0">
      <w:start w:val="1"/>
      <w:numFmt w:val="decimal"/>
      <w:lvlText w:val="%1、"/>
      <w:lvlJc w:val="left"/>
      <w:pPr>
        <w:tabs>
          <w:tab w:val="left" w:pos="780"/>
        </w:tabs>
        <w:ind w:left="780" w:hanging="360"/>
      </w:pPr>
      <w:rPr>
        <w:rFonts w:hint="default"/>
      </w:rPr>
    </w:lvl>
    <w:lvl w:ilvl="1">
      <w:start w:val="1"/>
      <w:numFmt w:val="lowerLetter"/>
      <w:lvlText w:val="%2)"/>
      <w:lvlJc w:val="left"/>
      <w:pPr>
        <w:tabs>
          <w:tab w:val="left" w:pos="1260"/>
        </w:tabs>
        <w:ind w:left="1260" w:hanging="420"/>
      </w:pPr>
    </w:lvl>
    <w:lvl w:ilvl="2">
      <w:start w:val="1"/>
      <w:numFmt w:val="lowerRoman"/>
      <w:lvlText w:val="%3."/>
      <w:lvlJc w:val="right"/>
      <w:pPr>
        <w:tabs>
          <w:tab w:val="left" w:pos="1680"/>
        </w:tabs>
        <w:ind w:left="1680" w:hanging="420"/>
      </w:pPr>
    </w:lvl>
    <w:lvl w:ilvl="3">
      <w:start w:val="1"/>
      <w:numFmt w:val="decimal"/>
      <w:lvlText w:val="%4."/>
      <w:lvlJc w:val="left"/>
      <w:pPr>
        <w:tabs>
          <w:tab w:val="left" w:pos="2100"/>
        </w:tabs>
        <w:ind w:left="2100" w:hanging="420"/>
      </w:pPr>
    </w:lvl>
    <w:lvl w:ilvl="4">
      <w:start w:val="1"/>
      <w:numFmt w:val="lowerLetter"/>
      <w:lvlText w:val="%5)"/>
      <w:lvlJc w:val="left"/>
      <w:pPr>
        <w:tabs>
          <w:tab w:val="left" w:pos="2520"/>
        </w:tabs>
        <w:ind w:left="2520" w:hanging="420"/>
      </w:pPr>
    </w:lvl>
    <w:lvl w:ilvl="5">
      <w:start w:val="1"/>
      <w:numFmt w:val="lowerRoman"/>
      <w:lvlText w:val="%6."/>
      <w:lvlJc w:val="right"/>
      <w:pPr>
        <w:tabs>
          <w:tab w:val="left" w:pos="2940"/>
        </w:tabs>
        <w:ind w:left="2940" w:hanging="420"/>
      </w:pPr>
    </w:lvl>
    <w:lvl w:ilvl="6">
      <w:start w:val="1"/>
      <w:numFmt w:val="decimal"/>
      <w:lvlText w:val="%7."/>
      <w:lvlJc w:val="left"/>
      <w:pPr>
        <w:tabs>
          <w:tab w:val="left" w:pos="3360"/>
        </w:tabs>
        <w:ind w:left="3360" w:hanging="420"/>
      </w:pPr>
    </w:lvl>
    <w:lvl w:ilvl="7">
      <w:start w:val="1"/>
      <w:numFmt w:val="lowerLetter"/>
      <w:lvlText w:val="%8)"/>
      <w:lvlJc w:val="left"/>
      <w:pPr>
        <w:tabs>
          <w:tab w:val="left" w:pos="3780"/>
        </w:tabs>
        <w:ind w:left="3780" w:hanging="420"/>
      </w:pPr>
    </w:lvl>
    <w:lvl w:ilvl="8">
      <w:start w:val="1"/>
      <w:numFmt w:val="lowerRoman"/>
      <w:lvlText w:val="%9."/>
      <w:lvlJc w:val="right"/>
      <w:pPr>
        <w:tabs>
          <w:tab w:val="left" w:pos="4200"/>
        </w:tabs>
        <w:ind w:left="4200" w:hanging="420"/>
      </w:pPr>
    </w:lvl>
  </w:abstractNum>
  <w:abstractNum w:abstractNumId="32">
    <w:nsid w:val="3FBC51EF"/>
    <w:multiLevelType w:val="multilevel"/>
    <w:tmpl w:val="3FBC51EF"/>
    <w:lvl w:ilvl="0">
      <w:start w:val="1"/>
      <w:numFmt w:val="decimal"/>
      <w:lvlText w:val="%1、"/>
      <w:lvlJc w:val="left"/>
      <w:pPr>
        <w:tabs>
          <w:tab w:val="left" w:pos="1080"/>
        </w:tabs>
        <w:ind w:left="1080" w:hanging="360"/>
      </w:pPr>
      <w:rPr>
        <w:rFonts w:ascii="Times New Roman" w:eastAsia="Times New Roman" w:hAnsi="Times New Roman" w:cs="Times New Roman"/>
      </w:rPr>
    </w:lvl>
    <w:lvl w:ilvl="1">
      <w:start w:val="1"/>
      <w:numFmt w:val="lowerLetter"/>
      <w:lvlText w:val="%2)"/>
      <w:lvlJc w:val="left"/>
      <w:pPr>
        <w:tabs>
          <w:tab w:val="left" w:pos="1560"/>
        </w:tabs>
        <w:ind w:left="1560" w:hanging="420"/>
      </w:pPr>
    </w:lvl>
    <w:lvl w:ilvl="2">
      <w:start w:val="1"/>
      <w:numFmt w:val="lowerRoman"/>
      <w:lvlText w:val="%3."/>
      <w:lvlJc w:val="right"/>
      <w:pPr>
        <w:tabs>
          <w:tab w:val="left" w:pos="1980"/>
        </w:tabs>
        <w:ind w:left="1980" w:hanging="420"/>
      </w:pPr>
    </w:lvl>
    <w:lvl w:ilvl="3">
      <w:start w:val="1"/>
      <w:numFmt w:val="decimal"/>
      <w:lvlText w:val="%4."/>
      <w:lvlJc w:val="left"/>
      <w:pPr>
        <w:tabs>
          <w:tab w:val="left" w:pos="2400"/>
        </w:tabs>
        <w:ind w:left="2400" w:hanging="420"/>
      </w:pPr>
    </w:lvl>
    <w:lvl w:ilvl="4">
      <w:start w:val="1"/>
      <w:numFmt w:val="lowerLetter"/>
      <w:lvlText w:val="%5)"/>
      <w:lvlJc w:val="left"/>
      <w:pPr>
        <w:tabs>
          <w:tab w:val="left" w:pos="2820"/>
        </w:tabs>
        <w:ind w:left="2820" w:hanging="420"/>
      </w:pPr>
    </w:lvl>
    <w:lvl w:ilvl="5">
      <w:start w:val="1"/>
      <w:numFmt w:val="lowerRoman"/>
      <w:lvlText w:val="%6."/>
      <w:lvlJc w:val="right"/>
      <w:pPr>
        <w:tabs>
          <w:tab w:val="left" w:pos="3240"/>
        </w:tabs>
        <w:ind w:left="3240" w:hanging="420"/>
      </w:pPr>
    </w:lvl>
    <w:lvl w:ilvl="6">
      <w:start w:val="1"/>
      <w:numFmt w:val="decimal"/>
      <w:lvlText w:val="%7."/>
      <w:lvlJc w:val="left"/>
      <w:pPr>
        <w:tabs>
          <w:tab w:val="left" w:pos="3660"/>
        </w:tabs>
        <w:ind w:left="3660" w:hanging="420"/>
      </w:pPr>
    </w:lvl>
    <w:lvl w:ilvl="7">
      <w:start w:val="1"/>
      <w:numFmt w:val="lowerLetter"/>
      <w:lvlText w:val="%8)"/>
      <w:lvlJc w:val="left"/>
      <w:pPr>
        <w:tabs>
          <w:tab w:val="left" w:pos="4080"/>
        </w:tabs>
        <w:ind w:left="4080" w:hanging="420"/>
      </w:pPr>
    </w:lvl>
    <w:lvl w:ilvl="8">
      <w:start w:val="1"/>
      <w:numFmt w:val="lowerRoman"/>
      <w:lvlText w:val="%9."/>
      <w:lvlJc w:val="right"/>
      <w:pPr>
        <w:tabs>
          <w:tab w:val="left" w:pos="4500"/>
        </w:tabs>
        <w:ind w:left="4500" w:hanging="420"/>
      </w:pPr>
    </w:lvl>
  </w:abstractNum>
  <w:abstractNum w:abstractNumId="33">
    <w:nsid w:val="42404BF8"/>
    <w:multiLevelType w:val="multilevel"/>
    <w:tmpl w:val="42404BF8"/>
    <w:lvl w:ilvl="0">
      <w:start w:val="1"/>
      <w:numFmt w:val="decimal"/>
      <w:lvlText w:val="%1、"/>
      <w:lvlJc w:val="left"/>
      <w:pPr>
        <w:tabs>
          <w:tab w:val="left" w:pos="720"/>
        </w:tabs>
        <w:ind w:left="720" w:hanging="360"/>
      </w:pPr>
      <w:rPr>
        <w:rFonts w:hint="eastAsia"/>
      </w:rPr>
    </w:lvl>
    <w:lvl w:ilvl="1">
      <w:start w:val="1"/>
      <w:numFmt w:val="lowerLetter"/>
      <w:lvlText w:val="%2)"/>
      <w:lvlJc w:val="left"/>
      <w:pPr>
        <w:tabs>
          <w:tab w:val="left" w:pos="1200"/>
        </w:tabs>
        <w:ind w:left="1200" w:hanging="420"/>
      </w:pPr>
    </w:lvl>
    <w:lvl w:ilvl="2">
      <w:start w:val="1"/>
      <w:numFmt w:val="lowerRoman"/>
      <w:lvlText w:val="%3."/>
      <w:lvlJc w:val="right"/>
      <w:pPr>
        <w:tabs>
          <w:tab w:val="left" w:pos="1620"/>
        </w:tabs>
        <w:ind w:left="1620" w:hanging="420"/>
      </w:pPr>
    </w:lvl>
    <w:lvl w:ilvl="3">
      <w:start w:val="1"/>
      <w:numFmt w:val="decimal"/>
      <w:lvlText w:val="%4."/>
      <w:lvlJc w:val="left"/>
      <w:pPr>
        <w:tabs>
          <w:tab w:val="left" w:pos="2040"/>
        </w:tabs>
        <w:ind w:left="2040" w:hanging="420"/>
      </w:pPr>
    </w:lvl>
    <w:lvl w:ilvl="4">
      <w:start w:val="1"/>
      <w:numFmt w:val="lowerLetter"/>
      <w:lvlText w:val="%5)"/>
      <w:lvlJc w:val="left"/>
      <w:pPr>
        <w:tabs>
          <w:tab w:val="left" w:pos="2460"/>
        </w:tabs>
        <w:ind w:left="2460" w:hanging="420"/>
      </w:pPr>
    </w:lvl>
    <w:lvl w:ilvl="5">
      <w:start w:val="1"/>
      <w:numFmt w:val="lowerRoman"/>
      <w:lvlText w:val="%6."/>
      <w:lvlJc w:val="right"/>
      <w:pPr>
        <w:tabs>
          <w:tab w:val="left" w:pos="2880"/>
        </w:tabs>
        <w:ind w:left="2880" w:hanging="420"/>
      </w:pPr>
    </w:lvl>
    <w:lvl w:ilvl="6">
      <w:start w:val="1"/>
      <w:numFmt w:val="decimal"/>
      <w:lvlText w:val="%7."/>
      <w:lvlJc w:val="left"/>
      <w:pPr>
        <w:tabs>
          <w:tab w:val="left" w:pos="3300"/>
        </w:tabs>
        <w:ind w:left="3300" w:hanging="420"/>
      </w:pPr>
    </w:lvl>
    <w:lvl w:ilvl="7">
      <w:start w:val="1"/>
      <w:numFmt w:val="lowerLetter"/>
      <w:lvlText w:val="%8)"/>
      <w:lvlJc w:val="left"/>
      <w:pPr>
        <w:tabs>
          <w:tab w:val="left" w:pos="3720"/>
        </w:tabs>
        <w:ind w:left="3720" w:hanging="420"/>
      </w:pPr>
    </w:lvl>
    <w:lvl w:ilvl="8">
      <w:start w:val="1"/>
      <w:numFmt w:val="lowerRoman"/>
      <w:lvlText w:val="%9."/>
      <w:lvlJc w:val="right"/>
      <w:pPr>
        <w:tabs>
          <w:tab w:val="left" w:pos="4140"/>
        </w:tabs>
        <w:ind w:left="4140" w:hanging="420"/>
      </w:pPr>
    </w:lvl>
  </w:abstractNum>
  <w:abstractNum w:abstractNumId="34">
    <w:nsid w:val="42FD13EE"/>
    <w:multiLevelType w:val="multilevel"/>
    <w:tmpl w:val="42FD13EE"/>
    <w:lvl w:ilvl="0">
      <w:start w:val="1"/>
      <w:numFmt w:val="decimal"/>
      <w:lvlText w:val="%1、"/>
      <w:lvlJc w:val="left"/>
      <w:pPr>
        <w:tabs>
          <w:tab w:val="left" w:pos="840"/>
        </w:tabs>
        <w:ind w:left="840" w:hanging="360"/>
      </w:pPr>
      <w:rPr>
        <w:rFonts w:hint="default"/>
      </w:rPr>
    </w:lvl>
    <w:lvl w:ilvl="1">
      <w:start w:val="1"/>
      <w:numFmt w:val="lowerLetter"/>
      <w:lvlText w:val="%2)"/>
      <w:lvlJc w:val="left"/>
      <w:pPr>
        <w:tabs>
          <w:tab w:val="left" w:pos="1320"/>
        </w:tabs>
        <w:ind w:left="1320" w:hanging="420"/>
      </w:pPr>
    </w:lvl>
    <w:lvl w:ilvl="2">
      <w:start w:val="1"/>
      <w:numFmt w:val="lowerRoman"/>
      <w:lvlText w:val="%3."/>
      <w:lvlJc w:val="right"/>
      <w:pPr>
        <w:tabs>
          <w:tab w:val="left" w:pos="1740"/>
        </w:tabs>
        <w:ind w:left="1740" w:hanging="420"/>
      </w:pPr>
    </w:lvl>
    <w:lvl w:ilvl="3">
      <w:start w:val="1"/>
      <w:numFmt w:val="decimal"/>
      <w:lvlText w:val="%4."/>
      <w:lvlJc w:val="left"/>
      <w:pPr>
        <w:tabs>
          <w:tab w:val="left" w:pos="2160"/>
        </w:tabs>
        <w:ind w:left="2160" w:hanging="420"/>
      </w:pPr>
    </w:lvl>
    <w:lvl w:ilvl="4">
      <w:start w:val="1"/>
      <w:numFmt w:val="lowerLetter"/>
      <w:lvlText w:val="%5)"/>
      <w:lvlJc w:val="left"/>
      <w:pPr>
        <w:tabs>
          <w:tab w:val="left" w:pos="2580"/>
        </w:tabs>
        <w:ind w:left="2580" w:hanging="420"/>
      </w:pPr>
    </w:lvl>
    <w:lvl w:ilvl="5">
      <w:start w:val="1"/>
      <w:numFmt w:val="lowerRoman"/>
      <w:lvlText w:val="%6."/>
      <w:lvlJc w:val="right"/>
      <w:pPr>
        <w:tabs>
          <w:tab w:val="left" w:pos="3000"/>
        </w:tabs>
        <w:ind w:left="3000" w:hanging="420"/>
      </w:pPr>
    </w:lvl>
    <w:lvl w:ilvl="6">
      <w:start w:val="1"/>
      <w:numFmt w:val="decimal"/>
      <w:lvlText w:val="%7."/>
      <w:lvlJc w:val="left"/>
      <w:pPr>
        <w:tabs>
          <w:tab w:val="left" w:pos="3420"/>
        </w:tabs>
        <w:ind w:left="3420" w:hanging="420"/>
      </w:pPr>
    </w:lvl>
    <w:lvl w:ilvl="7">
      <w:start w:val="1"/>
      <w:numFmt w:val="lowerLetter"/>
      <w:lvlText w:val="%8)"/>
      <w:lvlJc w:val="left"/>
      <w:pPr>
        <w:tabs>
          <w:tab w:val="left" w:pos="3840"/>
        </w:tabs>
        <w:ind w:left="3840" w:hanging="420"/>
      </w:pPr>
    </w:lvl>
    <w:lvl w:ilvl="8">
      <w:start w:val="1"/>
      <w:numFmt w:val="lowerRoman"/>
      <w:lvlText w:val="%9."/>
      <w:lvlJc w:val="right"/>
      <w:pPr>
        <w:tabs>
          <w:tab w:val="left" w:pos="4260"/>
        </w:tabs>
        <w:ind w:left="4260" w:hanging="420"/>
      </w:pPr>
    </w:lvl>
  </w:abstractNum>
  <w:abstractNum w:abstractNumId="35">
    <w:nsid w:val="44413017"/>
    <w:multiLevelType w:val="multilevel"/>
    <w:tmpl w:val="44413017"/>
    <w:lvl w:ilvl="0">
      <w:start w:val="1"/>
      <w:numFmt w:val="decimal"/>
      <w:lvlText w:val="%1、"/>
      <w:lvlJc w:val="left"/>
      <w:pPr>
        <w:tabs>
          <w:tab w:val="left" w:pos="690"/>
        </w:tabs>
        <w:ind w:left="690" w:hanging="360"/>
      </w:pPr>
      <w:rPr>
        <w:rFonts w:hint="default"/>
      </w:rPr>
    </w:lvl>
    <w:lvl w:ilvl="1">
      <w:start w:val="1"/>
      <w:numFmt w:val="lowerLetter"/>
      <w:lvlText w:val="%2)"/>
      <w:lvlJc w:val="left"/>
      <w:pPr>
        <w:tabs>
          <w:tab w:val="left" w:pos="1170"/>
        </w:tabs>
        <w:ind w:left="1170" w:hanging="420"/>
      </w:pPr>
    </w:lvl>
    <w:lvl w:ilvl="2">
      <w:start w:val="1"/>
      <w:numFmt w:val="lowerRoman"/>
      <w:lvlText w:val="%3."/>
      <w:lvlJc w:val="right"/>
      <w:pPr>
        <w:tabs>
          <w:tab w:val="left" w:pos="1590"/>
        </w:tabs>
        <w:ind w:left="1590" w:hanging="420"/>
      </w:pPr>
    </w:lvl>
    <w:lvl w:ilvl="3">
      <w:start w:val="1"/>
      <w:numFmt w:val="decimal"/>
      <w:lvlText w:val="%4."/>
      <w:lvlJc w:val="left"/>
      <w:pPr>
        <w:tabs>
          <w:tab w:val="left" w:pos="2010"/>
        </w:tabs>
        <w:ind w:left="2010" w:hanging="420"/>
      </w:pPr>
    </w:lvl>
    <w:lvl w:ilvl="4">
      <w:start w:val="1"/>
      <w:numFmt w:val="lowerLetter"/>
      <w:lvlText w:val="%5)"/>
      <w:lvlJc w:val="left"/>
      <w:pPr>
        <w:tabs>
          <w:tab w:val="left" w:pos="2430"/>
        </w:tabs>
        <w:ind w:left="2430" w:hanging="420"/>
      </w:pPr>
    </w:lvl>
    <w:lvl w:ilvl="5">
      <w:start w:val="1"/>
      <w:numFmt w:val="lowerRoman"/>
      <w:lvlText w:val="%6."/>
      <w:lvlJc w:val="right"/>
      <w:pPr>
        <w:tabs>
          <w:tab w:val="left" w:pos="2850"/>
        </w:tabs>
        <w:ind w:left="2850" w:hanging="420"/>
      </w:pPr>
    </w:lvl>
    <w:lvl w:ilvl="6">
      <w:start w:val="1"/>
      <w:numFmt w:val="decimal"/>
      <w:lvlText w:val="%7."/>
      <w:lvlJc w:val="left"/>
      <w:pPr>
        <w:tabs>
          <w:tab w:val="left" w:pos="3270"/>
        </w:tabs>
        <w:ind w:left="3270" w:hanging="420"/>
      </w:pPr>
    </w:lvl>
    <w:lvl w:ilvl="7">
      <w:start w:val="1"/>
      <w:numFmt w:val="lowerLetter"/>
      <w:lvlText w:val="%8)"/>
      <w:lvlJc w:val="left"/>
      <w:pPr>
        <w:tabs>
          <w:tab w:val="left" w:pos="3690"/>
        </w:tabs>
        <w:ind w:left="3690" w:hanging="420"/>
      </w:pPr>
    </w:lvl>
    <w:lvl w:ilvl="8">
      <w:start w:val="1"/>
      <w:numFmt w:val="lowerRoman"/>
      <w:lvlText w:val="%9."/>
      <w:lvlJc w:val="right"/>
      <w:pPr>
        <w:tabs>
          <w:tab w:val="left" w:pos="4110"/>
        </w:tabs>
        <w:ind w:left="4110" w:hanging="420"/>
      </w:pPr>
    </w:lvl>
  </w:abstractNum>
  <w:abstractNum w:abstractNumId="36">
    <w:nsid w:val="44CF7463"/>
    <w:multiLevelType w:val="multilevel"/>
    <w:tmpl w:val="44CF7463"/>
    <w:lvl w:ilvl="0">
      <w:start w:val="1"/>
      <w:numFmt w:val="decimal"/>
      <w:lvlText w:val="%1、"/>
      <w:lvlJc w:val="left"/>
      <w:pPr>
        <w:tabs>
          <w:tab w:val="left" w:pos="780"/>
        </w:tabs>
        <w:ind w:left="780" w:hanging="360"/>
      </w:pPr>
      <w:rPr>
        <w:rFonts w:hint="default"/>
      </w:rPr>
    </w:lvl>
    <w:lvl w:ilvl="1">
      <w:start w:val="1"/>
      <w:numFmt w:val="lowerLetter"/>
      <w:lvlText w:val="%2)"/>
      <w:lvlJc w:val="left"/>
      <w:pPr>
        <w:tabs>
          <w:tab w:val="left" w:pos="1260"/>
        </w:tabs>
        <w:ind w:left="1260" w:hanging="420"/>
      </w:pPr>
    </w:lvl>
    <w:lvl w:ilvl="2">
      <w:start w:val="1"/>
      <w:numFmt w:val="lowerRoman"/>
      <w:lvlText w:val="%3."/>
      <w:lvlJc w:val="right"/>
      <w:pPr>
        <w:tabs>
          <w:tab w:val="left" w:pos="1680"/>
        </w:tabs>
        <w:ind w:left="1680" w:hanging="420"/>
      </w:pPr>
    </w:lvl>
    <w:lvl w:ilvl="3">
      <w:start w:val="1"/>
      <w:numFmt w:val="decimal"/>
      <w:lvlText w:val="%4."/>
      <w:lvlJc w:val="left"/>
      <w:pPr>
        <w:tabs>
          <w:tab w:val="left" w:pos="2100"/>
        </w:tabs>
        <w:ind w:left="2100" w:hanging="420"/>
      </w:pPr>
    </w:lvl>
    <w:lvl w:ilvl="4">
      <w:start w:val="1"/>
      <w:numFmt w:val="lowerLetter"/>
      <w:lvlText w:val="%5)"/>
      <w:lvlJc w:val="left"/>
      <w:pPr>
        <w:tabs>
          <w:tab w:val="left" w:pos="2520"/>
        </w:tabs>
        <w:ind w:left="2520" w:hanging="420"/>
      </w:pPr>
    </w:lvl>
    <w:lvl w:ilvl="5">
      <w:start w:val="1"/>
      <w:numFmt w:val="lowerRoman"/>
      <w:lvlText w:val="%6."/>
      <w:lvlJc w:val="right"/>
      <w:pPr>
        <w:tabs>
          <w:tab w:val="left" w:pos="2940"/>
        </w:tabs>
        <w:ind w:left="2940" w:hanging="420"/>
      </w:pPr>
    </w:lvl>
    <w:lvl w:ilvl="6">
      <w:start w:val="1"/>
      <w:numFmt w:val="decimal"/>
      <w:lvlText w:val="%7."/>
      <w:lvlJc w:val="left"/>
      <w:pPr>
        <w:tabs>
          <w:tab w:val="left" w:pos="3360"/>
        </w:tabs>
        <w:ind w:left="3360" w:hanging="420"/>
      </w:pPr>
    </w:lvl>
    <w:lvl w:ilvl="7">
      <w:start w:val="1"/>
      <w:numFmt w:val="lowerLetter"/>
      <w:lvlText w:val="%8)"/>
      <w:lvlJc w:val="left"/>
      <w:pPr>
        <w:tabs>
          <w:tab w:val="left" w:pos="3780"/>
        </w:tabs>
        <w:ind w:left="3780" w:hanging="420"/>
      </w:pPr>
    </w:lvl>
    <w:lvl w:ilvl="8">
      <w:start w:val="1"/>
      <w:numFmt w:val="lowerRoman"/>
      <w:lvlText w:val="%9."/>
      <w:lvlJc w:val="right"/>
      <w:pPr>
        <w:tabs>
          <w:tab w:val="left" w:pos="4200"/>
        </w:tabs>
        <w:ind w:left="4200" w:hanging="420"/>
      </w:pPr>
    </w:lvl>
  </w:abstractNum>
  <w:abstractNum w:abstractNumId="37">
    <w:nsid w:val="4544CDBA"/>
    <w:multiLevelType w:val="multilevel"/>
    <w:tmpl w:val="17106CCA"/>
    <w:lvl w:ilvl="0">
      <w:start w:val="1"/>
      <w:numFmt w:val="decimal"/>
      <w:lvlText w:val="%1、"/>
      <w:lvlJc w:val="left"/>
      <w:pPr>
        <w:tabs>
          <w:tab w:val="left" w:pos="810"/>
        </w:tabs>
        <w:ind w:left="810" w:hanging="360"/>
      </w:pPr>
      <w:rPr>
        <w:rFonts w:hint="eastAsia"/>
      </w:rPr>
    </w:lvl>
    <w:lvl w:ilvl="1">
      <w:start w:val="1"/>
      <w:numFmt w:val="lowerLetter"/>
      <w:lvlText w:val="%2)"/>
      <w:lvlJc w:val="left"/>
      <w:pPr>
        <w:tabs>
          <w:tab w:val="left" w:pos="1290"/>
        </w:tabs>
        <w:ind w:left="1290" w:hanging="420"/>
      </w:pPr>
    </w:lvl>
    <w:lvl w:ilvl="2">
      <w:start w:val="1"/>
      <w:numFmt w:val="lowerRoman"/>
      <w:lvlText w:val="%3."/>
      <w:lvlJc w:val="right"/>
      <w:pPr>
        <w:tabs>
          <w:tab w:val="left" w:pos="1710"/>
        </w:tabs>
        <w:ind w:left="1710" w:hanging="420"/>
      </w:pPr>
    </w:lvl>
    <w:lvl w:ilvl="3">
      <w:start w:val="1"/>
      <w:numFmt w:val="decimal"/>
      <w:lvlText w:val="%4."/>
      <w:lvlJc w:val="left"/>
      <w:pPr>
        <w:tabs>
          <w:tab w:val="left" w:pos="2130"/>
        </w:tabs>
        <w:ind w:left="2130" w:hanging="420"/>
      </w:pPr>
    </w:lvl>
    <w:lvl w:ilvl="4">
      <w:start w:val="1"/>
      <w:numFmt w:val="lowerLetter"/>
      <w:lvlText w:val="%5)"/>
      <w:lvlJc w:val="left"/>
      <w:pPr>
        <w:tabs>
          <w:tab w:val="left" w:pos="2550"/>
        </w:tabs>
        <w:ind w:left="2550" w:hanging="420"/>
      </w:pPr>
    </w:lvl>
    <w:lvl w:ilvl="5">
      <w:start w:val="1"/>
      <w:numFmt w:val="lowerRoman"/>
      <w:lvlText w:val="%6."/>
      <w:lvlJc w:val="right"/>
      <w:pPr>
        <w:tabs>
          <w:tab w:val="left" w:pos="2970"/>
        </w:tabs>
        <w:ind w:left="2970" w:hanging="420"/>
      </w:pPr>
    </w:lvl>
    <w:lvl w:ilvl="6">
      <w:start w:val="1"/>
      <w:numFmt w:val="decimal"/>
      <w:lvlText w:val="%7."/>
      <w:lvlJc w:val="left"/>
      <w:pPr>
        <w:tabs>
          <w:tab w:val="left" w:pos="3390"/>
        </w:tabs>
        <w:ind w:left="3390" w:hanging="420"/>
      </w:pPr>
    </w:lvl>
    <w:lvl w:ilvl="7">
      <w:start w:val="1"/>
      <w:numFmt w:val="lowerLetter"/>
      <w:lvlText w:val="%8)"/>
      <w:lvlJc w:val="left"/>
      <w:pPr>
        <w:tabs>
          <w:tab w:val="left" w:pos="3810"/>
        </w:tabs>
        <w:ind w:left="3810" w:hanging="420"/>
      </w:pPr>
    </w:lvl>
    <w:lvl w:ilvl="8">
      <w:start w:val="1"/>
      <w:numFmt w:val="lowerRoman"/>
      <w:lvlText w:val="%9."/>
      <w:lvlJc w:val="right"/>
      <w:pPr>
        <w:tabs>
          <w:tab w:val="left" w:pos="4230"/>
        </w:tabs>
        <w:ind w:left="4230" w:hanging="420"/>
      </w:pPr>
    </w:lvl>
  </w:abstractNum>
  <w:abstractNum w:abstractNumId="38">
    <w:nsid w:val="49156253"/>
    <w:multiLevelType w:val="multilevel"/>
    <w:tmpl w:val="49156253"/>
    <w:lvl w:ilvl="0">
      <w:start w:val="1"/>
      <w:numFmt w:val="decimal"/>
      <w:lvlText w:val="%1、"/>
      <w:lvlJc w:val="left"/>
      <w:pPr>
        <w:tabs>
          <w:tab w:val="left" w:pos="690"/>
        </w:tabs>
        <w:ind w:left="690" w:hanging="360"/>
      </w:pPr>
      <w:rPr>
        <w:rFonts w:hint="default"/>
      </w:rPr>
    </w:lvl>
    <w:lvl w:ilvl="1">
      <w:start w:val="1"/>
      <w:numFmt w:val="lowerLetter"/>
      <w:lvlText w:val="%2)"/>
      <w:lvlJc w:val="left"/>
      <w:pPr>
        <w:tabs>
          <w:tab w:val="left" w:pos="1170"/>
        </w:tabs>
        <w:ind w:left="1170" w:hanging="420"/>
      </w:pPr>
    </w:lvl>
    <w:lvl w:ilvl="2">
      <w:start w:val="1"/>
      <w:numFmt w:val="lowerRoman"/>
      <w:lvlText w:val="%3."/>
      <w:lvlJc w:val="right"/>
      <w:pPr>
        <w:tabs>
          <w:tab w:val="left" w:pos="1590"/>
        </w:tabs>
        <w:ind w:left="1590" w:hanging="420"/>
      </w:pPr>
    </w:lvl>
    <w:lvl w:ilvl="3">
      <w:start w:val="1"/>
      <w:numFmt w:val="decimal"/>
      <w:lvlText w:val="%4."/>
      <w:lvlJc w:val="left"/>
      <w:pPr>
        <w:tabs>
          <w:tab w:val="left" w:pos="2010"/>
        </w:tabs>
        <w:ind w:left="2010" w:hanging="420"/>
      </w:pPr>
    </w:lvl>
    <w:lvl w:ilvl="4">
      <w:start w:val="1"/>
      <w:numFmt w:val="lowerLetter"/>
      <w:lvlText w:val="%5)"/>
      <w:lvlJc w:val="left"/>
      <w:pPr>
        <w:tabs>
          <w:tab w:val="left" w:pos="2430"/>
        </w:tabs>
        <w:ind w:left="2430" w:hanging="420"/>
      </w:pPr>
    </w:lvl>
    <w:lvl w:ilvl="5">
      <w:start w:val="1"/>
      <w:numFmt w:val="lowerRoman"/>
      <w:lvlText w:val="%6."/>
      <w:lvlJc w:val="right"/>
      <w:pPr>
        <w:tabs>
          <w:tab w:val="left" w:pos="2850"/>
        </w:tabs>
        <w:ind w:left="2850" w:hanging="420"/>
      </w:pPr>
    </w:lvl>
    <w:lvl w:ilvl="6">
      <w:start w:val="1"/>
      <w:numFmt w:val="decimal"/>
      <w:lvlText w:val="%7."/>
      <w:lvlJc w:val="left"/>
      <w:pPr>
        <w:tabs>
          <w:tab w:val="left" w:pos="3270"/>
        </w:tabs>
        <w:ind w:left="3270" w:hanging="420"/>
      </w:pPr>
    </w:lvl>
    <w:lvl w:ilvl="7">
      <w:start w:val="1"/>
      <w:numFmt w:val="lowerLetter"/>
      <w:lvlText w:val="%8)"/>
      <w:lvlJc w:val="left"/>
      <w:pPr>
        <w:tabs>
          <w:tab w:val="left" w:pos="3690"/>
        </w:tabs>
        <w:ind w:left="3690" w:hanging="420"/>
      </w:pPr>
    </w:lvl>
    <w:lvl w:ilvl="8">
      <w:start w:val="1"/>
      <w:numFmt w:val="lowerRoman"/>
      <w:lvlText w:val="%9."/>
      <w:lvlJc w:val="right"/>
      <w:pPr>
        <w:tabs>
          <w:tab w:val="left" w:pos="4110"/>
        </w:tabs>
        <w:ind w:left="4110" w:hanging="420"/>
      </w:pPr>
    </w:lvl>
  </w:abstractNum>
  <w:abstractNum w:abstractNumId="39">
    <w:nsid w:val="49713E12"/>
    <w:multiLevelType w:val="multilevel"/>
    <w:tmpl w:val="49713E12"/>
    <w:lvl w:ilvl="0">
      <w:start w:val="1"/>
      <w:numFmt w:val="decimal"/>
      <w:lvlText w:val="%1、"/>
      <w:lvlJc w:val="left"/>
      <w:pPr>
        <w:tabs>
          <w:tab w:val="left" w:pos="780"/>
        </w:tabs>
        <w:ind w:left="780" w:hanging="360"/>
      </w:pPr>
      <w:rPr>
        <w:rFonts w:hint="default"/>
      </w:rPr>
    </w:lvl>
    <w:lvl w:ilvl="1">
      <w:start w:val="1"/>
      <w:numFmt w:val="lowerLetter"/>
      <w:lvlText w:val="%2)"/>
      <w:lvlJc w:val="left"/>
      <w:pPr>
        <w:tabs>
          <w:tab w:val="left" w:pos="1260"/>
        </w:tabs>
        <w:ind w:left="1260" w:hanging="420"/>
      </w:pPr>
    </w:lvl>
    <w:lvl w:ilvl="2">
      <w:start w:val="1"/>
      <w:numFmt w:val="lowerRoman"/>
      <w:lvlText w:val="%3."/>
      <w:lvlJc w:val="right"/>
      <w:pPr>
        <w:tabs>
          <w:tab w:val="left" w:pos="1680"/>
        </w:tabs>
        <w:ind w:left="1680" w:hanging="420"/>
      </w:pPr>
    </w:lvl>
    <w:lvl w:ilvl="3">
      <w:start w:val="1"/>
      <w:numFmt w:val="decimal"/>
      <w:lvlText w:val="%4."/>
      <w:lvlJc w:val="left"/>
      <w:pPr>
        <w:tabs>
          <w:tab w:val="left" w:pos="2100"/>
        </w:tabs>
        <w:ind w:left="2100" w:hanging="420"/>
      </w:pPr>
    </w:lvl>
    <w:lvl w:ilvl="4">
      <w:start w:val="1"/>
      <w:numFmt w:val="lowerLetter"/>
      <w:lvlText w:val="%5)"/>
      <w:lvlJc w:val="left"/>
      <w:pPr>
        <w:tabs>
          <w:tab w:val="left" w:pos="2520"/>
        </w:tabs>
        <w:ind w:left="2520" w:hanging="420"/>
      </w:pPr>
    </w:lvl>
    <w:lvl w:ilvl="5">
      <w:start w:val="1"/>
      <w:numFmt w:val="lowerRoman"/>
      <w:lvlText w:val="%6."/>
      <w:lvlJc w:val="right"/>
      <w:pPr>
        <w:tabs>
          <w:tab w:val="left" w:pos="2940"/>
        </w:tabs>
        <w:ind w:left="2940" w:hanging="420"/>
      </w:pPr>
    </w:lvl>
    <w:lvl w:ilvl="6">
      <w:start w:val="1"/>
      <w:numFmt w:val="decimal"/>
      <w:lvlText w:val="%7."/>
      <w:lvlJc w:val="left"/>
      <w:pPr>
        <w:tabs>
          <w:tab w:val="left" w:pos="3360"/>
        </w:tabs>
        <w:ind w:left="3360" w:hanging="420"/>
      </w:pPr>
    </w:lvl>
    <w:lvl w:ilvl="7">
      <w:start w:val="1"/>
      <w:numFmt w:val="lowerLetter"/>
      <w:lvlText w:val="%8)"/>
      <w:lvlJc w:val="left"/>
      <w:pPr>
        <w:tabs>
          <w:tab w:val="left" w:pos="3780"/>
        </w:tabs>
        <w:ind w:left="3780" w:hanging="420"/>
      </w:pPr>
    </w:lvl>
    <w:lvl w:ilvl="8">
      <w:start w:val="1"/>
      <w:numFmt w:val="lowerRoman"/>
      <w:lvlText w:val="%9."/>
      <w:lvlJc w:val="right"/>
      <w:pPr>
        <w:tabs>
          <w:tab w:val="left" w:pos="4200"/>
        </w:tabs>
        <w:ind w:left="4200" w:hanging="420"/>
      </w:pPr>
    </w:lvl>
  </w:abstractNum>
  <w:abstractNum w:abstractNumId="40">
    <w:nsid w:val="49E93B19"/>
    <w:multiLevelType w:val="multilevel"/>
    <w:tmpl w:val="49E93B19"/>
    <w:lvl w:ilvl="0">
      <w:start w:val="1"/>
      <w:numFmt w:val="decimal"/>
      <w:lvlText w:val="%1、"/>
      <w:lvlJc w:val="left"/>
      <w:pPr>
        <w:tabs>
          <w:tab w:val="left" w:pos="675"/>
        </w:tabs>
        <w:ind w:left="675" w:hanging="360"/>
      </w:pPr>
      <w:rPr>
        <w:rFonts w:hint="default"/>
      </w:rPr>
    </w:lvl>
    <w:lvl w:ilvl="1">
      <w:start w:val="1"/>
      <w:numFmt w:val="lowerLetter"/>
      <w:lvlText w:val="%2)"/>
      <w:lvlJc w:val="left"/>
      <w:pPr>
        <w:tabs>
          <w:tab w:val="left" w:pos="1155"/>
        </w:tabs>
        <w:ind w:left="1155" w:hanging="420"/>
      </w:pPr>
    </w:lvl>
    <w:lvl w:ilvl="2">
      <w:start w:val="1"/>
      <w:numFmt w:val="lowerRoman"/>
      <w:lvlText w:val="%3."/>
      <w:lvlJc w:val="right"/>
      <w:pPr>
        <w:tabs>
          <w:tab w:val="left" w:pos="1575"/>
        </w:tabs>
        <w:ind w:left="1575" w:hanging="420"/>
      </w:pPr>
    </w:lvl>
    <w:lvl w:ilvl="3">
      <w:start w:val="1"/>
      <w:numFmt w:val="decimal"/>
      <w:lvlText w:val="%4."/>
      <w:lvlJc w:val="left"/>
      <w:pPr>
        <w:tabs>
          <w:tab w:val="left" w:pos="1995"/>
        </w:tabs>
        <w:ind w:left="1995" w:hanging="420"/>
      </w:pPr>
    </w:lvl>
    <w:lvl w:ilvl="4">
      <w:start w:val="1"/>
      <w:numFmt w:val="lowerLetter"/>
      <w:lvlText w:val="%5)"/>
      <w:lvlJc w:val="left"/>
      <w:pPr>
        <w:tabs>
          <w:tab w:val="left" w:pos="2415"/>
        </w:tabs>
        <w:ind w:left="2415" w:hanging="420"/>
      </w:pPr>
    </w:lvl>
    <w:lvl w:ilvl="5">
      <w:start w:val="1"/>
      <w:numFmt w:val="lowerRoman"/>
      <w:lvlText w:val="%6."/>
      <w:lvlJc w:val="right"/>
      <w:pPr>
        <w:tabs>
          <w:tab w:val="left" w:pos="2835"/>
        </w:tabs>
        <w:ind w:left="2835" w:hanging="420"/>
      </w:pPr>
    </w:lvl>
    <w:lvl w:ilvl="6">
      <w:start w:val="1"/>
      <w:numFmt w:val="decimal"/>
      <w:lvlText w:val="%7."/>
      <w:lvlJc w:val="left"/>
      <w:pPr>
        <w:tabs>
          <w:tab w:val="left" w:pos="3255"/>
        </w:tabs>
        <w:ind w:left="3255" w:hanging="420"/>
      </w:pPr>
    </w:lvl>
    <w:lvl w:ilvl="7">
      <w:start w:val="1"/>
      <w:numFmt w:val="lowerLetter"/>
      <w:lvlText w:val="%8)"/>
      <w:lvlJc w:val="left"/>
      <w:pPr>
        <w:tabs>
          <w:tab w:val="left" w:pos="3675"/>
        </w:tabs>
        <w:ind w:left="3675" w:hanging="420"/>
      </w:pPr>
    </w:lvl>
    <w:lvl w:ilvl="8">
      <w:start w:val="1"/>
      <w:numFmt w:val="lowerRoman"/>
      <w:lvlText w:val="%9."/>
      <w:lvlJc w:val="right"/>
      <w:pPr>
        <w:tabs>
          <w:tab w:val="left" w:pos="4095"/>
        </w:tabs>
        <w:ind w:left="4095" w:hanging="420"/>
      </w:pPr>
    </w:lvl>
  </w:abstractNum>
  <w:abstractNum w:abstractNumId="41">
    <w:nsid w:val="4B971C2A"/>
    <w:multiLevelType w:val="multilevel"/>
    <w:tmpl w:val="4B971C2A"/>
    <w:lvl w:ilvl="0">
      <w:start w:val="3"/>
      <w:numFmt w:val="decimal"/>
      <w:lvlText w:val="%1、"/>
      <w:lvlJc w:val="left"/>
      <w:pPr>
        <w:tabs>
          <w:tab w:val="left" w:pos="719"/>
        </w:tabs>
        <w:ind w:left="719" w:hanging="360"/>
      </w:pPr>
      <w:rPr>
        <w:rFonts w:hint="default"/>
      </w:rPr>
    </w:lvl>
    <w:lvl w:ilvl="1">
      <w:start w:val="2"/>
      <w:numFmt w:val="upperLetter"/>
      <w:lvlText w:val="%2、"/>
      <w:lvlJc w:val="left"/>
      <w:pPr>
        <w:tabs>
          <w:tab w:val="left" w:pos="1139"/>
        </w:tabs>
        <w:ind w:left="1139" w:hanging="360"/>
      </w:pPr>
      <w:rPr>
        <w:rFonts w:hint="default"/>
      </w:rPr>
    </w:lvl>
    <w:lvl w:ilvl="2">
      <w:start w:val="1"/>
      <w:numFmt w:val="lowerRoman"/>
      <w:lvlText w:val="%3."/>
      <w:lvlJc w:val="right"/>
      <w:pPr>
        <w:tabs>
          <w:tab w:val="left" w:pos="1619"/>
        </w:tabs>
        <w:ind w:left="1619" w:hanging="420"/>
      </w:pPr>
    </w:lvl>
    <w:lvl w:ilvl="3">
      <w:start w:val="1"/>
      <w:numFmt w:val="decimal"/>
      <w:lvlText w:val="%4."/>
      <w:lvlJc w:val="left"/>
      <w:pPr>
        <w:tabs>
          <w:tab w:val="left" w:pos="2039"/>
        </w:tabs>
        <w:ind w:left="2039" w:hanging="420"/>
      </w:pPr>
    </w:lvl>
    <w:lvl w:ilvl="4">
      <w:start w:val="1"/>
      <w:numFmt w:val="lowerLetter"/>
      <w:lvlText w:val="%5)"/>
      <w:lvlJc w:val="left"/>
      <w:pPr>
        <w:tabs>
          <w:tab w:val="left" w:pos="2459"/>
        </w:tabs>
        <w:ind w:left="2459" w:hanging="420"/>
      </w:pPr>
    </w:lvl>
    <w:lvl w:ilvl="5">
      <w:start w:val="1"/>
      <w:numFmt w:val="lowerRoman"/>
      <w:lvlText w:val="%6."/>
      <w:lvlJc w:val="right"/>
      <w:pPr>
        <w:tabs>
          <w:tab w:val="left" w:pos="2879"/>
        </w:tabs>
        <w:ind w:left="2879" w:hanging="420"/>
      </w:pPr>
    </w:lvl>
    <w:lvl w:ilvl="6">
      <w:start w:val="1"/>
      <w:numFmt w:val="decimal"/>
      <w:lvlText w:val="%7."/>
      <w:lvlJc w:val="left"/>
      <w:pPr>
        <w:tabs>
          <w:tab w:val="left" w:pos="3299"/>
        </w:tabs>
        <w:ind w:left="3299" w:hanging="420"/>
      </w:pPr>
    </w:lvl>
    <w:lvl w:ilvl="7">
      <w:start w:val="1"/>
      <w:numFmt w:val="lowerLetter"/>
      <w:lvlText w:val="%8)"/>
      <w:lvlJc w:val="left"/>
      <w:pPr>
        <w:tabs>
          <w:tab w:val="left" w:pos="3719"/>
        </w:tabs>
        <w:ind w:left="3719" w:hanging="420"/>
      </w:pPr>
    </w:lvl>
    <w:lvl w:ilvl="8">
      <w:start w:val="1"/>
      <w:numFmt w:val="lowerRoman"/>
      <w:lvlText w:val="%9."/>
      <w:lvlJc w:val="right"/>
      <w:pPr>
        <w:tabs>
          <w:tab w:val="left" w:pos="4139"/>
        </w:tabs>
        <w:ind w:left="4139" w:hanging="420"/>
      </w:pPr>
    </w:lvl>
  </w:abstractNum>
  <w:abstractNum w:abstractNumId="42">
    <w:nsid w:val="4C581E50"/>
    <w:multiLevelType w:val="multilevel"/>
    <w:tmpl w:val="4C581E50"/>
    <w:lvl w:ilvl="0">
      <w:start w:val="1"/>
      <w:numFmt w:val="decimal"/>
      <w:lvlText w:val="%1、"/>
      <w:lvlJc w:val="left"/>
      <w:pPr>
        <w:tabs>
          <w:tab w:val="left" w:pos="810"/>
        </w:tabs>
        <w:ind w:left="810" w:hanging="360"/>
      </w:pPr>
      <w:rPr>
        <w:rFonts w:hint="eastAsia"/>
      </w:rPr>
    </w:lvl>
    <w:lvl w:ilvl="1">
      <w:start w:val="1"/>
      <w:numFmt w:val="lowerLetter"/>
      <w:lvlText w:val="%2)"/>
      <w:lvlJc w:val="left"/>
      <w:pPr>
        <w:tabs>
          <w:tab w:val="left" w:pos="1290"/>
        </w:tabs>
        <w:ind w:left="1290" w:hanging="420"/>
      </w:pPr>
    </w:lvl>
    <w:lvl w:ilvl="2">
      <w:start w:val="1"/>
      <w:numFmt w:val="lowerRoman"/>
      <w:lvlText w:val="%3."/>
      <w:lvlJc w:val="right"/>
      <w:pPr>
        <w:tabs>
          <w:tab w:val="left" w:pos="1710"/>
        </w:tabs>
        <w:ind w:left="1710" w:hanging="420"/>
      </w:pPr>
    </w:lvl>
    <w:lvl w:ilvl="3">
      <w:start w:val="1"/>
      <w:numFmt w:val="decimal"/>
      <w:lvlText w:val="%4."/>
      <w:lvlJc w:val="left"/>
      <w:pPr>
        <w:tabs>
          <w:tab w:val="left" w:pos="2130"/>
        </w:tabs>
        <w:ind w:left="2130" w:hanging="420"/>
      </w:pPr>
    </w:lvl>
    <w:lvl w:ilvl="4">
      <w:start w:val="1"/>
      <w:numFmt w:val="lowerLetter"/>
      <w:lvlText w:val="%5)"/>
      <w:lvlJc w:val="left"/>
      <w:pPr>
        <w:tabs>
          <w:tab w:val="left" w:pos="2550"/>
        </w:tabs>
        <w:ind w:left="2550" w:hanging="420"/>
      </w:pPr>
    </w:lvl>
    <w:lvl w:ilvl="5">
      <w:start w:val="1"/>
      <w:numFmt w:val="lowerRoman"/>
      <w:lvlText w:val="%6."/>
      <w:lvlJc w:val="right"/>
      <w:pPr>
        <w:tabs>
          <w:tab w:val="left" w:pos="2970"/>
        </w:tabs>
        <w:ind w:left="2970" w:hanging="420"/>
      </w:pPr>
    </w:lvl>
    <w:lvl w:ilvl="6">
      <w:start w:val="1"/>
      <w:numFmt w:val="decimal"/>
      <w:lvlText w:val="%7."/>
      <w:lvlJc w:val="left"/>
      <w:pPr>
        <w:tabs>
          <w:tab w:val="left" w:pos="3390"/>
        </w:tabs>
        <w:ind w:left="3390" w:hanging="420"/>
      </w:pPr>
    </w:lvl>
    <w:lvl w:ilvl="7">
      <w:start w:val="1"/>
      <w:numFmt w:val="lowerLetter"/>
      <w:lvlText w:val="%8)"/>
      <w:lvlJc w:val="left"/>
      <w:pPr>
        <w:tabs>
          <w:tab w:val="left" w:pos="3810"/>
        </w:tabs>
        <w:ind w:left="3810" w:hanging="420"/>
      </w:pPr>
    </w:lvl>
    <w:lvl w:ilvl="8">
      <w:start w:val="1"/>
      <w:numFmt w:val="lowerRoman"/>
      <w:lvlText w:val="%9."/>
      <w:lvlJc w:val="right"/>
      <w:pPr>
        <w:tabs>
          <w:tab w:val="left" w:pos="4230"/>
        </w:tabs>
        <w:ind w:left="4230" w:hanging="420"/>
      </w:pPr>
    </w:lvl>
  </w:abstractNum>
  <w:abstractNum w:abstractNumId="43">
    <w:nsid w:val="4D156EAD"/>
    <w:multiLevelType w:val="multilevel"/>
    <w:tmpl w:val="4D156EAD"/>
    <w:lvl w:ilvl="0">
      <w:start w:val="3"/>
      <w:numFmt w:val="decimal"/>
      <w:lvlText w:val="%1、"/>
      <w:lvlJc w:val="left"/>
      <w:pPr>
        <w:tabs>
          <w:tab w:val="left" w:pos="780"/>
        </w:tabs>
        <w:ind w:left="780" w:hanging="360"/>
      </w:pPr>
      <w:rPr>
        <w:rFonts w:hint="default"/>
      </w:rPr>
    </w:lvl>
    <w:lvl w:ilvl="1">
      <w:start w:val="1"/>
      <w:numFmt w:val="lowerLetter"/>
      <w:lvlText w:val="%2)"/>
      <w:lvlJc w:val="left"/>
      <w:pPr>
        <w:tabs>
          <w:tab w:val="left" w:pos="1260"/>
        </w:tabs>
        <w:ind w:left="1260" w:hanging="420"/>
      </w:pPr>
    </w:lvl>
    <w:lvl w:ilvl="2">
      <w:start w:val="1"/>
      <w:numFmt w:val="lowerRoman"/>
      <w:lvlText w:val="%3."/>
      <w:lvlJc w:val="right"/>
      <w:pPr>
        <w:tabs>
          <w:tab w:val="left" w:pos="1680"/>
        </w:tabs>
        <w:ind w:left="1680" w:hanging="420"/>
      </w:pPr>
    </w:lvl>
    <w:lvl w:ilvl="3">
      <w:start w:val="1"/>
      <w:numFmt w:val="decimal"/>
      <w:lvlText w:val="%4."/>
      <w:lvlJc w:val="left"/>
      <w:pPr>
        <w:tabs>
          <w:tab w:val="left" w:pos="2100"/>
        </w:tabs>
        <w:ind w:left="2100" w:hanging="420"/>
      </w:pPr>
    </w:lvl>
    <w:lvl w:ilvl="4">
      <w:start w:val="1"/>
      <w:numFmt w:val="lowerLetter"/>
      <w:lvlText w:val="%5)"/>
      <w:lvlJc w:val="left"/>
      <w:pPr>
        <w:tabs>
          <w:tab w:val="left" w:pos="2520"/>
        </w:tabs>
        <w:ind w:left="2520" w:hanging="420"/>
      </w:pPr>
    </w:lvl>
    <w:lvl w:ilvl="5">
      <w:start w:val="1"/>
      <w:numFmt w:val="lowerRoman"/>
      <w:lvlText w:val="%6."/>
      <w:lvlJc w:val="right"/>
      <w:pPr>
        <w:tabs>
          <w:tab w:val="left" w:pos="2940"/>
        </w:tabs>
        <w:ind w:left="2940" w:hanging="420"/>
      </w:pPr>
    </w:lvl>
    <w:lvl w:ilvl="6">
      <w:start w:val="1"/>
      <w:numFmt w:val="decimal"/>
      <w:lvlText w:val="%7."/>
      <w:lvlJc w:val="left"/>
      <w:pPr>
        <w:tabs>
          <w:tab w:val="left" w:pos="3360"/>
        </w:tabs>
        <w:ind w:left="3360" w:hanging="420"/>
      </w:pPr>
    </w:lvl>
    <w:lvl w:ilvl="7">
      <w:start w:val="1"/>
      <w:numFmt w:val="lowerLetter"/>
      <w:lvlText w:val="%8)"/>
      <w:lvlJc w:val="left"/>
      <w:pPr>
        <w:tabs>
          <w:tab w:val="left" w:pos="3780"/>
        </w:tabs>
        <w:ind w:left="3780" w:hanging="420"/>
      </w:pPr>
    </w:lvl>
    <w:lvl w:ilvl="8">
      <w:start w:val="1"/>
      <w:numFmt w:val="lowerRoman"/>
      <w:lvlText w:val="%9."/>
      <w:lvlJc w:val="right"/>
      <w:pPr>
        <w:tabs>
          <w:tab w:val="left" w:pos="4200"/>
        </w:tabs>
        <w:ind w:left="4200" w:hanging="420"/>
      </w:pPr>
    </w:lvl>
  </w:abstractNum>
  <w:abstractNum w:abstractNumId="44">
    <w:nsid w:val="5065BC90"/>
    <w:multiLevelType w:val="multilevel"/>
    <w:tmpl w:val="3FBC51EF"/>
    <w:lvl w:ilvl="0">
      <w:start w:val="1"/>
      <w:numFmt w:val="decimal"/>
      <w:lvlText w:val="%1、"/>
      <w:lvlJc w:val="left"/>
      <w:pPr>
        <w:tabs>
          <w:tab w:val="left" w:pos="1080"/>
        </w:tabs>
        <w:ind w:left="1080" w:hanging="360"/>
      </w:pPr>
      <w:rPr>
        <w:rFonts w:ascii="Times New Roman" w:eastAsia="Times New Roman" w:hAnsi="Times New Roman" w:cs="Times New Roman"/>
      </w:rPr>
    </w:lvl>
    <w:lvl w:ilvl="1">
      <w:start w:val="1"/>
      <w:numFmt w:val="lowerLetter"/>
      <w:lvlText w:val="%2)"/>
      <w:lvlJc w:val="left"/>
      <w:pPr>
        <w:tabs>
          <w:tab w:val="left" w:pos="1560"/>
        </w:tabs>
        <w:ind w:left="1560" w:hanging="420"/>
      </w:pPr>
    </w:lvl>
    <w:lvl w:ilvl="2">
      <w:start w:val="1"/>
      <w:numFmt w:val="lowerRoman"/>
      <w:lvlText w:val="%3."/>
      <w:lvlJc w:val="right"/>
      <w:pPr>
        <w:tabs>
          <w:tab w:val="left" w:pos="1980"/>
        </w:tabs>
        <w:ind w:left="1980" w:hanging="420"/>
      </w:pPr>
    </w:lvl>
    <w:lvl w:ilvl="3">
      <w:start w:val="1"/>
      <w:numFmt w:val="decimal"/>
      <w:lvlText w:val="%4."/>
      <w:lvlJc w:val="left"/>
      <w:pPr>
        <w:tabs>
          <w:tab w:val="left" w:pos="2400"/>
        </w:tabs>
        <w:ind w:left="2400" w:hanging="420"/>
      </w:pPr>
    </w:lvl>
    <w:lvl w:ilvl="4">
      <w:start w:val="1"/>
      <w:numFmt w:val="lowerLetter"/>
      <w:lvlText w:val="%5)"/>
      <w:lvlJc w:val="left"/>
      <w:pPr>
        <w:tabs>
          <w:tab w:val="left" w:pos="2820"/>
        </w:tabs>
        <w:ind w:left="2820" w:hanging="420"/>
      </w:pPr>
    </w:lvl>
    <w:lvl w:ilvl="5">
      <w:start w:val="1"/>
      <w:numFmt w:val="lowerRoman"/>
      <w:lvlText w:val="%6."/>
      <w:lvlJc w:val="right"/>
      <w:pPr>
        <w:tabs>
          <w:tab w:val="left" w:pos="3240"/>
        </w:tabs>
        <w:ind w:left="3240" w:hanging="420"/>
      </w:pPr>
    </w:lvl>
    <w:lvl w:ilvl="6">
      <w:start w:val="1"/>
      <w:numFmt w:val="decimal"/>
      <w:lvlText w:val="%7."/>
      <w:lvlJc w:val="left"/>
      <w:pPr>
        <w:tabs>
          <w:tab w:val="left" w:pos="3660"/>
        </w:tabs>
        <w:ind w:left="3660" w:hanging="420"/>
      </w:pPr>
    </w:lvl>
    <w:lvl w:ilvl="7">
      <w:start w:val="1"/>
      <w:numFmt w:val="lowerLetter"/>
      <w:lvlText w:val="%8)"/>
      <w:lvlJc w:val="left"/>
      <w:pPr>
        <w:tabs>
          <w:tab w:val="left" w:pos="4080"/>
        </w:tabs>
        <w:ind w:left="4080" w:hanging="420"/>
      </w:pPr>
    </w:lvl>
    <w:lvl w:ilvl="8">
      <w:start w:val="1"/>
      <w:numFmt w:val="lowerRoman"/>
      <w:lvlText w:val="%9."/>
      <w:lvlJc w:val="right"/>
      <w:pPr>
        <w:tabs>
          <w:tab w:val="left" w:pos="4500"/>
        </w:tabs>
        <w:ind w:left="4500" w:hanging="420"/>
      </w:pPr>
    </w:lvl>
  </w:abstractNum>
  <w:abstractNum w:abstractNumId="45">
    <w:nsid w:val="51FE34C8"/>
    <w:multiLevelType w:val="multilevel"/>
    <w:tmpl w:val="51FE34C8"/>
    <w:lvl w:ilvl="0">
      <w:start w:val="1"/>
      <w:numFmt w:val="decimal"/>
      <w:lvlText w:val="%1、"/>
      <w:lvlJc w:val="left"/>
      <w:pPr>
        <w:tabs>
          <w:tab w:val="left" w:pos="780"/>
        </w:tabs>
        <w:ind w:left="780" w:hanging="360"/>
      </w:pPr>
      <w:rPr>
        <w:rFonts w:hint="default"/>
      </w:rPr>
    </w:lvl>
    <w:lvl w:ilvl="1">
      <w:start w:val="1"/>
      <w:numFmt w:val="lowerLetter"/>
      <w:lvlText w:val="%2)"/>
      <w:lvlJc w:val="left"/>
      <w:pPr>
        <w:tabs>
          <w:tab w:val="left" w:pos="1260"/>
        </w:tabs>
        <w:ind w:left="1260" w:hanging="420"/>
      </w:pPr>
    </w:lvl>
    <w:lvl w:ilvl="2">
      <w:start w:val="1"/>
      <w:numFmt w:val="lowerRoman"/>
      <w:lvlText w:val="%3."/>
      <w:lvlJc w:val="right"/>
      <w:pPr>
        <w:tabs>
          <w:tab w:val="left" w:pos="1680"/>
        </w:tabs>
        <w:ind w:left="1680" w:hanging="420"/>
      </w:pPr>
    </w:lvl>
    <w:lvl w:ilvl="3">
      <w:start w:val="1"/>
      <w:numFmt w:val="decimal"/>
      <w:lvlText w:val="%4."/>
      <w:lvlJc w:val="left"/>
      <w:pPr>
        <w:tabs>
          <w:tab w:val="left" w:pos="2100"/>
        </w:tabs>
        <w:ind w:left="2100" w:hanging="420"/>
      </w:pPr>
    </w:lvl>
    <w:lvl w:ilvl="4">
      <w:start w:val="1"/>
      <w:numFmt w:val="lowerLetter"/>
      <w:lvlText w:val="%5)"/>
      <w:lvlJc w:val="left"/>
      <w:pPr>
        <w:tabs>
          <w:tab w:val="left" w:pos="2520"/>
        </w:tabs>
        <w:ind w:left="2520" w:hanging="420"/>
      </w:pPr>
    </w:lvl>
    <w:lvl w:ilvl="5">
      <w:start w:val="1"/>
      <w:numFmt w:val="lowerRoman"/>
      <w:lvlText w:val="%6."/>
      <w:lvlJc w:val="right"/>
      <w:pPr>
        <w:tabs>
          <w:tab w:val="left" w:pos="2940"/>
        </w:tabs>
        <w:ind w:left="2940" w:hanging="420"/>
      </w:pPr>
    </w:lvl>
    <w:lvl w:ilvl="6">
      <w:start w:val="1"/>
      <w:numFmt w:val="decimal"/>
      <w:lvlText w:val="%7."/>
      <w:lvlJc w:val="left"/>
      <w:pPr>
        <w:tabs>
          <w:tab w:val="left" w:pos="3360"/>
        </w:tabs>
        <w:ind w:left="3360" w:hanging="420"/>
      </w:pPr>
    </w:lvl>
    <w:lvl w:ilvl="7">
      <w:start w:val="1"/>
      <w:numFmt w:val="lowerLetter"/>
      <w:lvlText w:val="%8)"/>
      <w:lvlJc w:val="left"/>
      <w:pPr>
        <w:tabs>
          <w:tab w:val="left" w:pos="3780"/>
        </w:tabs>
        <w:ind w:left="3780" w:hanging="420"/>
      </w:pPr>
    </w:lvl>
    <w:lvl w:ilvl="8">
      <w:start w:val="1"/>
      <w:numFmt w:val="lowerRoman"/>
      <w:lvlText w:val="%9."/>
      <w:lvlJc w:val="right"/>
      <w:pPr>
        <w:tabs>
          <w:tab w:val="left" w:pos="4200"/>
        </w:tabs>
        <w:ind w:left="4200" w:hanging="420"/>
      </w:pPr>
    </w:lvl>
  </w:abstractNum>
  <w:abstractNum w:abstractNumId="46">
    <w:nsid w:val="52A96127"/>
    <w:multiLevelType w:val="multilevel"/>
    <w:tmpl w:val="52A96127"/>
    <w:lvl w:ilvl="0">
      <w:start w:val="1"/>
      <w:numFmt w:val="decimal"/>
      <w:lvlText w:val="%1、"/>
      <w:lvlJc w:val="left"/>
      <w:pPr>
        <w:tabs>
          <w:tab w:val="left" w:pos="795"/>
        </w:tabs>
        <w:ind w:left="795" w:hanging="375"/>
      </w:pPr>
      <w:rPr>
        <w:rFonts w:hint="default"/>
      </w:rPr>
    </w:lvl>
    <w:lvl w:ilvl="1">
      <w:start w:val="1"/>
      <w:numFmt w:val="lowerLetter"/>
      <w:lvlText w:val="%2)"/>
      <w:lvlJc w:val="left"/>
      <w:pPr>
        <w:tabs>
          <w:tab w:val="left" w:pos="1260"/>
        </w:tabs>
        <w:ind w:left="1260" w:hanging="420"/>
      </w:pPr>
    </w:lvl>
    <w:lvl w:ilvl="2">
      <w:start w:val="1"/>
      <w:numFmt w:val="lowerRoman"/>
      <w:lvlText w:val="%3."/>
      <w:lvlJc w:val="right"/>
      <w:pPr>
        <w:tabs>
          <w:tab w:val="left" w:pos="1680"/>
        </w:tabs>
        <w:ind w:left="1680" w:hanging="420"/>
      </w:pPr>
    </w:lvl>
    <w:lvl w:ilvl="3">
      <w:start w:val="1"/>
      <w:numFmt w:val="decimal"/>
      <w:lvlText w:val="%4."/>
      <w:lvlJc w:val="left"/>
      <w:pPr>
        <w:tabs>
          <w:tab w:val="left" w:pos="2100"/>
        </w:tabs>
        <w:ind w:left="2100" w:hanging="420"/>
      </w:pPr>
    </w:lvl>
    <w:lvl w:ilvl="4">
      <w:start w:val="1"/>
      <w:numFmt w:val="lowerLetter"/>
      <w:lvlText w:val="%5)"/>
      <w:lvlJc w:val="left"/>
      <w:pPr>
        <w:tabs>
          <w:tab w:val="left" w:pos="2520"/>
        </w:tabs>
        <w:ind w:left="2520" w:hanging="420"/>
      </w:pPr>
    </w:lvl>
    <w:lvl w:ilvl="5">
      <w:start w:val="1"/>
      <w:numFmt w:val="lowerRoman"/>
      <w:lvlText w:val="%6."/>
      <w:lvlJc w:val="right"/>
      <w:pPr>
        <w:tabs>
          <w:tab w:val="left" w:pos="2940"/>
        </w:tabs>
        <w:ind w:left="2940" w:hanging="420"/>
      </w:pPr>
    </w:lvl>
    <w:lvl w:ilvl="6">
      <w:start w:val="1"/>
      <w:numFmt w:val="decimal"/>
      <w:lvlText w:val="%7."/>
      <w:lvlJc w:val="left"/>
      <w:pPr>
        <w:tabs>
          <w:tab w:val="left" w:pos="3360"/>
        </w:tabs>
        <w:ind w:left="3360" w:hanging="420"/>
      </w:pPr>
    </w:lvl>
    <w:lvl w:ilvl="7">
      <w:start w:val="1"/>
      <w:numFmt w:val="lowerLetter"/>
      <w:lvlText w:val="%8)"/>
      <w:lvlJc w:val="left"/>
      <w:pPr>
        <w:tabs>
          <w:tab w:val="left" w:pos="3780"/>
        </w:tabs>
        <w:ind w:left="3780" w:hanging="420"/>
      </w:pPr>
    </w:lvl>
    <w:lvl w:ilvl="8">
      <w:start w:val="1"/>
      <w:numFmt w:val="lowerRoman"/>
      <w:lvlText w:val="%9."/>
      <w:lvlJc w:val="right"/>
      <w:pPr>
        <w:tabs>
          <w:tab w:val="left" w:pos="4200"/>
        </w:tabs>
        <w:ind w:left="4200" w:hanging="420"/>
      </w:pPr>
    </w:lvl>
  </w:abstractNum>
  <w:abstractNum w:abstractNumId="47">
    <w:nsid w:val="54DC51D5"/>
    <w:multiLevelType w:val="multilevel"/>
    <w:tmpl w:val="54DC51D5"/>
    <w:lvl w:ilvl="0">
      <w:start w:val="4"/>
      <w:numFmt w:val="decimal"/>
      <w:lvlText w:val="%1、"/>
      <w:lvlJc w:val="left"/>
      <w:pPr>
        <w:tabs>
          <w:tab w:val="left" w:pos="780"/>
        </w:tabs>
        <w:ind w:left="780" w:hanging="360"/>
      </w:pPr>
      <w:rPr>
        <w:rFonts w:hint="default"/>
      </w:rPr>
    </w:lvl>
    <w:lvl w:ilvl="1">
      <w:start w:val="1"/>
      <w:numFmt w:val="lowerLetter"/>
      <w:lvlText w:val="%2)"/>
      <w:lvlJc w:val="left"/>
      <w:pPr>
        <w:tabs>
          <w:tab w:val="left" w:pos="1260"/>
        </w:tabs>
        <w:ind w:left="1260" w:hanging="420"/>
      </w:pPr>
    </w:lvl>
    <w:lvl w:ilvl="2">
      <w:start w:val="1"/>
      <w:numFmt w:val="lowerRoman"/>
      <w:lvlText w:val="%3."/>
      <w:lvlJc w:val="right"/>
      <w:pPr>
        <w:tabs>
          <w:tab w:val="left" w:pos="1680"/>
        </w:tabs>
        <w:ind w:left="1680" w:hanging="420"/>
      </w:pPr>
    </w:lvl>
    <w:lvl w:ilvl="3">
      <w:start w:val="1"/>
      <w:numFmt w:val="decimal"/>
      <w:lvlText w:val="%4."/>
      <w:lvlJc w:val="left"/>
      <w:pPr>
        <w:tabs>
          <w:tab w:val="left" w:pos="2100"/>
        </w:tabs>
        <w:ind w:left="2100" w:hanging="420"/>
      </w:pPr>
    </w:lvl>
    <w:lvl w:ilvl="4">
      <w:start w:val="1"/>
      <w:numFmt w:val="lowerLetter"/>
      <w:lvlText w:val="%5)"/>
      <w:lvlJc w:val="left"/>
      <w:pPr>
        <w:tabs>
          <w:tab w:val="left" w:pos="2520"/>
        </w:tabs>
        <w:ind w:left="2520" w:hanging="420"/>
      </w:pPr>
    </w:lvl>
    <w:lvl w:ilvl="5">
      <w:start w:val="1"/>
      <w:numFmt w:val="lowerRoman"/>
      <w:lvlText w:val="%6."/>
      <w:lvlJc w:val="right"/>
      <w:pPr>
        <w:tabs>
          <w:tab w:val="left" w:pos="2940"/>
        </w:tabs>
        <w:ind w:left="2940" w:hanging="420"/>
      </w:pPr>
    </w:lvl>
    <w:lvl w:ilvl="6">
      <w:start w:val="1"/>
      <w:numFmt w:val="decimal"/>
      <w:lvlText w:val="%7."/>
      <w:lvlJc w:val="left"/>
      <w:pPr>
        <w:tabs>
          <w:tab w:val="left" w:pos="3360"/>
        </w:tabs>
        <w:ind w:left="3360" w:hanging="420"/>
      </w:pPr>
    </w:lvl>
    <w:lvl w:ilvl="7">
      <w:start w:val="1"/>
      <w:numFmt w:val="lowerLetter"/>
      <w:lvlText w:val="%8)"/>
      <w:lvlJc w:val="left"/>
      <w:pPr>
        <w:tabs>
          <w:tab w:val="left" w:pos="3780"/>
        </w:tabs>
        <w:ind w:left="3780" w:hanging="420"/>
      </w:pPr>
    </w:lvl>
    <w:lvl w:ilvl="8">
      <w:start w:val="1"/>
      <w:numFmt w:val="lowerRoman"/>
      <w:lvlText w:val="%9."/>
      <w:lvlJc w:val="right"/>
      <w:pPr>
        <w:tabs>
          <w:tab w:val="left" w:pos="4200"/>
        </w:tabs>
        <w:ind w:left="4200" w:hanging="420"/>
      </w:pPr>
    </w:lvl>
  </w:abstractNum>
  <w:abstractNum w:abstractNumId="48">
    <w:nsid w:val="592F1A3A"/>
    <w:multiLevelType w:val="multilevel"/>
    <w:tmpl w:val="592F1A3A"/>
    <w:lvl w:ilvl="0">
      <w:start w:val="1"/>
      <w:numFmt w:val="decimal"/>
      <w:lvlText w:val="%1、"/>
      <w:lvlJc w:val="left"/>
      <w:pPr>
        <w:tabs>
          <w:tab w:val="left" w:pos="780"/>
        </w:tabs>
        <w:ind w:left="780" w:hanging="360"/>
      </w:pPr>
      <w:rPr>
        <w:rFonts w:hint="default"/>
      </w:rPr>
    </w:lvl>
    <w:lvl w:ilvl="1">
      <w:start w:val="1"/>
      <w:numFmt w:val="lowerLetter"/>
      <w:lvlText w:val="%2)"/>
      <w:lvlJc w:val="left"/>
      <w:pPr>
        <w:tabs>
          <w:tab w:val="left" w:pos="1260"/>
        </w:tabs>
        <w:ind w:left="1260" w:hanging="420"/>
      </w:pPr>
    </w:lvl>
    <w:lvl w:ilvl="2">
      <w:start w:val="1"/>
      <w:numFmt w:val="lowerRoman"/>
      <w:lvlText w:val="%3."/>
      <w:lvlJc w:val="right"/>
      <w:pPr>
        <w:tabs>
          <w:tab w:val="left" w:pos="1680"/>
        </w:tabs>
        <w:ind w:left="1680" w:hanging="420"/>
      </w:pPr>
    </w:lvl>
    <w:lvl w:ilvl="3">
      <w:start w:val="1"/>
      <w:numFmt w:val="decimal"/>
      <w:lvlText w:val="%4."/>
      <w:lvlJc w:val="left"/>
      <w:pPr>
        <w:tabs>
          <w:tab w:val="left" w:pos="2100"/>
        </w:tabs>
        <w:ind w:left="2100" w:hanging="420"/>
      </w:pPr>
    </w:lvl>
    <w:lvl w:ilvl="4">
      <w:start w:val="1"/>
      <w:numFmt w:val="lowerLetter"/>
      <w:lvlText w:val="%5)"/>
      <w:lvlJc w:val="left"/>
      <w:pPr>
        <w:tabs>
          <w:tab w:val="left" w:pos="2520"/>
        </w:tabs>
        <w:ind w:left="2520" w:hanging="420"/>
      </w:pPr>
    </w:lvl>
    <w:lvl w:ilvl="5">
      <w:start w:val="1"/>
      <w:numFmt w:val="lowerRoman"/>
      <w:lvlText w:val="%6."/>
      <w:lvlJc w:val="right"/>
      <w:pPr>
        <w:tabs>
          <w:tab w:val="left" w:pos="2940"/>
        </w:tabs>
        <w:ind w:left="2940" w:hanging="420"/>
      </w:pPr>
    </w:lvl>
    <w:lvl w:ilvl="6">
      <w:start w:val="1"/>
      <w:numFmt w:val="decimal"/>
      <w:lvlText w:val="%7."/>
      <w:lvlJc w:val="left"/>
      <w:pPr>
        <w:tabs>
          <w:tab w:val="left" w:pos="3360"/>
        </w:tabs>
        <w:ind w:left="3360" w:hanging="420"/>
      </w:pPr>
    </w:lvl>
    <w:lvl w:ilvl="7">
      <w:start w:val="1"/>
      <w:numFmt w:val="lowerLetter"/>
      <w:lvlText w:val="%8)"/>
      <w:lvlJc w:val="left"/>
      <w:pPr>
        <w:tabs>
          <w:tab w:val="left" w:pos="3780"/>
        </w:tabs>
        <w:ind w:left="3780" w:hanging="420"/>
      </w:pPr>
    </w:lvl>
    <w:lvl w:ilvl="8">
      <w:start w:val="1"/>
      <w:numFmt w:val="lowerRoman"/>
      <w:lvlText w:val="%9."/>
      <w:lvlJc w:val="right"/>
      <w:pPr>
        <w:tabs>
          <w:tab w:val="left" w:pos="4200"/>
        </w:tabs>
        <w:ind w:left="4200" w:hanging="420"/>
      </w:pPr>
    </w:lvl>
  </w:abstractNum>
  <w:abstractNum w:abstractNumId="49">
    <w:nsid w:val="59BC49FD"/>
    <w:multiLevelType w:val="multilevel"/>
    <w:tmpl w:val="59BC49FD"/>
    <w:lvl w:ilvl="0">
      <w:start w:val="1"/>
      <w:numFmt w:val="decimal"/>
      <w:lvlText w:val="%1、"/>
      <w:lvlJc w:val="left"/>
      <w:pPr>
        <w:tabs>
          <w:tab w:val="left" w:pos="690"/>
        </w:tabs>
        <w:ind w:left="690" w:hanging="360"/>
      </w:pPr>
      <w:rPr>
        <w:rFonts w:hint="default"/>
      </w:rPr>
    </w:lvl>
    <w:lvl w:ilvl="1">
      <w:start w:val="1"/>
      <w:numFmt w:val="lowerLetter"/>
      <w:lvlText w:val="%2)"/>
      <w:lvlJc w:val="left"/>
      <w:pPr>
        <w:tabs>
          <w:tab w:val="left" w:pos="1170"/>
        </w:tabs>
        <w:ind w:left="1170" w:hanging="420"/>
      </w:pPr>
    </w:lvl>
    <w:lvl w:ilvl="2">
      <w:start w:val="1"/>
      <w:numFmt w:val="lowerRoman"/>
      <w:lvlText w:val="%3."/>
      <w:lvlJc w:val="right"/>
      <w:pPr>
        <w:tabs>
          <w:tab w:val="left" w:pos="1590"/>
        </w:tabs>
        <w:ind w:left="1590" w:hanging="420"/>
      </w:pPr>
    </w:lvl>
    <w:lvl w:ilvl="3">
      <w:start w:val="1"/>
      <w:numFmt w:val="decimal"/>
      <w:lvlText w:val="%4."/>
      <w:lvlJc w:val="left"/>
      <w:pPr>
        <w:tabs>
          <w:tab w:val="left" w:pos="2010"/>
        </w:tabs>
        <w:ind w:left="2010" w:hanging="420"/>
      </w:pPr>
    </w:lvl>
    <w:lvl w:ilvl="4">
      <w:start w:val="1"/>
      <w:numFmt w:val="lowerLetter"/>
      <w:lvlText w:val="%5)"/>
      <w:lvlJc w:val="left"/>
      <w:pPr>
        <w:tabs>
          <w:tab w:val="left" w:pos="2430"/>
        </w:tabs>
        <w:ind w:left="2430" w:hanging="420"/>
      </w:pPr>
    </w:lvl>
    <w:lvl w:ilvl="5">
      <w:start w:val="1"/>
      <w:numFmt w:val="lowerRoman"/>
      <w:lvlText w:val="%6."/>
      <w:lvlJc w:val="right"/>
      <w:pPr>
        <w:tabs>
          <w:tab w:val="left" w:pos="2850"/>
        </w:tabs>
        <w:ind w:left="2850" w:hanging="420"/>
      </w:pPr>
    </w:lvl>
    <w:lvl w:ilvl="6">
      <w:start w:val="1"/>
      <w:numFmt w:val="decimal"/>
      <w:lvlText w:val="%7."/>
      <w:lvlJc w:val="left"/>
      <w:pPr>
        <w:tabs>
          <w:tab w:val="left" w:pos="3270"/>
        </w:tabs>
        <w:ind w:left="3270" w:hanging="420"/>
      </w:pPr>
    </w:lvl>
    <w:lvl w:ilvl="7">
      <w:start w:val="1"/>
      <w:numFmt w:val="lowerLetter"/>
      <w:lvlText w:val="%8)"/>
      <w:lvlJc w:val="left"/>
      <w:pPr>
        <w:tabs>
          <w:tab w:val="left" w:pos="3690"/>
        </w:tabs>
        <w:ind w:left="3690" w:hanging="420"/>
      </w:pPr>
    </w:lvl>
    <w:lvl w:ilvl="8">
      <w:start w:val="1"/>
      <w:numFmt w:val="lowerRoman"/>
      <w:lvlText w:val="%9."/>
      <w:lvlJc w:val="right"/>
      <w:pPr>
        <w:tabs>
          <w:tab w:val="left" w:pos="4110"/>
        </w:tabs>
        <w:ind w:left="4110" w:hanging="420"/>
      </w:pPr>
    </w:lvl>
  </w:abstractNum>
  <w:abstractNum w:abstractNumId="50">
    <w:nsid w:val="5AB76AB3"/>
    <w:multiLevelType w:val="multilevel"/>
    <w:tmpl w:val="5AB76AB3"/>
    <w:lvl w:ilvl="0">
      <w:start w:val="1"/>
      <w:numFmt w:val="decimal"/>
      <w:lvlText w:val="%1、"/>
      <w:lvlJc w:val="left"/>
      <w:pPr>
        <w:tabs>
          <w:tab w:val="left" w:pos="1080"/>
        </w:tabs>
        <w:ind w:left="1080" w:hanging="360"/>
      </w:pPr>
      <w:rPr>
        <w:rFonts w:ascii="Times New Roman" w:eastAsia="Times New Roman" w:hAnsi="Times New Roman" w:cs="Times New Roman"/>
      </w:rPr>
    </w:lvl>
    <w:lvl w:ilvl="1">
      <w:start w:val="1"/>
      <w:numFmt w:val="lowerLetter"/>
      <w:lvlText w:val="%2)"/>
      <w:lvlJc w:val="left"/>
      <w:pPr>
        <w:tabs>
          <w:tab w:val="left" w:pos="1560"/>
        </w:tabs>
        <w:ind w:left="1560" w:hanging="420"/>
      </w:pPr>
    </w:lvl>
    <w:lvl w:ilvl="2">
      <w:start w:val="1"/>
      <w:numFmt w:val="lowerRoman"/>
      <w:lvlText w:val="%3."/>
      <w:lvlJc w:val="right"/>
      <w:pPr>
        <w:tabs>
          <w:tab w:val="left" w:pos="1980"/>
        </w:tabs>
        <w:ind w:left="1980" w:hanging="420"/>
      </w:pPr>
    </w:lvl>
    <w:lvl w:ilvl="3">
      <w:start w:val="1"/>
      <w:numFmt w:val="decimal"/>
      <w:lvlText w:val="%4."/>
      <w:lvlJc w:val="left"/>
      <w:pPr>
        <w:tabs>
          <w:tab w:val="left" w:pos="2400"/>
        </w:tabs>
        <w:ind w:left="2400" w:hanging="420"/>
      </w:pPr>
    </w:lvl>
    <w:lvl w:ilvl="4">
      <w:start w:val="1"/>
      <w:numFmt w:val="lowerLetter"/>
      <w:lvlText w:val="%5)"/>
      <w:lvlJc w:val="left"/>
      <w:pPr>
        <w:tabs>
          <w:tab w:val="left" w:pos="2820"/>
        </w:tabs>
        <w:ind w:left="2820" w:hanging="420"/>
      </w:pPr>
    </w:lvl>
    <w:lvl w:ilvl="5">
      <w:start w:val="1"/>
      <w:numFmt w:val="lowerRoman"/>
      <w:lvlText w:val="%6."/>
      <w:lvlJc w:val="right"/>
      <w:pPr>
        <w:tabs>
          <w:tab w:val="left" w:pos="3240"/>
        </w:tabs>
        <w:ind w:left="3240" w:hanging="420"/>
      </w:pPr>
    </w:lvl>
    <w:lvl w:ilvl="6">
      <w:start w:val="1"/>
      <w:numFmt w:val="decimal"/>
      <w:lvlText w:val="%7."/>
      <w:lvlJc w:val="left"/>
      <w:pPr>
        <w:tabs>
          <w:tab w:val="left" w:pos="3660"/>
        </w:tabs>
        <w:ind w:left="3660" w:hanging="420"/>
      </w:pPr>
    </w:lvl>
    <w:lvl w:ilvl="7">
      <w:start w:val="1"/>
      <w:numFmt w:val="lowerLetter"/>
      <w:lvlText w:val="%8)"/>
      <w:lvlJc w:val="left"/>
      <w:pPr>
        <w:tabs>
          <w:tab w:val="left" w:pos="4080"/>
        </w:tabs>
        <w:ind w:left="4080" w:hanging="420"/>
      </w:pPr>
    </w:lvl>
    <w:lvl w:ilvl="8">
      <w:start w:val="1"/>
      <w:numFmt w:val="lowerRoman"/>
      <w:lvlText w:val="%9."/>
      <w:lvlJc w:val="right"/>
      <w:pPr>
        <w:tabs>
          <w:tab w:val="left" w:pos="4500"/>
        </w:tabs>
        <w:ind w:left="4500" w:hanging="420"/>
      </w:pPr>
    </w:lvl>
  </w:abstractNum>
  <w:abstractNum w:abstractNumId="51">
    <w:nsid w:val="60172855"/>
    <w:multiLevelType w:val="multilevel"/>
    <w:tmpl w:val="60172855"/>
    <w:lvl w:ilvl="0">
      <w:start w:val="1"/>
      <w:numFmt w:val="decimal"/>
      <w:lvlText w:val="%1、"/>
      <w:lvlJc w:val="left"/>
      <w:pPr>
        <w:tabs>
          <w:tab w:val="left" w:pos="780"/>
        </w:tabs>
        <w:ind w:left="780" w:hanging="360"/>
      </w:pPr>
      <w:rPr>
        <w:rFonts w:hint="default"/>
      </w:rPr>
    </w:lvl>
    <w:lvl w:ilvl="1">
      <w:start w:val="1"/>
      <w:numFmt w:val="lowerLetter"/>
      <w:lvlText w:val="%2)"/>
      <w:lvlJc w:val="left"/>
      <w:pPr>
        <w:tabs>
          <w:tab w:val="left" w:pos="1260"/>
        </w:tabs>
        <w:ind w:left="1260" w:hanging="420"/>
      </w:pPr>
    </w:lvl>
    <w:lvl w:ilvl="2">
      <w:start w:val="1"/>
      <w:numFmt w:val="lowerRoman"/>
      <w:lvlText w:val="%3."/>
      <w:lvlJc w:val="right"/>
      <w:pPr>
        <w:tabs>
          <w:tab w:val="left" w:pos="1680"/>
        </w:tabs>
        <w:ind w:left="1680" w:hanging="420"/>
      </w:pPr>
    </w:lvl>
    <w:lvl w:ilvl="3">
      <w:start w:val="1"/>
      <w:numFmt w:val="decimal"/>
      <w:lvlText w:val="%4."/>
      <w:lvlJc w:val="left"/>
      <w:pPr>
        <w:tabs>
          <w:tab w:val="left" w:pos="2100"/>
        </w:tabs>
        <w:ind w:left="2100" w:hanging="420"/>
      </w:pPr>
    </w:lvl>
    <w:lvl w:ilvl="4">
      <w:start w:val="1"/>
      <w:numFmt w:val="lowerLetter"/>
      <w:lvlText w:val="%5)"/>
      <w:lvlJc w:val="left"/>
      <w:pPr>
        <w:tabs>
          <w:tab w:val="left" w:pos="2520"/>
        </w:tabs>
        <w:ind w:left="2520" w:hanging="420"/>
      </w:pPr>
    </w:lvl>
    <w:lvl w:ilvl="5">
      <w:start w:val="1"/>
      <w:numFmt w:val="lowerRoman"/>
      <w:lvlText w:val="%6."/>
      <w:lvlJc w:val="right"/>
      <w:pPr>
        <w:tabs>
          <w:tab w:val="left" w:pos="2940"/>
        </w:tabs>
        <w:ind w:left="2940" w:hanging="420"/>
      </w:pPr>
    </w:lvl>
    <w:lvl w:ilvl="6">
      <w:start w:val="1"/>
      <w:numFmt w:val="decimal"/>
      <w:lvlText w:val="%7."/>
      <w:lvlJc w:val="left"/>
      <w:pPr>
        <w:tabs>
          <w:tab w:val="left" w:pos="3360"/>
        </w:tabs>
        <w:ind w:left="3360" w:hanging="420"/>
      </w:pPr>
    </w:lvl>
    <w:lvl w:ilvl="7">
      <w:start w:val="1"/>
      <w:numFmt w:val="lowerLetter"/>
      <w:lvlText w:val="%8)"/>
      <w:lvlJc w:val="left"/>
      <w:pPr>
        <w:tabs>
          <w:tab w:val="left" w:pos="3780"/>
        </w:tabs>
        <w:ind w:left="3780" w:hanging="420"/>
      </w:pPr>
    </w:lvl>
    <w:lvl w:ilvl="8">
      <w:start w:val="1"/>
      <w:numFmt w:val="lowerRoman"/>
      <w:lvlText w:val="%9."/>
      <w:lvlJc w:val="right"/>
      <w:pPr>
        <w:tabs>
          <w:tab w:val="left" w:pos="4200"/>
        </w:tabs>
        <w:ind w:left="4200" w:hanging="420"/>
      </w:pPr>
    </w:lvl>
  </w:abstractNum>
  <w:abstractNum w:abstractNumId="52">
    <w:nsid w:val="62F5A344"/>
    <w:multiLevelType w:val="multilevel"/>
    <w:tmpl w:val="70263111"/>
    <w:lvl w:ilvl="0">
      <w:start w:val="1"/>
      <w:numFmt w:val="decimal"/>
      <w:lvlText w:val="%1、"/>
      <w:lvlJc w:val="left"/>
      <w:pPr>
        <w:tabs>
          <w:tab w:val="left" w:pos="780"/>
        </w:tabs>
        <w:ind w:left="780" w:hanging="360"/>
      </w:pPr>
      <w:rPr>
        <w:rFonts w:ascii="Times New Roman" w:eastAsia="Times New Roman" w:hAnsi="Times New Roman" w:cs="Times New Roman"/>
      </w:rPr>
    </w:lvl>
    <w:lvl w:ilvl="1">
      <w:start w:val="1"/>
      <w:numFmt w:val="decimal"/>
      <w:lvlText w:val="%2、"/>
      <w:lvlJc w:val="left"/>
      <w:pPr>
        <w:tabs>
          <w:tab w:val="left" w:pos="1200"/>
        </w:tabs>
        <w:ind w:left="1200" w:hanging="360"/>
      </w:pPr>
      <w:rPr>
        <w:rFonts w:ascii="Times New Roman" w:eastAsia="Times New Roman" w:hAnsi="Times New Roman" w:cs="Times New Roman"/>
      </w:rPr>
    </w:lvl>
    <w:lvl w:ilvl="2">
      <w:start w:val="1"/>
      <w:numFmt w:val="lowerRoman"/>
      <w:lvlText w:val="%3."/>
      <w:lvlJc w:val="right"/>
      <w:pPr>
        <w:tabs>
          <w:tab w:val="left" w:pos="1680"/>
        </w:tabs>
        <w:ind w:left="1680" w:hanging="420"/>
      </w:pPr>
    </w:lvl>
    <w:lvl w:ilvl="3">
      <w:start w:val="1"/>
      <w:numFmt w:val="decimal"/>
      <w:lvlText w:val="%4."/>
      <w:lvlJc w:val="left"/>
      <w:pPr>
        <w:tabs>
          <w:tab w:val="left" w:pos="2100"/>
        </w:tabs>
        <w:ind w:left="2100" w:hanging="420"/>
      </w:pPr>
    </w:lvl>
    <w:lvl w:ilvl="4">
      <w:start w:val="1"/>
      <w:numFmt w:val="lowerLetter"/>
      <w:lvlText w:val="%5)"/>
      <w:lvlJc w:val="left"/>
      <w:pPr>
        <w:tabs>
          <w:tab w:val="left" w:pos="2520"/>
        </w:tabs>
        <w:ind w:left="2520" w:hanging="420"/>
      </w:pPr>
    </w:lvl>
    <w:lvl w:ilvl="5">
      <w:start w:val="1"/>
      <w:numFmt w:val="lowerRoman"/>
      <w:lvlText w:val="%6."/>
      <w:lvlJc w:val="right"/>
      <w:pPr>
        <w:tabs>
          <w:tab w:val="left" w:pos="2940"/>
        </w:tabs>
        <w:ind w:left="2940" w:hanging="420"/>
      </w:pPr>
    </w:lvl>
    <w:lvl w:ilvl="6">
      <w:start w:val="1"/>
      <w:numFmt w:val="decimal"/>
      <w:lvlText w:val="%7."/>
      <w:lvlJc w:val="left"/>
      <w:pPr>
        <w:tabs>
          <w:tab w:val="left" w:pos="3360"/>
        </w:tabs>
        <w:ind w:left="3360" w:hanging="420"/>
      </w:pPr>
    </w:lvl>
    <w:lvl w:ilvl="7">
      <w:start w:val="1"/>
      <w:numFmt w:val="lowerLetter"/>
      <w:lvlText w:val="%8)"/>
      <w:lvlJc w:val="left"/>
      <w:pPr>
        <w:tabs>
          <w:tab w:val="left" w:pos="3780"/>
        </w:tabs>
        <w:ind w:left="3780" w:hanging="420"/>
      </w:pPr>
    </w:lvl>
    <w:lvl w:ilvl="8">
      <w:start w:val="1"/>
      <w:numFmt w:val="lowerRoman"/>
      <w:lvlText w:val="%9."/>
      <w:lvlJc w:val="right"/>
      <w:pPr>
        <w:tabs>
          <w:tab w:val="left" w:pos="4200"/>
        </w:tabs>
        <w:ind w:left="4200" w:hanging="420"/>
      </w:pPr>
    </w:lvl>
  </w:abstractNum>
  <w:abstractNum w:abstractNumId="53">
    <w:nsid w:val="637E2A10"/>
    <w:multiLevelType w:val="multilevel"/>
    <w:tmpl w:val="637E2A10"/>
    <w:lvl w:ilvl="0">
      <w:start w:val="1"/>
      <w:numFmt w:val="decimal"/>
      <w:lvlText w:val="%1、"/>
      <w:lvlJc w:val="left"/>
      <w:pPr>
        <w:tabs>
          <w:tab w:val="left" w:pos="690"/>
        </w:tabs>
        <w:ind w:left="690" w:hanging="360"/>
      </w:pPr>
      <w:rPr>
        <w:rFonts w:hint="default"/>
      </w:rPr>
    </w:lvl>
    <w:lvl w:ilvl="1">
      <w:start w:val="1"/>
      <w:numFmt w:val="lowerLetter"/>
      <w:lvlText w:val="%2)"/>
      <w:lvlJc w:val="left"/>
      <w:pPr>
        <w:tabs>
          <w:tab w:val="left" w:pos="1170"/>
        </w:tabs>
        <w:ind w:left="1170" w:hanging="420"/>
      </w:pPr>
    </w:lvl>
    <w:lvl w:ilvl="2">
      <w:start w:val="1"/>
      <w:numFmt w:val="lowerRoman"/>
      <w:lvlText w:val="%3."/>
      <w:lvlJc w:val="right"/>
      <w:pPr>
        <w:tabs>
          <w:tab w:val="left" w:pos="1590"/>
        </w:tabs>
        <w:ind w:left="1590" w:hanging="420"/>
      </w:pPr>
    </w:lvl>
    <w:lvl w:ilvl="3">
      <w:start w:val="1"/>
      <w:numFmt w:val="decimal"/>
      <w:lvlText w:val="%4."/>
      <w:lvlJc w:val="left"/>
      <w:pPr>
        <w:tabs>
          <w:tab w:val="left" w:pos="2010"/>
        </w:tabs>
        <w:ind w:left="2010" w:hanging="420"/>
      </w:pPr>
    </w:lvl>
    <w:lvl w:ilvl="4">
      <w:start w:val="1"/>
      <w:numFmt w:val="lowerLetter"/>
      <w:lvlText w:val="%5)"/>
      <w:lvlJc w:val="left"/>
      <w:pPr>
        <w:tabs>
          <w:tab w:val="left" w:pos="2430"/>
        </w:tabs>
        <w:ind w:left="2430" w:hanging="420"/>
      </w:pPr>
    </w:lvl>
    <w:lvl w:ilvl="5">
      <w:start w:val="1"/>
      <w:numFmt w:val="lowerRoman"/>
      <w:lvlText w:val="%6."/>
      <w:lvlJc w:val="right"/>
      <w:pPr>
        <w:tabs>
          <w:tab w:val="left" w:pos="2850"/>
        </w:tabs>
        <w:ind w:left="2850" w:hanging="420"/>
      </w:pPr>
    </w:lvl>
    <w:lvl w:ilvl="6">
      <w:start w:val="1"/>
      <w:numFmt w:val="decimal"/>
      <w:lvlText w:val="%7."/>
      <w:lvlJc w:val="left"/>
      <w:pPr>
        <w:tabs>
          <w:tab w:val="left" w:pos="3270"/>
        </w:tabs>
        <w:ind w:left="3270" w:hanging="420"/>
      </w:pPr>
    </w:lvl>
    <w:lvl w:ilvl="7">
      <w:start w:val="1"/>
      <w:numFmt w:val="lowerLetter"/>
      <w:lvlText w:val="%8)"/>
      <w:lvlJc w:val="left"/>
      <w:pPr>
        <w:tabs>
          <w:tab w:val="left" w:pos="3690"/>
        </w:tabs>
        <w:ind w:left="3690" w:hanging="420"/>
      </w:pPr>
    </w:lvl>
    <w:lvl w:ilvl="8">
      <w:start w:val="1"/>
      <w:numFmt w:val="lowerRoman"/>
      <w:lvlText w:val="%9."/>
      <w:lvlJc w:val="right"/>
      <w:pPr>
        <w:tabs>
          <w:tab w:val="left" w:pos="4110"/>
        </w:tabs>
        <w:ind w:left="4110" w:hanging="420"/>
      </w:pPr>
    </w:lvl>
  </w:abstractNum>
  <w:abstractNum w:abstractNumId="54">
    <w:nsid w:val="64F97480"/>
    <w:multiLevelType w:val="multilevel"/>
    <w:tmpl w:val="64F97480"/>
    <w:lvl w:ilvl="0">
      <w:start w:val="1"/>
      <w:numFmt w:val="decimal"/>
      <w:lvlText w:val="%1、"/>
      <w:lvlJc w:val="left"/>
      <w:pPr>
        <w:tabs>
          <w:tab w:val="left" w:pos="690"/>
        </w:tabs>
        <w:ind w:left="690" w:hanging="360"/>
      </w:pPr>
      <w:rPr>
        <w:rFonts w:hint="default"/>
      </w:rPr>
    </w:lvl>
    <w:lvl w:ilvl="1">
      <w:start w:val="1"/>
      <w:numFmt w:val="lowerLetter"/>
      <w:lvlText w:val="%2)"/>
      <w:lvlJc w:val="left"/>
      <w:pPr>
        <w:tabs>
          <w:tab w:val="left" w:pos="1170"/>
        </w:tabs>
        <w:ind w:left="1170" w:hanging="420"/>
      </w:pPr>
    </w:lvl>
    <w:lvl w:ilvl="2">
      <w:start w:val="1"/>
      <w:numFmt w:val="lowerRoman"/>
      <w:lvlText w:val="%3."/>
      <w:lvlJc w:val="right"/>
      <w:pPr>
        <w:tabs>
          <w:tab w:val="left" w:pos="1590"/>
        </w:tabs>
        <w:ind w:left="1590" w:hanging="420"/>
      </w:pPr>
    </w:lvl>
    <w:lvl w:ilvl="3">
      <w:start w:val="1"/>
      <w:numFmt w:val="decimal"/>
      <w:lvlText w:val="%4."/>
      <w:lvlJc w:val="left"/>
      <w:pPr>
        <w:tabs>
          <w:tab w:val="left" w:pos="2010"/>
        </w:tabs>
        <w:ind w:left="2010" w:hanging="420"/>
      </w:pPr>
    </w:lvl>
    <w:lvl w:ilvl="4">
      <w:start w:val="1"/>
      <w:numFmt w:val="lowerLetter"/>
      <w:lvlText w:val="%5)"/>
      <w:lvlJc w:val="left"/>
      <w:pPr>
        <w:tabs>
          <w:tab w:val="left" w:pos="2430"/>
        </w:tabs>
        <w:ind w:left="2430" w:hanging="420"/>
      </w:pPr>
    </w:lvl>
    <w:lvl w:ilvl="5">
      <w:start w:val="1"/>
      <w:numFmt w:val="lowerRoman"/>
      <w:lvlText w:val="%6."/>
      <w:lvlJc w:val="right"/>
      <w:pPr>
        <w:tabs>
          <w:tab w:val="left" w:pos="2850"/>
        </w:tabs>
        <w:ind w:left="2850" w:hanging="420"/>
      </w:pPr>
    </w:lvl>
    <w:lvl w:ilvl="6">
      <w:start w:val="1"/>
      <w:numFmt w:val="decimal"/>
      <w:lvlText w:val="%7."/>
      <w:lvlJc w:val="left"/>
      <w:pPr>
        <w:tabs>
          <w:tab w:val="left" w:pos="3270"/>
        </w:tabs>
        <w:ind w:left="3270" w:hanging="420"/>
      </w:pPr>
    </w:lvl>
    <w:lvl w:ilvl="7">
      <w:start w:val="1"/>
      <w:numFmt w:val="lowerLetter"/>
      <w:lvlText w:val="%8)"/>
      <w:lvlJc w:val="left"/>
      <w:pPr>
        <w:tabs>
          <w:tab w:val="left" w:pos="3690"/>
        </w:tabs>
        <w:ind w:left="3690" w:hanging="420"/>
      </w:pPr>
    </w:lvl>
    <w:lvl w:ilvl="8">
      <w:start w:val="1"/>
      <w:numFmt w:val="lowerRoman"/>
      <w:lvlText w:val="%9."/>
      <w:lvlJc w:val="right"/>
      <w:pPr>
        <w:tabs>
          <w:tab w:val="left" w:pos="4110"/>
        </w:tabs>
        <w:ind w:left="4110" w:hanging="420"/>
      </w:pPr>
    </w:lvl>
  </w:abstractNum>
  <w:abstractNum w:abstractNumId="55">
    <w:nsid w:val="67F91AD9"/>
    <w:multiLevelType w:val="multilevel"/>
    <w:tmpl w:val="67F91AD9"/>
    <w:lvl w:ilvl="0">
      <w:start w:val="1"/>
      <w:numFmt w:val="decimal"/>
      <w:lvlText w:val="%1、"/>
      <w:lvlJc w:val="left"/>
      <w:pPr>
        <w:tabs>
          <w:tab w:val="left" w:pos="690"/>
        </w:tabs>
        <w:ind w:left="690" w:hanging="360"/>
      </w:pPr>
      <w:rPr>
        <w:rFonts w:hint="default"/>
      </w:rPr>
    </w:lvl>
    <w:lvl w:ilvl="1">
      <w:start w:val="1"/>
      <w:numFmt w:val="lowerLetter"/>
      <w:lvlText w:val="%2)"/>
      <w:lvlJc w:val="left"/>
      <w:pPr>
        <w:tabs>
          <w:tab w:val="left" w:pos="1170"/>
        </w:tabs>
        <w:ind w:left="1170" w:hanging="420"/>
      </w:pPr>
    </w:lvl>
    <w:lvl w:ilvl="2">
      <w:start w:val="1"/>
      <w:numFmt w:val="lowerRoman"/>
      <w:lvlText w:val="%3."/>
      <w:lvlJc w:val="right"/>
      <w:pPr>
        <w:tabs>
          <w:tab w:val="left" w:pos="1590"/>
        </w:tabs>
        <w:ind w:left="1590" w:hanging="420"/>
      </w:pPr>
    </w:lvl>
    <w:lvl w:ilvl="3">
      <w:start w:val="1"/>
      <w:numFmt w:val="decimal"/>
      <w:lvlText w:val="%4."/>
      <w:lvlJc w:val="left"/>
      <w:pPr>
        <w:tabs>
          <w:tab w:val="left" w:pos="2010"/>
        </w:tabs>
        <w:ind w:left="2010" w:hanging="420"/>
      </w:pPr>
    </w:lvl>
    <w:lvl w:ilvl="4">
      <w:start w:val="1"/>
      <w:numFmt w:val="lowerLetter"/>
      <w:lvlText w:val="%5)"/>
      <w:lvlJc w:val="left"/>
      <w:pPr>
        <w:tabs>
          <w:tab w:val="left" w:pos="2430"/>
        </w:tabs>
        <w:ind w:left="2430" w:hanging="420"/>
      </w:pPr>
    </w:lvl>
    <w:lvl w:ilvl="5">
      <w:start w:val="1"/>
      <w:numFmt w:val="lowerRoman"/>
      <w:lvlText w:val="%6."/>
      <w:lvlJc w:val="right"/>
      <w:pPr>
        <w:tabs>
          <w:tab w:val="left" w:pos="2850"/>
        </w:tabs>
        <w:ind w:left="2850" w:hanging="420"/>
      </w:pPr>
    </w:lvl>
    <w:lvl w:ilvl="6">
      <w:start w:val="1"/>
      <w:numFmt w:val="decimal"/>
      <w:lvlText w:val="%7."/>
      <w:lvlJc w:val="left"/>
      <w:pPr>
        <w:tabs>
          <w:tab w:val="left" w:pos="3270"/>
        </w:tabs>
        <w:ind w:left="3270" w:hanging="420"/>
      </w:pPr>
    </w:lvl>
    <w:lvl w:ilvl="7">
      <w:start w:val="1"/>
      <w:numFmt w:val="lowerLetter"/>
      <w:lvlText w:val="%8)"/>
      <w:lvlJc w:val="left"/>
      <w:pPr>
        <w:tabs>
          <w:tab w:val="left" w:pos="3690"/>
        </w:tabs>
        <w:ind w:left="3690" w:hanging="420"/>
      </w:pPr>
    </w:lvl>
    <w:lvl w:ilvl="8">
      <w:start w:val="1"/>
      <w:numFmt w:val="lowerRoman"/>
      <w:lvlText w:val="%9."/>
      <w:lvlJc w:val="right"/>
      <w:pPr>
        <w:tabs>
          <w:tab w:val="left" w:pos="4110"/>
        </w:tabs>
        <w:ind w:left="4110" w:hanging="420"/>
      </w:pPr>
    </w:lvl>
  </w:abstractNum>
  <w:abstractNum w:abstractNumId="56">
    <w:nsid w:val="6B014961"/>
    <w:multiLevelType w:val="multilevel"/>
    <w:tmpl w:val="6B014961"/>
    <w:lvl w:ilvl="0">
      <w:start w:val="1"/>
      <w:numFmt w:val="decimal"/>
      <w:lvlText w:val="%1、"/>
      <w:lvlJc w:val="left"/>
      <w:pPr>
        <w:tabs>
          <w:tab w:val="left" w:pos="810"/>
        </w:tabs>
        <w:ind w:left="810" w:hanging="360"/>
      </w:pPr>
      <w:rPr>
        <w:rFonts w:hint="eastAsia"/>
      </w:rPr>
    </w:lvl>
    <w:lvl w:ilvl="1">
      <w:start w:val="1"/>
      <w:numFmt w:val="lowerLetter"/>
      <w:lvlText w:val="%2)"/>
      <w:lvlJc w:val="left"/>
      <w:pPr>
        <w:tabs>
          <w:tab w:val="left" w:pos="1290"/>
        </w:tabs>
        <w:ind w:left="1290" w:hanging="420"/>
      </w:pPr>
    </w:lvl>
    <w:lvl w:ilvl="2">
      <w:start w:val="1"/>
      <w:numFmt w:val="lowerRoman"/>
      <w:lvlText w:val="%3."/>
      <w:lvlJc w:val="right"/>
      <w:pPr>
        <w:tabs>
          <w:tab w:val="left" w:pos="1710"/>
        </w:tabs>
        <w:ind w:left="1710" w:hanging="420"/>
      </w:pPr>
    </w:lvl>
    <w:lvl w:ilvl="3">
      <w:start w:val="1"/>
      <w:numFmt w:val="decimal"/>
      <w:lvlText w:val="%4."/>
      <w:lvlJc w:val="left"/>
      <w:pPr>
        <w:tabs>
          <w:tab w:val="left" w:pos="2130"/>
        </w:tabs>
        <w:ind w:left="2130" w:hanging="420"/>
      </w:pPr>
    </w:lvl>
    <w:lvl w:ilvl="4">
      <w:start w:val="1"/>
      <w:numFmt w:val="lowerLetter"/>
      <w:lvlText w:val="%5)"/>
      <w:lvlJc w:val="left"/>
      <w:pPr>
        <w:tabs>
          <w:tab w:val="left" w:pos="2550"/>
        </w:tabs>
        <w:ind w:left="2550" w:hanging="420"/>
      </w:pPr>
    </w:lvl>
    <w:lvl w:ilvl="5">
      <w:start w:val="1"/>
      <w:numFmt w:val="lowerRoman"/>
      <w:lvlText w:val="%6."/>
      <w:lvlJc w:val="right"/>
      <w:pPr>
        <w:tabs>
          <w:tab w:val="left" w:pos="2970"/>
        </w:tabs>
        <w:ind w:left="2970" w:hanging="420"/>
      </w:pPr>
    </w:lvl>
    <w:lvl w:ilvl="6">
      <w:start w:val="1"/>
      <w:numFmt w:val="decimal"/>
      <w:lvlText w:val="%7."/>
      <w:lvlJc w:val="left"/>
      <w:pPr>
        <w:tabs>
          <w:tab w:val="left" w:pos="3390"/>
        </w:tabs>
        <w:ind w:left="3390" w:hanging="420"/>
      </w:pPr>
    </w:lvl>
    <w:lvl w:ilvl="7">
      <w:start w:val="1"/>
      <w:numFmt w:val="lowerLetter"/>
      <w:lvlText w:val="%8)"/>
      <w:lvlJc w:val="left"/>
      <w:pPr>
        <w:tabs>
          <w:tab w:val="left" w:pos="3810"/>
        </w:tabs>
        <w:ind w:left="3810" w:hanging="420"/>
      </w:pPr>
    </w:lvl>
    <w:lvl w:ilvl="8">
      <w:start w:val="1"/>
      <w:numFmt w:val="lowerRoman"/>
      <w:lvlText w:val="%9."/>
      <w:lvlJc w:val="right"/>
      <w:pPr>
        <w:tabs>
          <w:tab w:val="left" w:pos="4230"/>
        </w:tabs>
        <w:ind w:left="4230" w:hanging="420"/>
      </w:pPr>
    </w:lvl>
  </w:abstractNum>
  <w:abstractNum w:abstractNumId="57">
    <w:nsid w:val="6DA35DD1"/>
    <w:multiLevelType w:val="multilevel"/>
    <w:tmpl w:val="6DA35DD1"/>
    <w:lvl w:ilvl="0">
      <w:start w:val="1"/>
      <w:numFmt w:val="decimal"/>
      <w:lvlText w:val="%1、"/>
      <w:lvlJc w:val="left"/>
      <w:pPr>
        <w:tabs>
          <w:tab w:val="left" w:pos="780"/>
        </w:tabs>
        <w:ind w:left="780" w:hanging="360"/>
      </w:pPr>
      <w:rPr>
        <w:rFonts w:ascii="仿宋_GB2312" w:eastAsia="仿宋_GB2312" w:hAnsi="Times New Roman" w:hint="default"/>
        <w:sz w:val="21"/>
      </w:rPr>
    </w:lvl>
    <w:lvl w:ilvl="1">
      <w:start w:val="1"/>
      <w:numFmt w:val="lowerLetter"/>
      <w:lvlText w:val="%2)"/>
      <w:lvlJc w:val="left"/>
      <w:pPr>
        <w:tabs>
          <w:tab w:val="left" w:pos="1260"/>
        </w:tabs>
        <w:ind w:left="1260" w:hanging="420"/>
      </w:pPr>
    </w:lvl>
    <w:lvl w:ilvl="2">
      <w:start w:val="1"/>
      <w:numFmt w:val="lowerRoman"/>
      <w:lvlText w:val="%3."/>
      <w:lvlJc w:val="right"/>
      <w:pPr>
        <w:tabs>
          <w:tab w:val="left" w:pos="1680"/>
        </w:tabs>
        <w:ind w:left="1680" w:hanging="420"/>
      </w:pPr>
    </w:lvl>
    <w:lvl w:ilvl="3">
      <w:start w:val="1"/>
      <w:numFmt w:val="decimal"/>
      <w:lvlText w:val="%4."/>
      <w:lvlJc w:val="left"/>
      <w:pPr>
        <w:tabs>
          <w:tab w:val="left" w:pos="2100"/>
        </w:tabs>
        <w:ind w:left="2100" w:hanging="420"/>
      </w:pPr>
    </w:lvl>
    <w:lvl w:ilvl="4">
      <w:start w:val="1"/>
      <w:numFmt w:val="lowerLetter"/>
      <w:lvlText w:val="%5)"/>
      <w:lvlJc w:val="left"/>
      <w:pPr>
        <w:tabs>
          <w:tab w:val="left" w:pos="2520"/>
        </w:tabs>
        <w:ind w:left="2520" w:hanging="420"/>
      </w:pPr>
    </w:lvl>
    <w:lvl w:ilvl="5">
      <w:start w:val="1"/>
      <w:numFmt w:val="lowerRoman"/>
      <w:lvlText w:val="%6."/>
      <w:lvlJc w:val="right"/>
      <w:pPr>
        <w:tabs>
          <w:tab w:val="left" w:pos="2940"/>
        </w:tabs>
        <w:ind w:left="2940" w:hanging="420"/>
      </w:pPr>
    </w:lvl>
    <w:lvl w:ilvl="6">
      <w:start w:val="1"/>
      <w:numFmt w:val="decimal"/>
      <w:lvlText w:val="%7."/>
      <w:lvlJc w:val="left"/>
      <w:pPr>
        <w:tabs>
          <w:tab w:val="left" w:pos="3360"/>
        </w:tabs>
        <w:ind w:left="3360" w:hanging="420"/>
      </w:pPr>
    </w:lvl>
    <w:lvl w:ilvl="7">
      <w:start w:val="1"/>
      <w:numFmt w:val="lowerLetter"/>
      <w:lvlText w:val="%8)"/>
      <w:lvlJc w:val="left"/>
      <w:pPr>
        <w:tabs>
          <w:tab w:val="left" w:pos="3780"/>
        </w:tabs>
        <w:ind w:left="3780" w:hanging="420"/>
      </w:pPr>
    </w:lvl>
    <w:lvl w:ilvl="8">
      <w:start w:val="1"/>
      <w:numFmt w:val="lowerRoman"/>
      <w:lvlText w:val="%9."/>
      <w:lvlJc w:val="right"/>
      <w:pPr>
        <w:tabs>
          <w:tab w:val="left" w:pos="4200"/>
        </w:tabs>
        <w:ind w:left="4200" w:hanging="420"/>
      </w:pPr>
    </w:lvl>
  </w:abstractNum>
  <w:abstractNum w:abstractNumId="58">
    <w:nsid w:val="6DB342B9"/>
    <w:multiLevelType w:val="multilevel"/>
    <w:tmpl w:val="723B1AEA"/>
    <w:lvl w:ilvl="0">
      <w:start w:val="1"/>
      <w:numFmt w:val="decimal"/>
      <w:lvlText w:val="%1、"/>
      <w:lvlJc w:val="left"/>
      <w:pPr>
        <w:tabs>
          <w:tab w:val="left" w:pos="810"/>
        </w:tabs>
        <w:ind w:left="810" w:hanging="360"/>
      </w:pPr>
      <w:rPr>
        <w:rFonts w:hint="eastAsia"/>
      </w:rPr>
    </w:lvl>
    <w:lvl w:ilvl="1">
      <w:start w:val="1"/>
      <w:numFmt w:val="lowerLetter"/>
      <w:lvlText w:val="%2)"/>
      <w:lvlJc w:val="left"/>
      <w:pPr>
        <w:tabs>
          <w:tab w:val="left" w:pos="1290"/>
        </w:tabs>
        <w:ind w:left="1290" w:hanging="420"/>
      </w:pPr>
    </w:lvl>
    <w:lvl w:ilvl="2">
      <w:start w:val="1"/>
      <w:numFmt w:val="lowerRoman"/>
      <w:lvlText w:val="%3."/>
      <w:lvlJc w:val="right"/>
      <w:pPr>
        <w:tabs>
          <w:tab w:val="left" w:pos="1710"/>
        </w:tabs>
        <w:ind w:left="1710" w:hanging="420"/>
      </w:pPr>
    </w:lvl>
    <w:lvl w:ilvl="3">
      <w:start w:val="1"/>
      <w:numFmt w:val="decimal"/>
      <w:lvlText w:val="%4."/>
      <w:lvlJc w:val="left"/>
      <w:pPr>
        <w:tabs>
          <w:tab w:val="left" w:pos="2130"/>
        </w:tabs>
        <w:ind w:left="2130" w:hanging="420"/>
      </w:pPr>
    </w:lvl>
    <w:lvl w:ilvl="4">
      <w:start w:val="1"/>
      <w:numFmt w:val="lowerLetter"/>
      <w:lvlText w:val="%5)"/>
      <w:lvlJc w:val="left"/>
      <w:pPr>
        <w:tabs>
          <w:tab w:val="left" w:pos="2550"/>
        </w:tabs>
        <w:ind w:left="2550" w:hanging="420"/>
      </w:pPr>
    </w:lvl>
    <w:lvl w:ilvl="5">
      <w:start w:val="1"/>
      <w:numFmt w:val="lowerRoman"/>
      <w:lvlText w:val="%6."/>
      <w:lvlJc w:val="right"/>
      <w:pPr>
        <w:tabs>
          <w:tab w:val="left" w:pos="2970"/>
        </w:tabs>
        <w:ind w:left="2970" w:hanging="420"/>
      </w:pPr>
    </w:lvl>
    <w:lvl w:ilvl="6">
      <w:start w:val="1"/>
      <w:numFmt w:val="decimal"/>
      <w:lvlText w:val="%7."/>
      <w:lvlJc w:val="left"/>
      <w:pPr>
        <w:tabs>
          <w:tab w:val="left" w:pos="3390"/>
        </w:tabs>
        <w:ind w:left="3390" w:hanging="420"/>
      </w:pPr>
    </w:lvl>
    <w:lvl w:ilvl="7">
      <w:start w:val="1"/>
      <w:numFmt w:val="lowerLetter"/>
      <w:lvlText w:val="%8)"/>
      <w:lvlJc w:val="left"/>
      <w:pPr>
        <w:tabs>
          <w:tab w:val="left" w:pos="3810"/>
        </w:tabs>
        <w:ind w:left="3810" w:hanging="420"/>
      </w:pPr>
    </w:lvl>
    <w:lvl w:ilvl="8">
      <w:start w:val="1"/>
      <w:numFmt w:val="lowerRoman"/>
      <w:lvlText w:val="%9."/>
      <w:lvlJc w:val="right"/>
      <w:pPr>
        <w:tabs>
          <w:tab w:val="left" w:pos="4230"/>
        </w:tabs>
        <w:ind w:left="4230" w:hanging="420"/>
      </w:pPr>
    </w:lvl>
  </w:abstractNum>
  <w:abstractNum w:abstractNumId="59">
    <w:nsid w:val="6E4E6B77"/>
    <w:multiLevelType w:val="multilevel"/>
    <w:tmpl w:val="6E4E6B77"/>
    <w:lvl w:ilvl="0">
      <w:start w:val="1"/>
      <w:numFmt w:val="decimal"/>
      <w:lvlText w:val="%1、"/>
      <w:lvlJc w:val="left"/>
      <w:pPr>
        <w:tabs>
          <w:tab w:val="left" w:pos="810"/>
        </w:tabs>
        <w:ind w:left="810" w:hanging="360"/>
      </w:pPr>
      <w:rPr>
        <w:rFonts w:hint="default"/>
      </w:rPr>
    </w:lvl>
    <w:lvl w:ilvl="1">
      <w:start w:val="1"/>
      <w:numFmt w:val="lowerLetter"/>
      <w:lvlText w:val="%2)"/>
      <w:lvlJc w:val="left"/>
      <w:pPr>
        <w:tabs>
          <w:tab w:val="left" w:pos="1290"/>
        </w:tabs>
        <w:ind w:left="1290" w:hanging="420"/>
      </w:pPr>
    </w:lvl>
    <w:lvl w:ilvl="2">
      <w:start w:val="1"/>
      <w:numFmt w:val="lowerRoman"/>
      <w:lvlText w:val="%3."/>
      <w:lvlJc w:val="right"/>
      <w:pPr>
        <w:tabs>
          <w:tab w:val="left" w:pos="1710"/>
        </w:tabs>
        <w:ind w:left="1710" w:hanging="420"/>
      </w:pPr>
    </w:lvl>
    <w:lvl w:ilvl="3">
      <w:start w:val="1"/>
      <w:numFmt w:val="decimal"/>
      <w:lvlText w:val="%4."/>
      <w:lvlJc w:val="left"/>
      <w:pPr>
        <w:tabs>
          <w:tab w:val="left" w:pos="2130"/>
        </w:tabs>
        <w:ind w:left="2130" w:hanging="420"/>
      </w:pPr>
    </w:lvl>
    <w:lvl w:ilvl="4">
      <w:start w:val="1"/>
      <w:numFmt w:val="lowerLetter"/>
      <w:lvlText w:val="%5)"/>
      <w:lvlJc w:val="left"/>
      <w:pPr>
        <w:tabs>
          <w:tab w:val="left" w:pos="2550"/>
        </w:tabs>
        <w:ind w:left="2550" w:hanging="420"/>
      </w:pPr>
    </w:lvl>
    <w:lvl w:ilvl="5">
      <w:start w:val="1"/>
      <w:numFmt w:val="lowerRoman"/>
      <w:lvlText w:val="%6."/>
      <w:lvlJc w:val="right"/>
      <w:pPr>
        <w:tabs>
          <w:tab w:val="left" w:pos="2970"/>
        </w:tabs>
        <w:ind w:left="2970" w:hanging="420"/>
      </w:pPr>
    </w:lvl>
    <w:lvl w:ilvl="6">
      <w:start w:val="1"/>
      <w:numFmt w:val="decimal"/>
      <w:lvlText w:val="%7."/>
      <w:lvlJc w:val="left"/>
      <w:pPr>
        <w:tabs>
          <w:tab w:val="left" w:pos="3390"/>
        </w:tabs>
        <w:ind w:left="3390" w:hanging="420"/>
      </w:pPr>
    </w:lvl>
    <w:lvl w:ilvl="7">
      <w:start w:val="1"/>
      <w:numFmt w:val="lowerLetter"/>
      <w:lvlText w:val="%8)"/>
      <w:lvlJc w:val="left"/>
      <w:pPr>
        <w:tabs>
          <w:tab w:val="left" w:pos="3810"/>
        </w:tabs>
        <w:ind w:left="3810" w:hanging="420"/>
      </w:pPr>
    </w:lvl>
    <w:lvl w:ilvl="8">
      <w:start w:val="1"/>
      <w:numFmt w:val="lowerRoman"/>
      <w:lvlText w:val="%9."/>
      <w:lvlJc w:val="right"/>
      <w:pPr>
        <w:tabs>
          <w:tab w:val="left" w:pos="4230"/>
        </w:tabs>
        <w:ind w:left="4230" w:hanging="420"/>
      </w:pPr>
    </w:lvl>
  </w:abstractNum>
  <w:abstractNum w:abstractNumId="60">
    <w:nsid w:val="6EE47D64"/>
    <w:multiLevelType w:val="multilevel"/>
    <w:tmpl w:val="6EE47D64"/>
    <w:lvl w:ilvl="0">
      <w:start w:val="1"/>
      <w:numFmt w:val="decimal"/>
      <w:lvlText w:val="%1、"/>
      <w:lvlJc w:val="left"/>
      <w:pPr>
        <w:tabs>
          <w:tab w:val="left" w:pos="780"/>
        </w:tabs>
        <w:ind w:left="780" w:hanging="360"/>
      </w:pPr>
      <w:rPr>
        <w:rFonts w:hint="default"/>
      </w:rPr>
    </w:lvl>
    <w:lvl w:ilvl="1">
      <w:start w:val="1"/>
      <w:numFmt w:val="lowerLetter"/>
      <w:lvlText w:val="%2)"/>
      <w:lvlJc w:val="left"/>
      <w:pPr>
        <w:tabs>
          <w:tab w:val="left" w:pos="1260"/>
        </w:tabs>
        <w:ind w:left="1260" w:hanging="420"/>
      </w:pPr>
    </w:lvl>
    <w:lvl w:ilvl="2">
      <w:start w:val="1"/>
      <w:numFmt w:val="lowerRoman"/>
      <w:lvlText w:val="%3."/>
      <w:lvlJc w:val="right"/>
      <w:pPr>
        <w:tabs>
          <w:tab w:val="left" w:pos="1680"/>
        </w:tabs>
        <w:ind w:left="1680" w:hanging="420"/>
      </w:pPr>
    </w:lvl>
    <w:lvl w:ilvl="3">
      <w:start w:val="1"/>
      <w:numFmt w:val="decimal"/>
      <w:lvlText w:val="%4."/>
      <w:lvlJc w:val="left"/>
      <w:pPr>
        <w:tabs>
          <w:tab w:val="left" w:pos="2100"/>
        </w:tabs>
        <w:ind w:left="2100" w:hanging="420"/>
      </w:pPr>
    </w:lvl>
    <w:lvl w:ilvl="4">
      <w:start w:val="1"/>
      <w:numFmt w:val="lowerLetter"/>
      <w:lvlText w:val="%5)"/>
      <w:lvlJc w:val="left"/>
      <w:pPr>
        <w:tabs>
          <w:tab w:val="left" w:pos="2520"/>
        </w:tabs>
        <w:ind w:left="2520" w:hanging="420"/>
      </w:pPr>
    </w:lvl>
    <w:lvl w:ilvl="5">
      <w:start w:val="1"/>
      <w:numFmt w:val="lowerRoman"/>
      <w:lvlText w:val="%6."/>
      <w:lvlJc w:val="right"/>
      <w:pPr>
        <w:tabs>
          <w:tab w:val="left" w:pos="2940"/>
        </w:tabs>
        <w:ind w:left="2940" w:hanging="420"/>
      </w:pPr>
    </w:lvl>
    <w:lvl w:ilvl="6">
      <w:start w:val="1"/>
      <w:numFmt w:val="decimal"/>
      <w:lvlText w:val="%7."/>
      <w:lvlJc w:val="left"/>
      <w:pPr>
        <w:tabs>
          <w:tab w:val="left" w:pos="3360"/>
        </w:tabs>
        <w:ind w:left="3360" w:hanging="420"/>
      </w:pPr>
    </w:lvl>
    <w:lvl w:ilvl="7">
      <w:start w:val="1"/>
      <w:numFmt w:val="lowerLetter"/>
      <w:lvlText w:val="%8)"/>
      <w:lvlJc w:val="left"/>
      <w:pPr>
        <w:tabs>
          <w:tab w:val="left" w:pos="3780"/>
        </w:tabs>
        <w:ind w:left="3780" w:hanging="420"/>
      </w:pPr>
    </w:lvl>
    <w:lvl w:ilvl="8">
      <w:start w:val="1"/>
      <w:numFmt w:val="lowerRoman"/>
      <w:lvlText w:val="%9."/>
      <w:lvlJc w:val="right"/>
      <w:pPr>
        <w:tabs>
          <w:tab w:val="left" w:pos="4200"/>
        </w:tabs>
        <w:ind w:left="4200" w:hanging="420"/>
      </w:pPr>
    </w:lvl>
  </w:abstractNum>
  <w:abstractNum w:abstractNumId="61">
    <w:nsid w:val="6F203B10"/>
    <w:multiLevelType w:val="multilevel"/>
    <w:tmpl w:val="14506B6C"/>
    <w:lvl w:ilvl="0">
      <w:start w:val="1"/>
      <w:numFmt w:val="decimal"/>
      <w:lvlText w:val="%1、"/>
      <w:lvlJc w:val="left"/>
      <w:pPr>
        <w:tabs>
          <w:tab w:val="left" w:pos="780"/>
        </w:tabs>
        <w:ind w:left="780" w:hanging="360"/>
      </w:pPr>
      <w:rPr>
        <w:rFonts w:hint="default"/>
      </w:rPr>
    </w:lvl>
    <w:lvl w:ilvl="1">
      <w:start w:val="1"/>
      <w:numFmt w:val="lowerLetter"/>
      <w:lvlText w:val="%2)"/>
      <w:lvlJc w:val="left"/>
      <w:pPr>
        <w:tabs>
          <w:tab w:val="left" w:pos="1260"/>
        </w:tabs>
        <w:ind w:left="1260" w:hanging="420"/>
      </w:pPr>
    </w:lvl>
    <w:lvl w:ilvl="2">
      <w:start w:val="1"/>
      <w:numFmt w:val="lowerRoman"/>
      <w:lvlText w:val="%3."/>
      <w:lvlJc w:val="right"/>
      <w:pPr>
        <w:tabs>
          <w:tab w:val="left" w:pos="1680"/>
        </w:tabs>
        <w:ind w:left="1680" w:hanging="420"/>
      </w:pPr>
    </w:lvl>
    <w:lvl w:ilvl="3">
      <w:start w:val="1"/>
      <w:numFmt w:val="decimal"/>
      <w:lvlText w:val="%4."/>
      <w:lvlJc w:val="left"/>
      <w:pPr>
        <w:tabs>
          <w:tab w:val="left" w:pos="2100"/>
        </w:tabs>
        <w:ind w:left="2100" w:hanging="420"/>
      </w:pPr>
    </w:lvl>
    <w:lvl w:ilvl="4">
      <w:start w:val="1"/>
      <w:numFmt w:val="lowerLetter"/>
      <w:lvlText w:val="%5)"/>
      <w:lvlJc w:val="left"/>
      <w:pPr>
        <w:tabs>
          <w:tab w:val="left" w:pos="2520"/>
        </w:tabs>
        <w:ind w:left="2520" w:hanging="420"/>
      </w:pPr>
    </w:lvl>
    <w:lvl w:ilvl="5">
      <w:start w:val="1"/>
      <w:numFmt w:val="lowerRoman"/>
      <w:lvlText w:val="%6."/>
      <w:lvlJc w:val="right"/>
      <w:pPr>
        <w:tabs>
          <w:tab w:val="left" w:pos="2940"/>
        </w:tabs>
        <w:ind w:left="2940" w:hanging="420"/>
      </w:pPr>
    </w:lvl>
    <w:lvl w:ilvl="6">
      <w:start w:val="1"/>
      <w:numFmt w:val="decimal"/>
      <w:lvlText w:val="%7."/>
      <w:lvlJc w:val="left"/>
      <w:pPr>
        <w:tabs>
          <w:tab w:val="left" w:pos="3360"/>
        </w:tabs>
        <w:ind w:left="3360" w:hanging="420"/>
      </w:pPr>
    </w:lvl>
    <w:lvl w:ilvl="7">
      <w:start w:val="1"/>
      <w:numFmt w:val="lowerLetter"/>
      <w:lvlText w:val="%8)"/>
      <w:lvlJc w:val="left"/>
      <w:pPr>
        <w:tabs>
          <w:tab w:val="left" w:pos="3780"/>
        </w:tabs>
        <w:ind w:left="3780" w:hanging="420"/>
      </w:pPr>
    </w:lvl>
    <w:lvl w:ilvl="8">
      <w:start w:val="1"/>
      <w:numFmt w:val="lowerRoman"/>
      <w:lvlText w:val="%9."/>
      <w:lvlJc w:val="right"/>
      <w:pPr>
        <w:tabs>
          <w:tab w:val="left" w:pos="4200"/>
        </w:tabs>
        <w:ind w:left="4200" w:hanging="420"/>
      </w:pPr>
    </w:lvl>
  </w:abstractNum>
  <w:abstractNum w:abstractNumId="62">
    <w:nsid w:val="70263111"/>
    <w:multiLevelType w:val="multilevel"/>
    <w:tmpl w:val="70263111"/>
    <w:lvl w:ilvl="0">
      <w:start w:val="1"/>
      <w:numFmt w:val="decimal"/>
      <w:lvlText w:val="%1、"/>
      <w:lvlJc w:val="left"/>
      <w:pPr>
        <w:tabs>
          <w:tab w:val="left" w:pos="780"/>
        </w:tabs>
        <w:ind w:left="780" w:hanging="360"/>
      </w:pPr>
      <w:rPr>
        <w:rFonts w:ascii="Times New Roman" w:eastAsia="Times New Roman" w:hAnsi="Times New Roman" w:cs="Times New Roman"/>
      </w:rPr>
    </w:lvl>
    <w:lvl w:ilvl="1">
      <w:start w:val="1"/>
      <w:numFmt w:val="decimal"/>
      <w:lvlText w:val="%2、"/>
      <w:lvlJc w:val="left"/>
      <w:pPr>
        <w:tabs>
          <w:tab w:val="left" w:pos="1200"/>
        </w:tabs>
        <w:ind w:left="1200" w:hanging="360"/>
      </w:pPr>
      <w:rPr>
        <w:rFonts w:ascii="Times New Roman" w:eastAsia="Times New Roman" w:hAnsi="Times New Roman" w:cs="Times New Roman"/>
      </w:rPr>
    </w:lvl>
    <w:lvl w:ilvl="2">
      <w:start w:val="1"/>
      <w:numFmt w:val="lowerRoman"/>
      <w:lvlText w:val="%3."/>
      <w:lvlJc w:val="right"/>
      <w:pPr>
        <w:tabs>
          <w:tab w:val="left" w:pos="1680"/>
        </w:tabs>
        <w:ind w:left="1680" w:hanging="420"/>
      </w:pPr>
    </w:lvl>
    <w:lvl w:ilvl="3">
      <w:start w:val="1"/>
      <w:numFmt w:val="decimal"/>
      <w:lvlText w:val="%4."/>
      <w:lvlJc w:val="left"/>
      <w:pPr>
        <w:tabs>
          <w:tab w:val="left" w:pos="2100"/>
        </w:tabs>
        <w:ind w:left="2100" w:hanging="420"/>
      </w:pPr>
    </w:lvl>
    <w:lvl w:ilvl="4">
      <w:start w:val="1"/>
      <w:numFmt w:val="lowerLetter"/>
      <w:lvlText w:val="%5)"/>
      <w:lvlJc w:val="left"/>
      <w:pPr>
        <w:tabs>
          <w:tab w:val="left" w:pos="2520"/>
        </w:tabs>
        <w:ind w:left="2520" w:hanging="420"/>
      </w:pPr>
    </w:lvl>
    <w:lvl w:ilvl="5">
      <w:start w:val="1"/>
      <w:numFmt w:val="lowerRoman"/>
      <w:lvlText w:val="%6."/>
      <w:lvlJc w:val="right"/>
      <w:pPr>
        <w:tabs>
          <w:tab w:val="left" w:pos="2940"/>
        </w:tabs>
        <w:ind w:left="2940" w:hanging="420"/>
      </w:pPr>
    </w:lvl>
    <w:lvl w:ilvl="6">
      <w:start w:val="1"/>
      <w:numFmt w:val="decimal"/>
      <w:lvlText w:val="%7."/>
      <w:lvlJc w:val="left"/>
      <w:pPr>
        <w:tabs>
          <w:tab w:val="left" w:pos="3360"/>
        </w:tabs>
        <w:ind w:left="3360" w:hanging="420"/>
      </w:pPr>
    </w:lvl>
    <w:lvl w:ilvl="7">
      <w:start w:val="1"/>
      <w:numFmt w:val="lowerLetter"/>
      <w:lvlText w:val="%8)"/>
      <w:lvlJc w:val="left"/>
      <w:pPr>
        <w:tabs>
          <w:tab w:val="left" w:pos="3780"/>
        </w:tabs>
        <w:ind w:left="3780" w:hanging="420"/>
      </w:pPr>
    </w:lvl>
    <w:lvl w:ilvl="8">
      <w:start w:val="1"/>
      <w:numFmt w:val="lowerRoman"/>
      <w:lvlText w:val="%9."/>
      <w:lvlJc w:val="right"/>
      <w:pPr>
        <w:tabs>
          <w:tab w:val="left" w:pos="4200"/>
        </w:tabs>
        <w:ind w:left="4200" w:hanging="420"/>
      </w:pPr>
    </w:lvl>
  </w:abstractNum>
  <w:abstractNum w:abstractNumId="63">
    <w:nsid w:val="723B1AEA"/>
    <w:multiLevelType w:val="multilevel"/>
    <w:tmpl w:val="723B1AEA"/>
    <w:lvl w:ilvl="0">
      <w:start w:val="1"/>
      <w:numFmt w:val="decimal"/>
      <w:lvlText w:val="%1、"/>
      <w:lvlJc w:val="left"/>
      <w:pPr>
        <w:tabs>
          <w:tab w:val="left" w:pos="810"/>
        </w:tabs>
        <w:ind w:left="810" w:hanging="360"/>
      </w:pPr>
      <w:rPr>
        <w:rFonts w:hint="eastAsia"/>
      </w:rPr>
    </w:lvl>
    <w:lvl w:ilvl="1">
      <w:start w:val="1"/>
      <w:numFmt w:val="lowerLetter"/>
      <w:lvlText w:val="%2)"/>
      <w:lvlJc w:val="left"/>
      <w:pPr>
        <w:tabs>
          <w:tab w:val="left" w:pos="1290"/>
        </w:tabs>
        <w:ind w:left="1290" w:hanging="420"/>
      </w:pPr>
    </w:lvl>
    <w:lvl w:ilvl="2">
      <w:start w:val="1"/>
      <w:numFmt w:val="lowerRoman"/>
      <w:lvlText w:val="%3."/>
      <w:lvlJc w:val="right"/>
      <w:pPr>
        <w:tabs>
          <w:tab w:val="left" w:pos="1710"/>
        </w:tabs>
        <w:ind w:left="1710" w:hanging="420"/>
      </w:pPr>
    </w:lvl>
    <w:lvl w:ilvl="3">
      <w:start w:val="1"/>
      <w:numFmt w:val="decimal"/>
      <w:lvlText w:val="%4."/>
      <w:lvlJc w:val="left"/>
      <w:pPr>
        <w:tabs>
          <w:tab w:val="left" w:pos="2130"/>
        </w:tabs>
        <w:ind w:left="2130" w:hanging="420"/>
      </w:pPr>
    </w:lvl>
    <w:lvl w:ilvl="4">
      <w:start w:val="1"/>
      <w:numFmt w:val="lowerLetter"/>
      <w:lvlText w:val="%5)"/>
      <w:lvlJc w:val="left"/>
      <w:pPr>
        <w:tabs>
          <w:tab w:val="left" w:pos="2550"/>
        </w:tabs>
        <w:ind w:left="2550" w:hanging="420"/>
      </w:pPr>
    </w:lvl>
    <w:lvl w:ilvl="5">
      <w:start w:val="1"/>
      <w:numFmt w:val="lowerRoman"/>
      <w:lvlText w:val="%6."/>
      <w:lvlJc w:val="right"/>
      <w:pPr>
        <w:tabs>
          <w:tab w:val="left" w:pos="2970"/>
        </w:tabs>
        <w:ind w:left="2970" w:hanging="420"/>
      </w:pPr>
    </w:lvl>
    <w:lvl w:ilvl="6">
      <w:start w:val="1"/>
      <w:numFmt w:val="decimal"/>
      <w:lvlText w:val="%7."/>
      <w:lvlJc w:val="left"/>
      <w:pPr>
        <w:tabs>
          <w:tab w:val="left" w:pos="3390"/>
        </w:tabs>
        <w:ind w:left="3390" w:hanging="420"/>
      </w:pPr>
    </w:lvl>
    <w:lvl w:ilvl="7">
      <w:start w:val="1"/>
      <w:numFmt w:val="lowerLetter"/>
      <w:lvlText w:val="%8)"/>
      <w:lvlJc w:val="left"/>
      <w:pPr>
        <w:tabs>
          <w:tab w:val="left" w:pos="3810"/>
        </w:tabs>
        <w:ind w:left="3810" w:hanging="420"/>
      </w:pPr>
    </w:lvl>
    <w:lvl w:ilvl="8">
      <w:start w:val="1"/>
      <w:numFmt w:val="lowerRoman"/>
      <w:lvlText w:val="%9."/>
      <w:lvlJc w:val="right"/>
      <w:pPr>
        <w:tabs>
          <w:tab w:val="left" w:pos="4230"/>
        </w:tabs>
        <w:ind w:left="4230" w:hanging="420"/>
      </w:pPr>
    </w:lvl>
  </w:abstractNum>
  <w:abstractNum w:abstractNumId="64">
    <w:nsid w:val="7254585C"/>
    <w:multiLevelType w:val="multilevel"/>
    <w:tmpl w:val="7254585C"/>
    <w:lvl w:ilvl="0">
      <w:start w:val="1"/>
      <w:numFmt w:val="japaneseCounting"/>
      <w:lvlText w:val="%1、"/>
      <w:lvlJc w:val="left"/>
      <w:pPr>
        <w:tabs>
          <w:tab w:val="left" w:pos="420"/>
        </w:tabs>
        <w:ind w:left="420" w:hanging="420"/>
      </w:pPr>
      <w:rPr>
        <w:rFonts w:hint="default"/>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65">
    <w:nsid w:val="729E5F16"/>
    <w:multiLevelType w:val="multilevel"/>
    <w:tmpl w:val="729E5F16"/>
    <w:lvl w:ilvl="0">
      <w:start w:val="1"/>
      <w:numFmt w:val="decimal"/>
      <w:lvlText w:val="%1、"/>
      <w:lvlJc w:val="left"/>
      <w:pPr>
        <w:tabs>
          <w:tab w:val="left" w:pos="780"/>
        </w:tabs>
        <w:ind w:left="780" w:hanging="360"/>
      </w:pPr>
      <w:rPr>
        <w:rFonts w:hint="default"/>
      </w:rPr>
    </w:lvl>
    <w:lvl w:ilvl="1">
      <w:start w:val="1"/>
      <w:numFmt w:val="lowerLetter"/>
      <w:lvlText w:val="%2)"/>
      <w:lvlJc w:val="left"/>
      <w:pPr>
        <w:tabs>
          <w:tab w:val="left" w:pos="1260"/>
        </w:tabs>
        <w:ind w:left="1260" w:hanging="420"/>
      </w:pPr>
    </w:lvl>
    <w:lvl w:ilvl="2">
      <w:start w:val="1"/>
      <w:numFmt w:val="lowerRoman"/>
      <w:lvlText w:val="%3."/>
      <w:lvlJc w:val="right"/>
      <w:pPr>
        <w:tabs>
          <w:tab w:val="left" w:pos="1680"/>
        </w:tabs>
        <w:ind w:left="1680" w:hanging="420"/>
      </w:pPr>
    </w:lvl>
    <w:lvl w:ilvl="3">
      <w:start w:val="1"/>
      <w:numFmt w:val="decimal"/>
      <w:lvlText w:val="%4."/>
      <w:lvlJc w:val="left"/>
      <w:pPr>
        <w:tabs>
          <w:tab w:val="left" w:pos="2100"/>
        </w:tabs>
        <w:ind w:left="2100" w:hanging="420"/>
      </w:pPr>
    </w:lvl>
    <w:lvl w:ilvl="4">
      <w:start w:val="1"/>
      <w:numFmt w:val="lowerLetter"/>
      <w:lvlText w:val="%5)"/>
      <w:lvlJc w:val="left"/>
      <w:pPr>
        <w:tabs>
          <w:tab w:val="left" w:pos="2520"/>
        </w:tabs>
        <w:ind w:left="2520" w:hanging="420"/>
      </w:pPr>
    </w:lvl>
    <w:lvl w:ilvl="5">
      <w:start w:val="1"/>
      <w:numFmt w:val="lowerRoman"/>
      <w:lvlText w:val="%6."/>
      <w:lvlJc w:val="right"/>
      <w:pPr>
        <w:tabs>
          <w:tab w:val="left" w:pos="2940"/>
        </w:tabs>
        <w:ind w:left="2940" w:hanging="420"/>
      </w:pPr>
    </w:lvl>
    <w:lvl w:ilvl="6">
      <w:start w:val="1"/>
      <w:numFmt w:val="decimal"/>
      <w:lvlText w:val="%7."/>
      <w:lvlJc w:val="left"/>
      <w:pPr>
        <w:tabs>
          <w:tab w:val="left" w:pos="3360"/>
        </w:tabs>
        <w:ind w:left="3360" w:hanging="420"/>
      </w:pPr>
    </w:lvl>
    <w:lvl w:ilvl="7">
      <w:start w:val="1"/>
      <w:numFmt w:val="lowerLetter"/>
      <w:lvlText w:val="%8)"/>
      <w:lvlJc w:val="left"/>
      <w:pPr>
        <w:tabs>
          <w:tab w:val="left" w:pos="3780"/>
        </w:tabs>
        <w:ind w:left="3780" w:hanging="420"/>
      </w:pPr>
    </w:lvl>
    <w:lvl w:ilvl="8">
      <w:start w:val="1"/>
      <w:numFmt w:val="lowerRoman"/>
      <w:lvlText w:val="%9."/>
      <w:lvlJc w:val="right"/>
      <w:pPr>
        <w:tabs>
          <w:tab w:val="left" w:pos="4200"/>
        </w:tabs>
        <w:ind w:left="4200" w:hanging="420"/>
      </w:pPr>
    </w:lvl>
  </w:abstractNum>
  <w:abstractNum w:abstractNumId="66">
    <w:nsid w:val="79521A29"/>
    <w:multiLevelType w:val="multilevel"/>
    <w:tmpl w:val="79521A29"/>
    <w:lvl w:ilvl="0">
      <w:start w:val="1"/>
      <w:numFmt w:val="decimal"/>
      <w:lvlText w:val="%1、"/>
      <w:lvlJc w:val="left"/>
      <w:pPr>
        <w:tabs>
          <w:tab w:val="left" w:pos="840"/>
        </w:tabs>
        <w:ind w:left="840" w:hanging="360"/>
      </w:pPr>
      <w:rPr>
        <w:rFonts w:hint="default"/>
      </w:rPr>
    </w:lvl>
    <w:lvl w:ilvl="1">
      <w:start w:val="1"/>
      <w:numFmt w:val="lowerLetter"/>
      <w:lvlText w:val="%2)"/>
      <w:lvlJc w:val="left"/>
      <w:pPr>
        <w:tabs>
          <w:tab w:val="left" w:pos="1320"/>
        </w:tabs>
        <w:ind w:left="1320" w:hanging="420"/>
      </w:pPr>
    </w:lvl>
    <w:lvl w:ilvl="2">
      <w:start w:val="1"/>
      <w:numFmt w:val="lowerRoman"/>
      <w:lvlText w:val="%3."/>
      <w:lvlJc w:val="right"/>
      <w:pPr>
        <w:tabs>
          <w:tab w:val="left" w:pos="1740"/>
        </w:tabs>
        <w:ind w:left="1740" w:hanging="420"/>
      </w:pPr>
    </w:lvl>
    <w:lvl w:ilvl="3">
      <w:start w:val="1"/>
      <w:numFmt w:val="decimal"/>
      <w:lvlText w:val="%4."/>
      <w:lvlJc w:val="left"/>
      <w:pPr>
        <w:tabs>
          <w:tab w:val="left" w:pos="2160"/>
        </w:tabs>
        <w:ind w:left="2160" w:hanging="420"/>
      </w:pPr>
    </w:lvl>
    <w:lvl w:ilvl="4">
      <w:start w:val="1"/>
      <w:numFmt w:val="lowerLetter"/>
      <w:lvlText w:val="%5)"/>
      <w:lvlJc w:val="left"/>
      <w:pPr>
        <w:tabs>
          <w:tab w:val="left" w:pos="2580"/>
        </w:tabs>
        <w:ind w:left="2580" w:hanging="420"/>
      </w:pPr>
    </w:lvl>
    <w:lvl w:ilvl="5">
      <w:start w:val="1"/>
      <w:numFmt w:val="lowerRoman"/>
      <w:lvlText w:val="%6."/>
      <w:lvlJc w:val="right"/>
      <w:pPr>
        <w:tabs>
          <w:tab w:val="left" w:pos="3000"/>
        </w:tabs>
        <w:ind w:left="3000" w:hanging="420"/>
      </w:pPr>
    </w:lvl>
    <w:lvl w:ilvl="6">
      <w:start w:val="1"/>
      <w:numFmt w:val="decimal"/>
      <w:lvlText w:val="%7."/>
      <w:lvlJc w:val="left"/>
      <w:pPr>
        <w:tabs>
          <w:tab w:val="left" w:pos="3420"/>
        </w:tabs>
        <w:ind w:left="3420" w:hanging="420"/>
      </w:pPr>
    </w:lvl>
    <w:lvl w:ilvl="7">
      <w:start w:val="1"/>
      <w:numFmt w:val="lowerLetter"/>
      <w:lvlText w:val="%8)"/>
      <w:lvlJc w:val="left"/>
      <w:pPr>
        <w:tabs>
          <w:tab w:val="left" w:pos="3840"/>
        </w:tabs>
        <w:ind w:left="3840" w:hanging="420"/>
      </w:pPr>
    </w:lvl>
    <w:lvl w:ilvl="8">
      <w:start w:val="1"/>
      <w:numFmt w:val="lowerRoman"/>
      <w:lvlText w:val="%9."/>
      <w:lvlJc w:val="right"/>
      <w:pPr>
        <w:tabs>
          <w:tab w:val="left" w:pos="4260"/>
        </w:tabs>
        <w:ind w:left="4260" w:hanging="420"/>
      </w:pPr>
    </w:lvl>
  </w:abstractNum>
  <w:abstractNum w:abstractNumId="67">
    <w:nsid w:val="7CCF560A"/>
    <w:multiLevelType w:val="multilevel"/>
    <w:tmpl w:val="7CCF560A"/>
    <w:lvl w:ilvl="0">
      <w:start w:val="1"/>
      <w:numFmt w:val="decimal"/>
      <w:lvlText w:val="%1、"/>
      <w:lvlJc w:val="left"/>
      <w:pPr>
        <w:tabs>
          <w:tab w:val="left" w:pos="690"/>
        </w:tabs>
        <w:ind w:left="690" w:hanging="360"/>
      </w:pPr>
      <w:rPr>
        <w:rFonts w:hint="default"/>
      </w:rPr>
    </w:lvl>
    <w:lvl w:ilvl="1">
      <w:start w:val="1"/>
      <w:numFmt w:val="lowerLetter"/>
      <w:lvlText w:val="%2)"/>
      <w:lvlJc w:val="left"/>
      <w:pPr>
        <w:tabs>
          <w:tab w:val="left" w:pos="1170"/>
        </w:tabs>
        <w:ind w:left="1170" w:hanging="420"/>
      </w:pPr>
    </w:lvl>
    <w:lvl w:ilvl="2">
      <w:start w:val="1"/>
      <w:numFmt w:val="lowerRoman"/>
      <w:lvlText w:val="%3."/>
      <w:lvlJc w:val="right"/>
      <w:pPr>
        <w:tabs>
          <w:tab w:val="left" w:pos="1590"/>
        </w:tabs>
        <w:ind w:left="1590" w:hanging="420"/>
      </w:pPr>
    </w:lvl>
    <w:lvl w:ilvl="3">
      <w:start w:val="1"/>
      <w:numFmt w:val="decimal"/>
      <w:lvlText w:val="%4."/>
      <w:lvlJc w:val="left"/>
      <w:pPr>
        <w:tabs>
          <w:tab w:val="left" w:pos="2010"/>
        </w:tabs>
        <w:ind w:left="2010" w:hanging="420"/>
      </w:pPr>
    </w:lvl>
    <w:lvl w:ilvl="4">
      <w:start w:val="1"/>
      <w:numFmt w:val="lowerLetter"/>
      <w:lvlText w:val="%5)"/>
      <w:lvlJc w:val="left"/>
      <w:pPr>
        <w:tabs>
          <w:tab w:val="left" w:pos="2430"/>
        </w:tabs>
        <w:ind w:left="2430" w:hanging="420"/>
      </w:pPr>
    </w:lvl>
    <w:lvl w:ilvl="5">
      <w:start w:val="1"/>
      <w:numFmt w:val="lowerRoman"/>
      <w:lvlText w:val="%6."/>
      <w:lvlJc w:val="right"/>
      <w:pPr>
        <w:tabs>
          <w:tab w:val="left" w:pos="2850"/>
        </w:tabs>
        <w:ind w:left="2850" w:hanging="420"/>
      </w:pPr>
    </w:lvl>
    <w:lvl w:ilvl="6">
      <w:start w:val="1"/>
      <w:numFmt w:val="decimal"/>
      <w:lvlText w:val="%7."/>
      <w:lvlJc w:val="left"/>
      <w:pPr>
        <w:tabs>
          <w:tab w:val="left" w:pos="3270"/>
        </w:tabs>
        <w:ind w:left="3270" w:hanging="420"/>
      </w:pPr>
    </w:lvl>
    <w:lvl w:ilvl="7">
      <w:start w:val="1"/>
      <w:numFmt w:val="lowerLetter"/>
      <w:lvlText w:val="%8)"/>
      <w:lvlJc w:val="left"/>
      <w:pPr>
        <w:tabs>
          <w:tab w:val="left" w:pos="3690"/>
        </w:tabs>
        <w:ind w:left="3690" w:hanging="420"/>
      </w:pPr>
    </w:lvl>
    <w:lvl w:ilvl="8">
      <w:start w:val="1"/>
      <w:numFmt w:val="lowerRoman"/>
      <w:lvlText w:val="%9."/>
      <w:lvlJc w:val="right"/>
      <w:pPr>
        <w:tabs>
          <w:tab w:val="left" w:pos="4110"/>
        </w:tabs>
        <w:ind w:left="4110" w:hanging="420"/>
      </w:pPr>
    </w:lvl>
  </w:abstractNum>
  <w:num w:numId="1">
    <w:abstractNumId w:val="45"/>
  </w:num>
  <w:num w:numId="2">
    <w:abstractNumId w:val="60"/>
  </w:num>
  <w:num w:numId="3">
    <w:abstractNumId w:val="62"/>
  </w:num>
  <w:num w:numId="4">
    <w:abstractNumId w:val="29"/>
  </w:num>
  <w:num w:numId="5">
    <w:abstractNumId w:val="51"/>
  </w:num>
  <w:num w:numId="6">
    <w:abstractNumId w:val="57"/>
  </w:num>
  <w:num w:numId="7">
    <w:abstractNumId w:val="47"/>
  </w:num>
  <w:num w:numId="8">
    <w:abstractNumId w:val="9"/>
  </w:num>
  <w:num w:numId="9">
    <w:abstractNumId w:val="34"/>
  </w:num>
  <w:num w:numId="10">
    <w:abstractNumId w:val="18"/>
  </w:num>
  <w:num w:numId="11">
    <w:abstractNumId w:val="66"/>
  </w:num>
  <w:num w:numId="12">
    <w:abstractNumId w:val="10"/>
  </w:num>
  <w:num w:numId="13">
    <w:abstractNumId w:val="13"/>
  </w:num>
  <w:num w:numId="14">
    <w:abstractNumId w:val="5"/>
  </w:num>
  <w:num w:numId="15">
    <w:abstractNumId w:val="33"/>
  </w:num>
  <w:num w:numId="16">
    <w:abstractNumId w:val="63"/>
  </w:num>
  <w:num w:numId="17">
    <w:abstractNumId w:val="0"/>
  </w:num>
  <w:num w:numId="18">
    <w:abstractNumId w:val="1"/>
  </w:num>
  <w:num w:numId="19">
    <w:abstractNumId w:val="42"/>
  </w:num>
  <w:num w:numId="20">
    <w:abstractNumId w:val="56"/>
  </w:num>
  <w:num w:numId="21">
    <w:abstractNumId w:val="7"/>
  </w:num>
  <w:num w:numId="22">
    <w:abstractNumId w:val="6"/>
  </w:num>
  <w:num w:numId="23">
    <w:abstractNumId w:val="32"/>
  </w:num>
  <w:num w:numId="24">
    <w:abstractNumId w:val="50"/>
  </w:num>
  <w:num w:numId="25">
    <w:abstractNumId w:val="59"/>
  </w:num>
  <w:num w:numId="26">
    <w:abstractNumId w:val="43"/>
  </w:num>
  <w:num w:numId="27">
    <w:abstractNumId w:val="4"/>
  </w:num>
  <w:num w:numId="28">
    <w:abstractNumId w:val="65"/>
  </w:num>
  <w:num w:numId="29">
    <w:abstractNumId w:val="39"/>
  </w:num>
  <w:num w:numId="30">
    <w:abstractNumId w:val="48"/>
  </w:num>
  <w:num w:numId="31">
    <w:abstractNumId w:val="22"/>
  </w:num>
  <w:num w:numId="32">
    <w:abstractNumId w:val="28"/>
  </w:num>
  <w:num w:numId="33">
    <w:abstractNumId w:val="8"/>
  </w:num>
  <w:num w:numId="34">
    <w:abstractNumId w:val="36"/>
  </w:num>
  <w:num w:numId="35">
    <w:abstractNumId w:val="14"/>
  </w:num>
  <w:num w:numId="36">
    <w:abstractNumId w:val="41"/>
  </w:num>
  <w:num w:numId="37">
    <w:abstractNumId w:val="24"/>
  </w:num>
  <w:num w:numId="38">
    <w:abstractNumId w:val="46"/>
  </w:num>
  <w:num w:numId="39">
    <w:abstractNumId w:val="11"/>
  </w:num>
  <w:num w:numId="40">
    <w:abstractNumId w:val="30"/>
  </w:num>
  <w:num w:numId="41">
    <w:abstractNumId w:val="23"/>
  </w:num>
  <w:num w:numId="42">
    <w:abstractNumId w:val="49"/>
  </w:num>
  <w:num w:numId="43">
    <w:abstractNumId w:val="55"/>
  </w:num>
  <w:num w:numId="44">
    <w:abstractNumId w:val="67"/>
  </w:num>
  <w:num w:numId="45">
    <w:abstractNumId w:val="53"/>
  </w:num>
  <w:num w:numId="46">
    <w:abstractNumId w:val="64"/>
  </w:num>
  <w:num w:numId="47">
    <w:abstractNumId w:val="3"/>
  </w:num>
  <w:num w:numId="48">
    <w:abstractNumId w:val="54"/>
  </w:num>
  <w:num w:numId="49">
    <w:abstractNumId w:val="19"/>
  </w:num>
  <w:num w:numId="50">
    <w:abstractNumId w:val="40"/>
  </w:num>
  <w:num w:numId="51">
    <w:abstractNumId w:val="17"/>
  </w:num>
  <w:num w:numId="52">
    <w:abstractNumId w:val="35"/>
  </w:num>
  <w:num w:numId="53">
    <w:abstractNumId w:val="26"/>
  </w:num>
  <w:num w:numId="54">
    <w:abstractNumId w:val="20"/>
  </w:num>
  <w:num w:numId="55">
    <w:abstractNumId w:val="38"/>
  </w:num>
  <w:num w:numId="56">
    <w:abstractNumId w:val="27"/>
  </w:num>
  <w:num w:numId="57">
    <w:abstractNumId w:val="21"/>
  </w:num>
  <w:num w:numId="58">
    <w:abstractNumId w:val="31"/>
  </w:num>
  <w:num w:numId="59">
    <w:abstractNumId w:val="61"/>
  </w:num>
  <w:num w:numId="60">
    <w:abstractNumId w:val="52"/>
  </w:num>
  <w:num w:numId="61">
    <w:abstractNumId w:val="16"/>
  </w:num>
  <w:num w:numId="62">
    <w:abstractNumId w:val="12"/>
  </w:num>
  <w:num w:numId="63">
    <w:abstractNumId w:val="15"/>
  </w:num>
  <w:num w:numId="64">
    <w:abstractNumId w:val="37"/>
  </w:num>
  <w:num w:numId="65">
    <w:abstractNumId w:val="25"/>
  </w:num>
  <w:num w:numId="66">
    <w:abstractNumId w:val="58"/>
  </w:num>
  <w:num w:numId="67">
    <w:abstractNumId w:val="44"/>
  </w:num>
  <w:num w:numId="6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4"/>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B775F20"/>
    <w:rsid w:val="00000FFE"/>
    <w:rsid w:val="00004FDC"/>
    <w:rsid w:val="00014123"/>
    <w:rsid w:val="00023263"/>
    <w:rsid w:val="000B1A9B"/>
    <w:rsid w:val="00154116"/>
    <w:rsid w:val="00185677"/>
    <w:rsid w:val="00187D80"/>
    <w:rsid w:val="001A3EC7"/>
    <w:rsid w:val="001C626B"/>
    <w:rsid w:val="00212647"/>
    <w:rsid w:val="00225CBE"/>
    <w:rsid w:val="00246918"/>
    <w:rsid w:val="002473EA"/>
    <w:rsid w:val="00252B25"/>
    <w:rsid w:val="002852D2"/>
    <w:rsid w:val="002D56A4"/>
    <w:rsid w:val="003D0F41"/>
    <w:rsid w:val="003E6925"/>
    <w:rsid w:val="003F33FC"/>
    <w:rsid w:val="00432169"/>
    <w:rsid w:val="00445691"/>
    <w:rsid w:val="00474C3F"/>
    <w:rsid w:val="005078C3"/>
    <w:rsid w:val="00551231"/>
    <w:rsid w:val="005D45F7"/>
    <w:rsid w:val="005D55EE"/>
    <w:rsid w:val="00607776"/>
    <w:rsid w:val="00616014"/>
    <w:rsid w:val="00682BA3"/>
    <w:rsid w:val="006A4686"/>
    <w:rsid w:val="006E7233"/>
    <w:rsid w:val="00712961"/>
    <w:rsid w:val="007C0731"/>
    <w:rsid w:val="007D1BB9"/>
    <w:rsid w:val="007F2D6E"/>
    <w:rsid w:val="008540F4"/>
    <w:rsid w:val="00857BF5"/>
    <w:rsid w:val="008F1554"/>
    <w:rsid w:val="00936905"/>
    <w:rsid w:val="00964E19"/>
    <w:rsid w:val="00992D68"/>
    <w:rsid w:val="00A5266E"/>
    <w:rsid w:val="00A6189E"/>
    <w:rsid w:val="00A766AF"/>
    <w:rsid w:val="00A91FDE"/>
    <w:rsid w:val="00AA222C"/>
    <w:rsid w:val="00B7180A"/>
    <w:rsid w:val="00B96A04"/>
    <w:rsid w:val="00B97329"/>
    <w:rsid w:val="00BB69CE"/>
    <w:rsid w:val="00BD63AC"/>
    <w:rsid w:val="00BE0772"/>
    <w:rsid w:val="00C1729B"/>
    <w:rsid w:val="00C3480A"/>
    <w:rsid w:val="00C479B9"/>
    <w:rsid w:val="00CA258B"/>
    <w:rsid w:val="00CC1C18"/>
    <w:rsid w:val="00CE076F"/>
    <w:rsid w:val="00D16826"/>
    <w:rsid w:val="00D33361"/>
    <w:rsid w:val="00D55674"/>
    <w:rsid w:val="00DF5A81"/>
    <w:rsid w:val="00E73211"/>
    <w:rsid w:val="00ED6306"/>
    <w:rsid w:val="00EF2B91"/>
    <w:rsid w:val="00EF34AA"/>
    <w:rsid w:val="00F26F44"/>
    <w:rsid w:val="00F53275"/>
    <w:rsid w:val="00F57171"/>
    <w:rsid w:val="00FB2AF0"/>
    <w:rsid w:val="00FC25C7"/>
    <w:rsid w:val="0D931139"/>
    <w:rsid w:val="1B775F20"/>
    <w:rsid w:val="49B755B6"/>
    <w:rsid w:val="53D629E8"/>
    <w:rsid w:val="5E280D51"/>
    <w:rsid w:val="6F5A3C9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qFormat="1"/>
    <w:lsdException w:name="footer" w:semiHidden="0" w:uiPriority="0" w:unhideWhenUsed="0" w:qFormat="1"/>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1"/>
    <w:lsdException w:name="Body Text" w:semiHidden="0" w:uiPriority="0" w:unhideWhenUsed="0" w:qFormat="1"/>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qFormat="1"/>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eastAsia="宋体" w:asciiTheme="minorHAnsi" w:hAnsiTheme="minorHAnsi" w:cstheme="minorBidi"/>
      <w:kern w:val="2"/>
      <w:sz w:val="21"/>
      <w:szCs w:val="22"/>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CellMar>
        <w:top w:w="0" w:type="dxa"/>
        <w:left w:w="108" w:type="dxa"/>
        <w:bottom w:w="0" w:type="dxa"/>
        <w:right w:w="108" w:type="dxa"/>
      </w:tblCellMar>
    </w:tblPr>
  </w:style>
  <w:style w:type="paragraph" w:styleId="BodyText">
    <w:name w:val="Body Text"/>
    <w:basedOn w:val="Normal"/>
    <w:autoRedefine/>
    <w:qFormat/>
    <w:pPr>
      <w:spacing w:line="360" w:lineRule="auto"/>
    </w:pPr>
    <w:rPr>
      <w:rFonts w:ascii="Times New Roman" w:hAnsi="Times New Roman"/>
      <w:sz w:val="24"/>
      <w:szCs w:val="24"/>
    </w:rPr>
  </w:style>
  <w:style w:type="paragraph" w:styleId="Footer">
    <w:name w:val="footer"/>
    <w:basedOn w:val="Normal"/>
    <w:qFormat/>
    <w:pPr>
      <w:tabs>
        <w:tab w:val="center" w:pos="4153"/>
        <w:tab w:val="right" w:pos="8306"/>
      </w:tabs>
      <w:snapToGrid w:val="0"/>
      <w:jc w:val="left"/>
    </w:pPr>
    <w:rPr>
      <w:sz w:val="18"/>
    </w:rPr>
  </w:style>
  <w:style w:type="paragraph" w:styleId="Header">
    <w:name w:val="header"/>
    <w:basedOn w:val="Normal"/>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NormalWeb">
    <w:name w:val="Normal (Web)"/>
    <w:basedOn w:val="Normal"/>
    <w:autoRedefine/>
    <w:qFormat/>
    <w:pPr>
      <w:widowControl/>
      <w:spacing w:before="100" w:beforeAutospacing="1" w:after="100" w:afterAutospacing="1"/>
      <w:jc w:val="left"/>
    </w:pPr>
    <w:rPr>
      <w:rFonts w:ascii="Arial Unicode MS" w:eastAsia="Arial Unicode MS" w:hAnsi="Arial Unicode MS" w:cs="Arial Unicode MS"/>
      <w:kern w:val="0"/>
      <w:sz w:val="24"/>
      <w:szCs w:val="24"/>
    </w:rPr>
  </w:style>
  <w:style w:type="character" w:styleId="PageNumber">
    <w:name w:val="page number"/>
    <w:basedOn w:val="DefaultParagraphFont"/>
  </w:style>
  <w:style w:type="paragraph" w:customStyle="1" w:styleId="Footer0">
    <w:name w:val="Footer_0"/>
    <w:basedOn w:val="Normal0"/>
    <w:pPr>
      <w:tabs>
        <w:tab w:val="center" w:pos="4153"/>
        <w:tab w:val="right" w:pos="8306"/>
      </w:tabs>
      <w:snapToGrid w:val="0"/>
      <w:jc w:val="left"/>
    </w:pPr>
    <w:rPr>
      <w:sz w:val="18"/>
      <w:szCs w:val="18"/>
    </w:rPr>
  </w:style>
  <w:style w:type="paragraph" w:customStyle="1" w:styleId="Normal0">
    <w:name w:val="Normal_0"/>
    <w:qFormat/>
    <w:pPr>
      <w:widowControl w:val="0"/>
      <w:jc w:val="both"/>
    </w:pPr>
    <w:rPr>
      <w:rFonts w:ascii="Times New Roman" w:eastAsia="宋体" w:hAnsi="Times New Roman" w:cstheme="minorBidi"/>
      <w:kern w:val="2"/>
      <w:sz w:val="21"/>
      <w:szCs w:val="24"/>
      <w:lang w:val="en-US" w:eastAsia="zh-CN" w:bidi="ar-SA"/>
    </w:rPr>
  </w:style>
  <w:style w:type="paragraph" w:customStyle="1" w:styleId="style31">
    <w:name w:val="style31"/>
    <w:basedOn w:val="Normal"/>
    <w:autoRedefine/>
    <w:qFormat/>
    <w:pPr>
      <w:widowControl/>
      <w:spacing w:before="100" w:beforeAutospacing="1" w:after="100" w:afterAutospacing="1"/>
      <w:jc w:val="left"/>
    </w:pPr>
    <w:rPr>
      <w:rFonts w:ascii="宋体" w:hAnsi="宋体" w:cs="宋体"/>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3.xml" /><Relationship Id="rId11" Type="http://schemas.openxmlformats.org/officeDocument/2006/relationships/header" Target="header4.xml" /><Relationship Id="rId12" Type="http://schemas.openxmlformats.org/officeDocument/2006/relationships/footer" Target="footer4.xm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header" Target="header6.xml" /><Relationship Id="rId16" Type="http://schemas.openxmlformats.org/officeDocument/2006/relationships/footer" Target="footer6.xml" /><Relationship Id="rId17" Type="http://schemas.openxmlformats.org/officeDocument/2006/relationships/header" Target="header7.xml" /><Relationship Id="rId18" Type="http://schemas.openxmlformats.org/officeDocument/2006/relationships/footer" Target="footer7.xml" /><Relationship Id="rId19" Type="http://schemas.openxmlformats.org/officeDocument/2006/relationships/header" Target="header8.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header" Target="header10.xml" /><Relationship Id="rId24" Type="http://schemas.openxmlformats.org/officeDocument/2006/relationships/footer" Target="footer10.xml" /><Relationship Id="rId25" Type="http://schemas.openxmlformats.org/officeDocument/2006/relationships/header" Target="header11.xml" /><Relationship Id="rId26" Type="http://schemas.openxmlformats.org/officeDocument/2006/relationships/footer" Target="footer11.xm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header" Target="header13.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header" Target="header14.xml" /><Relationship Id="rId32" Type="http://schemas.openxmlformats.org/officeDocument/2006/relationships/footer" Target="footer14.xml" /><Relationship Id="rId33" Type="http://schemas.openxmlformats.org/officeDocument/2006/relationships/header" Target="header15.xml" /><Relationship Id="rId34" Type="http://schemas.openxmlformats.org/officeDocument/2006/relationships/footer" Target="footer15.xml" /><Relationship Id="rId35" Type="http://schemas.openxmlformats.org/officeDocument/2006/relationships/header" Target="header16.xml" /><Relationship Id="rId36" Type="http://schemas.openxmlformats.org/officeDocument/2006/relationships/footer" Target="footer16.xm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header" Target="header18.xml" /><Relationship Id="rId4" Type="http://schemas.openxmlformats.org/officeDocument/2006/relationships/customXml" Target="../customXml/item1.xml" /><Relationship Id="rId40" Type="http://schemas.openxmlformats.org/officeDocument/2006/relationships/footer" Target="footer18.xml" /><Relationship Id="rId41" Type="http://schemas.openxmlformats.org/officeDocument/2006/relationships/header" Target="header19.xml" /><Relationship Id="rId42" Type="http://schemas.openxmlformats.org/officeDocument/2006/relationships/footer" Target="footer19.xml" /><Relationship Id="rId43" Type="http://schemas.openxmlformats.org/officeDocument/2006/relationships/header" Target="header20.xml" /><Relationship Id="rId44" Type="http://schemas.openxmlformats.org/officeDocument/2006/relationships/footer" Target="footer20.xml" /><Relationship Id="rId45" Type="http://schemas.openxmlformats.org/officeDocument/2006/relationships/header" Target="header21.xml" /><Relationship Id="rId46" Type="http://schemas.openxmlformats.org/officeDocument/2006/relationships/footer" Target="footer21.xml" /><Relationship Id="rId47" Type="http://schemas.openxmlformats.org/officeDocument/2006/relationships/header" Target="header22.xml" /><Relationship Id="rId48" Type="http://schemas.openxmlformats.org/officeDocument/2006/relationships/footer" Target="footer22.xml" /><Relationship Id="rId49" Type="http://schemas.openxmlformats.org/officeDocument/2006/relationships/header" Target="header23.xml" /><Relationship Id="rId5" Type="http://schemas.openxmlformats.org/officeDocument/2006/relationships/header" Target="header1.xml" /><Relationship Id="rId50" Type="http://schemas.openxmlformats.org/officeDocument/2006/relationships/footer" Target="footer23.xml" /><Relationship Id="rId51" Type="http://schemas.openxmlformats.org/officeDocument/2006/relationships/header" Target="header24.xml" /><Relationship Id="rId52" Type="http://schemas.openxmlformats.org/officeDocument/2006/relationships/footer" Target="footer24.xml" /><Relationship Id="rId53" Type="http://schemas.openxmlformats.org/officeDocument/2006/relationships/header" Target="header25.xml" /><Relationship Id="rId54" Type="http://schemas.openxmlformats.org/officeDocument/2006/relationships/footer" Target="footer25.xml" /><Relationship Id="rId55" Type="http://schemas.openxmlformats.org/officeDocument/2006/relationships/header" Target="header26.xml" /><Relationship Id="rId56" Type="http://schemas.openxmlformats.org/officeDocument/2006/relationships/footer" Target="footer26.xml" /><Relationship Id="rId57" Type="http://schemas.openxmlformats.org/officeDocument/2006/relationships/header" Target="header27.xml" /><Relationship Id="rId58" Type="http://schemas.openxmlformats.org/officeDocument/2006/relationships/footer" Target="footer27.xml" /><Relationship Id="rId59" Type="http://schemas.openxmlformats.org/officeDocument/2006/relationships/header" Target="header28.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header" Target="header29.xml" /><Relationship Id="rId62" Type="http://schemas.openxmlformats.org/officeDocument/2006/relationships/footer" Target="footer29.xml" /><Relationship Id="rId63" Type="http://schemas.openxmlformats.org/officeDocument/2006/relationships/hyperlink" Target="https://d.book118.com/538045014003006046" TargetMode="External" /><Relationship Id="rId64" Type="http://schemas.openxmlformats.org/officeDocument/2006/relationships/header" Target="header30.xml" /><Relationship Id="rId65" Type="http://schemas.openxmlformats.org/officeDocument/2006/relationships/footer" Target="footer30.xml" /><Relationship Id="rId66" Type="http://schemas.openxmlformats.org/officeDocument/2006/relationships/theme" Target="theme/theme1.xml" /><Relationship Id="rId67" Type="http://schemas.openxmlformats.org/officeDocument/2006/relationships/numbering" Target="numbering.xml" /><Relationship Id="rId68" Type="http://schemas.openxmlformats.org/officeDocument/2006/relationships/styles" Target="styles.xml" /><Relationship Id="rId7" Type="http://schemas.openxmlformats.org/officeDocument/2006/relationships/header" Target="header2.xml" /><Relationship Id="rId8" Type="http://schemas.openxmlformats.org/officeDocument/2006/relationships/footer" Target="footer2.xml" /><Relationship Id="rId9" Type="http://schemas.openxmlformats.org/officeDocument/2006/relationships/header" Target="head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ops>
  <customShpExts>
    <customShpInfo spid="_x0000_s2049"/>
    <customShpInfo spid="_x0000_s2050"/>
    <customShpInfo spid="_x0000_s1026"/>
    <customShpInfo spid="_x0000_s1027"/>
    <customShpInfo spid="_x0000_s1028"/>
    <customShpInfo spid="_x0000_s1029"/>
    <customShpInfo spid="_x0000_s1030"/>
    <customShpInfo spid="_x0000_s1031"/>
    <customShpInfo spid="_x0000_s1032"/>
    <customShpInfo spid="_x0000_s1033"/>
    <customShpInfo spid="_x0000_s1034"/>
    <customShpInfo spid="_x0000_s1035"/>
    <customShpInfo spid="_x0000_s1036"/>
    <customShpInfo spid="_x0000_s1025"/>
    <customShpInfo spid="_x0000_s1038"/>
    <customShpInfo spid="_x0000_s1039"/>
    <customShpInfo spid="_x0000_s1040"/>
    <customShpInfo spid="_x0000_s1041"/>
    <customShpInfo spid="_x0000_s1042"/>
    <customShpInfo spid="_x0000_s1043"/>
    <customShpInfo spid="_x0000_s1044"/>
    <customShpInfo spid="_x0000_s1045"/>
    <customShpInfo spid="_x0000_s1046"/>
    <customShpInfo spid="_x0000_s1047"/>
    <customShpInfo spid="_x0000_s1048"/>
    <customShpInfo spid="_x0000_s1049"/>
    <customShpInfo spid="_x0000_s1050"/>
    <customShpInfo spid="_x0000_s1037"/>
    <customShpInfo spid="_x0000_s1051"/>
    <customShpInfo spid="_x0000_s1052"/>
    <customShpInfo spid="_x0000_s1053"/>
    <customShpInfo spid="_x0000_s1054"/>
    <customShpInfo spid="_x0000_s1055"/>
    <customShpInfo spid="_x0000_s1056"/>
    <customShpInfo spid="_x0000_s1057"/>
    <customShpInfo spid="_x0000_s1058"/>
    <customShpInfo spid="_x0000_s1059"/>
    <customShpInfo spid="_x0000_s1060"/>
    <customShpInfo spid="_x0000_s1061"/>
    <customShpInfo spid="_x0000_s1062"/>
    <customShpInfo spid="_x0000_s1063"/>
    <customShpInfo spid="_x0000_s1064"/>
    <customShpInfo spid="_x0000_s1065"/>
    <customShpInfo spid="_x0000_s1066"/>
    <customShpInfo spid="_x0000_s1067"/>
    <customShpInfo spid="_x0000_s1068"/>
    <customShpInfo spid="_x0000_s1069"/>
    <customShpInfo spid="_x0000_s1070"/>
    <customShpInfo spid="_x0000_s1071"/>
    <customShpInfo spid="_x0000_s1072"/>
    <customShpInfo spid="_x0000_s1073"/>
    <customShpInfo spid="_x0000_s1074"/>
    <customShpInfo spid="_x0000_s1075"/>
    <customShpInfo spid="_x0000_s1076"/>
    <customShpInfo spid="_x0000_s1077"/>
    <customShpInfo spid="_x0000_s1078"/>
    <customShpInfo spid="_x0000_s1079"/>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8</TotalTime>
  <Pages>35</Pages>
  <Words>0</Words>
  <Characters>0</Characters>
  <Application>Microsoft Office Word</Application>
  <DocSecurity>0</DocSecurity>
  <Lines>1</Lines>
  <Paragraphs>1</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yu</dc:creator>
  <cp:lastModifiedBy>高永</cp:lastModifiedBy>
  <cp:revision>5</cp:revision>
  <dcterms:created xsi:type="dcterms:W3CDTF">2015-12-21T08:03:00Z</dcterms:created>
  <dcterms:modified xsi:type="dcterms:W3CDTF">2024-02-28T23:32:35Z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11F923BEEBEF44839AD83B43A29F6995_12</vt:lpwstr>
  </property>
  <property fmtid="{D5CDD505-2E9C-101B-9397-08002B2CF9AE}" pid="3" name="KSOProductBuildVer">
    <vt:lpwstr>2052-12.1.0.16388</vt:lpwstr>
  </property>
</Properties>
</file>