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bidi w:val="0"/>
        <w:jc w:val="center"/>
        <w:rPr>
          <w:rFonts w:ascii="幼圆" w:eastAsia="幼圆" w:hAnsi="幼圆" w:cs="幼圆" w:hint="eastAsia"/>
          <w:lang w:eastAsia="zh-CN"/>
        </w:rPr>
      </w:pPr>
      <w:bookmarkStart w:id="0" w:name="_Toc11944"/>
      <w:r>
        <w:rPr>
          <w:rFonts w:ascii="幼圆" w:eastAsia="幼圆" w:hAnsi="幼圆" w:cs="幼圆" w:hint="eastAsia"/>
          <w:lang w:val="en-US" w:eastAsia="zh-CN"/>
        </w:rPr>
        <w:t>兰州黄河啤酒公司</w:t>
      </w:r>
      <w:r>
        <w:rPr>
          <w:rFonts w:ascii="幼圆" w:eastAsia="幼圆" w:hAnsi="幼圆" w:cs="幼圆" w:hint="eastAsia"/>
          <w:lang w:eastAsia="zh-CN"/>
        </w:rPr>
        <w:t>员工忠诚度影响因素研究</w:t>
      </w:r>
      <w:bookmarkEnd w:id="0"/>
    </w:p>
    <w:p>
      <w:pPr>
        <w:spacing w:before="0" w:beforeLines="0" w:after="0" w:afterLines="0" w:line="240" w:lineRule="auto"/>
        <w:ind w:left="0" w:right="0" w:firstLine="0" w:leftChars="0" w:rightChars="0" w:firstLineChars="0"/>
        <w:jc w:val="center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32"/>
        </w:rPr>
        <w:t>目录</w:t>
      </w:r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val="en-US" w:eastAsia="zh-CN"/>
        </w:rPr>
        <w:fldChar w:fldCharType="begin"/>
      </w:r>
      <w:r>
        <w:rPr>
          <w:rFonts w:ascii="幼圆" w:eastAsia="幼圆" w:hAnsi="幼圆" w:cs="幼圆" w:hint="eastAsia"/>
          <w:sz w:val="24"/>
          <w:lang w:val="en-US" w:eastAsia="zh-CN"/>
        </w:rPr>
        <w:instrText xml:space="preserve">TOC \o "1-3" \h \u </w:instrText>
      </w:r>
      <w:r>
        <w:rPr>
          <w:rFonts w:ascii="幼圆" w:eastAsia="幼圆" w:hAnsi="幼圆" w:cs="幼圆" w:hint="eastAsia"/>
          <w:sz w:val="24"/>
          <w:lang w:val="en-US" w:eastAsia="zh-CN"/>
        </w:rPr>
        <w:fldChar w:fldCharType="separate"/>
      </w:r>
      <w:hyperlink w:anchor="_Toc24827" w:history="1">
        <w:r>
          <w:rPr>
            <w:rFonts w:ascii="幼圆" w:eastAsia="幼圆" w:hAnsi="幼圆" w:cs="幼圆" w:hint="eastAsia"/>
            <w:sz w:val="24"/>
            <w:lang w:val="en-US" w:eastAsia="zh-CN"/>
          </w:rPr>
          <w:t>引言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_Toc24827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9904" w:history="1">
        <w:r>
          <w:rPr>
            <w:rFonts w:ascii="幼圆" w:eastAsia="幼圆" w:hAnsi="幼圆" w:cs="幼圆" w:hint="eastAsia"/>
            <w:sz w:val="24"/>
            <w:lang w:eastAsia="zh-CN"/>
          </w:rPr>
          <w:t>一、兰州黄河啤酒公司</w:t>
        </w:r>
        <w:r>
          <w:rPr>
            <w:rFonts w:ascii="幼圆" w:eastAsia="幼圆" w:hAnsi="幼圆" w:cs="幼圆" w:hint="eastAsia"/>
            <w:sz w:val="24"/>
          </w:rPr>
          <w:t>基本情况概述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_Toc9904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9207" w:history="1">
        <w:r>
          <w:rPr>
            <w:rFonts w:ascii="幼圆" w:eastAsia="幼圆" w:hAnsi="幼圆" w:cs="幼圆" w:hint="eastAsia"/>
            <w:sz w:val="24"/>
            <w:lang w:eastAsia="zh-CN"/>
          </w:rPr>
          <w:t>二、兰州黄河啤酒公司</w:t>
        </w:r>
        <w:r>
          <w:rPr>
            <w:rFonts w:ascii="幼圆" w:eastAsia="幼圆" w:hAnsi="幼圆" w:cs="幼圆" w:hint="eastAsia"/>
            <w:sz w:val="24"/>
          </w:rPr>
          <w:t>员工忠诚度影响因素问卷调查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_Toc9207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1411" w:history="1">
        <w:r>
          <w:rPr>
            <w:rFonts w:ascii="幼圆" w:eastAsia="幼圆" w:hAnsi="幼圆" w:cs="幼圆" w:hint="eastAsia"/>
            <w:sz w:val="24"/>
            <w:lang w:eastAsia="zh-CN"/>
          </w:rPr>
          <w:t>（一）</w:t>
        </w:r>
        <w:r>
          <w:rPr>
            <w:rFonts w:ascii="幼圆" w:eastAsia="幼圆" w:hAnsi="幼圆" w:cs="幼圆" w:hint="eastAsia"/>
            <w:sz w:val="24"/>
          </w:rPr>
          <w:t>问卷内容设计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_Toc21411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2027" w:history="1">
        <w:r>
          <w:rPr>
            <w:rFonts w:ascii="幼圆" w:eastAsia="幼圆" w:hAnsi="幼圆" w:cs="幼圆" w:hint="eastAsia"/>
            <w:sz w:val="24"/>
            <w:lang w:val="en-US" w:eastAsia="zh-CN"/>
          </w:rPr>
          <w:t>1.</w:t>
        </w:r>
        <w:r>
          <w:rPr>
            <w:rFonts w:ascii="幼圆" w:eastAsia="幼圆" w:hAnsi="幼圆" w:cs="幼圆" w:hint="eastAsia"/>
            <w:sz w:val="24"/>
          </w:rPr>
          <w:t>问卷发放与回收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_Toc22027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7085" w:history="1">
        <w:r>
          <w:rPr>
            <w:rFonts w:ascii="幼圆" w:eastAsia="幼圆" w:hAnsi="幼圆" w:cs="幼圆" w:hint="eastAsia"/>
            <w:sz w:val="24"/>
            <w:lang w:val="en-US" w:eastAsia="zh-CN"/>
          </w:rPr>
          <w:t>2.</w:t>
        </w:r>
        <w:r>
          <w:rPr>
            <w:rFonts w:ascii="幼圆" w:eastAsia="幼圆" w:hAnsi="幼圆" w:cs="幼圆" w:hint="eastAsia"/>
            <w:sz w:val="24"/>
          </w:rPr>
          <w:t>问卷数据描述性统计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_Toc17085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6710" w:history="1">
        <w:r>
          <w:rPr>
            <w:rFonts w:ascii="幼圆" w:eastAsia="幼圆" w:hAnsi="幼圆" w:cs="幼圆" w:hint="eastAsia"/>
            <w:sz w:val="24"/>
            <w:lang w:eastAsia="zh-CN"/>
          </w:rPr>
          <w:t>（二）兰州黄河啤酒公司</w:t>
        </w:r>
        <w:r>
          <w:rPr>
            <w:rFonts w:ascii="幼圆" w:eastAsia="幼圆" w:hAnsi="幼圆" w:cs="幼圆" w:hint="eastAsia"/>
            <w:sz w:val="24"/>
          </w:rPr>
          <w:t>忠诚度调查结果与数据分析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_Toc26710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4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7727" w:history="1">
        <w:r>
          <w:rPr>
            <w:rFonts w:ascii="幼圆" w:eastAsia="幼圆" w:hAnsi="幼圆" w:cs="幼圆" w:hint="eastAsia"/>
            <w:sz w:val="24"/>
            <w:lang w:val="en-US" w:eastAsia="zh-CN"/>
          </w:rPr>
          <w:t>1.</w:t>
        </w:r>
        <w:r>
          <w:rPr>
            <w:rFonts w:ascii="幼圆" w:eastAsia="幼圆" w:hAnsi="幼圆" w:cs="幼圆" w:hint="eastAsia"/>
            <w:sz w:val="24"/>
          </w:rPr>
          <w:t>信效度检验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_Toc7727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4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984" w:history="1">
        <w:r>
          <w:rPr>
            <w:rFonts w:ascii="幼圆" w:eastAsia="幼圆" w:hAnsi="幼圆" w:cs="幼圆" w:hint="eastAsia"/>
            <w:sz w:val="24"/>
            <w:lang w:val="en-US" w:eastAsia="zh-CN"/>
          </w:rPr>
          <w:t>2.</w:t>
        </w:r>
        <w:r>
          <w:rPr>
            <w:rFonts w:ascii="幼圆" w:eastAsia="幼圆" w:hAnsi="幼圆" w:cs="幼圆" w:hint="eastAsia"/>
            <w:sz w:val="24"/>
            <w:lang w:eastAsia="zh-CN"/>
          </w:rPr>
          <w:t>兰州黄河啤酒公司</w:t>
        </w:r>
        <w:r>
          <w:rPr>
            <w:rFonts w:ascii="幼圆" w:eastAsia="幼圆" w:hAnsi="幼圆" w:cs="幼圆" w:hint="eastAsia"/>
            <w:sz w:val="24"/>
          </w:rPr>
          <w:t>员工忠诚度现状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_Toc2984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7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9809" w:history="1">
        <w:r>
          <w:rPr>
            <w:rFonts w:ascii="幼圆" w:eastAsia="幼圆" w:hAnsi="幼圆" w:cs="幼圆" w:hint="eastAsia"/>
            <w:sz w:val="24"/>
            <w:lang w:eastAsia="zh-CN"/>
          </w:rPr>
          <w:t>三、兰州黄河啤酒公司</w:t>
        </w:r>
        <w:r>
          <w:rPr>
            <w:rFonts w:ascii="幼圆" w:eastAsia="幼圆" w:hAnsi="幼圆" w:cs="幼圆" w:hint="eastAsia"/>
            <w:sz w:val="24"/>
          </w:rPr>
          <w:t>员工忠诚度影响因素实证分析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_Toc19809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10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083" w:history="1">
        <w:r>
          <w:rPr>
            <w:rFonts w:ascii="幼圆" w:eastAsia="幼圆" w:hAnsi="幼圆" w:cs="幼圆" w:hint="eastAsia"/>
            <w:sz w:val="24"/>
            <w:lang w:eastAsia="zh-CN"/>
          </w:rPr>
          <w:t>（一）</w:t>
        </w:r>
        <w:r>
          <w:rPr>
            <w:rFonts w:ascii="幼圆" w:eastAsia="幼圆" w:hAnsi="幼圆" w:cs="幼圆" w:hint="eastAsia"/>
            <w:sz w:val="24"/>
          </w:rPr>
          <w:t>模型建立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_Toc1083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10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3629" w:history="1">
        <w:r>
          <w:rPr>
            <w:rFonts w:ascii="幼圆" w:eastAsia="幼圆" w:hAnsi="幼圆" w:cs="幼圆" w:hint="eastAsia"/>
            <w:sz w:val="24"/>
            <w:lang w:eastAsia="zh-CN"/>
          </w:rPr>
          <w:t>（二）</w:t>
        </w:r>
        <w:r>
          <w:rPr>
            <w:rFonts w:ascii="幼圆" w:eastAsia="幼圆" w:hAnsi="幼圆" w:cs="幼圆" w:hint="eastAsia"/>
            <w:sz w:val="24"/>
          </w:rPr>
          <w:t>个人感知与忠诚度的回归分析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_Toc23629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10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754" w:history="1">
        <w:r>
          <w:rPr>
            <w:rFonts w:ascii="幼圆" w:eastAsia="幼圆" w:hAnsi="幼圆" w:cs="幼圆" w:hint="eastAsia"/>
            <w:sz w:val="24"/>
            <w:lang w:eastAsia="zh-CN"/>
          </w:rPr>
          <w:t>（三）</w:t>
        </w:r>
        <w:r>
          <w:rPr>
            <w:rFonts w:ascii="幼圆" w:eastAsia="幼圆" w:hAnsi="幼圆" w:cs="幼圆" w:hint="eastAsia"/>
            <w:sz w:val="24"/>
          </w:rPr>
          <w:t>企业管理与忠诚度的回归分析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_Toc2754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513" w:history="1">
        <w:r>
          <w:rPr>
            <w:rFonts w:ascii="幼圆" w:eastAsia="幼圆" w:hAnsi="幼圆" w:cs="幼圆" w:hint="eastAsia"/>
            <w:sz w:val="24"/>
            <w:lang w:eastAsia="zh-CN"/>
          </w:rPr>
          <w:t>（四）</w:t>
        </w:r>
        <w:r>
          <w:rPr>
            <w:rFonts w:ascii="幼圆" w:eastAsia="幼圆" w:hAnsi="幼圆" w:cs="幼圆" w:hint="eastAsia"/>
            <w:sz w:val="24"/>
          </w:rPr>
          <w:t>社会环境与忠诚度的回归分析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_Toc513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13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0881" w:history="1">
        <w:r>
          <w:rPr>
            <w:rFonts w:ascii="幼圆" w:eastAsia="幼圆" w:hAnsi="幼圆" w:cs="幼圆" w:hint="eastAsia"/>
            <w:sz w:val="24"/>
            <w:lang w:eastAsia="zh-CN"/>
          </w:rPr>
          <w:t>四、结论及建议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_Toc10881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15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0280" w:history="1">
        <w:r>
          <w:rPr>
            <w:rFonts w:ascii="幼圆" w:eastAsia="幼圆" w:hAnsi="幼圆" w:cs="幼圆" w:hint="eastAsia"/>
            <w:sz w:val="24"/>
            <w:lang w:eastAsia="zh-CN"/>
          </w:rPr>
          <w:t>（一）结论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_Toc20280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15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7549" w:history="1">
        <w:r>
          <w:rPr>
            <w:rFonts w:ascii="幼圆" w:eastAsia="幼圆" w:hAnsi="幼圆" w:cs="幼圆" w:hint="eastAsia"/>
            <w:sz w:val="24"/>
            <w:lang w:eastAsia="zh-CN"/>
          </w:rPr>
          <w:t>（二）</w:t>
        </w:r>
        <w:r>
          <w:rPr>
            <w:rFonts w:ascii="幼圆" w:eastAsia="幼圆" w:hAnsi="幼圆" w:cs="幼圆" w:hint="eastAsia"/>
            <w:sz w:val="24"/>
          </w:rPr>
          <w:t>建议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_Toc27549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16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859" w:history="1">
        <w:r>
          <w:rPr>
            <w:rFonts w:ascii="幼圆" w:eastAsia="幼圆" w:hAnsi="幼圆" w:cs="幼圆" w:hint="eastAsia"/>
            <w:sz w:val="24"/>
            <w:lang w:val="en-US" w:eastAsia="zh-CN"/>
          </w:rPr>
          <w:t>1.</w:t>
        </w:r>
        <w:r>
          <w:rPr>
            <w:rFonts w:ascii="幼圆" w:eastAsia="幼圆" w:hAnsi="幼圆" w:cs="幼圆" w:hint="eastAsia"/>
            <w:sz w:val="24"/>
          </w:rPr>
          <w:t>改进绩效考核制度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_Toc1859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16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8803" w:history="1">
        <w:r>
          <w:rPr>
            <w:rFonts w:ascii="幼圆" w:eastAsia="幼圆" w:hAnsi="幼圆" w:cs="幼圆" w:hint="eastAsia"/>
            <w:sz w:val="24"/>
            <w:lang w:val="en-US" w:eastAsia="zh-CN"/>
          </w:rPr>
          <w:t>2.</w:t>
        </w:r>
        <w:r>
          <w:rPr>
            <w:rFonts w:ascii="幼圆" w:eastAsia="幼圆" w:hAnsi="幼圆" w:cs="幼圆" w:hint="eastAsia"/>
            <w:sz w:val="24"/>
          </w:rPr>
          <w:t>构建有效的沟通体系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_Toc28803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16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5142" w:history="1">
        <w:r>
          <w:rPr>
            <w:rFonts w:ascii="幼圆" w:eastAsia="幼圆" w:hAnsi="幼圆" w:cs="幼圆" w:hint="eastAsia"/>
            <w:sz w:val="24"/>
            <w:lang w:val="en-US" w:eastAsia="zh-CN"/>
          </w:rPr>
          <w:t>3.</w:t>
        </w:r>
        <w:r>
          <w:rPr>
            <w:rFonts w:ascii="幼圆" w:eastAsia="幼圆" w:hAnsi="幼圆" w:cs="幼圆" w:hint="eastAsia"/>
            <w:sz w:val="24"/>
          </w:rPr>
          <w:t>完善福利保障措施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_Toc5142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17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3989" w:history="1">
        <w:r>
          <w:rPr>
            <w:rFonts w:ascii="幼圆" w:eastAsia="幼圆" w:hAnsi="幼圆" w:cs="幼圆" w:hint="eastAsia"/>
            <w:sz w:val="24"/>
            <w:lang w:val="en-US" w:eastAsia="zh-CN"/>
          </w:rPr>
          <w:t>参考文献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_Toc3989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18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7654" w:history="1">
        <w:r>
          <w:rPr>
            <w:rFonts w:ascii="幼圆" w:eastAsia="幼圆" w:hAnsi="幼圆" w:cs="幼圆" w:hint="eastAsia"/>
            <w:sz w:val="24"/>
            <w:lang w:val="en-US" w:eastAsia="zh-CN"/>
          </w:rPr>
          <w:t>附录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_Toc7654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19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  <w:lang w:val="en-US" w:eastAsia="zh-CN"/>
        </w:rPr>
        <w:fldChar w:fldCharType="end"/>
      </w:r>
    </w:p>
    <w:p>
      <w:pPr>
        <w:rPr>
          <w:rFonts w:ascii="幼圆" w:eastAsia="幼圆" w:hAnsi="幼圆" w:cs="幼圆" w:hint="eastAsia"/>
        </w:rPr>
      </w:pPr>
    </w:p>
    <w:p>
      <w:pPr>
        <w:rPr>
          <w:rFonts w:ascii="幼圆" w:eastAsia="幼圆" w:hAnsi="幼圆" w:cs="幼圆" w:hint="eastAsia"/>
        </w:rPr>
        <w:sectPr>
          <w:pgSz w:w="11906" w:h="16838"/>
          <w:pgMar w:top="1440" w:right="1800" w:bottom="1440" w:left="1800" w:header="851" w:footer="992" w:gutter="0"/>
          <w:cols w:space="708"/>
          <w:docGrid w:type="lines" w:linePitch="312" w:charSpace="0"/>
        </w:sectPr>
      </w:pPr>
    </w:p>
    <w:p>
      <w:pPr>
        <w:pStyle w:val="Heading1"/>
        <w:bidi w:val="0"/>
        <w:rPr>
          <w:rFonts w:ascii="幼圆" w:eastAsia="幼圆" w:hAnsi="幼圆" w:cs="幼圆" w:hint="eastAsia"/>
          <w:lang w:val="en-US" w:eastAsia="zh-CN"/>
        </w:rPr>
      </w:pPr>
      <w:bookmarkStart w:id="1" w:name="_Toc24827"/>
      <w:r>
        <w:rPr>
          <w:rFonts w:ascii="幼圆" w:eastAsia="幼圆" w:hAnsi="幼圆" w:cs="幼圆" w:hint="eastAsia"/>
          <w:lang w:val="en-US" w:eastAsia="zh-CN"/>
        </w:rPr>
        <w:t>引言</w:t>
      </w:r>
      <w:bookmarkEnd w:id="1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2020年</w:t>
      </w:r>
      <w:r>
        <w:rPr>
          <w:rFonts w:ascii="幼圆" w:eastAsia="幼圆" w:hAnsi="幼圆" w:cs="幼圆" w:hint="eastAsia"/>
          <w:sz w:val="24"/>
          <w:lang w:eastAsia="zh-CN"/>
        </w:rPr>
        <w:t>新冠疫情的爆发</w:t>
      </w:r>
      <w:r>
        <w:rPr>
          <w:rFonts w:ascii="幼圆" w:eastAsia="幼圆" w:hAnsi="幼圆" w:cs="幼圆" w:hint="eastAsia"/>
          <w:sz w:val="24"/>
        </w:rPr>
        <w:t>，</w:t>
      </w:r>
      <w:r>
        <w:rPr>
          <w:rFonts w:ascii="幼圆" w:eastAsia="幼圆" w:hAnsi="幼圆" w:cs="幼圆" w:hint="eastAsia"/>
          <w:sz w:val="24"/>
          <w:lang w:eastAsia="zh-CN"/>
        </w:rPr>
        <w:t>对</w:t>
      </w:r>
      <w:r>
        <w:rPr>
          <w:rFonts w:ascii="幼圆" w:eastAsia="幼圆" w:hAnsi="幼圆" w:cs="幼圆" w:hint="eastAsia"/>
          <w:sz w:val="24"/>
        </w:rPr>
        <w:t>我国的经济</w:t>
      </w:r>
      <w:r>
        <w:rPr>
          <w:rFonts w:ascii="幼圆" w:eastAsia="幼圆" w:hAnsi="幼圆" w:cs="幼圆" w:hint="eastAsia"/>
          <w:sz w:val="24"/>
          <w:lang w:eastAsia="zh-CN"/>
        </w:rPr>
        <w:t>发展造成了严重影响</w:t>
      </w:r>
      <w:r>
        <w:rPr>
          <w:rFonts w:ascii="幼圆" w:eastAsia="幼圆" w:hAnsi="幼圆" w:cs="幼圆" w:hint="eastAsia"/>
          <w:sz w:val="24"/>
        </w:rPr>
        <w:t>，</w:t>
      </w:r>
      <w:r>
        <w:rPr>
          <w:rFonts w:ascii="幼圆" w:eastAsia="幼圆" w:hAnsi="幼圆" w:cs="幼圆" w:hint="eastAsia"/>
          <w:sz w:val="24"/>
          <w:lang w:eastAsia="zh-CN"/>
        </w:rPr>
        <w:t>时至今日，在当今疫情常态化的大环境下，</w:t>
      </w:r>
      <w:r>
        <w:rPr>
          <w:rFonts w:ascii="幼圆" w:eastAsia="幼圆" w:hAnsi="幼圆" w:cs="幼圆" w:hint="eastAsia"/>
          <w:sz w:val="24"/>
        </w:rPr>
        <w:t>一些行业也面临着严峻挑战。</w:t>
      </w:r>
      <w:r>
        <w:rPr>
          <w:rFonts w:ascii="幼圆" w:eastAsia="幼圆" w:hAnsi="幼圆" w:cs="幼圆" w:hint="eastAsia"/>
          <w:sz w:val="24"/>
          <w:lang w:eastAsia="zh-CN"/>
        </w:rPr>
        <w:t>麦芽酒饮</w:t>
      </w:r>
      <w:r>
        <w:rPr>
          <w:rFonts w:ascii="幼圆" w:eastAsia="幼圆" w:hAnsi="幼圆" w:cs="幼圆" w:hint="eastAsia"/>
          <w:sz w:val="24"/>
        </w:rPr>
        <w:t>业是我国的国民经济战略性支柱产业，它担负着推动消费和经济结构转型的重任。此次疫情对我国</w:t>
      </w:r>
      <w:r>
        <w:rPr>
          <w:rFonts w:ascii="幼圆" w:eastAsia="幼圆" w:hAnsi="幼圆" w:cs="幼圆" w:hint="eastAsia"/>
          <w:sz w:val="24"/>
          <w:lang w:eastAsia="zh-CN"/>
        </w:rPr>
        <w:t>麦芽酒饮</w:t>
      </w:r>
      <w:r>
        <w:rPr>
          <w:rFonts w:ascii="幼圆" w:eastAsia="幼圆" w:hAnsi="幼圆" w:cs="幼圆" w:hint="eastAsia"/>
          <w:sz w:val="24"/>
        </w:rPr>
        <w:t>业造成</w:t>
      </w:r>
      <w:r>
        <w:rPr>
          <w:rFonts w:ascii="幼圆" w:eastAsia="幼圆" w:hAnsi="幼圆" w:cs="幼圆" w:hint="eastAsia"/>
          <w:sz w:val="24"/>
          <w:lang w:eastAsia="zh-CN"/>
        </w:rPr>
        <w:t>严重的</w:t>
      </w:r>
      <w:r>
        <w:rPr>
          <w:rFonts w:ascii="幼圆" w:eastAsia="幼圆" w:hAnsi="幼圆" w:cs="幼圆" w:hint="eastAsia"/>
          <w:sz w:val="24"/>
        </w:rPr>
        <w:t>负面影响</w:t>
      </w:r>
      <w:r>
        <w:rPr>
          <w:rFonts w:ascii="幼圆" w:eastAsia="幼圆" w:hAnsi="幼圆" w:cs="幼圆" w:hint="eastAsia"/>
          <w:sz w:val="24"/>
          <w:lang w:eastAsia="zh-CN"/>
        </w:rPr>
        <w:t>，麦芽酒饮产业发展面临人才流失严重的危机。</w:t>
      </w:r>
      <w:r>
        <w:rPr>
          <w:rFonts w:ascii="幼圆" w:eastAsia="幼圆" w:hAnsi="幼圆" w:cs="幼圆" w:hint="eastAsia"/>
          <w:sz w:val="24"/>
        </w:rPr>
        <w:t>其中，</w:t>
      </w:r>
      <w:r>
        <w:rPr>
          <w:rFonts w:ascii="幼圆" w:eastAsia="幼圆" w:hAnsi="幼圆" w:cs="幼圆" w:hint="eastAsia"/>
          <w:sz w:val="24"/>
          <w:lang w:eastAsia="zh-CN"/>
        </w:rPr>
        <w:t>麦芽酒饮企业</w:t>
      </w:r>
      <w:r>
        <w:rPr>
          <w:rFonts w:ascii="幼圆" w:eastAsia="幼圆" w:hAnsi="幼圆" w:cs="幼圆" w:hint="eastAsia"/>
          <w:sz w:val="24"/>
        </w:rPr>
        <w:t>的人才流失现象</w:t>
      </w:r>
      <w:r>
        <w:rPr>
          <w:rFonts w:ascii="幼圆" w:eastAsia="幼圆" w:hAnsi="幼圆" w:cs="幼圆" w:hint="eastAsia"/>
          <w:sz w:val="24"/>
          <w:lang w:eastAsia="zh-CN"/>
        </w:rPr>
        <w:t>较</w:t>
      </w:r>
      <w:r>
        <w:rPr>
          <w:rFonts w:ascii="幼圆" w:eastAsia="幼圆" w:hAnsi="幼圆" w:cs="幼圆" w:hint="eastAsia"/>
          <w:sz w:val="24"/>
        </w:rPr>
        <w:t>为突出。由于许多中小型</w:t>
      </w:r>
      <w:r>
        <w:rPr>
          <w:rFonts w:ascii="幼圆" w:eastAsia="幼圆" w:hAnsi="幼圆" w:cs="幼圆" w:hint="eastAsia"/>
          <w:sz w:val="24"/>
          <w:lang w:eastAsia="zh-CN"/>
        </w:rPr>
        <w:t>麦芽酒饮企业</w:t>
      </w:r>
      <w:r>
        <w:rPr>
          <w:rFonts w:ascii="幼圆" w:eastAsia="幼圆" w:hAnsi="幼圆" w:cs="幼圆" w:hint="eastAsia"/>
          <w:sz w:val="24"/>
        </w:rPr>
        <w:t>都采用末位淘汰的晋升方式，对员工的考核维度较为单一，在薪酬设计上，以绩效工资为主，津贴为辅，激励效用有限。在员工培养上，只注重员工的</w:t>
      </w:r>
      <w:r>
        <w:rPr>
          <w:rFonts w:ascii="幼圆" w:eastAsia="幼圆" w:hAnsi="幼圆" w:cs="幼圆" w:hint="eastAsia"/>
          <w:sz w:val="24"/>
          <w:lang w:eastAsia="zh-CN"/>
        </w:rPr>
        <w:t>专业化</w:t>
      </w:r>
      <w:r>
        <w:rPr>
          <w:rFonts w:ascii="幼圆" w:eastAsia="幼圆" w:hAnsi="幼圆" w:cs="幼圆" w:hint="eastAsia"/>
          <w:sz w:val="24"/>
        </w:rPr>
        <w:t>培养不注重员工的长期发展，导致员工在接受企业培养后跳槽的现象频发，也凸显了</w:t>
      </w:r>
      <w:r>
        <w:rPr>
          <w:rFonts w:ascii="幼圆" w:eastAsia="幼圆" w:hAnsi="幼圆" w:cs="幼圆" w:hint="eastAsia"/>
          <w:sz w:val="24"/>
          <w:lang w:eastAsia="zh-CN"/>
        </w:rPr>
        <w:t>麦芽酒饮企业</w:t>
      </w:r>
      <w:r>
        <w:rPr>
          <w:rFonts w:ascii="幼圆" w:eastAsia="幼圆" w:hAnsi="幼圆" w:cs="幼圆" w:hint="eastAsia"/>
          <w:sz w:val="24"/>
        </w:rPr>
        <w:t>在人力资源管理上存在的问题，即员工忠诚度较低，组织内部管理体制不完善。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Style w:val="CommentReference"/>
          <w:rFonts w:ascii="幼圆" w:eastAsia="幼圆" w:hAnsi="幼圆" w:cs="幼圆" w:hint="eastAsia"/>
          <w:sz w:val="24"/>
          <w:szCs w:val="24"/>
        </w:rPr>
        <w:t>由此可见，</w:t>
      </w:r>
      <w:r>
        <w:rPr>
          <w:rFonts w:ascii="幼圆" w:eastAsia="幼圆" w:hAnsi="幼圆" w:cs="幼圆" w:hint="eastAsia"/>
          <w:sz w:val="24"/>
          <w:lang w:eastAsia="zh-CN"/>
        </w:rPr>
        <w:t>麦芽酒饮企业</w:t>
      </w:r>
      <w:r>
        <w:rPr>
          <w:rFonts w:ascii="幼圆" w:eastAsia="幼圆" w:hAnsi="幼圆" w:cs="幼圆" w:hint="eastAsia"/>
          <w:sz w:val="24"/>
        </w:rPr>
        <w:t>的员工忠诚度低已成为制约企业发展的重要因素，研究</w:t>
      </w:r>
      <w:r>
        <w:rPr>
          <w:rFonts w:ascii="幼圆" w:eastAsia="幼圆" w:hAnsi="幼圆" w:cs="幼圆" w:hint="eastAsia"/>
          <w:sz w:val="24"/>
          <w:lang w:eastAsia="zh-CN"/>
        </w:rPr>
        <w:t>麦芽酒饮企业</w:t>
      </w:r>
      <w:r>
        <w:rPr>
          <w:rFonts w:ascii="幼圆" w:eastAsia="幼圆" w:hAnsi="幼圆" w:cs="幼圆" w:hint="eastAsia"/>
          <w:sz w:val="24"/>
        </w:rPr>
        <w:t>员工的忠诚度，对于改进企业人力资源管理，构建和谐劳资关系具有重要意义。因此，研究将以</w:t>
      </w: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为例，通过实证研究的方式探索</w:t>
      </w:r>
      <w:r>
        <w:rPr>
          <w:rFonts w:ascii="幼圆" w:eastAsia="幼圆" w:hAnsi="幼圆" w:cs="幼圆" w:hint="eastAsia"/>
          <w:sz w:val="24"/>
          <w:lang w:eastAsia="zh-CN"/>
        </w:rPr>
        <w:t>麦芽酒饮企业</w:t>
      </w:r>
      <w:r>
        <w:rPr>
          <w:rFonts w:ascii="幼圆" w:eastAsia="幼圆" w:hAnsi="幼圆" w:cs="幼圆" w:hint="eastAsia"/>
          <w:sz w:val="24"/>
        </w:rPr>
        <w:t>员工忠诚度的影响因素，并提出可行有效的建议，以解决当下企业面临的员工忠诚困境。</w:t>
      </w:r>
    </w:p>
    <w:p>
      <w:pPr>
        <w:pStyle w:val="Heading1"/>
        <w:bidi w:val="0"/>
        <w:rPr>
          <w:rFonts w:ascii="幼圆" w:eastAsia="幼圆" w:hAnsi="幼圆" w:cs="幼圆" w:hint="eastAsia"/>
        </w:rPr>
      </w:pPr>
      <w:bookmarkStart w:id="2" w:name="_Toc14073"/>
      <w:bookmarkStart w:id="3" w:name="_Toc9904"/>
      <w:bookmarkStart w:id="4" w:name="_Toc11587"/>
      <w:r>
        <w:rPr>
          <w:rFonts w:ascii="幼圆" w:eastAsia="幼圆" w:hAnsi="幼圆" w:cs="幼圆" w:hint="eastAsia"/>
          <w:lang w:eastAsia="zh-CN"/>
        </w:rPr>
        <w:t>一、兰州黄河啤酒公司</w:t>
      </w:r>
      <w:r>
        <w:rPr>
          <w:rFonts w:ascii="幼圆" w:eastAsia="幼圆" w:hAnsi="幼圆" w:cs="幼圆" w:hint="eastAsia"/>
        </w:rPr>
        <w:t>基本情况概述</w:t>
      </w:r>
      <w:bookmarkEnd w:id="2"/>
      <w:bookmarkEnd w:id="3"/>
      <w:bookmarkEnd w:id="4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兰州黄河啤酒公司是我国麦芽酒饮行业的代表性企业，深耕麦芽酒饮领域多年，兰州黄河啤酒在曾经在2018-2020年三年连续获得我国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“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国家麦芽酒饮企业荣誉金奖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”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、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“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国家优质纳税企业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”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以及入围了华润排行榜排出的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“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全球优质麦芽酒饮企业500强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”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。兰州黄河啤酒的发展是我国麦芽酒饮企业改革创新的缩影，因此能够在很大程度上代表着我国麦芽酒饮企业的发展状况。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本</w:t>
      </w:r>
      <w:r>
        <w:rPr>
          <w:rFonts w:ascii="幼圆" w:eastAsia="幼圆" w:hAnsi="幼圆" w:cs="幼圆" w:hint="eastAsia"/>
          <w:sz w:val="24"/>
          <w:lang w:eastAsia="zh-CN"/>
        </w:rPr>
        <w:t>文</w:t>
      </w:r>
      <w:r>
        <w:rPr>
          <w:rFonts w:ascii="幼圆" w:eastAsia="幼圆" w:hAnsi="幼圆" w:cs="幼圆" w:hint="eastAsia"/>
          <w:sz w:val="24"/>
        </w:rPr>
        <w:t>对于</w:t>
      </w: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的员工忠诚度影响因素以问卷调查的方式展开，问卷发放以线上线下两种方式同时展开，一方面通过</w:t>
      </w: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管理部门对员工进行发放，另一方面通过问卷星的形式在线上发放问卷，以确保回收足够的样本，对员工忠诚度进行更为完整的测量。</w:t>
      </w:r>
    </w:p>
    <w:p>
      <w:pPr>
        <w:pStyle w:val="Heading1"/>
        <w:bidi w:val="0"/>
        <w:rPr>
          <w:rFonts w:ascii="幼圆" w:eastAsia="幼圆" w:hAnsi="幼圆" w:cs="幼圆" w:hint="eastAsia"/>
        </w:rPr>
      </w:pPr>
      <w:bookmarkStart w:id="5" w:name="_Toc30479"/>
      <w:bookmarkStart w:id="6" w:name="_Toc9207"/>
      <w:bookmarkStart w:id="7" w:name="_Toc15149"/>
      <w:r>
        <w:rPr>
          <w:rFonts w:ascii="幼圆" w:eastAsia="幼圆" w:hAnsi="幼圆" w:cs="幼圆" w:hint="eastAsia"/>
          <w:lang w:eastAsia="zh-CN"/>
        </w:rPr>
        <w:t>二、兰州黄河啤酒公司</w:t>
      </w:r>
      <w:r>
        <w:rPr>
          <w:rFonts w:ascii="幼圆" w:eastAsia="幼圆" w:hAnsi="幼圆" w:cs="幼圆" w:hint="eastAsia"/>
        </w:rPr>
        <w:t>员工忠诚度影响因素问卷调查</w:t>
      </w:r>
      <w:bookmarkEnd w:id="5"/>
      <w:bookmarkEnd w:id="6"/>
      <w:bookmarkEnd w:id="7"/>
    </w:p>
    <w:p>
      <w:pPr>
        <w:pStyle w:val="Heading2"/>
        <w:bidi w:val="0"/>
        <w:rPr>
          <w:rFonts w:ascii="幼圆" w:eastAsia="幼圆" w:hAnsi="幼圆" w:cs="幼圆" w:hint="eastAsia"/>
        </w:rPr>
      </w:pPr>
      <w:bookmarkStart w:id="8" w:name="_Toc21411"/>
      <w:bookmarkStart w:id="9" w:name="_Toc32451"/>
      <w:bookmarkStart w:id="10" w:name="_Toc3119"/>
      <w:r>
        <w:rPr>
          <w:rFonts w:ascii="幼圆" w:eastAsia="幼圆" w:hAnsi="幼圆" w:cs="幼圆" w:hint="eastAsia"/>
          <w:lang w:eastAsia="zh-CN"/>
        </w:rPr>
        <w:t>（一）</w:t>
      </w:r>
      <w:r>
        <w:rPr>
          <w:rFonts w:ascii="幼圆" w:eastAsia="幼圆" w:hAnsi="幼圆" w:cs="幼圆" w:hint="eastAsia"/>
        </w:rPr>
        <w:t>问卷内容设计</w:t>
      </w:r>
      <w:bookmarkEnd w:id="8"/>
      <w:bookmarkEnd w:id="9"/>
      <w:bookmarkEnd w:id="10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  <w:color w:val="000000"/>
        </w:rPr>
        <w:sectPr>
          <w:footerReference w:type="default" r:id="rId4"/>
          <w:pgSz w:w="11906" w:h="16838"/>
          <w:pgMar w:top="1440" w:right="1800" w:bottom="1440" w:left="1800" w:header="851" w:footer="992" w:gutter="0"/>
          <w:pgNumType w:fmt="decimal" w:start="1"/>
          <w:cols w:space="708"/>
          <w:docGrid w:type="lines" w:linePitch="312" w:charSpace="0"/>
        </w:sectPr>
      </w:pPr>
      <w:r>
        <w:rPr>
          <w:rFonts w:ascii="幼圆" w:eastAsia="幼圆" w:hAnsi="幼圆" w:cs="幼圆" w:hint="eastAsia"/>
          <w:color w:val="000000"/>
          <w:sz w:val="24"/>
        </w:rPr>
        <w:t>调查问卷的设计是顺利进行实证研究的基础，本研究设计问卷的目的是对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color w:val="000000"/>
          <w:sz w:val="24"/>
        </w:rPr>
        <w:t>的员工忠诚度现状及影响因素有全面深刻的了解，并对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color w:val="000000"/>
          <w:sz w:val="24"/>
        </w:rPr>
        <w:t>及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麦芽酒饮企业</w:t>
      </w:r>
      <w:r>
        <w:rPr>
          <w:rFonts w:ascii="幼圆" w:eastAsia="幼圆" w:hAnsi="幼圆" w:cs="幼圆" w:hint="eastAsia"/>
          <w:color w:val="000000"/>
          <w:sz w:val="24"/>
        </w:rPr>
        <w:t>未来的发展提出可行的建议，针对研究目的，本研究的问卷设计共包含三个方面。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  <w:color w:val="000000"/>
        </w:rPr>
      </w:pPr>
      <w:r>
        <w:rPr>
          <w:rFonts w:ascii="幼圆" w:eastAsia="幼圆" w:hAnsi="幼圆" w:cs="幼圆" w:hint="eastAsia"/>
          <w:color w:val="000000"/>
          <w:sz w:val="24"/>
        </w:rPr>
        <w:t>第一方面是样本的个人特征，共设置6道题目，分别为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color w:val="000000"/>
          <w:sz w:val="24"/>
        </w:rPr>
        <w:t>员工的性别、年龄、婚姻状况、学历水平、工作年限，在获取员工个人特征的同时，拟探究个人特征与员工忠诚度之间的关系。</w:t>
      </w:r>
    </w:p>
    <w:p>
      <w:pPr>
        <w:snapToGrid w:val="0"/>
        <w:spacing w:line="400" w:lineRule="exact"/>
        <w:ind w:firstLine="480" w:firstLineChars="200"/>
        <w:jc w:val="left"/>
        <w:rPr>
          <w:rFonts w:ascii="幼圆" w:eastAsia="幼圆" w:hAnsi="幼圆" w:cs="幼圆" w:hint="eastAsia"/>
          <w:color w:val="000000"/>
        </w:rPr>
      </w:pPr>
      <w:r>
        <w:rPr>
          <w:rFonts w:ascii="幼圆" w:eastAsia="幼圆" w:hAnsi="幼圆" w:cs="幼圆" w:hint="eastAsia"/>
          <w:color w:val="000000"/>
          <w:sz w:val="24"/>
        </w:rPr>
        <w:t>第二方面为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color w:val="000000"/>
          <w:sz w:val="24"/>
        </w:rPr>
        <w:t>员工忠诚度水平的测量，问卷借鉴了Allen、Meyer提出的忠诚度测量模型</w:t>
      </w:r>
      <w:r>
        <w:rPr>
          <w:rFonts w:ascii="幼圆" w:eastAsia="幼圆" w:hAnsi="幼圆" w:cs="幼圆" w:hint="eastAsia"/>
          <w:color w:val="000000"/>
          <w:sz w:val="24"/>
          <w:vertAlign w:val="superscript"/>
          <w:lang w:val="en-US"/>
        </w:rPr>
        <w:t>[9]</w:t>
      </w:r>
      <w:r>
        <w:rPr>
          <w:rFonts w:ascii="幼圆" w:eastAsia="幼圆" w:hAnsi="幼圆" w:cs="幼圆" w:hint="eastAsia"/>
          <w:color w:val="000000"/>
          <w:sz w:val="24"/>
        </w:rPr>
        <w:t>，将员工忠诚度划分为情感忠诚、规范忠诚、持续忠诚三个维度，并在不同维度下设置3个问题，采用李克特五点式量表设计，员工对忠诚度的认知为非常不同意、比较不同意、不确定、比较同意、非常同意五个等级。同时测量忠诚度的总体水平及不同维度的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color w:val="000000"/>
          <w:sz w:val="24"/>
        </w:rPr>
        <w:t>忠诚度水平，并探究影响因素对于不同维度忠诚度的影响差异大小。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  <w:color w:val="000000"/>
        </w:rPr>
      </w:pPr>
      <w:r>
        <w:rPr>
          <w:rFonts w:ascii="幼圆" w:eastAsia="幼圆" w:hAnsi="幼圆" w:cs="幼圆" w:hint="eastAsia"/>
          <w:color w:val="000000"/>
          <w:sz w:val="24"/>
        </w:rPr>
        <w:t>第三方面为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color w:val="000000"/>
          <w:sz w:val="24"/>
        </w:rPr>
        <w:t>员工忠诚度影响因素的测量，在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总结</w:t>
      </w:r>
      <w:r>
        <w:rPr>
          <w:rFonts w:ascii="幼圆" w:eastAsia="幼圆" w:hAnsi="幼圆" w:cs="幼圆" w:hint="eastAsia"/>
          <w:color w:val="000000"/>
          <w:sz w:val="24"/>
        </w:rPr>
        <w:t>员工忠诚度影响因素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研究</w:t>
      </w:r>
      <w:r>
        <w:rPr>
          <w:rFonts w:ascii="幼圆" w:eastAsia="幼圆" w:hAnsi="幼圆" w:cs="幼圆" w:hint="eastAsia"/>
          <w:color w:val="000000"/>
          <w:sz w:val="24"/>
        </w:rPr>
        <w:t>文献后，问卷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借鉴了陈进、吴茂森（2008）员工忠诚度影响因素模型</w:t>
      </w:r>
      <w:r>
        <w:rPr>
          <w:rFonts w:ascii="幼圆" w:eastAsia="幼圆" w:hAnsi="幼圆" w:cs="幼圆" w:hint="eastAsia"/>
          <w:color w:val="000000"/>
          <w:sz w:val="24"/>
          <w:vertAlign w:val="superscript"/>
          <w:lang w:val="en-US" w:eastAsia="zh-CN"/>
        </w:rPr>
        <w:t>[10]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color w:val="000000"/>
          <w:sz w:val="24"/>
        </w:rPr>
        <w:t>将影响因素划分为个人感知、企业管理、社会环境共三个维度，在每个维度下设置四个问题，其中个人感知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主要强调员工在企业内的自主感受和评价，</w:t>
      </w:r>
      <w:r>
        <w:rPr>
          <w:rFonts w:ascii="幼圆" w:eastAsia="幼圆" w:hAnsi="幼圆" w:cs="幼圆" w:hint="eastAsia"/>
          <w:color w:val="000000"/>
          <w:sz w:val="24"/>
        </w:rPr>
        <w:t>分别从员工人际关系、个人价值观、个人目标、个人兴趣四个角度进行测量，企业管理则从薪酬体系、绩效考核、晋升培训、企业领导四个角度进行衡量，社会环境则从行业发展、人才市场、房价、落户四个角度进行衡量，采用李克特五点式量表设计，以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便后续计分</w:t>
      </w:r>
      <w:r>
        <w:rPr>
          <w:rFonts w:ascii="幼圆" w:eastAsia="幼圆" w:hAnsi="幼圆" w:cs="幼圆" w:hint="eastAsia"/>
          <w:color w:val="000000"/>
          <w:sz w:val="24"/>
        </w:rPr>
        <w:t>测量不同因素对于忠诚度的影响水平。</w:t>
      </w:r>
    </w:p>
    <w:p>
      <w:pPr>
        <w:pStyle w:val="Heading3"/>
        <w:bidi w:val="0"/>
        <w:rPr>
          <w:rFonts w:ascii="幼圆" w:eastAsia="幼圆" w:hAnsi="幼圆" w:cs="幼圆" w:hint="eastAsia"/>
        </w:rPr>
      </w:pPr>
      <w:bookmarkStart w:id="11" w:name="_Toc7638"/>
      <w:bookmarkStart w:id="12" w:name="_Toc22027"/>
      <w:bookmarkStart w:id="13" w:name="_Toc28082"/>
      <w:r>
        <w:rPr>
          <w:rFonts w:ascii="幼圆" w:eastAsia="幼圆" w:hAnsi="幼圆" w:cs="幼圆" w:hint="eastAsia"/>
          <w:lang w:val="en-US" w:eastAsia="zh-CN"/>
        </w:rPr>
        <w:t>1.</w:t>
      </w:r>
      <w:r>
        <w:rPr>
          <w:rFonts w:ascii="幼圆" w:eastAsia="幼圆" w:hAnsi="幼圆" w:cs="幼圆" w:hint="eastAsia"/>
        </w:rPr>
        <w:t>问卷发放与回收</w:t>
      </w:r>
      <w:bookmarkEnd w:id="11"/>
      <w:bookmarkEnd w:id="12"/>
      <w:bookmarkEnd w:id="13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在形成调查问卷后，以线上线下两种方式对问卷进行发放，在发放有效期内共回收问卷257份，在剔除回答时间过短、回答不完整、回答无效样本后共回收有效问卷224份。</w:t>
      </w:r>
    </w:p>
    <w:p>
      <w:pPr>
        <w:pStyle w:val="Heading3"/>
        <w:bidi w:val="0"/>
        <w:rPr>
          <w:rFonts w:ascii="幼圆" w:eastAsia="幼圆" w:hAnsi="幼圆" w:cs="幼圆" w:hint="eastAsia"/>
        </w:rPr>
      </w:pPr>
      <w:bookmarkStart w:id="14" w:name="_Toc11968"/>
      <w:bookmarkStart w:id="15" w:name="_Toc17085"/>
      <w:bookmarkStart w:id="16" w:name="_Toc16953"/>
      <w:r>
        <w:rPr>
          <w:rFonts w:ascii="幼圆" w:eastAsia="幼圆" w:hAnsi="幼圆" w:cs="幼圆" w:hint="eastAsia"/>
          <w:lang w:val="en-US" w:eastAsia="zh-CN"/>
        </w:rPr>
        <w:t>2.</w:t>
      </w:r>
      <w:r>
        <w:rPr>
          <w:rFonts w:ascii="幼圆" w:eastAsia="幼圆" w:hAnsi="幼圆" w:cs="幼圆" w:hint="eastAsia"/>
        </w:rPr>
        <w:t>问卷数据描述性统计</w:t>
      </w:r>
      <w:bookmarkEnd w:id="14"/>
      <w:bookmarkEnd w:id="15"/>
      <w:bookmarkEnd w:id="16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bookmarkStart w:id="17" w:name="_Toc9371"/>
      <w:bookmarkStart w:id="18" w:name="_Toc1205"/>
      <w:bookmarkStart w:id="19" w:name="_Toc9148"/>
      <w:bookmarkStart w:id="20" w:name="_Toc4632"/>
      <w:bookmarkStart w:id="21" w:name="_Toc25416"/>
      <w:bookmarkStart w:id="22" w:name="_Toc17822"/>
      <w:r>
        <w:rPr>
          <w:rFonts w:ascii="幼圆" w:eastAsia="幼圆" w:hAnsi="幼圆" w:cs="幼圆" w:hint="eastAsia"/>
          <w:sz w:val="24"/>
        </w:rPr>
        <w:t>对问卷进行描述性统计，是明确样分布，判断</w:t>
      </w: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员工特征的重要标准，在获取数据后，研究采用spss22.0软件对问卷结果进行描述性统计，得到的结果如下。</w:t>
      </w:r>
      <w:bookmarkStart w:id="23" w:name="_Toc35375004"/>
      <w:bookmarkStart w:id="24" w:name="_Toc35374588"/>
      <w:bookmarkStart w:id="25" w:name="_Toc34595974"/>
      <w:bookmarkStart w:id="26" w:name="_Toc34593646"/>
      <w:bookmarkEnd w:id="17"/>
      <w:bookmarkEnd w:id="18"/>
      <w:bookmarkEnd w:id="19"/>
      <w:bookmarkEnd w:id="20"/>
      <w:bookmarkEnd w:id="21"/>
      <w:bookmarkEnd w:id="22"/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 xml:space="preserve">-1 </w:t>
      </w:r>
      <w:bookmarkEnd w:id="23"/>
      <w:bookmarkEnd w:id="24"/>
      <w:bookmarkEnd w:id="25"/>
      <w:bookmarkEnd w:id="26"/>
      <w:r>
        <w:rPr>
          <w:rFonts w:ascii="幼圆" w:eastAsia="幼圆" w:hAnsi="幼圆" w:cs="幼圆" w:hint="eastAsia"/>
          <w:sz w:val="21"/>
          <w:szCs w:val="21"/>
        </w:rPr>
        <w:t>问卷回答数描述性统计表</w:t>
      </w:r>
    </w:p>
    <w:tbl>
      <w:tblPr>
        <w:tblStyle w:val="TableNormal"/>
        <w:tblW w:w="5000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226"/>
        <w:gridCol w:w="696"/>
        <w:gridCol w:w="807"/>
        <w:gridCol w:w="807"/>
        <w:gridCol w:w="807"/>
        <w:gridCol w:w="1267"/>
        <w:gridCol w:w="2421"/>
        <w:gridCol w:w="1275"/>
      </w:tblGrid>
      <w:tr>
        <w:tblPrEx>
          <w:tblW w:w="5000" w:type="pct"/>
          <w:jc w:val="center"/>
          <w:tblBorders>
            <w:top w:val="single" w:sz="4" w:space="0" w:color="auto"/>
            <w:left w:val="none" w:sz="0" w:space="0" w:color="auto"/>
            <w:bottom w:val="single" w:sz="4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5000" w:type="pct"/>
            <w:gridSpan w:val="8"/>
            <w:tcBorders>
              <w:top w:val="single" w:sz="12" w:space="0" w:color="000000"/>
              <w:bottom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统计量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460"/>
          <w:jc w:val="center"/>
        </w:trPr>
        <w:tc>
          <w:tcPr>
            <w:tcW w:w="555" w:type="pct"/>
            <w:gridSpan w:val="2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486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1、性别</w:t>
            </w:r>
          </w:p>
        </w:tc>
        <w:tc>
          <w:tcPr>
            <w:tcW w:w="486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2、年龄</w:t>
            </w:r>
          </w:p>
        </w:tc>
        <w:tc>
          <w:tcPr>
            <w:tcW w:w="486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3、学历</w:t>
            </w:r>
          </w:p>
        </w:tc>
        <w:tc>
          <w:tcPr>
            <w:tcW w:w="763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4、工作年限</w:t>
            </w:r>
          </w:p>
        </w:tc>
        <w:tc>
          <w:tcPr>
            <w:tcW w:w="1457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5、在本公司的工作年限</w:t>
            </w:r>
          </w:p>
        </w:tc>
        <w:tc>
          <w:tcPr>
            <w:tcW w:w="764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6、婚姻状况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649"/>
          <w:jc w:val="center"/>
        </w:trPr>
        <w:tc>
          <w:tcPr>
            <w:tcW w:w="136" w:type="pct"/>
            <w:vMerge w:val="restar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N</w:t>
            </w:r>
          </w:p>
        </w:tc>
        <w:tc>
          <w:tcPr>
            <w:tcW w:w="418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有效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763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1457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764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649"/>
          <w:jc w:val="center"/>
        </w:trPr>
        <w:tc>
          <w:tcPr>
            <w:tcW w:w="136" w:type="pct"/>
            <w:vMerge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418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缺失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763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57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764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25"/>
          <w:jc w:val="center"/>
        </w:trPr>
        <w:tc>
          <w:tcPr>
            <w:tcW w:w="555" w:type="pct"/>
            <w:gridSpan w:val="2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平均值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1.37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763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1457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2.40</w:t>
            </w:r>
          </w:p>
        </w:tc>
        <w:tc>
          <w:tcPr>
            <w:tcW w:w="764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1.18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649"/>
          <w:jc w:val="center"/>
        </w:trPr>
        <w:tc>
          <w:tcPr>
            <w:tcW w:w="555" w:type="pct"/>
            <w:gridSpan w:val="2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标准偏差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0.484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0.785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0.930</w:t>
            </w:r>
          </w:p>
        </w:tc>
        <w:tc>
          <w:tcPr>
            <w:tcW w:w="763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0.988</w:t>
            </w:r>
          </w:p>
        </w:tc>
        <w:tc>
          <w:tcPr>
            <w:tcW w:w="1457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1.108</w:t>
            </w:r>
          </w:p>
        </w:tc>
        <w:tc>
          <w:tcPr>
            <w:tcW w:w="764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0.388</w:t>
            </w:r>
          </w:p>
        </w:tc>
      </w:tr>
    </w:tbl>
    <w:p>
      <w:pPr>
        <w:sectPr>
          <w:footerReference w:type="default" r:id="rId5"/>
          <w:type w:val="nextPage"/>
          <w:pgSz w:w="11906" w:h="16838"/>
          <w:pgMar w:top="1440" w:right="1800" w:bottom="1440" w:left="1800" w:header="851" w:footer="992" w:gutter="0"/>
          <w:pgNumType w:fmt="decimal" w:start="2"/>
          <w:cols w:space="708"/>
          <w:titlePg w:val="0"/>
          <w:docGrid w:type="lines" w:linePitch="312" w:charSpace="0"/>
        </w:sectPr>
      </w:pPr>
    </w:p>
    <w:tbl>
      <w:tblPr>
        <w:tblStyle w:val="TableNormal"/>
        <w:tblW w:w="5000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922"/>
        <w:gridCol w:w="807"/>
        <w:gridCol w:w="807"/>
        <w:gridCol w:w="807"/>
        <w:gridCol w:w="1267"/>
        <w:gridCol w:w="2421"/>
        <w:gridCol w:w="1275"/>
      </w:tblGrid>
      <w:tr>
        <w:tblPrEx>
          <w:tblW w:w="5000" w:type="pct"/>
          <w:jc w:val="center"/>
          <w:tblBorders>
            <w:top w:val="single" w:sz="4" w:space="0" w:color="auto"/>
            <w:left w:val="none" w:sz="0" w:space="0" w:color="auto"/>
            <w:bottom w:val="single" w:sz="4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555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范围</w:t>
            </w:r>
          </w:p>
        </w:tc>
        <w:tc>
          <w:tcPr>
            <w:tcW w:w="486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86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86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763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1457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764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</w:t>
            </w:r>
          </w:p>
        </w:tc>
      </w:tr>
    </w:tbl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-2</w:t>
      </w:r>
      <w:r>
        <w:rPr>
          <w:rFonts w:ascii="幼圆" w:eastAsia="幼圆" w:hAnsi="幼圆" w:cs="幼圆" w:hint="eastAsia"/>
          <w:sz w:val="21"/>
          <w:szCs w:val="21"/>
          <w:lang w:eastAsia="zh-CN"/>
        </w:rPr>
        <w:t>兰州黄河啤酒公司</w:t>
      </w:r>
      <w:r>
        <w:rPr>
          <w:rFonts w:ascii="幼圆" w:eastAsia="幼圆" w:hAnsi="幼圆" w:cs="幼圆" w:hint="eastAsia"/>
          <w:sz w:val="21"/>
          <w:szCs w:val="21"/>
        </w:rPr>
        <w:t>员工回答情况描述性统计表</w:t>
      </w:r>
    </w:p>
    <w:tbl>
      <w:tblPr>
        <w:tblStyle w:val="TableNormal"/>
        <w:tblW w:w="4999" w:type="pct"/>
        <w:jc w:val="center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3652"/>
        <w:gridCol w:w="2364"/>
        <w:gridCol w:w="1007"/>
        <w:gridCol w:w="1281"/>
      </w:tblGrid>
      <w:tr>
        <w:tblPrEx>
          <w:tblW w:w="4999" w:type="pct"/>
          <w:jc w:val="center"/>
          <w:tblBorders>
            <w:top w:val="single" w:sz="12" w:space="0" w:color="000000"/>
            <w:left w:val="none" w:sz="0" w:space="0" w:color="auto"/>
            <w:bottom w:val="single" w:sz="12" w:space="0" w:color="000000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88"/>
          <w:jc w:val="center"/>
        </w:trPr>
        <w:tc>
          <w:tcPr>
            <w:tcW w:w="3622" w:type="pct"/>
            <w:gridSpan w:val="2"/>
            <w:tcBorders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606" w:type="pct"/>
            <w:tcBorders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计数</w:t>
            </w:r>
          </w:p>
        </w:tc>
        <w:tc>
          <w:tcPr>
            <w:tcW w:w="771" w:type="pct"/>
            <w:tcBorders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列N 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73"/>
          <w:jc w:val="center"/>
        </w:trPr>
        <w:tc>
          <w:tcPr>
            <w:tcW w:w="2199" w:type="pct"/>
            <w:vMerge w:val="restar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1、您的性别是？</w:t>
            </w:r>
          </w:p>
        </w:tc>
        <w:tc>
          <w:tcPr>
            <w:tcW w:w="1423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男</w:t>
            </w:r>
          </w:p>
        </w:tc>
        <w:tc>
          <w:tcPr>
            <w:tcW w:w="606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141</w:t>
            </w:r>
          </w:p>
        </w:tc>
        <w:tc>
          <w:tcPr>
            <w:tcW w:w="771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62.9%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83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37.1%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2、您的年龄是？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21~30岁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79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35.3%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31~40岁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85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37.9%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41岁及以上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26.8%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3、您的学历是？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高中/中专及以下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48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21.4%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大专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64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28.6%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本科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90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40.2%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研究生及以上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9.8%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4、您的工作年限是？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1年及以下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18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8.0%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2~5年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77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34.4%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6~10年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54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24.1%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10年以上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75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33.5%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5、您在本公司的工作年限为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1年及以内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26.8%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2~5年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64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28.6%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6~10年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22.3%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10年以上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22.3%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6、您的婚姻状况是？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已婚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183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81.7%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8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未婚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41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18.3%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发放问卷回收数据后，为对样本数据及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员工特征形成基本了解，需对样本进行描述性统计，使用spss22.0软件进行描述统计后，得到结果如表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-1。从表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-1</w:t>
      </w:r>
      <w:r>
        <w:rPr>
          <w:rFonts w:ascii="幼圆" w:eastAsia="幼圆" w:hAnsi="幼圆" w:cs="幼圆" w:hint="eastAsia"/>
          <w:color w:val="000000"/>
          <w:sz w:val="24"/>
        </w:rPr>
        <w:t>的频率图可知</w:t>
      </w:r>
      <w:r>
        <w:rPr>
          <w:rFonts w:ascii="幼圆" w:eastAsia="幼圆" w:hAnsi="幼圆" w:cs="幼圆" w:hint="eastAsia"/>
          <w:sz w:val="24"/>
        </w:rPr>
        <w:t>，在剔除无效样本后，共有224份样本完整回答问卷，且样本回答都在合理范围内，未超出有效范围，进一步验证了样本质量。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  <w:sectPr>
          <w:footerReference w:type="default" r:id="rId6"/>
          <w:type w:val="nextPage"/>
          <w:pgSz w:w="11906" w:h="16838"/>
          <w:pgMar w:top="1440" w:right="1800" w:bottom="1440" w:left="1800" w:header="851" w:footer="992" w:gutter="0"/>
          <w:pgNumType w:fmt="decimal" w:start="3"/>
          <w:cols w:space="708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</w:rPr>
        <w:t>通过表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-2，可了解</w:t>
      </w: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员工样本的基本特征。从性别来看，本次问卷</w:t>
      </w:r>
      <w:r>
        <w:rPr>
          <w:rFonts w:ascii="幼圆" w:eastAsia="幼圆" w:hAnsi="幼圆" w:cs="幼圆" w:hint="eastAsia"/>
          <w:sz w:val="24"/>
          <w:lang w:eastAsia="zh-CN"/>
        </w:rPr>
        <w:t>男</w:t>
      </w:r>
      <w:r>
        <w:rPr>
          <w:rFonts w:ascii="幼圆" w:eastAsia="幼圆" w:hAnsi="幼圆" w:cs="幼圆" w:hint="eastAsia"/>
          <w:sz w:val="24"/>
        </w:rPr>
        <w:t>性响应人数为141人，</w:t>
      </w:r>
      <w:r>
        <w:rPr>
          <w:rFonts w:ascii="幼圆" w:eastAsia="幼圆" w:hAnsi="幼圆" w:cs="幼圆" w:hint="eastAsia"/>
          <w:sz w:val="24"/>
          <w:lang w:eastAsia="zh-CN"/>
        </w:rPr>
        <w:t>女</w:t>
      </w:r>
      <w:r>
        <w:rPr>
          <w:rFonts w:ascii="幼圆" w:eastAsia="幼圆" w:hAnsi="幼圆" w:cs="幼圆" w:hint="eastAsia"/>
          <w:sz w:val="24"/>
        </w:rPr>
        <w:t>性为83人，男性较多，这与</w:t>
      </w:r>
      <w:r>
        <w:rPr>
          <w:rFonts w:ascii="幼圆" w:eastAsia="幼圆" w:hAnsi="幼圆" w:cs="幼圆" w:hint="eastAsia"/>
          <w:sz w:val="24"/>
          <w:lang w:eastAsia="zh-CN"/>
        </w:rPr>
        <w:t>兰州黄河啤酒公司麦芽酒饮业务类型</w:t>
      </w:r>
      <w:r>
        <w:rPr>
          <w:rFonts w:ascii="幼圆" w:eastAsia="幼圆" w:hAnsi="幼圆" w:cs="幼圆" w:hint="eastAsia"/>
          <w:sz w:val="24"/>
        </w:rPr>
        <w:t>有一定关联。从年龄来看，21岁~30岁及31岁~40岁的样本在总样本中占比相近，31岁~40岁群体在样本中数量最多，41岁以上样本占比较少，这一定程度上反映了</w:t>
      </w: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员工的年龄结构。从学历来看，本科生学历在样本中占比最高，达到40%，这与近年来的社会发展密切相关，高中学历与大专学历在样本中占比较为接近，都在20%左右，研究生及以上学历占比最少，仅为9.8%，这也与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员工的职业规划与选择有关。在工作年限方面，问卷分为了两个问题，来测量样本的总工作年限及在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的工作年限，其中总工作年限在10年以上及2~5年的样本占比最多，而在</w:t>
      </w: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工作年限样本占比比较均衡，在</w:t>
      </w: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工作年限小于1年及在2~5年内的样本占比大于工作5~10年及10年以上的样本占比，这一定程度上反映了</w:t>
      </w: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的人力资源流动状况，从已婚状况来看，</w:t>
      </w: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的已婚人士较多，占比达到了81.7%，未婚人士占比仅为18.3%，说明</w:t>
      </w: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员工大多已构建了稳定的婚姻家庭关系。</w:t>
      </w:r>
    </w:p>
    <w:p>
      <w:pPr>
        <w:pStyle w:val="Heading2"/>
        <w:bidi w:val="0"/>
        <w:rPr>
          <w:rFonts w:ascii="幼圆" w:eastAsia="幼圆" w:hAnsi="幼圆" w:cs="幼圆" w:hint="eastAsia"/>
        </w:rPr>
      </w:pPr>
      <w:bookmarkStart w:id="27" w:name="_Toc26710"/>
      <w:bookmarkStart w:id="28" w:name="_Toc20792"/>
      <w:bookmarkStart w:id="29" w:name="_Toc17186"/>
      <w:r>
        <w:rPr>
          <w:rFonts w:ascii="幼圆" w:eastAsia="幼圆" w:hAnsi="幼圆" w:cs="幼圆" w:hint="eastAsia"/>
          <w:lang w:eastAsia="zh-CN"/>
        </w:rPr>
        <w:t>（二）兰州黄河啤酒公司</w:t>
      </w:r>
      <w:r>
        <w:rPr>
          <w:rFonts w:ascii="幼圆" w:eastAsia="幼圆" w:hAnsi="幼圆" w:cs="幼圆" w:hint="eastAsia"/>
        </w:rPr>
        <w:t>忠诚度调查结果与数据分析</w:t>
      </w:r>
      <w:bookmarkEnd w:id="27"/>
      <w:bookmarkEnd w:id="28"/>
      <w:bookmarkEnd w:id="29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通过发放问卷获取足够样本数后，本研究将采用spss22.0软件对问卷进行信效度检验，并对员工忠诚度及其影响因素进行差异统计分析。</w:t>
      </w:r>
    </w:p>
    <w:p>
      <w:pPr>
        <w:pStyle w:val="Heading3"/>
        <w:bidi w:val="0"/>
        <w:rPr>
          <w:rFonts w:ascii="幼圆" w:eastAsia="幼圆" w:hAnsi="幼圆" w:cs="幼圆" w:hint="eastAsia"/>
        </w:rPr>
      </w:pPr>
      <w:bookmarkStart w:id="30" w:name="_Toc7727"/>
      <w:bookmarkStart w:id="31" w:name="_Toc18772"/>
      <w:bookmarkStart w:id="32" w:name="_Toc19290"/>
      <w:r>
        <w:rPr>
          <w:rFonts w:ascii="幼圆" w:eastAsia="幼圆" w:hAnsi="幼圆" w:cs="幼圆" w:hint="eastAsia"/>
          <w:lang w:val="en-US" w:eastAsia="zh-CN"/>
        </w:rPr>
        <w:t>1.</w:t>
      </w:r>
      <w:r>
        <w:rPr>
          <w:rFonts w:ascii="幼圆" w:eastAsia="幼圆" w:hAnsi="幼圆" w:cs="幼圆" w:hint="eastAsia"/>
        </w:rPr>
        <w:t>信效度检验</w:t>
      </w:r>
      <w:bookmarkEnd w:id="30"/>
      <w:bookmarkEnd w:id="31"/>
      <w:bookmarkEnd w:id="32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通过对</w:t>
      </w: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员工忠诚度影响因素问卷进行信效度检验，以确定问卷的可靠性和有效性，对于后续数据分析的展开具有重要意义。</w:t>
      </w:r>
    </w:p>
    <w:p>
      <w:pPr>
        <w:snapToGrid w:val="0"/>
        <w:spacing w:line="400" w:lineRule="exact"/>
        <w:ind w:firstLine="480" w:firstLineChars="200"/>
        <w:jc w:val="left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（1）信度检验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-3问卷整体信度检验图</w:t>
      </w:r>
    </w:p>
    <w:tbl>
      <w:tblPr>
        <w:tblStyle w:val="TableNormal"/>
        <w:tblW w:w="5000" w:type="pct"/>
        <w:jc w:val="center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2975"/>
        <w:gridCol w:w="3136"/>
        <w:gridCol w:w="2195"/>
      </w:tblGrid>
      <w:tr>
        <w:tblPrEx>
          <w:tblW w:w="5000" w:type="pct"/>
          <w:jc w:val="center"/>
          <w:tblBorders>
            <w:top w:val="single" w:sz="12" w:space="0" w:color="000000"/>
            <w:left w:val="none" w:sz="0" w:space="0" w:color="auto"/>
            <w:bottom w:val="single" w:sz="12" w:space="0" w:color="000000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5000" w:type="pct"/>
            <w:gridSpan w:val="3"/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b w:val="0"/>
                <w:bCs/>
                <w:sz w:val="21"/>
                <w:szCs w:val="21"/>
              </w:rPr>
              <w:t>可靠性统计</w:t>
            </w:r>
          </w:p>
        </w:tc>
      </w:tr>
      <w:tr>
        <w:tblPrEx>
          <w:tblW w:w="5000" w:type="pct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1" w:type="pct"/>
            <w:tcBorders>
              <w:bottom w:val="single" w:sz="6" w:space="0" w:color="000000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克隆巴赫系数</w:t>
            </w:r>
          </w:p>
        </w:tc>
        <w:tc>
          <w:tcPr>
            <w:tcW w:w="1888" w:type="pct"/>
            <w:tcBorders>
              <w:bottom w:val="single" w:sz="6" w:space="0" w:color="000000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基于标准化项目的克隆巴赫系数</w:t>
            </w:r>
          </w:p>
        </w:tc>
        <w:tc>
          <w:tcPr>
            <w:tcW w:w="1319" w:type="pct"/>
            <w:tcBorders>
              <w:bottom w:val="single" w:sz="6" w:space="0" w:color="000000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项数</w:t>
            </w:r>
          </w:p>
        </w:tc>
      </w:tr>
      <w:tr>
        <w:tblPrEx>
          <w:tblW w:w="5000" w:type="pct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1" w:type="pct"/>
            <w:tcBorders>
              <w:top w:val="single" w:sz="6" w:space="0" w:color="000000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0.870</w:t>
            </w:r>
          </w:p>
        </w:tc>
        <w:tc>
          <w:tcPr>
            <w:tcW w:w="1888" w:type="pct"/>
            <w:tcBorders>
              <w:top w:val="single" w:sz="6" w:space="0" w:color="000000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0.854</w:t>
            </w:r>
          </w:p>
        </w:tc>
        <w:tc>
          <w:tcPr>
            <w:tcW w:w="1319" w:type="pct"/>
            <w:tcBorders>
              <w:top w:val="single" w:sz="6" w:space="0" w:color="000000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27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通过对问卷整体信度检验可得表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-3的检验结果，结果显示问卷的克隆巴赫系数为0.870，大于临界值0.8，说明问卷整体可靠程度较高。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-4影响因素信度检验图</w:t>
      </w:r>
    </w:p>
    <w:tbl>
      <w:tblPr>
        <w:tblStyle w:val="TableNormal"/>
        <w:tblW w:w="5000" w:type="pct"/>
        <w:jc w:val="center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2975"/>
        <w:gridCol w:w="3136"/>
        <w:gridCol w:w="2195"/>
      </w:tblGrid>
      <w:tr>
        <w:tblPrEx>
          <w:tblW w:w="5000" w:type="pct"/>
          <w:jc w:val="center"/>
          <w:tblBorders>
            <w:top w:val="single" w:sz="12" w:space="0" w:color="000000"/>
            <w:left w:val="none" w:sz="0" w:space="0" w:color="auto"/>
            <w:bottom w:val="single" w:sz="12" w:space="0" w:color="000000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5000" w:type="pct"/>
            <w:gridSpan w:val="3"/>
            <w:tcBorders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b w:val="0"/>
                <w:bCs/>
                <w:sz w:val="21"/>
                <w:szCs w:val="21"/>
              </w:rPr>
              <w:t>可靠性统计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1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克隆巴赫系数</w:t>
            </w:r>
          </w:p>
        </w:tc>
        <w:tc>
          <w:tcPr>
            <w:tcW w:w="1888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基于标准化项目的克隆巴赫系数</w:t>
            </w:r>
          </w:p>
        </w:tc>
        <w:tc>
          <w:tcPr>
            <w:tcW w:w="1319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项数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0.963</w:t>
            </w:r>
          </w:p>
        </w:tc>
        <w:tc>
          <w:tcPr>
            <w:tcW w:w="1888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0.964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12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为进一步验证问卷可信度，笔者对忠诚度测量量表及影响因素量表分别进行了信度检测，表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-4为影响因素量表信度检验结果图，其中克隆巴赫系数为0.963，大于临界值0.8，证明影响因素量表可信度较高，且量表设置较为合理。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-5忠诚度信度检验图</w:t>
      </w:r>
    </w:p>
    <w:tbl>
      <w:tblPr>
        <w:tblStyle w:val="TableNormal"/>
        <w:tblW w:w="5000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2974"/>
        <w:gridCol w:w="3136"/>
        <w:gridCol w:w="2196"/>
      </w:tblGrid>
      <w:tr>
        <w:tblPrEx>
          <w:tblW w:w="5000" w:type="pct"/>
          <w:jc w:val="center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5000" w:type="pct"/>
            <w:gridSpan w:val="3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b w:val="0"/>
                <w:bCs/>
                <w:sz w:val="21"/>
                <w:szCs w:val="21"/>
              </w:rPr>
              <w:t>可靠性统计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0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克隆巴赫系数</w:t>
            </w:r>
          </w:p>
        </w:tc>
        <w:tc>
          <w:tcPr>
            <w:tcW w:w="1888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基于标准化项目的克隆巴赫系数</w:t>
            </w:r>
          </w:p>
        </w:tc>
        <w:tc>
          <w:tcPr>
            <w:tcW w:w="1320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项数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0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.827</w:t>
            </w:r>
          </w:p>
        </w:tc>
        <w:tc>
          <w:tcPr>
            <w:tcW w:w="1888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.827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9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通过对员工忠诚度测量量表进行信度检验，得到结果如表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-5,，通过表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-5结果可知，忠诚度信度检验克隆巴赫系数为0.827，大于可信度临界值0.8，证明员工忠诚度量表信度比较理想，设计合理。</w:t>
      </w:r>
    </w:p>
    <w:p>
      <w:pPr>
        <w:spacing w:line="400" w:lineRule="atLeas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（2）效度检验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  <w:sectPr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fmt="decimal" w:start="4"/>
          <w:cols w:space="708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</w:rPr>
        <w:t>为验证问卷有效性，研究采用spss22.0软件对忠诚度量表</w:t>
      </w:r>
      <w:r>
        <w:rPr>
          <w:rFonts w:ascii="幼圆" w:eastAsia="幼圆" w:hAnsi="幼圆" w:cs="幼圆" w:hint="eastAsia"/>
          <w:sz w:val="24"/>
          <w:lang w:val="en-US" w:eastAsia="zh-CN"/>
        </w:rPr>
        <w:t>和影响因素量表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分别进行了检验，</w:t>
      </w: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员工忠诚度影响因素量表进行KMO检验和bartlett球形度检验结果如下图：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-6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影响因素量表</w:t>
      </w:r>
      <w:r>
        <w:rPr>
          <w:rFonts w:ascii="幼圆" w:eastAsia="幼圆" w:hAnsi="幼圆" w:cs="幼圆" w:hint="eastAsia"/>
          <w:sz w:val="21"/>
          <w:szCs w:val="21"/>
        </w:rPr>
        <w:t>效度检验图</w:t>
      </w:r>
    </w:p>
    <w:tbl>
      <w:tblPr>
        <w:tblStyle w:val="TableNormal"/>
        <w:tblW w:w="4999" w:type="pct"/>
        <w:jc w:val="center"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3642"/>
        <w:gridCol w:w="2846"/>
        <w:gridCol w:w="1816"/>
      </w:tblGrid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3906" w:type="pct"/>
            <w:gridSpan w:val="2"/>
            <w:tcBorders>
              <w:top w:val="single" w:sz="12" w:space="0" w:color="000000"/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KMO取样适切性量数</w:t>
            </w:r>
          </w:p>
        </w:tc>
        <w:tc>
          <w:tcPr>
            <w:tcW w:w="1093" w:type="pct"/>
            <w:tcBorders>
              <w:top w:val="single" w:sz="12" w:space="0" w:color="000000"/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0.</w:t>
            </w:r>
            <w:r>
              <w:rPr>
                <w:rFonts w:ascii="幼圆" w:eastAsia="幼圆" w:hAnsi="幼圆" w:cs="幼圆" w:hint="eastAsia"/>
                <w:sz w:val="21"/>
                <w:szCs w:val="21"/>
                <w:lang w:val="en-US" w:eastAsia="zh-CN"/>
              </w:rPr>
              <w:t>949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193" w:type="pct"/>
            <w:vMerge w:val="restart"/>
            <w:tcBorders>
              <w:top w:val="single" w:sz="6" w:space="0" w:color="000000"/>
              <w:bottom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Bartlett的球形度检验</w:t>
            </w:r>
          </w:p>
        </w:tc>
        <w:tc>
          <w:tcPr>
            <w:tcW w:w="1712" w:type="pct"/>
            <w:tcBorders>
              <w:top w:val="single" w:sz="6" w:space="0" w:color="000000"/>
              <w:bottom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上次读取的卡方</w:t>
            </w:r>
          </w:p>
        </w:tc>
        <w:tc>
          <w:tcPr>
            <w:tcW w:w="1093" w:type="pct"/>
            <w:tcBorders>
              <w:top w:val="single" w:sz="6" w:space="0" w:color="000000"/>
              <w:bottom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  <w:lang w:val="en-US" w:eastAsia="zh-CN"/>
              </w:rPr>
              <w:t>2675</w:t>
            </w:r>
            <w:r>
              <w:rPr>
                <w:rFonts w:ascii="幼圆" w:eastAsia="幼圆" w:hAnsi="幼圆" w:cs="幼圆" w:hint="eastAsia"/>
                <w:sz w:val="21"/>
                <w:szCs w:val="21"/>
              </w:rPr>
              <w:t>.</w:t>
            </w:r>
            <w:r>
              <w:rPr>
                <w:rFonts w:ascii="幼圆" w:eastAsia="幼圆" w:hAnsi="幼圆" w:cs="幼圆" w:hint="eastAsia"/>
                <w:sz w:val="21"/>
                <w:szCs w:val="21"/>
                <w:lang w:val="en-US" w:eastAsia="zh-CN"/>
              </w:rPr>
              <w:t>065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193" w:type="pct"/>
            <w:vMerge/>
            <w:tcBorders>
              <w:top w:val="nil"/>
              <w:bottom w:val="nil"/>
              <w:tl2br w:val="nil"/>
              <w:tr2bl w:val="nil"/>
            </w:tcBorders>
            <w:shd w:val="clear" w:color="auto" w:fill="FFFFFF"/>
            <w:noWrap/>
          </w:tcPr>
          <w:p>
            <w:pPr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1712" w:type="pct"/>
            <w:tcBorders>
              <w:top w:val="nil"/>
              <w:bottom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自由度</w:t>
            </w:r>
          </w:p>
        </w:tc>
        <w:tc>
          <w:tcPr>
            <w:tcW w:w="1093" w:type="pct"/>
            <w:tcBorders>
              <w:top w:val="nil"/>
              <w:bottom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  <w:lang w:val="en-US" w:eastAsia="zh-CN"/>
              </w:rPr>
              <w:t>66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193" w:type="pct"/>
            <w:vMerge/>
            <w:tcBorders>
              <w:top w:val="nil"/>
              <w:bottom w:val="single" w:sz="12" w:space="0" w:color="000000"/>
              <w:tl2br w:val="nil"/>
              <w:tr2bl w:val="nil"/>
            </w:tcBorders>
            <w:shd w:val="clear" w:color="auto" w:fill="FFFFFF"/>
            <w:noWrap/>
          </w:tcPr>
          <w:p>
            <w:pPr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1712" w:type="pct"/>
            <w:tcBorders>
              <w:top w:val="nil"/>
              <w:bottom w:val="single" w:sz="12" w:space="0" w:color="000000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显著性</w:t>
            </w:r>
          </w:p>
        </w:tc>
        <w:tc>
          <w:tcPr>
            <w:tcW w:w="1093" w:type="pct"/>
            <w:tcBorders>
              <w:top w:val="nil"/>
              <w:bottom w:val="single" w:sz="12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.000</w:t>
            </w: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  <w:vertAlign w:val="superscript"/>
              </w:rPr>
              <w:t>**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  <w:color w:val="000000"/>
        </w:rPr>
      </w:pPr>
      <w:r>
        <w:rPr>
          <w:rFonts w:ascii="幼圆" w:eastAsia="幼圆" w:hAnsi="幼圆" w:cs="幼圆" w:hint="eastAsia"/>
          <w:color w:val="000000"/>
          <w:szCs w:val="21"/>
        </w:rPr>
        <w:t>注：**表示估计结果在0.05的水平上显著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由表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-6可得，效度检验KMO值为0.880，大于临界值0.5，bartlett球形度检验显著性为0.000，小于临界值0.05，说明</w:t>
      </w:r>
      <w:r>
        <w:rPr>
          <w:rFonts w:ascii="幼圆" w:eastAsia="幼圆" w:hAnsi="幼圆" w:cs="幼圆" w:hint="eastAsia"/>
          <w:sz w:val="24"/>
          <w:lang w:val="en-US" w:eastAsia="zh-CN"/>
        </w:rPr>
        <w:t>影响因素</w:t>
      </w:r>
      <w:r>
        <w:rPr>
          <w:rFonts w:ascii="幼圆" w:eastAsia="幼圆" w:hAnsi="幼圆" w:cs="幼圆" w:hint="eastAsia"/>
          <w:sz w:val="24"/>
        </w:rPr>
        <w:t>量表整体有效。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对</w:t>
      </w:r>
      <w:r>
        <w:rPr>
          <w:rFonts w:ascii="幼圆" w:eastAsia="幼圆" w:hAnsi="幼圆" w:cs="幼圆" w:hint="eastAsia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员工忠诚度测量量表进行KMO检验和bartlett球形度检验结果如下图：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-7忠诚度效度检验图</w:t>
      </w:r>
    </w:p>
    <w:tbl>
      <w:tblPr>
        <w:tblStyle w:val="TableNormal"/>
        <w:tblW w:w="4999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3615"/>
        <w:gridCol w:w="2822"/>
        <w:gridCol w:w="1867"/>
      </w:tblGrid>
      <w:tr>
        <w:tblPrEx>
          <w:tblW w:w="4999" w:type="pct"/>
          <w:jc w:val="center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3875" w:type="pct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KMO 取样适切性量数</w:t>
            </w:r>
          </w:p>
        </w:tc>
        <w:tc>
          <w:tcPr>
            <w:tcW w:w="1124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.742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32"/>
          <w:jc w:val="center"/>
        </w:trPr>
        <w:tc>
          <w:tcPr>
            <w:tcW w:w="2176" w:type="pct"/>
            <w:vMerge w:val="restar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Bartlett 的球形度检验</w:t>
            </w:r>
          </w:p>
        </w:tc>
        <w:tc>
          <w:tcPr>
            <w:tcW w:w="1698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上次读取的卡方</w:t>
            </w:r>
          </w:p>
        </w:tc>
        <w:tc>
          <w:tcPr>
            <w:tcW w:w="1124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1160.981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176" w:type="pct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rPr>
                <w:rFonts w:ascii="幼圆" w:eastAsia="幼圆" w:hAnsi="幼圆" w:cs="幼圆" w:hint="eastAsia"/>
                <w:sz w:val="21"/>
                <w:szCs w:val="18"/>
              </w:rPr>
            </w:pP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自由度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36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176" w:type="pct"/>
            <w:vMerge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rPr>
                <w:rFonts w:ascii="幼圆" w:eastAsia="幼圆" w:hAnsi="幼圆" w:cs="幼圆" w:hint="eastAsia"/>
                <w:sz w:val="21"/>
                <w:szCs w:val="18"/>
              </w:rPr>
            </w:pPr>
          </w:p>
        </w:tc>
        <w:tc>
          <w:tcPr>
            <w:tcW w:w="1698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显著性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.000</w:t>
            </w:r>
            <w:r>
              <w:rPr>
                <w:rFonts w:ascii="幼圆" w:eastAsia="幼圆" w:hAnsi="幼圆" w:cs="幼圆" w:hint="eastAsia"/>
                <w:color w:val="000000"/>
                <w:sz w:val="21"/>
                <w:szCs w:val="18"/>
                <w:vertAlign w:val="superscript"/>
              </w:rPr>
              <w:t>***</w:t>
            </w:r>
          </w:p>
        </w:tc>
      </w:tr>
    </w:tbl>
    <w:p>
      <w:pPr>
        <w:spacing w:line="400" w:lineRule="exact"/>
        <w:ind w:firstLine="480" w:firstLineChars="200"/>
        <w:jc w:val="both"/>
        <w:rPr>
          <w:rFonts w:ascii="幼圆" w:eastAsia="幼圆" w:hAnsi="幼圆" w:cs="幼圆" w:hint="eastAsia"/>
          <w:color w:val="000000"/>
        </w:rPr>
      </w:pPr>
      <w:r>
        <w:rPr>
          <w:rFonts w:ascii="幼圆" w:eastAsia="幼圆" w:hAnsi="幼圆" w:cs="幼圆" w:hint="eastAsia"/>
          <w:color w:val="000000"/>
          <w:szCs w:val="21"/>
        </w:rPr>
        <w:t>注：***表示估计结果在0.01的水平上显著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由表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-7可得，效度KMO值检验为0.742，大于临界值0.5，bartlett球形度检验显著性为0.000，小于临界值0.01，适合进行因子分析，因此对于员工忠诚度测量采用EFA探索性因子分析方法进行检验。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-8因子分析总方差解释图</w:t>
      </w:r>
    </w:p>
    <w:tbl>
      <w:tblPr>
        <w:tblStyle w:val="TableNormal"/>
        <w:tblW w:w="4998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538"/>
        <w:gridCol w:w="642"/>
        <w:gridCol w:w="1165"/>
        <w:gridCol w:w="852"/>
        <w:gridCol w:w="642"/>
        <w:gridCol w:w="1165"/>
        <w:gridCol w:w="747"/>
        <w:gridCol w:w="642"/>
        <w:gridCol w:w="1165"/>
        <w:gridCol w:w="748"/>
      </w:tblGrid>
      <w:tr>
        <w:tblPrEx>
          <w:tblW w:w="4998" w:type="pct"/>
          <w:jc w:val="center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34"/>
          <w:jc w:val="center"/>
        </w:trPr>
        <w:tc>
          <w:tcPr>
            <w:tcW w:w="348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组件</w:t>
            </w:r>
          </w:p>
        </w:tc>
        <w:tc>
          <w:tcPr>
            <w:tcW w:w="1550" w:type="pct"/>
            <w:gridSpan w:val="3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初始特征值</w:t>
            </w:r>
          </w:p>
        </w:tc>
        <w:tc>
          <w:tcPr>
            <w:tcW w:w="1550" w:type="pct"/>
            <w:gridSpan w:val="3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提取载荷平方和</w:t>
            </w:r>
          </w:p>
        </w:tc>
        <w:tc>
          <w:tcPr>
            <w:tcW w:w="1551" w:type="pct"/>
            <w:gridSpan w:val="3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旋转载荷平方和</w:t>
            </w: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19"/>
          <w:jc w:val="center"/>
        </w:trPr>
        <w:tc>
          <w:tcPr>
            <w:tcW w:w="348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7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总计</w:t>
            </w:r>
          </w:p>
        </w:tc>
        <w:tc>
          <w:tcPr>
            <w:tcW w:w="574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方差百分比</w:t>
            </w:r>
          </w:p>
        </w:tc>
        <w:tc>
          <w:tcPr>
            <w:tcW w:w="488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累积 %</w:t>
            </w:r>
          </w:p>
        </w:tc>
        <w:tc>
          <w:tcPr>
            <w:tcW w:w="487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总计</w:t>
            </w:r>
          </w:p>
        </w:tc>
        <w:tc>
          <w:tcPr>
            <w:tcW w:w="574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方差百分比</w:t>
            </w:r>
          </w:p>
        </w:tc>
        <w:tc>
          <w:tcPr>
            <w:tcW w:w="488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累积 %</w:t>
            </w:r>
          </w:p>
        </w:tc>
        <w:tc>
          <w:tcPr>
            <w:tcW w:w="487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总计</w:t>
            </w:r>
          </w:p>
        </w:tc>
        <w:tc>
          <w:tcPr>
            <w:tcW w:w="574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方差百分比</w:t>
            </w:r>
          </w:p>
        </w:tc>
        <w:tc>
          <w:tcPr>
            <w:tcW w:w="489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累积 %</w:t>
            </w: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3.909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43.438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43.438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3.909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43.438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43.438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2.610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29.003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29.003</w:t>
            </w: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1.869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20.767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64.205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1.869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20.767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64.205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2.280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25.332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54.334</w:t>
            </w: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1.176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13.062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77.267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1.176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13.062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77.267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2.064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22.933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77.267</w:t>
            </w: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6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.648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7.203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84.469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.480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5.329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89.798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.374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4.155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93.954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.246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2.733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96.687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.192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2.135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98.822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</w:tbl>
    <w:p>
      <w:pPr>
        <w:sectPr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fmt="decimal" w:start="5"/>
          <w:cols w:space="708"/>
          <w:titlePg w:val="0"/>
          <w:docGrid w:type="lines" w:linePitch="312" w:charSpace="0"/>
        </w:sectPr>
      </w:pPr>
    </w:p>
    <w:tbl>
      <w:tblPr>
        <w:tblStyle w:val="TableNormal"/>
        <w:tblW w:w="4998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538"/>
        <w:gridCol w:w="642"/>
        <w:gridCol w:w="1165"/>
        <w:gridCol w:w="852"/>
        <w:gridCol w:w="642"/>
        <w:gridCol w:w="1165"/>
        <w:gridCol w:w="747"/>
        <w:gridCol w:w="642"/>
        <w:gridCol w:w="1165"/>
        <w:gridCol w:w="748"/>
      </w:tblGrid>
      <w:tr>
        <w:tblPrEx>
          <w:tblW w:w="4998" w:type="pct"/>
          <w:jc w:val="center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.106</w:t>
            </w:r>
          </w:p>
        </w:tc>
        <w:tc>
          <w:tcPr>
            <w:tcW w:w="574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1.178</w:t>
            </w:r>
          </w:p>
        </w:tc>
        <w:tc>
          <w:tcPr>
            <w:tcW w:w="488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100.000</w:t>
            </w:r>
          </w:p>
        </w:tc>
        <w:tc>
          <w:tcPr>
            <w:tcW w:w="487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34"/>
          <w:jc w:val="center"/>
        </w:trPr>
        <w:tc>
          <w:tcPr>
            <w:tcW w:w="5000" w:type="pct"/>
            <w:gridSpan w:val="10"/>
            <w:tcBorders>
              <w:top w:val="single" w:sz="12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提取方法：主成份分析。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利用spss22.0软件进行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兰州黄河啤酒公司</w:t>
      </w:r>
      <w:r>
        <w:rPr>
          <w:rFonts w:ascii="幼圆" w:eastAsia="幼圆" w:hAnsi="幼圆" w:cs="幼圆" w:hint="eastAsia"/>
          <w:sz w:val="24"/>
        </w:rPr>
        <w:t>EFA探索性因子分析，得到总方差解释表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-8。根据表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-8结果显示，按照因子提取中的主成分法默认的特征值大于1的提取原则，共获取3个公因子，且其累计方差贡献率达到77.215%&gt;60%，说明3个公因子保留了原始数据的大部分信息。</w:t>
      </w:r>
    </w:p>
    <w:p>
      <w:pPr>
        <w:spacing w:line="300" w:lineRule="auto"/>
        <w:ind w:firstLine="480" w:firstLineChars="200"/>
        <w:jc w:val="center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336.31pt;height:269.14pt;mso-position-horizontal-relative:page;mso-position-vertical-relative:page;mso-wrap-style:square" o:preferrelative="t" filled="f" stroked="f">
            <v:fill o:detectmouseclick="t"/>
            <v:stroke linestyle="single"/>
            <v:imagedata r:id="rId9" o:title=""/>
            <v:path o:extrusionok="f"/>
            <o:lock v:ext="edit" aspectratio="t"/>
          </v:shape>
        </w:pic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图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-1因子分析碎石图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从碎石图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-1可见，前三个特征值的曲线较为陡峭，从第四个特征值开始曲线逐渐变缓，再次证明提取三个公因子是有效的。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对提取的3个主因子建立因子载荷矩阵，因子载荷矩阵体现了原始变量与各因子之间的相关程度。为了更为准确地解释命名各个主因子，采用方差最大法对因子载荷矩阵实施正交旋转。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-9因子分析旋转矩阵表</w:t>
      </w:r>
    </w:p>
    <w:tbl>
      <w:tblPr>
        <w:tblStyle w:val="TableNormal"/>
        <w:tblW w:w="4999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5895"/>
        <w:gridCol w:w="850"/>
        <w:gridCol w:w="850"/>
        <w:gridCol w:w="709"/>
      </w:tblGrid>
      <w:tr>
        <w:tblPrEx>
          <w:tblW w:w="4999" w:type="pct"/>
          <w:jc w:val="center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31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2686" w:type="pct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Style w:val="CommentReference"/>
                <w:rFonts w:ascii="幼圆" w:eastAsia="幼圆" w:hAnsi="幼圆" w:cs="幼圆" w:hint="eastAsia"/>
                <w:sz w:val="21"/>
                <w:szCs w:val="21"/>
              </w:rPr>
              <w:t>因子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313" w:type="pct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ind w:firstLine="840" w:firstLineChars="40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题项</w:t>
            </w:r>
          </w:p>
        </w:tc>
        <w:tc>
          <w:tcPr>
            <w:tcW w:w="924" w:type="pct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24" w:type="pct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37" w:type="pct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3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1、我常为自己是组织的一员感到自豪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.934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3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2、我常对我的朋友说我所在的公司是很棒的组织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.877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3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3、我很高兴自己选择了</w:t>
            </w:r>
            <w:r>
              <w:rPr>
                <w:rFonts w:ascii="幼圆" w:eastAsia="幼圆" w:hAnsi="幼圆" w:cs="幼圆" w:hint="eastAsia"/>
                <w:sz w:val="21"/>
                <w:szCs w:val="21"/>
                <w:lang w:eastAsia="zh-CN"/>
              </w:rPr>
              <w:t>黄河酒业</w:t>
            </w:r>
            <w:r>
              <w:rPr>
                <w:rFonts w:ascii="幼圆" w:eastAsia="幼圆" w:hAnsi="幼圆" w:cs="幼圆" w:hint="eastAsia"/>
                <w:sz w:val="21"/>
                <w:szCs w:val="21"/>
              </w:rPr>
              <w:t>公司而不是其他的公司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.856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31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4、我很关心</w:t>
            </w:r>
            <w:r>
              <w:rPr>
                <w:rFonts w:ascii="幼圆" w:eastAsia="幼圆" w:hAnsi="幼圆" w:cs="幼圆" w:hint="eastAsia"/>
                <w:sz w:val="21"/>
                <w:szCs w:val="21"/>
                <w:lang w:eastAsia="zh-CN"/>
              </w:rPr>
              <w:t>兰州黄河啤酒公司</w:t>
            </w:r>
            <w:r>
              <w:rPr>
                <w:rFonts w:ascii="幼圆" w:eastAsia="幼圆" w:hAnsi="幼圆" w:cs="幼圆" w:hint="eastAsia"/>
                <w:sz w:val="21"/>
                <w:szCs w:val="21"/>
              </w:rPr>
              <w:t>公司的未来发展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.873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</w:tbl>
    <w:p>
      <w:r>
        <w:br/>
      </w:r>
      <w: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https://d.book118.com/538073073072006037</w:t>
        </w:r>
      </w:hyperlink>
    </w:p>
    <w:p/>
    <w:sectPr>
      <w:footerReference w:type="default" r:id="rId11"/>
      <w:type w:val="nextPage"/>
      <w:pgSz w:w="11906" w:h="16838"/>
      <w:pgMar w:top="1440" w:right="1800" w:bottom="1440" w:left="1800" w:header="851" w:footer="992" w:gutter="0"/>
      <w:pgNumType w:fmt="decimal" w:start="6"/>
      <w:cols w:space="708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width:2in;height:2in;margin-top:0;margin-left:0;mso-position-horizontal:center;mso-position-horizontal-relative:margin;mso-wrap-style:none;position:absolute;v-text-anchor:top;z-index:251658240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width:2in;height:2in;margin-top:0;margin-left:0;mso-position-horizontal:center;mso-position-horizontal-relative:margin;mso-wrap-style:none;position:absolute;v-text-anchor:top;z-index:251659264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1" type="#_x0000_t202" style="width:2in;height:2in;margin-top:0;margin-left:0;mso-position-horizontal:center;mso-position-horizontal-relative:margin;mso-wrap-style:none;position:absolute;v-text-anchor:top;z-index:251660288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2" type="#_x0000_t202" style="width:2in;height:2in;margin-top:0;margin-left:0;mso-position-horizontal:center;mso-position-horizontal-relative:margin;mso-wrap-style:none;position:absolute;v-text-anchor:top;z-index:251661312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3" type="#_x0000_t202" style="width:2in;height:2in;margin-top:0;margin-left:0;mso-position-horizontal:center;mso-position-horizontal-relative:margin;mso-wrap-style:none;position:absolute;v-text-anchor:top;z-index:251662336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4" type="#_x0000_t202" style="width:2in;height:2in;margin-top:0;margin-left:0;mso-position-horizontal:center;mso-position-horizontal-relative:margin;mso-wrap-style:none;position:absolute;v-text-anchor:top;z-index:251663360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97A54D5"/>
    <w:multiLevelType w:val="singleLevel"/>
    <w:tmpl w:val="B97A54D5"/>
    <w:lvl w:ilvl="0">
      <w:start w:val="1"/>
      <w:numFmt w:val="lowerLetter"/>
      <w:suff w:val="space"/>
      <w:lvlText w:val="%1."/>
      <w:lvlJc w:val="left"/>
    </w:lvl>
  </w:abstractNum>
  <w:abstractNum w:abstractNumId="1">
    <w:nsid w:val="C526C04C"/>
    <w:multiLevelType w:val="singleLevel"/>
    <w:tmpl w:val="C526C04C"/>
    <w:lvl w:ilvl="0">
      <w:start w:val="1"/>
      <w:numFmt w:val="lowerLetter"/>
      <w:suff w:val="space"/>
      <w:lvlText w:val="%1."/>
      <w:lvlJc w:val="left"/>
    </w:lvl>
  </w:abstractNum>
  <w:abstractNum w:abstractNumId="2">
    <w:nsid w:val="D1A4E995"/>
    <w:multiLevelType w:val="singleLevel"/>
    <w:tmpl w:val="D1A4E995"/>
    <w:lvl w:ilvl="0">
      <w:start w:val="1"/>
      <w:numFmt w:val="lowerLetter"/>
      <w:suff w:val="space"/>
      <w:lvlText w:val="%1."/>
      <w:lvlJc w:val="left"/>
    </w:lvl>
  </w:abstractNum>
  <w:abstractNum w:abstractNumId="3">
    <w:nsid w:val="D3604040"/>
    <w:multiLevelType w:val="singleLevel"/>
    <w:tmpl w:val="D3604040"/>
    <w:lvl w:ilvl="0">
      <w:start w:val="1"/>
      <w:numFmt w:val="lowerLetter"/>
      <w:suff w:val="space"/>
      <w:lvlText w:val="%1."/>
      <w:lvlJc w:val="left"/>
    </w:lvl>
  </w:abstractNum>
  <w:abstractNum w:abstractNumId="4">
    <w:nsid w:val="E6F6A128"/>
    <w:multiLevelType w:val="singleLevel"/>
    <w:tmpl w:val="E6F6A128"/>
    <w:lvl w:ilvl="0">
      <w:start w:val="13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F72968A6"/>
    <w:multiLevelType w:val="singleLevel"/>
    <w:tmpl w:val="F72968A6"/>
    <w:lvl w:ilvl="0">
      <w:start w:val="1"/>
      <w:numFmt w:val="lowerLetter"/>
      <w:suff w:val="space"/>
      <w:lvlText w:val="%1."/>
      <w:lvlJc w:val="left"/>
    </w:lvl>
  </w:abstractNum>
  <w:abstractNum w:abstractNumId="6">
    <w:nsid w:val="02DF8559"/>
    <w:multiLevelType w:val="singleLevel"/>
    <w:tmpl w:val="02DF8559"/>
    <w:lvl w:ilvl="0">
      <w:start w:val="1"/>
      <w:numFmt w:val="lowerLetter"/>
      <w:suff w:val="space"/>
      <w:lvlText w:val="%1."/>
      <w:lvlJc w:val="left"/>
    </w:lvl>
  </w:abstractNum>
  <w:abstractNum w:abstractNumId="7">
    <w:nsid w:val="06D519AF"/>
    <w:multiLevelType w:val="singleLevel"/>
    <w:tmpl w:val="06D519AF"/>
    <w:lvl w:ilvl="0">
      <w:start w:val="1"/>
      <w:numFmt w:val="lowerLetter"/>
      <w:suff w:val="space"/>
      <w:lvlText w:val="%1."/>
      <w:lvlJc w:val="left"/>
    </w:lvl>
  </w:abstractNum>
  <w:abstractNum w:abstractNumId="8">
    <w:nsid w:val="314395D0"/>
    <w:multiLevelType w:val="singleLevel"/>
    <w:tmpl w:val="314395D0"/>
    <w:lvl w:ilvl="0">
      <w:start w:val="5"/>
      <w:numFmt w:val="decimal"/>
      <w:lvlText w:val="%1."/>
      <w:lvlJc w:val="left"/>
      <w:pPr>
        <w:tabs>
          <w:tab w:val="num" w:pos="312"/>
        </w:tabs>
      </w:pPr>
    </w:lvl>
  </w:abstractNum>
  <w:abstractNum w:abstractNumId="9">
    <w:nsid w:val="3A7B17C3"/>
    <w:multiLevelType w:val="singleLevel"/>
    <w:tmpl w:val="3A7B17C3"/>
    <w:lvl w:ilvl="0">
      <w:start w:val="1"/>
      <w:numFmt w:val="decimal"/>
      <w:suff w:val="nothing"/>
      <w:lvlText w:val="（%1）"/>
      <w:lvlJc w:val="left"/>
    </w:lvl>
  </w:abstractNum>
  <w:abstractNum w:abstractNumId="10">
    <w:nsid w:val="4BE3C826"/>
    <w:multiLevelType w:val="singleLevel"/>
    <w:tmpl w:val="4BE3C826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1">
    <w:nsid w:val="624077E4"/>
    <w:multiLevelType w:val="singleLevel"/>
    <w:tmpl w:val="624077E4"/>
    <w:lvl w:ilvl="0">
      <w:start w:val="1"/>
      <w:numFmt w:val="lowerLetter"/>
      <w:suff w:val="space"/>
      <w:lvlText w:val="%1."/>
      <w:lvlJc w:val="left"/>
    </w:lvl>
  </w:abstractNum>
  <w:num w:numId="1">
    <w:abstractNumId w:val="9"/>
  </w:num>
  <w:num w:numId="2">
    <w:abstractNumId w:val="6"/>
  </w:num>
  <w:num w:numId="3">
    <w:abstractNumId w:val="11"/>
  </w:num>
  <w:num w:numId="4">
    <w:abstractNumId w:val="5"/>
  </w:num>
  <w:num w:numId="5">
    <w:abstractNumId w:val="0"/>
  </w:num>
  <w:num w:numId="6">
    <w:abstractNumId w:val="7"/>
  </w:num>
  <w:num w:numId="7">
    <w:abstractNumId w:val="2"/>
  </w:num>
  <w:num w:numId="8">
    <w:abstractNumId w:val="3"/>
  </w:num>
  <w:num w:numId="9">
    <w:abstractNumId w:val="10"/>
  </w:num>
  <w:num w:numId="10">
    <w:abstractNumId w:val="8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49E6B7D"/>
    <w:rsid w:val="18961A35"/>
    <w:rsid w:val="249E6B7D"/>
    <w:rsid w:val="24BA4DB8"/>
    <w:rsid w:val="24D34151"/>
    <w:rsid w:val="31EA2E38"/>
    <w:rsid w:val="348F26D6"/>
    <w:rsid w:val="392F2E40"/>
    <w:rsid w:val="43DB2FCE"/>
    <w:rsid w:val="4EAE43D3"/>
    <w:rsid w:val="54AD02BD"/>
    <w:rsid w:val="57775E2A"/>
    <w:rsid w:val="625D22D2"/>
    <w:rsid w:val="67F25081"/>
    <w:rsid w:val="6C6F5863"/>
    <w:rsid w:val="7F085205"/>
  </w:rsids>
  <w:docVars>
    <w:docVar w:name="commondata" w:val="eyJoZGlkIjoiYTUwZmRjNTQ4NzIyYTMxYWRjZmVhZjk5NjZiOGY1ZDg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qFormat="1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spacing w:line="360" w:lineRule="auto"/>
      <w:jc w:val="both"/>
    </w:pPr>
    <w:rPr>
      <w:rFonts w:ascii="Calibri" w:eastAsia="宋体" w:hAnsi="Calibri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Lines="0" w:beforeAutospacing="0" w:afterLines="0" w:afterAutospacing="0" w:line="360" w:lineRule="auto"/>
      <w:outlineLvl w:val="0"/>
    </w:pPr>
    <w:rPr>
      <w:rFonts w:ascii="Calibri" w:eastAsia="黑体" w:hAnsi="Calibri"/>
      <w:b/>
      <w:kern w:val="44"/>
      <w:sz w:val="30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Lines="0" w:beforeAutospacing="0" w:afterLines="0" w:afterAutospacing="0" w:line="360" w:lineRule="auto"/>
      <w:outlineLvl w:val="1"/>
    </w:pPr>
    <w:rPr>
      <w:rFonts w:ascii="Arial" w:eastAsia="黑体" w:hAnsi="Arial"/>
      <w:b/>
      <w:sz w:val="28"/>
    </w:rPr>
  </w:style>
  <w:style w:type="paragraph" w:styleId="Heading3">
    <w:name w:val="heading 3"/>
    <w:basedOn w:val="Normal"/>
    <w:next w:val="Normal"/>
    <w:unhideWhenUsed/>
    <w:qFormat/>
    <w:pPr>
      <w:keepNext/>
      <w:keepLines/>
      <w:spacing w:beforeLines="0" w:beforeAutospacing="0" w:afterLines="0" w:afterAutospacing="0" w:line="360" w:lineRule="auto"/>
      <w:outlineLvl w:val="2"/>
    </w:pPr>
    <w:rPr>
      <w:rFonts w:ascii="Calibri" w:eastAsia="黑体" w:hAnsi="Calibri"/>
      <w:b/>
      <w:sz w:val="24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pPr>
      <w:spacing w:after="120" w:afterLines="0" w:afterAutospacing="0"/>
    </w:pPr>
  </w:style>
  <w:style w:type="paragraph" w:styleId="BodyTextIndent2">
    <w:name w:val="Body Text Indent 2"/>
    <w:basedOn w:val="Normal"/>
    <w:uiPriority w:val="99"/>
    <w:unhideWhenUsed/>
    <w:qFormat/>
    <w:pPr>
      <w:spacing w:line="360" w:lineRule="auto"/>
      <w:ind w:left="0" w:leftChars="0"/>
    </w:pPr>
    <w:rPr>
      <w:rFonts w:ascii="Calibri" w:hAnsi="Calibri"/>
      <w:sz w:val="24"/>
      <w:szCs w:val="22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semiHidden/>
    <w:qFormat/>
    <w:rPr>
      <w:sz w:val="21"/>
      <w:szCs w:val="21"/>
    </w:rPr>
  </w:style>
  <w:style w:type="paragraph" w:customStyle="1" w:styleId="2">
    <w:name w:val="标题2"/>
    <w:basedOn w:val="Normal"/>
    <w:next w:val="Normal"/>
    <w:qFormat/>
    <w:pPr>
      <w:spacing w:beforeLines="50" w:afterLines="50" w:line="400" w:lineRule="atLeast"/>
    </w:pPr>
    <w:rPr>
      <w:rFonts w:eastAsia="黑体"/>
      <w:sz w:val="28"/>
    </w:rPr>
  </w:style>
  <w:style w:type="paragraph" w:customStyle="1" w:styleId="3">
    <w:name w:val="标题3"/>
    <w:basedOn w:val="Normal"/>
    <w:next w:val="Normal"/>
    <w:qFormat/>
    <w:pPr>
      <w:spacing w:beforeLines="50" w:afterLines="50"/>
      <w:jc w:val="left"/>
      <w:outlineLvl w:val="2"/>
    </w:pPr>
    <w:rPr>
      <w:rFonts w:eastAsia="黑体"/>
      <w:sz w:val="28"/>
      <w:szCs w:val="28"/>
    </w:rPr>
  </w:style>
  <w:style w:type="paragraph" w:customStyle="1" w:styleId="1">
    <w:name w:val="表格1"/>
    <w:basedOn w:val="Normal"/>
    <w:next w:val="20"/>
    <w:qFormat/>
    <w:pPr>
      <w:widowControl/>
      <w:snapToGrid w:val="0"/>
      <w:spacing w:beforeLines="100"/>
      <w:jc w:val="center"/>
    </w:pPr>
    <w:rPr>
      <w:rFonts w:eastAsia="黑体"/>
      <w:kern w:val="0"/>
      <w:szCs w:val="22"/>
    </w:rPr>
  </w:style>
  <w:style w:type="paragraph" w:customStyle="1" w:styleId="20">
    <w:name w:val="表格2"/>
    <w:basedOn w:val="Normal"/>
    <w:qFormat/>
    <w:pPr>
      <w:widowControl/>
      <w:snapToGrid w:val="0"/>
      <w:jc w:val="center"/>
    </w:pPr>
    <w:rPr>
      <w:rFonts w:eastAsia="Times New Roman"/>
      <w:kern w:val="0"/>
      <w:szCs w:val="22"/>
    </w:rPr>
  </w:style>
  <w:style w:type="paragraph" w:customStyle="1" w:styleId="10">
    <w:name w:val="图1"/>
    <w:basedOn w:val="Normal"/>
    <w:next w:val="21"/>
    <w:qFormat/>
    <w:pPr>
      <w:jc w:val="center"/>
    </w:pPr>
    <w:rPr>
      <w:rFonts w:eastAsia="黑体"/>
      <w:szCs w:val="21"/>
    </w:rPr>
  </w:style>
  <w:style w:type="paragraph" w:customStyle="1" w:styleId="21">
    <w:name w:val="图2"/>
    <w:basedOn w:val="Normal"/>
    <w:next w:val="Normal"/>
    <w:qFormat/>
    <w:pPr>
      <w:jc w:val="center"/>
    </w:pPr>
    <w:rPr>
      <w:rFonts w:eastAsia="黑体"/>
      <w:szCs w:val="21"/>
    </w:rPr>
  </w:style>
  <w:style w:type="paragraph" w:customStyle="1" w:styleId="WPSOffice1">
    <w:name w:val="WPSOffice手动目录 1"/>
    <w:qFormat/>
    <w:pPr>
      <w:ind w:leftChars="0"/>
    </w:pPr>
    <w:rPr>
      <w:rFonts w:ascii="Calibri" w:eastAsia="宋体" w:hAnsi="Calibri" w:cs="Times New Roman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="Calibri" w:eastAsia="宋体" w:hAnsi="Calibri" w:cs="Times New Roman"/>
      <w:sz w:val="20"/>
      <w:szCs w:val="20"/>
    </w:rPr>
  </w:style>
  <w:style w:type="paragraph" w:customStyle="1" w:styleId="WPSOffice3">
    <w:name w:val="WPSOffice手动目录 3"/>
    <w:qFormat/>
    <w:pPr>
      <w:ind w:leftChars="400"/>
    </w:pPr>
    <w:rPr>
      <w:rFonts w:ascii="Calibri" w:eastAsia="宋体" w:hAnsi="Calibri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8073073072006037" TargetMode="External" /><Relationship Id="rId11" Type="http://schemas.openxmlformats.org/officeDocument/2006/relationships/footer" Target="footer6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157256160</TotalTime>
  <Pages>9</Pages>
  <Words>12231</Words>
  <Characters>14963</Characters>
  <Application>Microsoft Office Word</Application>
  <DocSecurity>0</DocSecurity>
  <Lines>0</Lines>
  <Paragraphs>0</Paragraphs>
  <ScaleCrop>false</ScaleCrop>
  <Company/>
  <LinksUpToDate>false</LinksUpToDate>
  <CharactersWithSpaces>15210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麦田盖茨比</dc:creator>
  <cp:lastModifiedBy>ABEEL</cp:lastModifiedBy>
  <cp:revision>1</cp:revision>
  <dcterms:created xsi:type="dcterms:W3CDTF">2022-01-06T06:36:00Z</dcterms:created>
  <dcterms:modified xsi:type="dcterms:W3CDTF">2023-08-26T02:01:12Z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436EC416980842A1AE966B30B8F842AB_13</vt:lpwstr>
  </property>
  <property fmtid="{D5CDD505-2E9C-101B-9397-08002B2CF9AE}" pid="3" name="KSOProductBuildVer">
    <vt:lpwstr>2052-12.1.0.15120</vt:lpwstr>
  </property>
</Properties>
</file>