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高纯高碳铬轴承钢及渗碳轴承钢项目计划设计方案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50" w:history="1">
        <w:r>
          <w:rPr>
            <w:rFonts w:ascii="仿宋" w:eastAsia="仿宋" w:hAnsi="仿宋" w:cs="仿宋" w:hint="eastAsia"/>
            <w:lang w:eastAsia="zh-CN"/>
          </w:rPr>
          <w:t>概论</w:t>
        </w:r>
        <w:r>
          <w:tab/>
        </w:r>
        <w:r>
          <w:fldChar w:fldCharType="begin"/>
        </w:r>
        <w:r>
          <w:instrText xml:space="preserve"> PAGEREF _Toc25550 \h </w:instrText>
        </w:r>
        <w:r>
          <w:fldChar w:fldCharType="separate"/>
        </w:r>
        <w:r>
          <w:t>3</w:t>
        </w:r>
        <w:r>
          <w:fldChar w:fldCharType="end"/>
        </w:r>
      </w:hyperlink>
    </w:p>
    <w:p>
      <w:pPr>
        <w:pStyle w:val="TOC1"/>
        <w:tabs>
          <w:tab w:val="right" w:leader="dot" w:pos="8306"/>
        </w:tabs>
      </w:pPr>
      <w:hyperlink w:anchor="_Toc5755" w:history="1">
        <w:r>
          <w:rPr>
            <w:rFonts w:ascii="仿宋" w:eastAsia="仿宋" w:hAnsi="仿宋" w:cs="仿宋" w:hint="eastAsia"/>
            <w:lang w:eastAsia="zh-CN"/>
          </w:rPr>
          <w:t>一、高纯高碳铬轴承钢及渗碳轴承钢项目可持续发展</w:t>
        </w:r>
        <w:r>
          <w:tab/>
        </w:r>
        <w:r>
          <w:fldChar w:fldCharType="begin"/>
        </w:r>
        <w:r>
          <w:instrText xml:space="preserve"> PAGEREF _Toc5755 \h </w:instrText>
        </w:r>
        <w:r>
          <w:fldChar w:fldCharType="separate"/>
        </w:r>
        <w:r>
          <w:t>3</w:t>
        </w:r>
        <w:r>
          <w:fldChar w:fldCharType="end"/>
        </w:r>
      </w:hyperlink>
    </w:p>
    <w:p>
      <w:pPr>
        <w:pStyle w:val="TOC2"/>
        <w:tabs>
          <w:tab w:val="right" w:leader="dot" w:pos="8306"/>
        </w:tabs>
      </w:pPr>
      <w:hyperlink w:anchor="_Toc7596" w:history="1">
        <w:r>
          <w:rPr>
            <w:rFonts w:ascii="仿宋" w:eastAsia="仿宋" w:hAnsi="仿宋" w:cs="仿宋" w:hint="eastAsia"/>
            <w:lang w:eastAsia="zh-CN"/>
          </w:rPr>
          <w:t>(一)、可持续战略与实践</w:t>
        </w:r>
        <w:r>
          <w:tab/>
        </w:r>
        <w:r>
          <w:fldChar w:fldCharType="begin"/>
        </w:r>
        <w:r>
          <w:instrText xml:space="preserve"> PAGEREF _Toc7596 \h </w:instrText>
        </w:r>
        <w:r>
          <w:fldChar w:fldCharType="separate"/>
        </w:r>
        <w:r>
          <w:t>3</w:t>
        </w:r>
        <w:r>
          <w:fldChar w:fldCharType="end"/>
        </w:r>
      </w:hyperlink>
    </w:p>
    <w:p>
      <w:pPr>
        <w:pStyle w:val="TOC2"/>
        <w:tabs>
          <w:tab w:val="right" w:leader="dot" w:pos="8306"/>
        </w:tabs>
      </w:pPr>
      <w:hyperlink w:anchor="_Toc30111" w:history="1">
        <w:r>
          <w:rPr>
            <w:rFonts w:ascii="仿宋" w:eastAsia="仿宋" w:hAnsi="仿宋" w:cs="仿宋" w:hint="eastAsia"/>
            <w:lang w:eastAsia="zh-CN"/>
          </w:rPr>
          <w:t>(二)、环保与社会责任</w:t>
        </w:r>
        <w:r>
          <w:tab/>
        </w:r>
        <w:r>
          <w:fldChar w:fldCharType="begin"/>
        </w:r>
        <w:r>
          <w:instrText xml:space="preserve"> PAGEREF _Toc30111 \h </w:instrText>
        </w:r>
        <w:r>
          <w:fldChar w:fldCharType="separate"/>
        </w:r>
        <w:r>
          <w:t>4</w:t>
        </w:r>
        <w:r>
          <w:fldChar w:fldCharType="end"/>
        </w:r>
      </w:hyperlink>
    </w:p>
    <w:p>
      <w:pPr>
        <w:pStyle w:val="TOC1"/>
        <w:tabs>
          <w:tab w:val="right" w:leader="dot" w:pos="8306"/>
        </w:tabs>
      </w:pPr>
      <w:hyperlink w:anchor="_Toc934" w:history="1">
        <w:r>
          <w:rPr>
            <w:rFonts w:ascii="仿宋" w:eastAsia="仿宋" w:hAnsi="仿宋" w:cs="仿宋" w:hint="eastAsia"/>
            <w:lang w:eastAsia="zh-CN"/>
          </w:rPr>
          <w:t>二、高纯高碳铬轴承钢及渗碳轴承钢项目土建工程</w:t>
        </w:r>
        <w:r>
          <w:tab/>
        </w:r>
        <w:r>
          <w:fldChar w:fldCharType="begin"/>
        </w:r>
        <w:r>
          <w:instrText xml:space="preserve"> PAGEREF _Toc934 \h </w:instrText>
        </w:r>
        <w:r>
          <w:fldChar w:fldCharType="separate"/>
        </w:r>
        <w:r>
          <w:t>5</w:t>
        </w:r>
        <w:r>
          <w:fldChar w:fldCharType="end"/>
        </w:r>
      </w:hyperlink>
    </w:p>
    <w:p>
      <w:pPr>
        <w:pStyle w:val="TOC2"/>
        <w:tabs>
          <w:tab w:val="right" w:leader="dot" w:pos="8306"/>
        </w:tabs>
      </w:pPr>
      <w:hyperlink w:anchor="_Toc15516" w:history="1">
        <w:r>
          <w:rPr>
            <w:rFonts w:ascii="仿宋" w:eastAsia="仿宋" w:hAnsi="仿宋" w:cs="仿宋" w:hint="eastAsia"/>
            <w:lang w:eastAsia="zh-CN"/>
          </w:rPr>
          <w:t>(一)、建筑工程设计原则</w:t>
        </w:r>
        <w:r>
          <w:tab/>
        </w:r>
        <w:r>
          <w:fldChar w:fldCharType="begin"/>
        </w:r>
        <w:r>
          <w:instrText xml:space="preserve"> PAGEREF _Toc15516 \h </w:instrText>
        </w:r>
        <w:r>
          <w:fldChar w:fldCharType="separate"/>
        </w:r>
        <w:r>
          <w:t>5</w:t>
        </w:r>
        <w:r>
          <w:fldChar w:fldCharType="end"/>
        </w:r>
      </w:hyperlink>
    </w:p>
    <w:p>
      <w:pPr>
        <w:pStyle w:val="TOC2"/>
        <w:tabs>
          <w:tab w:val="right" w:leader="dot" w:pos="8306"/>
        </w:tabs>
      </w:pPr>
      <w:hyperlink w:anchor="_Toc14984" w:history="1">
        <w:r>
          <w:rPr>
            <w:rFonts w:ascii="仿宋" w:eastAsia="仿宋" w:hAnsi="仿宋" w:cs="仿宋" w:hint="eastAsia"/>
            <w:lang w:eastAsia="zh-CN"/>
          </w:rPr>
          <w:t>(二)、土建工程设计年限及安全等级</w:t>
        </w:r>
        <w:r>
          <w:tab/>
        </w:r>
        <w:r>
          <w:fldChar w:fldCharType="begin"/>
        </w:r>
        <w:r>
          <w:instrText xml:space="preserve"> PAGEREF _Toc14984 \h </w:instrText>
        </w:r>
        <w:r>
          <w:fldChar w:fldCharType="separate"/>
        </w:r>
        <w:r>
          <w:t>6</w:t>
        </w:r>
        <w:r>
          <w:fldChar w:fldCharType="end"/>
        </w:r>
      </w:hyperlink>
    </w:p>
    <w:p>
      <w:pPr>
        <w:pStyle w:val="TOC2"/>
        <w:tabs>
          <w:tab w:val="right" w:leader="dot" w:pos="8306"/>
        </w:tabs>
      </w:pPr>
      <w:hyperlink w:anchor="_Toc4236" w:history="1">
        <w:r>
          <w:rPr>
            <w:rFonts w:ascii="仿宋" w:eastAsia="仿宋" w:hAnsi="仿宋" w:cs="仿宋" w:hint="eastAsia"/>
            <w:lang w:eastAsia="zh-CN"/>
          </w:rPr>
          <w:t>(三)、建筑工程设计总体要求</w:t>
        </w:r>
        <w:r>
          <w:tab/>
        </w:r>
        <w:r>
          <w:fldChar w:fldCharType="begin"/>
        </w:r>
        <w:r>
          <w:instrText xml:space="preserve"> PAGEREF _Toc4236 \h </w:instrText>
        </w:r>
        <w:r>
          <w:fldChar w:fldCharType="separate"/>
        </w:r>
        <w:r>
          <w:t>7</w:t>
        </w:r>
        <w:r>
          <w:fldChar w:fldCharType="end"/>
        </w:r>
      </w:hyperlink>
    </w:p>
    <w:p>
      <w:pPr>
        <w:pStyle w:val="TOC2"/>
        <w:tabs>
          <w:tab w:val="right" w:leader="dot" w:pos="8306"/>
        </w:tabs>
      </w:pPr>
      <w:hyperlink w:anchor="_Toc149" w:history="1">
        <w:r>
          <w:rPr>
            <w:rFonts w:ascii="仿宋" w:eastAsia="仿宋" w:hAnsi="仿宋" w:cs="仿宋" w:hint="eastAsia"/>
            <w:lang w:eastAsia="zh-CN"/>
          </w:rPr>
          <w:t>(四)、土建工程建设指标</w:t>
        </w:r>
        <w:r>
          <w:tab/>
        </w:r>
        <w:r>
          <w:fldChar w:fldCharType="begin"/>
        </w:r>
        <w:r>
          <w:instrText xml:space="preserve"> PAGEREF _Toc149 \h </w:instrText>
        </w:r>
        <w:r>
          <w:fldChar w:fldCharType="separate"/>
        </w:r>
        <w:r>
          <w:t>8</w:t>
        </w:r>
        <w:r>
          <w:fldChar w:fldCharType="end"/>
        </w:r>
      </w:hyperlink>
    </w:p>
    <w:p>
      <w:pPr>
        <w:pStyle w:val="TOC1"/>
        <w:tabs>
          <w:tab w:val="right" w:leader="dot" w:pos="8306"/>
        </w:tabs>
      </w:pPr>
      <w:hyperlink w:anchor="_Toc30191" w:history="1">
        <w:r>
          <w:rPr>
            <w:rFonts w:ascii="仿宋" w:eastAsia="仿宋" w:hAnsi="仿宋" w:cs="仿宋" w:hint="eastAsia"/>
            <w:lang w:eastAsia="zh-CN"/>
          </w:rPr>
          <w:t>三、高纯高碳铬轴承钢及渗碳轴承钢项目建设背景及必要性分析</w:t>
        </w:r>
        <w:r>
          <w:tab/>
        </w:r>
        <w:r>
          <w:fldChar w:fldCharType="begin"/>
        </w:r>
        <w:r>
          <w:instrText xml:space="preserve"> PAGEREF _Toc30191 \h </w:instrText>
        </w:r>
        <w:r>
          <w:fldChar w:fldCharType="separate"/>
        </w:r>
        <w:r>
          <w:t>8</w:t>
        </w:r>
        <w:r>
          <w:fldChar w:fldCharType="end"/>
        </w:r>
      </w:hyperlink>
    </w:p>
    <w:p>
      <w:pPr>
        <w:pStyle w:val="TOC2"/>
        <w:tabs>
          <w:tab w:val="right" w:leader="dot" w:pos="8306"/>
        </w:tabs>
      </w:pPr>
      <w:hyperlink w:anchor="_Toc12910" w:history="1">
        <w:r>
          <w:rPr>
            <w:rFonts w:ascii="仿宋" w:eastAsia="仿宋" w:hAnsi="仿宋" w:cs="仿宋" w:hint="eastAsia"/>
            <w:lang w:eastAsia="zh-CN"/>
          </w:rPr>
          <w:t>(一)、高纯高碳铬轴承钢及渗碳轴承钢项目背景分析</w:t>
        </w:r>
        <w:r>
          <w:tab/>
        </w:r>
        <w:r>
          <w:fldChar w:fldCharType="begin"/>
        </w:r>
        <w:r>
          <w:instrText xml:space="preserve"> PAGEREF _Toc12910 \h </w:instrText>
        </w:r>
        <w:r>
          <w:fldChar w:fldCharType="separate"/>
        </w:r>
        <w:r>
          <w:t>8</w:t>
        </w:r>
        <w:r>
          <w:fldChar w:fldCharType="end"/>
        </w:r>
      </w:hyperlink>
    </w:p>
    <w:p>
      <w:pPr>
        <w:pStyle w:val="TOC2"/>
        <w:tabs>
          <w:tab w:val="right" w:leader="dot" w:pos="8306"/>
        </w:tabs>
      </w:pPr>
      <w:hyperlink w:anchor="_Toc8315" w:history="1">
        <w:r>
          <w:rPr>
            <w:rFonts w:ascii="仿宋" w:eastAsia="仿宋" w:hAnsi="仿宋" w:cs="仿宋" w:hint="eastAsia"/>
            <w:lang w:eastAsia="zh-CN"/>
          </w:rPr>
          <w:t>(二)、高纯高碳铬轴承钢及渗碳轴承钢项目建设必要性分析</w:t>
        </w:r>
        <w:r>
          <w:tab/>
        </w:r>
        <w:r>
          <w:fldChar w:fldCharType="begin"/>
        </w:r>
        <w:r>
          <w:instrText xml:space="preserve"> PAGEREF _Toc8315 \h </w:instrText>
        </w:r>
        <w:r>
          <w:fldChar w:fldCharType="separate"/>
        </w:r>
        <w:r>
          <w:t>10</w:t>
        </w:r>
        <w:r>
          <w:fldChar w:fldCharType="end"/>
        </w:r>
      </w:hyperlink>
    </w:p>
    <w:p>
      <w:pPr>
        <w:pStyle w:val="TOC1"/>
        <w:tabs>
          <w:tab w:val="right" w:leader="dot" w:pos="8306"/>
        </w:tabs>
      </w:pPr>
      <w:hyperlink w:anchor="_Toc16422" w:history="1">
        <w:r>
          <w:rPr>
            <w:rFonts w:ascii="仿宋" w:eastAsia="仿宋" w:hAnsi="仿宋" w:cs="仿宋" w:hint="eastAsia"/>
            <w:lang w:eastAsia="zh-CN"/>
          </w:rPr>
          <w:t>四、高纯高碳铬轴承钢及渗碳轴承钢项目危机管理</w:t>
        </w:r>
        <w:r>
          <w:tab/>
        </w:r>
        <w:r>
          <w:fldChar w:fldCharType="begin"/>
        </w:r>
        <w:r>
          <w:instrText xml:space="preserve"> PAGEREF _Toc16422 \h </w:instrText>
        </w:r>
        <w:r>
          <w:fldChar w:fldCharType="separate"/>
        </w:r>
        <w:r>
          <w:t>12</w:t>
        </w:r>
        <w:r>
          <w:fldChar w:fldCharType="end"/>
        </w:r>
      </w:hyperlink>
    </w:p>
    <w:p>
      <w:pPr>
        <w:pStyle w:val="TOC2"/>
        <w:tabs>
          <w:tab w:val="right" w:leader="dot" w:pos="8306"/>
        </w:tabs>
      </w:pPr>
      <w:hyperlink w:anchor="_Toc26209" w:history="1">
        <w:r>
          <w:rPr>
            <w:rFonts w:ascii="仿宋" w:eastAsia="仿宋" w:hAnsi="仿宋" w:cs="仿宋" w:hint="eastAsia"/>
            <w:lang w:eastAsia="zh-CN"/>
          </w:rPr>
          <w:t>(一)、危机预警与识别</w:t>
        </w:r>
        <w:r>
          <w:tab/>
        </w:r>
        <w:r>
          <w:fldChar w:fldCharType="begin"/>
        </w:r>
        <w:r>
          <w:instrText xml:space="preserve"> PAGEREF _Toc26209 \h </w:instrText>
        </w:r>
        <w:r>
          <w:fldChar w:fldCharType="separate"/>
        </w:r>
        <w:r>
          <w:t>12</w:t>
        </w:r>
        <w:r>
          <w:fldChar w:fldCharType="end"/>
        </w:r>
      </w:hyperlink>
    </w:p>
    <w:p>
      <w:pPr>
        <w:pStyle w:val="TOC2"/>
        <w:tabs>
          <w:tab w:val="right" w:leader="dot" w:pos="8306"/>
        </w:tabs>
      </w:pPr>
      <w:hyperlink w:anchor="_Toc23528" w:history="1">
        <w:r>
          <w:rPr>
            <w:rFonts w:ascii="仿宋" w:eastAsia="仿宋" w:hAnsi="仿宋" w:cs="仿宋" w:hint="eastAsia"/>
            <w:lang w:eastAsia="zh-CN"/>
          </w:rPr>
          <w:t>(二)、危机应对与恢复</w:t>
        </w:r>
        <w:r>
          <w:tab/>
        </w:r>
        <w:r>
          <w:fldChar w:fldCharType="begin"/>
        </w:r>
        <w:r>
          <w:instrText xml:space="preserve"> PAGEREF _Toc23528 \h </w:instrText>
        </w:r>
        <w:r>
          <w:fldChar w:fldCharType="separate"/>
        </w:r>
        <w:r>
          <w:t>13</w:t>
        </w:r>
        <w:r>
          <w:fldChar w:fldCharType="end"/>
        </w:r>
      </w:hyperlink>
    </w:p>
    <w:p>
      <w:pPr>
        <w:pStyle w:val="TOC1"/>
        <w:tabs>
          <w:tab w:val="right" w:leader="dot" w:pos="8306"/>
        </w:tabs>
      </w:pPr>
      <w:hyperlink w:anchor="_Toc6875" w:history="1">
        <w:r>
          <w:rPr>
            <w:rFonts w:ascii="仿宋" w:eastAsia="仿宋" w:hAnsi="仿宋" w:cs="仿宋" w:hint="eastAsia"/>
            <w:lang w:eastAsia="zh-CN"/>
          </w:rPr>
          <w:t>五、高纯高碳铬轴承钢及渗碳轴承钢项目选址可行性分析</w:t>
        </w:r>
        <w:r>
          <w:tab/>
        </w:r>
        <w:r>
          <w:fldChar w:fldCharType="begin"/>
        </w:r>
        <w:r>
          <w:instrText xml:space="preserve"> PAGEREF _Toc6875 \h </w:instrText>
        </w:r>
        <w:r>
          <w:fldChar w:fldCharType="separate"/>
        </w:r>
        <w:r>
          <w:t>15</w:t>
        </w:r>
        <w:r>
          <w:fldChar w:fldCharType="end"/>
        </w:r>
      </w:hyperlink>
    </w:p>
    <w:p>
      <w:pPr>
        <w:pStyle w:val="TOC2"/>
        <w:tabs>
          <w:tab w:val="right" w:leader="dot" w:pos="8306"/>
        </w:tabs>
      </w:pPr>
      <w:hyperlink w:anchor="_Toc14044" w:history="1">
        <w:r>
          <w:rPr>
            <w:rFonts w:ascii="仿宋" w:eastAsia="仿宋" w:hAnsi="仿宋" w:cs="仿宋" w:hint="eastAsia"/>
            <w:lang w:eastAsia="zh-CN"/>
          </w:rPr>
          <w:t>(一)、高纯高碳铬轴承钢及渗碳轴承钢项目选址</w:t>
        </w:r>
        <w:r>
          <w:tab/>
        </w:r>
        <w:r>
          <w:fldChar w:fldCharType="begin"/>
        </w:r>
        <w:r>
          <w:instrText xml:space="preserve"> PAGEREF _Toc14044 \h </w:instrText>
        </w:r>
        <w:r>
          <w:fldChar w:fldCharType="separate"/>
        </w:r>
        <w:r>
          <w:t>15</w:t>
        </w:r>
        <w:r>
          <w:fldChar w:fldCharType="end"/>
        </w:r>
      </w:hyperlink>
    </w:p>
    <w:p>
      <w:pPr>
        <w:pStyle w:val="TOC2"/>
        <w:tabs>
          <w:tab w:val="right" w:leader="dot" w:pos="8306"/>
        </w:tabs>
      </w:pPr>
      <w:hyperlink w:anchor="_Toc29177" w:history="1">
        <w:r>
          <w:rPr>
            <w:rFonts w:ascii="仿宋" w:eastAsia="仿宋" w:hAnsi="仿宋" w:cs="仿宋" w:hint="eastAsia"/>
            <w:lang w:eastAsia="zh-CN"/>
          </w:rPr>
          <w:t>(二)、用地控制指标</w:t>
        </w:r>
        <w:r>
          <w:tab/>
        </w:r>
        <w:r>
          <w:fldChar w:fldCharType="begin"/>
        </w:r>
        <w:r>
          <w:instrText xml:space="preserve"> PAGEREF _Toc29177 \h </w:instrText>
        </w:r>
        <w:r>
          <w:fldChar w:fldCharType="separate"/>
        </w:r>
        <w:r>
          <w:t>15</w:t>
        </w:r>
        <w:r>
          <w:fldChar w:fldCharType="end"/>
        </w:r>
      </w:hyperlink>
    </w:p>
    <w:p>
      <w:pPr>
        <w:pStyle w:val="TOC2"/>
        <w:tabs>
          <w:tab w:val="right" w:leader="dot" w:pos="8306"/>
        </w:tabs>
      </w:pPr>
      <w:hyperlink w:anchor="_Toc1586" w:history="1">
        <w:r>
          <w:rPr>
            <w:rFonts w:ascii="仿宋" w:eastAsia="仿宋" w:hAnsi="仿宋" w:cs="仿宋" w:hint="eastAsia"/>
            <w:lang w:eastAsia="zh-CN"/>
          </w:rPr>
          <w:t>(三)、节约用地措施</w:t>
        </w:r>
        <w:r>
          <w:tab/>
        </w:r>
        <w:r>
          <w:fldChar w:fldCharType="begin"/>
        </w:r>
        <w:r>
          <w:instrText xml:space="preserve"> PAGEREF _Toc1586 \h </w:instrText>
        </w:r>
        <w:r>
          <w:fldChar w:fldCharType="separate"/>
        </w:r>
        <w:r>
          <w:t>17</w:t>
        </w:r>
        <w:r>
          <w:fldChar w:fldCharType="end"/>
        </w:r>
      </w:hyperlink>
    </w:p>
    <w:p>
      <w:pPr>
        <w:pStyle w:val="TOC2"/>
        <w:tabs>
          <w:tab w:val="right" w:leader="dot" w:pos="8306"/>
        </w:tabs>
      </w:pPr>
      <w:hyperlink w:anchor="_Toc24584" w:history="1">
        <w:r>
          <w:rPr>
            <w:rFonts w:ascii="仿宋" w:eastAsia="仿宋" w:hAnsi="仿宋" w:cs="仿宋" w:hint="eastAsia"/>
            <w:lang w:eastAsia="zh-CN"/>
          </w:rPr>
          <w:t>(四)、总图布置方案</w:t>
        </w:r>
        <w:r>
          <w:tab/>
        </w:r>
        <w:r>
          <w:fldChar w:fldCharType="begin"/>
        </w:r>
        <w:r>
          <w:instrText xml:space="preserve"> PAGEREF _Toc24584 \h </w:instrText>
        </w:r>
        <w:r>
          <w:fldChar w:fldCharType="separate"/>
        </w:r>
        <w:r>
          <w:t>18</w:t>
        </w:r>
        <w:r>
          <w:fldChar w:fldCharType="end"/>
        </w:r>
      </w:hyperlink>
    </w:p>
    <w:p>
      <w:pPr>
        <w:pStyle w:val="TOC2"/>
        <w:tabs>
          <w:tab w:val="right" w:leader="dot" w:pos="8306"/>
        </w:tabs>
      </w:pPr>
      <w:hyperlink w:anchor="_Toc6518" w:history="1">
        <w:r>
          <w:rPr>
            <w:rFonts w:ascii="仿宋" w:eastAsia="仿宋" w:hAnsi="仿宋" w:cs="仿宋" w:hint="eastAsia"/>
            <w:lang w:eastAsia="zh-CN"/>
          </w:rPr>
          <w:t>(五)、选址综合评价</w:t>
        </w:r>
        <w:r>
          <w:tab/>
        </w:r>
        <w:r>
          <w:fldChar w:fldCharType="begin"/>
        </w:r>
        <w:r>
          <w:instrText xml:space="preserve"> PAGEREF _Toc6518 \h </w:instrText>
        </w:r>
        <w:r>
          <w:fldChar w:fldCharType="separate"/>
        </w:r>
        <w:r>
          <w:t>19</w:t>
        </w:r>
        <w:r>
          <w:fldChar w:fldCharType="end"/>
        </w:r>
      </w:hyperlink>
    </w:p>
    <w:p>
      <w:pPr>
        <w:pStyle w:val="TOC1"/>
        <w:tabs>
          <w:tab w:val="right" w:leader="dot" w:pos="8306"/>
        </w:tabs>
      </w:pPr>
      <w:hyperlink w:anchor="_Toc14604" w:history="1">
        <w:r>
          <w:rPr>
            <w:rFonts w:ascii="仿宋" w:eastAsia="仿宋" w:hAnsi="仿宋" w:cs="仿宋" w:hint="eastAsia"/>
            <w:lang w:eastAsia="zh-CN"/>
          </w:rPr>
          <w:t>六、高纯高碳铬轴承钢及渗碳轴承钢项目绩效评估</w:t>
        </w:r>
        <w:r>
          <w:tab/>
        </w:r>
        <w:r>
          <w:fldChar w:fldCharType="begin"/>
        </w:r>
        <w:r>
          <w:instrText xml:space="preserve"> PAGEREF _Toc14604 \h </w:instrText>
        </w:r>
        <w:r>
          <w:fldChar w:fldCharType="separate"/>
        </w:r>
        <w:r>
          <w:t>21</w:t>
        </w:r>
        <w:r>
          <w:fldChar w:fldCharType="end"/>
        </w:r>
      </w:hyperlink>
    </w:p>
    <w:p>
      <w:pPr>
        <w:pStyle w:val="TOC2"/>
        <w:tabs>
          <w:tab w:val="right" w:leader="dot" w:pos="8306"/>
        </w:tabs>
      </w:pPr>
      <w:hyperlink w:anchor="_Toc21661" w:history="1">
        <w:r>
          <w:rPr>
            <w:rFonts w:ascii="仿宋" w:eastAsia="仿宋" w:hAnsi="仿宋" w:cs="仿宋" w:hint="eastAsia"/>
            <w:lang w:eastAsia="zh-CN"/>
          </w:rPr>
          <w:t>(一)、绩效评估指标</w:t>
        </w:r>
        <w:r>
          <w:tab/>
        </w:r>
        <w:r>
          <w:fldChar w:fldCharType="begin"/>
        </w:r>
        <w:r>
          <w:instrText xml:space="preserve"> PAGEREF _Toc21661 \h </w:instrText>
        </w:r>
        <w:r>
          <w:fldChar w:fldCharType="separate"/>
        </w:r>
        <w:r>
          <w:t>21</w:t>
        </w:r>
        <w:r>
          <w:fldChar w:fldCharType="end"/>
        </w:r>
      </w:hyperlink>
    </w:p>
    <w:p>
      <w:pPr>
        <w:pStyle w:val="TOC2"/>
        <w:tabs>
          <w:tab w:val="right" w:leader="dot" w:pos="8306"/>
        </w:tabs>
      </w:pPr>
      <w:hyperlink w:anchor="_Toc14621" w:history="1">
        <w:r>
          <w:rPr>
            <w:rFonts w:ascii="仿宋" w:eastAsia="仿宋" w:hAnsi="仿宋" w:cs="仿宋" w:hint="eastAsia"/>
            <w:lang w:eastAsia="zh-CN"/>
          </w:rPr>
          <w:t>(二)、绩效评估方法</w:t>
        </w:r>
        <w:r>
          <w:tab/>
        </w:r>
        <w:r>
          <w:fldChar w:fldCharType="begin"/>
        </w:r>
        <w:r>
          <w:instrText xml:space="preserve"> PAGEREF _Toc14621 \h </w:instrText>
        </w:r>
        <w:r>
          <w:fldChar w:fldCharType="separate"/>
        </w:r>
        <w:r>
          <w:t>22</w:t>
        </w:r>
        <w:r>
          <w:fldChar w:fldCharType="end"/>
        </w:r>
      </w:hyperlink>
    </w:p>
    <w:p>
      <w:pPr>
        <w:pStyle w:val="TOC2"/>
        <w:tabs>
          <w:tab w:val="right" w:leader="dot" w:pos="8306"/>
        </w:tabs>
      </w:pPr>
      <w:hyperlink w:anchor="_Toc13168" w:history="1">
        <w:r>
          <w:rPr>
            <w:rFonts w:ascii="仿宋" w:eastAsia="仿宋" w:hAnsi="仿宋" w:cs="仿宋" w:hint="eastAsia"/>
            <w:lang w:eastAsia="zh-CN"/>
          </w:rPr>
          <w:t>(三)、绩效评估周期</w:t>
        </w:r>
        <w:r>
          <w:tab/>
        </w:r>
        <w:r>
          <w:fldChar w:fldCharType="begin"/>
        </w:r>
        <w:r>
          <w:instrText xml:space="preserve"> PAGEREF _Toc13168 \h </w:instrText>
        </w:r>
        <w:r>
          <w:fldChar w:fldCharType="separate"/>
        </w:r>
        <w:r>
          <w:t>23</w:t>
        </w:r>
        <w:r>
          <w:fldChar w:fldCharType="end"/>
        </w:r>
      </w:hyperlink>
    </w:p>
    <w:p>
      <w:pPr>
        <w:pStyle w:val="TOC1"/>
        <w:tabs>
          <w:tab w:val="right" w:leader="dot" w:pos="8306"/>
        </w:tabs>
      </w:pPr>
      <w:hyperlink w:anchor="_Toc9392" w:history="1">
        <w:r>
          <w:rPr>
            <w:rFonts w:ascii="仿宋" w:eastAsia="仿宋" w:hAnsi="仿宋" w:cs="仿宋" w:hint="eastAsia"/>
            <w:lang w:eastAsia="zh-CN"/>
          </w:rPr>
          <w:t>七、高纯高碳铬轴承钢及渗碳轴承钢项目创新与研发</w:t>
        </w:r>
        <w:r>
          <w:tab/>
        </w:r>
        <w:r>
          <w:fldChar w:fldCharType="begin"/>
        </w:r>
        <w:r>
          <w:instrText xml:space="preserve"> PAGEREF _Toc9392 \h </w:instrText>
        </w:r>
        <w:r>
          <w:fldChar w:fldCharType="separate"/>
        </w:r>
        <w:r>
          <w:t>24</w:t>
        </w:r>
        <w:r>
          <w:fldChar w:fldCharType="end"/>
        </w:r>
      </w:hyperlink>
    </w:p>
    <w:p>
      <w:pPr>
        <w:pStyle w:val="TOC2"/>
        <w:tabs>
          <w:tab w:val="right" w:leader="dot" w:pos="8306"/>
        </w:tabs>
      </w:pPr>
      <w:hyperlink w:anchor="_Toc26933" w:history="1">
        <w:r>
          <w:rPr>
            <w:rFonts w:ascii="仿宋" w:eastAsia="仿宋" w:hAnsi="仿宋" w:cs="仿宋" w:hint="eastAsia"/>
            <w:lang w:eastAsia="zh-CN"/>
          </w:rPr>
          <w:t>(一)、创新策略与方向</w:t>
        </w:r>
        <w:r>
          <w:tab/>
        </w:r>
        <w:r>
          <w:fldChar w:fldCharType="begin"/>
        </w:r>
        <w:r>
          <w:instrText xml:space="preserve"> PAGEREF _Toc26933 \h </w:instrText>
        </w:r>
        <w:r>
          <w:fldChar w:fldCharType="separate"/>
        </w:r>
        <w:r>
          <w:t>24</w:t>
        </w:r>
        <w:r>
          <w:fldChar w:fldCharType="end"/>
        </w:r>
      </w:hyperlink>
    </w:p>
    <w:p>
      <w:pPr>
        <w:pStyle w:val="TOC2"/>
        <w:tabs>
          <w:tab w:val="right" w:leader="dot" w:pos="8306"/>
        </w:tabs>
      </w:pPr>
      <w:hyperlink w:anchor="_Toc26634" w:history="1">
        <w:r>
          <w:rPr>
            <w:rFonts w:ascii="仿宋" w:eastAsia="仿宋" w:hAnsi="仿宋" w:cs="仿宋" w:hint="eastAsia"/>
            <w:lang w:eastAsia="zh-CN"/>
          </w:rPr>
          <w:t>(二)、研发规划与投入</w:t>
        </w:r>
        <w:r>
          <w:tab/>
        </w:r>
        <w:r>
          <w:fldChar w:fldCharType="begin"/>
        </w:r>
        <w:r>
          <w:instrText xml:space="preserve"> PAGEREF _Toc26634 \h </w:instrText>
        </w:r>
        <w:r>
          <w:fldChar w:fldCharType="separate"/>
        </w:r>
        <w:r>
          <w:t>26</w:t>
        </w:r>
        <w:r>
          <w:fldChar w:fldCharType="end"/>
        </w:r>
      </w:hyperlink>
    </w:p>
    <w:p>
      <w:pPr>
        <w:pStyle w:val="TOC1"/>
        <w:tabs>
          <w:tab w:val="right" w:leader="dot" w:pos="8306"/>
        </w:tabs>
      </w:pPr>
      <w:hyperlink w:anchor="_Toc1741" w:history="1">
        <w:r>
          <w:rPr>
            <w:rFonts w:ascii="仿宋" w:eastAsia="仿宋" w:hAnsi="仿宋" w:cs="仿宋" w:hint="eastAsia"/>
            <w:lang w:eastAsia="zh-CN"/>
          </w:rPr>
          <w:t>八、生产安全保护</w:t>
        </w:r>
        <w:r>
          <w:tab/>
        </w:r>
        <w:r>
          <w:fldChar w:fldCharType="begin"/>
        </w:r>
        <w:r>
          <w:instrText xml:space="preserve"> PAGEREF _Toc1741 \h </w:instrText>
        </w:r>
        <w:r>
          <w:fldChar w:fldCharType="separate"/>
        </w:r>
        <w:r>
          <w:t>28</w:t>
        </w:r>
        <w:r>
          <w:fldChar w:fldCharType="end"/>
        </w:r>
      </w:hyperlink>
    </w:p>
    <w:p>
      <w:pPr>
        <w:pStyle w:val="TOC2"/>
        <w:tabs>
          <w:tab w:val="right" w:leader="dot" w:pos="8306"/>
        </w:tabs>
      </w:pPr>
      <w:hyperlink w:anchor="_Toc6002" w:history="1">
        <w:r>
          <w:rPr>
            <w:rFonts w:ascii="仿宋" w:eastAsia="仿宋" w:hAnsi="仿宋" w:cs="仿宋" w:hint="eastAsia"/>
            <w:lang w:eastAsia="zh-CN"/>
          </w:rPr>
          <w:t>(一)、消防安全</w:t>
        </w:r>
        <w:r>
          <w:tab/>
        </w:r>
        <w:r>
          <w:fldChar w:fldCharType="begin"/>
        </w:r>
        <w:r>
          <w:instrText xml:space="preserve"> PAGEREF _Toc6002 \h </w:instrText>
        </w:r>
        <w:r>
          <w:fldChar w:fldCharType="separate"/>
        </w:r>
        <w:r>
          <w:t>28</w:t>
        </w:r>
        <w:r>
          <w:fldChar w:fldCharType="end"/>
        </w:r>
      </w:hyperlink>
    </w:p>
    <w:p>
      <w:pPr>
        <w:pStyle w:val="TOC2"/>
        <w:tabs>
          <w:tab w:val="right" w:leader="dot" w:pos="8306"/>
        </w:tabs>
      </w:pPr>
      <w:hyperlink w:anchor="_Toc8866" w:history="1">
        <w:r>
          <w:rPr>
            <w:rFonts w:ascii="仿宋" w:eastAsia="仿宋" w:hAnsi="仿宋" w:cs="仿宋" w:hint="eastAsia"/>
            <w:lang w:eastAsia="zh-CN"/>
          </w:rPr>
          <w:t>(二)、防火防爆总图布置措施</w:t>
        </w:r>
        <w:r>
          <w:tab/>
        </w:r>
        <w:r>
          <w:fldChar w:fldCharType="begin"/>
        </w:r>
        <w:r>
          <w:instrText xml:space="preserve"> PAGEREF _Toc8866 \h </w:instrText>
        </w:r>
        <w:r>
          <w:fldChar w:fldCharType="separate"/>
        </w:r>
        <w:r>
          <w:t>30</w:t>
        </w:r>
        <w:r>
          <w:fldChar w:fldCharType="end"/>
        </w:r>
      </w:hyperlink>
    </w:p>
    <w:p>
      <w:pPr>
        <w:pStyle w:val="TOC2"/>
        <w:tabs>
          <w:tab w:val="right" w:leader="dot" w:pos="8306"/>
        </w:tabs>
      </w:pPr>
      <w:hyperlink w:anchor="_Toc32230" w:history="1">
        <w:r>
          <w:rPr>
            <w:rFonts w:ascii="仿宋" w:eastAsia="仿宋" w:hAnsi="仿宋" w:cs="仿宋" w:hint="eastAsia"/>
            <w:lang w:eastAsia="zh-CN"/>
          </w:rPr>
          <w:t>(三)、自然灾害防范措施</w:t>
        </w:r>
        <w:r>
          <w:tab/>
        </w:r>
        <w:r>
          <w:fldChar w:fldCharType="begin"/>
        </w:r>
        <w:r>
          <w:instrText xml:space="preserve"> PAGEREF _Toc32230 \h </w:instrText>
        </w:r>
        <w:r>
          <w:fldChar w:fldCharType="separate"/>
        </w:r>
        <w:r>
          <w:t>30</w:t>
        </w:r>
        <w:r>
          <w:fldChar w:fldCharType="end"/>
        </w:r>
      </w:hyperlink>
    </w:p>
    <w:p>
      <w:pPr>
        <w:pStyle w:val="TOC2"/>
        <w:tabs>
          <w:tab w:val="right" w:leader="dot" w:pos="8306"/>
        </w:tabs>
      </w:pPr>
      <w:hyperlink w:anchor="_Toc6420" w:history="1">
        <w:r>
          <w:rPr>
            <w:rFonts w:ascii="仿宋" w:eastAsia="仿宋" w:hAnsi="仿宋" w:cs="仿宋" w:hint="eastAsia"/>
            <w:lang w:eastAsia="zh-CN"/>
          </w:rPr>
          <w:t>(四)、安全色及安全标志使用要求</w:t>
        </w:r>
        <w:r>
          <w:tab/>
        </w:r>
        <w:r>
          <w:fldChar w:fldCharType="begin"/>
        </w:r>
        <w:r>
          <w:instrText xml:space="preserve"> PAGEREF _Toc6420 \h </w:instrText>
        </w:r>
        <w:r>
          <w:fldChar w:fldCharType="separate"/>
        </w:r>
        <w:r>
          <w:t>32</w:t>
        </w:r>
        <w:r>
          <w:fldChar w:fldCharType="end"/>
        </w:r>
      </w:hyperlink>
    </w:p>
    <w:p>
      <w:pPr>
        <w:pStyle w:val="TOC2"/>
        <w:tabs>
          <w:tab w:val="right" w:leader="dot" w:pos="8306"/>
        </w:tabs>
      </w:pPr>
      <w:hyperlink w:anchor="_Toc5708" w:history="1">
        <w:r>
          <w:rPr>
            <w:rFonts w:ascii="仿宋" w:eastAsia="仿宋" w:hAnsi="仿宋" w:cs="仿宋" w:hint="eastAsia"/>
            <w:lang w:eastAsia="zh-CN"/>
          </w:rPr>
          <w:t>(五)、防尘防毒措施</w:t>
        </w:r>
        <w:r>
          <w:tab/>
        </w:r>
        <w:r>
          <w:fldChar w:fldCharType="begin"/>
        </w:r>
        <w:r>
          <w:instrText xml:space="preserve"> PAGEREF _Toc5708 \h </w:instrText>
        </w:r>
        <w:r>
          <w:fldChar w:fldCharType="separate"/>
        </w:r>
        <w:r>
          <w:t>33</w:t>
        </w:r>
        <w:r>
          <w:fldChar w:fldCharType="end"/>
        </w:r>
      </w:hyperlink>
    </w:p>
    <w:p>
      <w:pPr>
        <w:pStyle w:val="TOC2"/>
        <w:tabs>
          <w:tab w:val="right" w:leader="dot" w:pos="8306"/>
        </w:tabs>
      </w:pPr>
      <w:hyperlink w:anchor="_Toc29004" w:history="1">
        <w:r>
          <w:rPr>
            <w:rFonts w:ascii="仿宋" w:eastAsia="仿宋" w:hAnsi="仿宋" w:cs="仿宋" w:hint="eastAsia"/>
            <w:lang w:eastAsia="zh-CN"/>
          </w:rPr>
          <w:t>(六)、防静电、触电防护及防雷措施</w:t>
        </w:r>
        <w:r>
          <w:tab/>
        </w:r>
        <w:r>
          <w:fldChar w:fldCharType="begin"/>
        </w:r>
        <w:r>
          <w:instrText xml:space="preserve"> PAGEREF _Toc29004 \h </w:instrText>
        </w:r>
        <w:r>
          <w:fldChar w:fldCharType="separate"/>
        </w:r>
        <w:r>
          <w:t>34</w:t>
        </w:r>
        <w:r>
          <w:fldChar w:fldCharType="end"/>
        </w:r>
      </w:hyperlink>
    </w:p>
    <w:p>
      <w:pPr>
        <w:pStyle w:val="TOC2"/>
        <w:tabs>
          <w:tab w:val="right" w:leader="dot" w:pos="8306"/>
        </w:tabs>
      </w:pPr>
      <w:hyperlink w:anchor="_Toc27526" w:history="1">
        <w:r>
          <w:rPr>
            <w:rFonts w:ascii="仿宋" w:eastAsia="仿宋" w:hAnsi="仿宋" w:cs="仿宋" w:hint="eastAsia"/>
            <w:lang w:eastAsia="zh-CN"/>
          </w:rPr>
          <w:t>(七)、机械设备安全保障措施</w:t>
        </w:r>
        <w:r>
          <w:tab/>
        </w:r>
        <w:r>
          <w:fldChar w:fldCharType="begin"/>
        </w:r>
        <w:r>
          <w:instrText xml:space="preserve"> PAGEREF _Toc27526 \h </w:instrText>
        </w:r>
        <w:r>
          <w:fldChar w:fldCharType="separate"/>
        </w:r>
        <w:r>
          <w:t>35</w:t>
        </w:r>
        <w:r>
          <w:fldChar w:fldCharType="end"/>
        </w:r>
      </w:hyperlink>
    </w:p>
    <w:p>
      <w:pPr>
        <w:pStyle w:val="TOC1"/>
        <w:tabs>
          <w:tab w:val="right" w:leader="dot" w:pos="8306"/>
        </w:tabs>
      </w:pPr>
      <w:hyperlink w:anchor="_Toc4505" w:history="1">
        <w:r>
          <w:rPr>
            <w:rFonts w:ascii="仿宋" w:eastAsia="仿宋" w:hAnsi="仿宋" w:cs="仿宋" w:hint="eastAsia"/>
            <w:lang w:eastAsia="zh-CN"/>
          </w:rPr>
          <w:t>九、高纯高碳铬轴承钢及渗碳轴承钢项目投资规划</w:t>
        </w:r>
        <w:r>
          <w:tab/>
        </w:r>
        <w:r>
          <w:fldChar w:fldCharType="begin"/>
        </w:r>
        <w:r>
          <w:instrText xml:space="preserve"> PAGEREF _Toc4505 \h </w:instrText>
        </w:r>
        <w:r>
          <w:fldChar w:fldCharType="separate"/>
        </w:r>
        <w:r>
          <w:t>37</w:t>
        </w:r>
        <w:r>
          <w:fldChar w:fldCharType="end"/>
        </w:r>
      </w:hyperlink>
    </w:p>
    <w:p>
      <w:pPr>
        <w:pStyle w:val="TOC2"/>
        <w:tabs>
          <w:tab w:val="right" w:leader="dot" w:pos="8306"/>
        </w:tabs>
      </w:pPr>
      <w:hyperlink w:anchor="_Toc32209" w:history="1">
        <w:r>
          <w:rPr>
            <w:rFonts w:ascii="仿宋" w:eastAsia="仿宋" w:hAnsi="仿宋" w:cs="仿宋" w:hint="eastAsia"/>
            <w:lang w:eastAsia="zh-CN"/>
          </w:rPr>
          <w:t>(一)、高纯高碳铬轴承钢及渗碳轴承钢项目总投资估算</w:t>
        </w:r>
        <w:r>
          <w:tab/>
        </w:r>
        <w:r>
          <w:fldChar w:fldCharType="begin"/>
        </w:r>
        <w:r>
          <w:instrText xml:space="preserve"> PAGEREF _Toc32209 \h </w:instrText>
        </w:r>
        <w:r>
          <w:fldChar w:fldCharType="separate"/>
        </w:r>
        <w:r>
          <w:t>37</w:t>
        </w:r>
        <w:r>
          <w:fldChar w:fldCharType="end"/>
        </w:r>
      </w:hyperlink>
    </w:p>
    <w:p>
      <w:pPr>
        <w:pStyle w:val="TOC2"/>
        <w:tabs>
          <w:tab w:val="right" w:leader="dot" w:pos="8306"/>
        </w:tabs>
      </w:pPr>
      <w:hyperlink w:anchor="_Toc1987" w:history="1">
        <w:r>
          <w:rPr>
            <w:rFonts w:ascii="仿宋" w:eastAsia="仿宋" w:hAnsi="仿宋" w:cs="仿宋" w:hint="eastAsia"/>
            <w:lang w:eastAsia="zh-CN"/>
          </w:rPr>
          <w:t>(二)、资金筹措</w:t>
        </w:r>
        <w:r>
          <w:tab/>
        </w:r>
        <w:r>
          <w:fldChar w:fldCharType="begin"/>
        </w:r>
        <w:r>
          <w:instrText xml:space="preserve"> PAGEREF _Toc1987 \h </w:instrText>
        </w:r>
        <w:r>
          <w:fldChar w:fldCharType="separate"/>
        </w:r>
        <w:r>
          <w:t>38</w:t>
        </w:r>
        <w:r>
          <w:fldChar w:fldCharType="end"/>
        </w:r>
      </w:hyperlink>
    </w:p>
    <w:p>
      <w:pPr>
        <w:pStyle w:val="TOC1"/>
        <w:tabs>
          <w:tab w:val="right" w:leader="dot" w:pos="8306"/>
        </w:tabs>
      </w:pPr>
      <w:hyperlink w:anchor="_Toc78" w:history="1">
        <w:r>
          <w:rPr>
            <w:rFonts w:ascii="仿宋" w:eastAsia="仿宋" w:hAnsi="仿宋" w:cs="仿宋" w:hint="eastAsia"/>
            <w:lang w:eastAsia="zh-CN"/>
          </w:rPr>
          <w:t>十、高纯高碳铬轴承钢及渗碳轴承钢项目环境影响分析</w:t>
        </w:r>
        <w:r>
          <w:tab/>
        </w:r>
        <w:r>
          <w:fldChar w:fldCharType="begin"/>
        </w:r>
        <w:r>
          <w:instrText xml:space="preserve"> PAGEREF _Toc78 \h </w:instrText>
        </w:r>
        <w:r>
          <w:fldChar w:fldCharType="separate"/>
        </w:r>
        <w:r>
          <w:t>39</w:t>
        </w:r>
        <w:r>
          <w:fldChar w:fldCharType="end"/>
        </w:r>
      </w:hyperlink>
    </w:p>
    <w:p>
      <w:pPr>
        <w:pStyle w:val="TOC2"/>
        <w:tabs>
          <w:tab w:val="right" w:leader="dot" w:pos="8306"/>
        </w:tabs>
      </w:pPr>
      <w:hyperlink w:anchor="_Toc3325" w:history="1">
        <w:r>
          <w:rPr>
            <w:rFonts w:ascii="仿宋" w:eastAsia="仿宋" w:hAnsi="仿宋" w:cs="仿宋" w:hint="eastAsia"/>
            <w:lang w:eastAsia="zh-CN"/>
          </w:rPr>
          <w:t>(一)、建设区域环境质量现状</w:t>
        </w:r>
        <w:r>
          <w:tab/>
        </w:r>
        <w:r>
          <w:fldChar w:fldCharType="begin"/>
        </w:r>
        <w:r>
          <w:instrText xml:space="preserve"> PAGEREF _Toc3325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59" w:history="1">
        <w:r>
          <w:rPr>
            <w:rFonts w:ascii="仿宋" w:eastAsia="仿宋" w:hAnsi="仿宋" w:cs="仿宋" w:hint="eastAsia"/>
            <w:lang w:eastAsia="zh-CN"/>
          </w:rPr>
          <w:t>(二)、建设期环境保护</w:t>
        </w:r>
        <w:r>
          <w:tab/>
        </w:r>
        <w:r>
          <w:fldChar w:fldCharType="begin"/>
        </w:r>
        <w:r>
          <w:instrText xml:space="preserve"> PAGEREF _Toc6059 \h </w:instrText>
        </w:r>
        <w:r>
          <w:fldChar w:fldCharType="separate"/>
        </w:r>
        <w:r>
          <w:t>41</w:t>
        </w:r>
        <w:r>
          <w:fldChar w:fldCharType="end"/>
        </w:r>
      </w:hyperlink>
    </w:p>
    <w:p>
      <w:pPr>
        <w:pStyle w:val="TOC2"/>
        <w:tabs>
          <w:tab w:val="right" w:leader="dot" w:pos="8306"/>
        </w:tabs>
      </w:pPr>
      <w:hyperlink w:anchor="_Toc27229" w:history="1">
        <w:r>
          <w:rPr>
            <w:rFonts w:ascii="仿宋" w:eastAsia="仿宋" w:hAnsi="仿宋" w:cs="仿宋" w:hint="eastAsia"/>
            <w:lang w:eastAsia="zh-CN"/>
          </w:rPr>
          <w:t>(三)、运营期环境保护</w:t>
        </w:r>
        <w:r>
          <w:tab/>
        </w:r>
        <w:r>
          <w:fldChar w:fldCharType="begin"/>
        </w:r>
        <w:r>
          <w:instrText xml:space="preserve"> PAGEREF _Toc27229 \h </w:instrText>
        </w:r>
        <w:r>
          <w:fldChar w:fldCharType="separate"/>
        </w:r>
        <w:r>
          <w:t>42</w:t>
        </w:r>
        <w:r>
          <w:fldChar w:fldCharType="end"/>
        </w:r>
      </w:hyperlink>
    </w:p>
    <w:p>
      <w:pPr>
        <w:pStyle w:val="TOC2"/>
        <w:tabs>
          <w:tab w:val="right" w:leader="dot" w:pos="8306"/>
        </w:tabs>
      </w:pPr>
      <w:hyperlink w:anchor="_Toc19271" w:history="1">
        <w:r>
          <w:rPr>
            <w:rFonts w:ascii="仿宋" w:eastAsia="仿宋" w:hAnsi="仿宋" w:cs="仿宋" w:hint="eastAsia"/>
            <w:lang w:eastAsia="zh-CN"/>
          </w:rPr>
          <w:t>(四)、高纯高碳铬轴承钢及渗碳轴承钢项目建设对区域经济的影响</w:t>
        </w:r>
        <w:r>
          <w:tab/>
        </w:r>
        <w:r>
          <w:fldChar w:fldCharType="begin"/>
        </w:r>
        <w:r>
          <w:instrText xml:space="preserve"> PAGEREF _Toc19271 \h </w:instrText>
        </w:r>
        <w:r>
          <w:fldChar w:fldCharType="separate"/>
        </w:r>
        <w:r>
          <w:t>44</w:t>
        </w:r>
        <w:r>
          <w:fldChar w:fldCharType="end"/>
        </w:r>
      </w:hyperlink>
    </w:p>
    <w:p>
      <w:pPr>
        <w:pStyle w:val="TOC2"/>
        <w:tabs>
          <w:tab w:val="right" w:leader="dot" w:pos="8306"/>
        </w:tabs>
      </w:pPr>
      <w:hyperlink w:anchor="_Toc18936" w:history="1">
        <w:r>
          <w:rPr>
            <w:rFonts w:ascii="仿宋" w:eastAsia="仿宋" w:hAnsi="仿宋" w:cs="仿宋" w:hint="eastAsia"/>
            <w:lang w:eastAsia="zh-CN"/>
          </w:rPr>
          <w:t>(五)、废弃物处理</w:t>
        </w:r>
        <w:r>
          <w:tab/>
        </w:r>
        <w:r>
          <w:fldChar w:fldCharType="begin"/>
        </w:r>
        <w:r>
          <w:instrText xml:space="preserve"> PAGEREF _Toc18936 \h </w:instrText>
        </w:r>
        <w:r>
          <w:fldChar w:fldCharType="separate"/>
        </w:r>
        <w:r>
          <w:t>46</w:t>
        </w:r>
        <w:r>
          <w:fldChar w:fldCharType="end"/>
        </w:r>
      </w:hyperlink>
    </w:p>
    <w:p>
      <w:pPr>
        <w:pStyle w:val="TOC2"/>
        <w:tabs>
          <w:tab w:val="right" w:leader="dot" w:pos="8306"/>
        </w:tabs>
      </w:pPr>
      <w:hyperlink w:anchor="_Toc9287" w:history="1">
        <w:r>
          <w:rPr>
            <w:rFonts w:ascii="仿宋" w:eastAsia="仿宋" w:hAnsi="仿宋" w:cs="仿宋" w:hint="eastAsia"/>
            <w:lang w:eastAsia="zh-CN"/>
          </w:rPr>
          <w:t>(六)、特殊环境影响分析</w:t>
        </w:r>
        <w:r>
          <w:tab/>
        </w:r>
        <w:r>
          <w:fldChar w:fldCharType="begin"/>
        </w:r>
        <w:r>
          <w:instrText xml:space="preserve"> PAGEREF _Toc9287 \h </w:instrText>
        </w:r>
        <w:r>
          <w:fldChar w:fldCharType="separate"/>
        </w:r>
        <w:r>
          <w:t>47</w:t>
        </w:r>
        <w:r>
          <w:fldChar w:fldCharType="end"/>
        </w:r>
      </w:hyperlink>
    </w:p>
    <w:p>
      <w:pPr>
        <w:pStyle w:val="TOC2"/>
        <w:tabs>
          <w:tab w:val="right" w:leader="dot" w:pos="8306"/>
        </w:tabs>
      </w:pPr>
      <w:hyperlink w:anchor="_Toc8737" w:history="1">
        <w:r>
          <w:rPr>
            <w:rFonts w:ascii="仿宋" w:eastAsia="仿宋" w:hAnsi="仿宋" w:cs="仿宋" w:hint="eastAsia"/>
            <w:lang w:eastAsia="zh-CN"/>
          </w:rPr>
          <w:t>(七)、清洁生产</w:t>
        </w:r>
        <w:r>
          <w:tab/>
        </w:r>
        <w:r>
          <w:fldChar w:fldCharType="begin"/>
        </w:r>
        <w:r>
          <w:instrText xml:space="preserve"> PAGEREF _Toc8737 \h </w:instrText>
        </w:r>
        <w:r>
          <w:fldChar w:fldCharType="separate"/>
        </w:r>
        <w:r>
          <w:t>48</w:t>
        </w:r>
        <w:r>
          <w:fldChar w:fldCharType="end"/>
        </w:r>
      </w:hyperlink>
    </w:p>
    <w:p>
      <w:pPr>
        <w:pStyle w:val="TOC2"/>
        <w:tabs>
          <w:tab w:val="right" w:leader="dot" w:pos="8306"/>
        </w:tabs>
      </w:pPr>
      <w:hyperlink w:anchor="_Toc4722" w:history="1">
        <w:r>
          <w:rPr>
            <w:rFonts w:ascii="仿宋" w:eastAsia="仿宋" w:hAnsi="仿宋" w:cs="仿宋" w:hint="eastAsia"/>
            <w:lang w:eastAsia="zh-CN"/>
          </w:rPr>
          <w:t>(八)、环境保护综合评价</w:t>
        </w:r>
        <w:r>
          <w:tab/>
        </w:r>
        <w:r>
          <w:fldChar w:fldCharType="begin"/>
        </w:r>
        <w:r>
          <w:instrText xml:space="preserve"> PAGEREF _Toc4722 \h </w:instrText>
        </w:r>
        <w:r>
          <w:fldChar w:fldCharType="separate"/>
        </w:r>
        <w:r>
          <w:t>49</w:t>
        </w:r>
        <w:r>
          <w:fldChar w:fldCharType="end"/>
        </w:r>
      </w:hyperlink>
    </w:p>
    <w:p>
      <w:pPr>
        <w:pStyle w:val="TOC1"/>
        <w:tabs>
          <w:tab w:val="right" w:leader="dot" w:pos="8306"/>
        </w:tabs>
      </w:pPr>
      <w:hyperlink w:anchor="_Toc4950" w:history="1">
        <w:r>
          <w:rPr>
            <w:rFonts w:ascii="仿宋" w:eastAsia="仿宋" w:hAnsi="仿宋" w:cs="仿宋" w:hint="eastAsia"/>
            <w:lang w:eastAsia="zh-CN"/>
          </w:rPr>
          <w:t>十一、高纯高碳铬轴承钢及渗碳轴承钢项目财务管理</w:t>
        </w:r>
        <w:r>
          <w:tab/>
        </w:r>
        <w:r>
          <w:fldChar w:fldCharType="begin"/>
        </w:r>
        <w:r>
          <w:instrText xml:space="preserve"> PAGEREF _Toc4950 \h </w:instrText>
        </w:r>
        <w:r>
          <w:fldChar w:fldCharType="separate"/>
        </w:r>
        <w:r>
          <w:t>51</w:t>
        </w:r>
        <w:r>
          <w:fldChar w:fldCharType="end"/>
        </w:r>
      </w:hyperlink>
    </w:p>
    <w:p>
      <w:pPr>
        <w:pStyle w:val="TOC2"/>
        <w:tabs>
          <w:tab w:val="right" w:leader="dot" w:pos="8306"/>
        </w:tabs>
      </w:pPr>
      <w:hyperlink w:anchor="_Toc11471" w:history="1">
        <w:r>
          <w:rPr>
            <w:rFonts w:ascii="仿宋" w:eastAsia="仿宋" w:hAnsi="仿宋" w:cs="仿宋" w:hint="eastAsia"/>
            <w:lang w:eastAsia="zh-CN"/>
          </w:rPr>
          <w:t>(一)、资金需求大</w:t>
        </w:r>
        <w:r>
          <w:tab/>
        </w:r>
        <w:r>
          <w:fldChar w:fldCharType="begin"/>
        </w:r>
        <w:r>
          <w:instrText xml:space="preserve"> PAGEREF _Toc11471 \h </w:instrText>
        </w:r>
        <w:r>
          <w:fldChar w:fldCharType="separate"/>
        </w:r>
        <w:r>
          <w:t>51</w:t>
        </w:r>
        <w:r>
          <w:fldChar w:fldCharType="end"/>
        </w:r>
      </w:hyperlink>
    </w:p>
    <w:p>
      <w:pPr>
        <w:pStyle w:val="TOC2"/>
        <w:tabs>
          <w:tab w:val="right" w:leader="dot" w:pos="8306"/>
        </w:tabs>
      </w:pPr>
      <w:hyperlink w:anchor="_Toc5859" w:history="1">
        <w:r>
          <w:rPr>
            <w:rFonts w:ascii="仿宋" w:eastAsia="仿宋" w:hAnsi="仿宋" w:cs="仿宋" w:hint="eastAsia"/>
            <w:lang w:eastAsia="zh-CN"/>
          </w:rPr>
          <w:t>(二)、研发周期长</w:t>
        </w:r>
        <w:r>
          <w:tab/>
        </w:r>
        <w:r>
          <w:fldChar w:fldCharType="begin"/>
        </w:r>
        <w:r>
          <w:instrText xml:space="preserve"> PAGEREF _Toc5859 \h </w:instrText>
        </w:r>
        <w:r>
          <w:fldChar w:fldCharType="separate"/>
        </w:r>
        <w:r>
          <w:t>52</w:t>
        </w:r>
        <w:r>
          <w:fldChar w:fldCharType="end"/>
        </w:r>
      </w:hyperlink>
    </w:p>
    <w:p>
      <w:pPr>
        <w:pStyle w:val="TOC2"/>
        <w:tabs>
          <w:tab w:val="right" w:leader="dot" w:pos="8306"/>
        </w:tabs>
      </w:pPr>
      <w:hyperlink w:anchor="_Toc21596" w:history="1">
        <w:r>
          <w:rPr>
            <w:rFonts w:ascii="仿宋" w:eastAsia="仿宋" w:hAnsi="仿宋" w:cs="仿宋" w:hint="eastAsia"/>
            <w:lang w:eastAsia="zh-CN"/>
          </w:rPr>
          <w:t>(三)、市场风险大</w:t>
        </w:r>
        <w:r>
          <w:tab/>
        </w:r>
        <w:r>
          <w:fldChar w:fldCharType="begin"/>
        </w:r>
        <w:r>
          <w:instrText xml:space="preserve"> PAGEREF _Toc21596 \h </w:instrText>
        </w:r>
        <w:r>
          <w:fldChar w:fldCharType="separate"/>
        </w:r>
        <w:r>
          <w:t>54</w:t>
        </w:r>
        <w:r>
          <w:fldChar w:fldCharType="end"/>
        </w:r>
      </w:hyperlink>
    </w:p>
    <w:p>
      <w:pPr>
        <w:pStyle w:val="TOC2"/>
        <w:tabs>
          <w:tab w:val="right" w:leader="dot" w:pos="8306"/>
        </w:tabs>
      </w:pPr>
      <w:hyperlink w:anchor="_Toc2880" w:history="1">
        <w:r>
          <w:rPr>
            <w:rFonts w:ascii="仿宋" w:eastAsia="仿宋" w:hAnsi="仿宋" w:cs="仿宋" w:hint="eastAsia"/>
            <w:lang w:eastAsia="zh-CN"/>
          </w:rPr>
          <w:t>(四)、利润率高</w:t>
        </w:r>
        <w:r>
          <w:tab/>
        </w:r>
        <w:r>
          <w:fldChar w:fldCharType="begin"/>
        </w:r>
        <w:r>
          <w:instrText xml:space="preserve"> PAGEREF _Toc2880 \h </w:instrText>
        </w:r>
        <w:r>
          <w:fldChar w:fldCharType="separate"/>
        </w:r>
        <w:r>
          <w:t>57</w:t>
        </w:r>
        <w:r>
          <w:fldChar w:fldCharType="end"/>
        </w:r>
      </w:hyperlink>
    </w:p>
    <w:p>
      <w:pPr>
        <w:pStyle w:val="TOC1"/>
        <w:tabs>
          <w:tab w:val="right" w:leader="dot" w:pos="8306"/>
        </w:tabs>
      </w:pPr>
      <w:hyperlink w:anchor="_Toc12633" w:history="1">
        <w:r>
          <w:rPr>
            <w:rFonts w:ascii="仿宋" w:eastAsia="仿宋" w:hAnsi="仿宋" w:cs="仿宋" w:hint="eastAsia"/>
            <w:lang w:eastAsia="zh-CN"/>
          </w:rPr>
          <w:t>十二、高纯高碳铬轴承钢及渗碳轴承钢项目人力资源管理</w:t>
        </w:r>
        <w:r>
          <w:tab/>
        </w:r>
        <w:r>
          <w:fldChar w:fldCharType="begin"/>
        </w:r>
        <w:r>
          <w:instrText xml:space="preserve"> PAGEREF _Toc12633 \h </w:instrText>
        </w:r>
        <w:r>
          <w:fldChar w:fldCharType="separate"/>
        </w:r>
        <w:r>
          <w:t>59</w:t>
        </w:r>
        <w:r>
          <w:fldChar w:fldCharType="end"/>
        </w:r>
      </w:hyperlink>
    </w:p>
    <w:p>
      <w:pPr>
        <w:pStyle w:val="TOC2"/>
        <w:tabs>
          <w:tab w:val="right" w:leader="dot" w:pos="8306"/>
        </w:tabs>
      </w:pPr>
      <w:hyperlink w:anchor="_Toc21681" w:history="1">
        <w:r>
          <w:rPr>
            <w:rFonts w:ascii="仿宋" w:eastAsia="仿宋" w:hAnsi="仿宋" w:cs="仿宋" w:hint="eastAsia"/>
            <w:lang w:eastAsia="zh-CN"/>
          </w:rPr>
          <w:t>(一)、建立健全的预算管理制度</w:t>
        </w:r>
        <w:r>
          <w:tab/>
        </w:r>
        <w:r>
          <w:fldChar w:fldCharType="begin"/>
        </w:r>
        <w:r>
          <w:instrText xml:space="preserve"> PAGEREF _Toc21681 \h </w:instrText>
        </w:r>
        <w:r>
          <w:fldChar w:fldCharType="separate"/>
        </w:r>
        <w:r>
          <w:t>59</w:t>
        </w:r>
        <w:r>
          <w:fldChar w:fldCharType="end"/>
        </w:r>
      </w:hyperlink>
    </w:p>
    <w:p>
      <w:pPr>
        <w:pStyle w:val="TOC2"/>
        <w:tabs>
          <w:tab w:val="right" w:leader="dot" w:pos="8306"/>
        </w:tabs>
      </w:pPr>
      <w:hyperlink w:anchor="_Toc2035" w:history="1">
        <w:r>
          <w:rPr>
            <w:rFonts w:ascii="仿宋" w:eastAsia="仿宋" w:hAnsi="仿宋" w:cs="仿宋" w:hint="eastAsia"/>
            <w:lang w:eastAsia="zh-CN"/>
          </w:rPr>
          <w:t>(二)、加强资金流动监控</w:t>
        </w:r>
        <w:r>
          <w:tab/>
        </w:r>
        <w:r>
          <w:fldChar w:fldCharType="begin"/>
        </w:r>
        <w:r>
          <w:instrText xml:space="preserve"> PAGEREF _Toc2035 \h </w:instrText>
        </w:r>
        <w:r>
          <w:fldChar w:fldCharType="separate"/>
        </w:r>
        <w:r>
          <w:t>61</w:t>
        </w:r>
        <w:r>
          <w:fldChar w:fldCharType="end"/>
        </w:r>
      </w:hyperlink>
    </w:p>
    <w:p>
      <w:pPr>
        <w:pStyle w:val="TOC2"/>
        <w:tabs>
          <w:tab w:val="right" w:leader="dot" w:pos="8306"/>
        </w:tabs>
      </w:pPr>
      <w:hyperlink w:anchor="_Toc15293" w:history="1">
        <w:r>
          <w:rPr>
            <w:rFonts w:ascii="仿宋" w:eastAsia="仿宋" w:hAnsi="仿宋" w:cs="仿宋" w:hint="eastAsia"/>
            <w:lang w:eastAsia="zh-CN"/>
          </w:rPr>
          <w:t>(三)、制定完善的风险控制机制</w:t>
        </w:r>
        <w:r>
          <w:tab/>
        </w:r>
        <w:r>
          <w:fldChar w:fldCharType="begin"/>
        </w:r>
        <w:r>
          <w:instrText xml:space="preserve"> PAGEREF _Toc15293 \h </w:instrText>
        </w:r>
        <w:r>
          <w:fldChar w:fldCharType="separate"/>
        </w:r>
        <w:r>
          <w:t>62</w:t>
        </w:r>
        <w:r>
          <w:fldChar w:fldCharType="end"/>
        </w:r>
      </w:hyperlink>
    </w:p>
    <w:p>
      <w:pPr>
        <w:pStyle w:val="TOC2"/>
        <w:tabs>
          <w:tab w:val="right" w:leader="dot" w:pos="8306"/>
        </w:tabs>
      </w:pPr>
      <w:hyperlink w:anchor="_Toc1886" w:history="1">
        <w:r>
          <w:rPr>
            <w:rFonts w:ascii="仿宋" w:eastAsia="仿宋" w:hAnsi="仿宋" w:cs="仿宋" w:hint="eastAsia"/>
            <w:lang w:eastAsia="zh-CN"/>
          </w:rPr>
          <w:t>(四)、优化成本管理</w:t>
        </w:r>
        <w:r>
          <w:tab/>
        </w:r>
        <w:r>
          <w:fldChar w:fldCharType="begin"/>
        </w:r>
        <w:r>
          <w:instrText xml:space="preserve"> PAGEREF _Toc1886 \h </w:instrText>
        </w:r>
        <w:r>
          <w:fldChar w:fldCharType="separate"/>
        </w:r>
        <w:r>
          <w:t>64</w:t>
        </w:r>
        <w:r>
          <w:fldChar w:fldCharType="end"/>
        </w:r>
      </w:hyperlink>
    </w:p>
    <w:p>
      <w:pPr>
        <w:pStyle w:val="TOC1"/>
        <w:tabs>
          <w:tab w:val="right" w:leader="dot" w:pos="8306"/>
        </w:tabs>
      </w:pPr>
      <w:hyperlink w:anchor="_Toc16494" w:history="1">
        <w:r>
          <w:rPr>
            <w:rFonts w:ascii="仿宋" w:eastAsia="仿宋" w:hAnsi="仿宋" w:cs="仿宋" w:hint="eastAsia"/>
            <w:lang w:eastAsia="zh-CN"/>
          </w:rPr>
          <w:t>十三、高纯高碳铬轴承钢及渗碳轴承钢项目实施保障措施</w:t>
        </w:r>
        <w:r>
          <w:tab/>
        </w:r>
        <w:r>
          <w:fldChar w:fldCharType="begin"/>
        </w:r>
        <w:r>
          <w:instrText xml:space="preserve"> PAGEREF _Toc16494 \h </w:instrText>
        </w:r>
        <w:r>
          <w:fldChar w:fldCharType="separate"/>
        </w:r>
        <w:r>
          <w:t>65</w:t>
        </w:r>
        <w:r>
          <w:fldChar w:fldCharType="end"/>
        </w:r>
      </w:hyperlink>
    </w:p>
    <w:p>
      <w:pPr>
        <w:pStyle w:val="TOC2"/>
        <w:tabs>
          <w:tab w:val="right" w:leader="dot" w:pos="8306"/>
        </w:tabs>
      </w:pPr>
      <w:hyperlink w:anchor="_Toc3736" w:history="1">
        <w:r>
          <w:rPr>
            <w:rFonts w:ascii="仿宋" w:eastAsia="仿宋" w:hAnsi="仿宋" w:cs="仿宋" w:hint="eastAsia"/>
            <w:lang w:eastAsia="zh-CN"/>
          </w:rPr>
          <w:t>(一)、高纯高碳铬轴承钢及渗碳轴承钢项目实施保障机制</w:t>
        </w:r>
        <w:r>
          <w:tab/>
        </w:r>
        <w:r>
          <w:fldChar w:fldCharType="begin"/>
        </w:r>
        <w:r>
          <w:instrText xml:space="preserve"> PAGEREF _Toc3736 \h </w:instrText>
        </w:r>
        <w:r>
          <w:fldChar w:fldCharType="separate"/>
        </w:r>
        <w:r>
          <w:t>65</w:t>
        </w:r>
        <w:r>
          <w:fldChar w:fldCharType="end"/>
        </w:r>
      </w:hyperlink>
    </w:p>
    <w:p>
      <w:pPr>
        <w:pStyle w:val="TOC2"/>
        <w:tabs>
          <w:tab w:val="right" w:leader="dot" w:pos="8306"/>
        </w:tabs>
      </w:pPr>
      <w:hyperlink w:anchor="_Toc4217" w:history="1">
        <w:r>
          <w:rPr>
            <w:rFonts w:ascii="仿宋" w:eastAsia="仿宋" w:hAnsi="仿宋" w:cs="仿宋" w:hint="eastAsia"/>
            <w:lang w:eastAsia="zh-CN"/>
          </w:rPr>
          <w:t>(二)、高纯高碳铬轴承钢及渗碳轴承钢项目法律合规要求</w:t>
        </w:r>
        <w:r>
          <w:tab/>
        </w:r>
        <w:r>
          <w:fldChar w:fldCharType="begin"/>
        </w:r>
        <w:r>
          <w:instrText xml:space="preserve"> PAGEREF _Toc4217 \h </w:instrText>
        </w:r>
        <w:r>
          <w:fldChar w:fldCharType="separate"/>
        </w:r>
        <w:r>
          <w:t>69</w:t>
        </w:r>
        <w:r>
          <w:fldChar w:fldCharType="end"/>
        </w:r>
      </w:hyperlink>
    </w:p>
    <w:p>
      <w:pPr>
        <w:pStyle w:val="TOC2"/>
        <w:tabs>
          <w:tab w:val="right" w:leader="dot" w:pos="8306"/>
        </w:tabs>
      </w:pPr>
      <w:hyperlink w:anchor="_Toc31853" w:history="1">
        <w:r>
          <w:rPr>
            <w:rFonts w:ascii="仿宋" w:eastAsia="仿宋" w:hAnsi="仿宋" w:cs="仿宋" w:hint="eastAsia"/>
            <w:lang w:eastAsia="zh-CN"/>
          </w:rPr>
          <w:t>(三)、高纯高碳铬轴承钢及渗碳轴承钢项目合同管理与法律事务</w:t>
        </w:r>
        <w:r>
          <w:tab/>
        </w:r>
        <w:r>
          <w:fldChar w:fldCharType="begin"/>
        </w:r>
        <w:r>
          <w:instrText xml:space="preserve"> PAGEREF _Toc31853 \h </w:instrText>
        </w:r>
        <w:r>
          <w:fldChar w:fldCharType="separate"/>
        </w:r>
        <w:r>
          <w:t>74</w:t>
        </w:r>
        <w:r>
          <w:fldChar w:fldCharType="end"/>
        </w:r>
      </w:hyperlink>
    </w:p>
    <w:p>
      <w:pPr>
        <w:pStyle w:val="TOC2"/>
        <w:tabs>
          <w:tab w:val="right" w:leader="dot" w:pos="8306"/>
        </w:tabs>
      </w:pPr>
      <w:hyperlink w:anchor="_Toc32701" w:history="1">
        <w:r>
          <w:rPr>
            <w:rFonts w:ascii="仿宋" w:eastAsia="仿宋" w:hAnsi="仿宋" w:cs="仿宋" w:hint="eastAsia"/>
            <w:lang w:eastAsia="zh-CN"/>
          </w:rPr>
          <w:t>(四)、高纯高碳铬轴承钢及渗碳轴承钢项目知识产权保护策略</w:t>
        </w:r>
        <w:r>
          <w:tab/>
        </w:r>
        <w:r>
          <w:fldChar w:fldCharType="begin"/>
        </w:r>
        <w:r>
          <w:instrText xml:space="preserve"> PAGEREF _Toc32701 \h </w:instrText>
        </w:r>
        <w:r>
          <w:fldChar w:fldCharType="separate"/>
        </w:r>
        <w:r>
          <w:t>81</w:t>
        </w:r>
        <w:r>
          <w:fldChar w:fldCharType="end"/>
        </w:r>
      </w:hyperlink>
    </w:p>
    <w:p>
      <w:pPr>
        <w:pStyle w:val="TOC1"/>
        <w:tabs>
          <w:tab w:val="right" w:leader="dot" w:pos="8306"/>
        </w:tabs>
      </w:pPr>
      <w:hyperlink w:anchor="_Toc3189" w:history="1">
        <w:r>
          <w:rPr>
            <w:rFonts w:ascii="仿宋" w:eastAsia="仿宋" w:hAnsi="仿宋" w:cs="仿宋" w:hint="eastAsia"/>
            <w:lang w:eastAsia="zh-CN"/>
          </w:rPr>
          <w:t>十四、高纯高碳铬轴承钢及渗碳轴承钢项目工程方案分析</w:t>
        </w:r>
        <w:r>
          <w:tab/>
        </w:r>
        <w:r>
          <w:fldChar w:fldCharType="begin"/>
        </w:r>
        <w:r>
          <w:instrText xml:space="preserve"> PAGEREF _Toc3189 \h </w:instrText>
        </w:r>
        <w:r>
          <w:fldChar w:fldCharType="separate"/>
        </w:r>
        <w:r>
          <w:t>84</w:t>
        </w:r>
        <w:r>
          <w:fldChar w:fldCharType="end"/>
        </w:r>
      </w:hyperlink>
    </w:p>
    <w:p>
      <w:pPr>
        <w:pStyle w:val="TOC2"/>
        <w:tabs>
          <w:tab w:val="right" w:leader="dot" w:pos="8306"/>
        </w:tabs>
      </w:pPr>
      <w:hyperlink w:anchor="_Toc7620" w:history="1">
        <w:r>
          <w:rPr>
            <w:rFonts w:ascii="仿宋" w:eastAsia="仿宋" w:hAnsi="仿宋" w:cs="仿宋" w:hint="eastAsia"/>
            <w:lang w:eastAsia="zh-CN"/>
          </w:rPr>
          <w:t>(一)、建筑工程设计原则</w:t>
        </w:r>
        <w:r>
          <w:tab/>
        </w:r>
        <w:r>
          <w:fldChar w:fldCharType="begin"/>
        </w:r>
        <w:r>
          <w:instrText xml:space="preserve"> PAGEREF _Toc7620 \h </w:instrText>
        </w:r>
        <w:r>
          <w:fldChar w:fldCharType="separate"/>
        </w:r>
        <w:r>
          <w:t>84</w:t>
        </w:r>
        <w:r>
          <w:fldChar w:fldCharType="end"/>
        </w:r>
      </w:hyperlink>
    </w:p>
    <w:p>
      <w:pPr>
        <w:pStyle w:val="TOC2"/>
        <w:tabs>
          <w:tab w:val="right" w:leader="dot" w:pos="8306"/>
        </w:tabs>
      </w:pPr>
      <w:hyperlink w:anchor="_Toc4384" w:history="1">
        <w:r>
          <w:rPr>
            <w:rFonts w:ascii="仿宋" w:eastAsia="仿宋" w:hAnsi="仿宋" w:cs="仿宋" w:hint="eastAsia"/>
            <w:lang w:eastAsia="zh-CN"/>
          </w:rPr>
          <w:t>(二)、土建工程建设指标</w:t>
        </w:r>
        <w:r>
          <w:tab/>
        </w:r>
        <w:r>
          <w:fldChar w:fldCharType="begin"/>
        </w:r>
        <w:r>
          <w:instrText xml:space="preserve"> PAGEREF _Toc4384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755"/>
      <w:r>
        <w:rPr>
          <w:rFonts w:ascii="仿宋" w:eastAsia="仿宋" w:hAnsi="仿宋" w:cs="仿宋" w:hint="eastAsia"/>
          <w:sz w:val="28"/>
          <w:lang w:eastAsia="zh-CN"/>
        </w:rPr>
        <w:t>一、高纯高碳铬轴承钢及渗碳轴承钢项目可持续发展</w:t>
      </w:r>
      <w:bookmarkEnd w:id="2"/>
    </w:p>
    <w:p>
      <w:pPr>
        <w:pStyle w:val="Heading2"/>
        <w:rPr>
          <w:rFonts w:ascii="仿宋" w:eastAsia="仿宋" w:hAnsi="仿宋" w:cs="仿宋" w:hint="eastAsia"/>
          <w:lang w:eastAsia="zh-CN"/>
        </w:rPr>
      </w:pPr>
      <w:bookmarkStart w:id="3" w:name="_Toc759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高碳铬轴承钢及渗碳轴承钢项目中，高纯高碳铬轴承钢及渗碳轴承钢项目团队着眼于未来，明确了可持续发展的战略方向。制定的具体可持续发展目标包括降低资源使用、采用环保技术、最大化社会效益等。这一步骤不仅有助于高纯高碳铬轴承钢及渗碳轴承钢项目在环保和社会责任方面达到最高标准，也为未来提供了明确的指引，确保高纯高碳铬轴承钢及渗碳轴承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可持续实践的融入高纯高碳铬轴承钢及渗碳轴承钢项目管理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纯高碳铬轴承钢及渗碳轴承钢项目管理周期。从高纯高碳铬轴承钢及渗碳轴承钢项目规划开始，高纯高碳铬轴承钢及渗碳轴承钢项目团队就考虑了环境和社会的因素。在执行阶段，高纯高碳铬轴承钢及渗碳轴承钢项目团队积极推动绿色技术的应用，优化资源利用。此外，关注员工的社会责任，通过培训和沟通活动提高员工对可持续发展的认知，使他们能够在日常工作中践行可持续实践。这些举措不仅为高纯高碳铬轴承钢及渗碳轴承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11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纯高碳铬轴承钢及渗碳轴承钢项目的可持续发展理念，我们深信环保与社会责任是高纯高碳铬轴承钢及渗碳轴承钢项目成功的关键支柱。在高纯高碳铬轴承钢及渗碳轴承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高碳铬轴承钢及渗碳轴承钢项目团队通过引入先进的环保技术、建立高效的废物处理系统以及推动能源节约措施，积极履行环保责任。定期的环保监测和评估确保高纯高碳铬轴承钢及渗碳轴承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高碳铬轴承钢及渗碳轴承钢项目不仅致力于自身可持续发展，还注重对社会的回馈。通过支持社区高纯高碳铬轴承钢及渗碳轴承钢项目、参与慈善事业、提供培训机会等方式，高纯高碳铬轴承钢及渗碳轴承钢项目积极履行社会责任。与当地社区建立积极互动，关注员工的工作与生活平衡，以及员工的身心健康，是高纯高碳铬轴承钢及渗碳轴承钢项目在社会责任层面的关键举措。这样的实践不仅增强了高纯高碳铬轴承钢及渗碳轴承钢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934"/>
      <w:r>
        <w:rPr>
          <w:rFonts w:ascii="仿宋" w:eastAsia="仿宋" w:hAnsi="仿宋" w:cs="仿宋" w:hint="eastAsia"/>
          <w:sz w:val="28"/>
          <w:lang w:eastAsia="zh-CN"/>
        </w:rPr>
        <w:t>二、高纯高碳铬轴承钢及渗碳轴承钢项目土建工程</w:t>
      </w:r>
      <w:bookmarkEnd w:id="5"/>
    </w:p>
    <w:p>
      <w:pPr>
        <w:pStyle w:val="Heading2"/>
        <w:rPr>
          <w:rFonts w:ascii="仿宋" w:eastAsia="仿宋" w:hAnsi="仿宋" w:cs="仿宋" w:hint="eastAsia"/>
          <w:lang w:eastAsia="zh-CN"/>
        </w:rPr>
      </w:pPr>
      <w:bookmarkStart w:id="6" w:name="_Toc1551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在高纯高碳铬轴承钢及渗碳轴承钢项目的建筑工程设计中，我们将秉承一系列重要的设计原则，以确保高纯高碳铬轴承钢及渗碳轴承钢项目建筑在功能、美观、可持续性等方面达到最佳效果。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首要原则是确保建筑的功能性得到最大化的发挥。我们将充分理解高纯高碳铬轴承钢及渗碳轴承钢项目的实际需求，合理布局各个功能区域，保证建筑在满足业务需求的同时，提供高效的工作环境。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在建筑设计中，我们将综合考虑建设和运营成本。通过精细的经济效益分析，确保设计方案在高效利用资源的同时，对高纯高碳铬轴承钢及渗碳轴承钢项目的长期盈利能力有积极的贡献。</w:t>
      </w:r>
    </w:p>
    <w:p>
      <w:pPr>
        <w:pStyle w:val="Heading2"/>
        <w:ind w:firstLine="560" w:firstLineChars="200"/>
        <w:rPr>
          <w:rFonts w:ascii="仿宋" w:eastAsia="仿宋" w:hAnsi="仿宋" w:cs="仿宋" w:hint="eastAsia"/>
          <w:sz w:val="28"/>
          <w:lang w:eastAsia="zh-CN"/>
        </w:rPr>
      </w:pPr>
      <w:bookmarkStart w:id="7" w:name="_Toc1498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高碳铬轴承钢及渗碳轴承钢项目的土建工程设计中，我们将精准设定设计年限，结合高纯高碳铬轴承钢及渗碳轴承钢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纯高碳铬轴承钢及渗碳轴承钢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423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纯高碳铬轴承钢及渗碳轴承钢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纯高碳铬轴承钢及渗碳轴承钢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纯高碳铬轴承钢及渗碳轴承钢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4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本期工程高纯高碳铬轴承钢及渗碳轴承钢项目预计总建筑面积XXX平方米，其中：计容建筑面积XXX平方米，计划建筑工程投资XX万元，占高纯高碳铬轴承钢及渗碳轴承钢项目总投资的XX%。</w:t>
      </w:r>
    </w:p>
    <w:p>
      <w:pPr>
        <w:pStyle w:val="Heading1"/>
        <w:ind w:firstLine="560" w:firstLineChars="200"/>
        <w:rPr>
          <w:rFonts w:ascii="仿宋" w:eastAsia="仿宋" w:hAnsi="仿宋" w:cs="仿宋" w:hint="eastAsia"/>
          <w:sz w:val="28"/>
          <w:lang w:eastAsia="zh-CN"/>
        </w:rPr>
      </w:pPr>
      <w:bookmarkStart w:id="10" w:name="_Toc30191"/>
      <w:r>
        <w:rPr>
          <w:rFonts w:ascii="仿宋" w:eastAsia="仿宋" w:hAnsi="仿宋" w:cs="仿宋" w:hint="eastAsia"/>
          <w:sz w:val="28"/>
          <w:lang w:eastAsia="zh-CN"/>
        </w:rPr>
        <w:t>三、高纯高碳铬轴承钢及渗碳轴承钢项目建设背景及必要性分析</w:t>
      </w:r>
      <w:bookmarkEnd w:id="10"/>
    </w:p>
    <w:p>
      <w:pPr>
        <w:pStyle w:val="Heading2"/>
        <w:rPr>
          <w:rFonts w:ascii="仿宋" w:eastAsia="仿宋" w:hAnsi="仿宋" w:cs="仿宋" w:hint="eastAsia"/>
          <w:lang w:eastAsia="zh-CN"/>
        </w:rPr>
      </w:pPr>
      <w:bookmarkStart w:id="11" w:name="_Toc12910"/>
      <w:r>
        <w:rPr>
          <w:rFonts w:ascii="仿宋" w:eastAsia="仿宋" w:hAnsi="仿宋" w:cs="仿宋" w:hint="eastAsia"/>
          <w:lang w:eastAsia="zh-CN"/>
        </w:rPr>
        <w:t>(一)、高纯高碳铬轴承钢及渗碳轴承钢项目背景分析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高碳铬轴承钢及渗碳轴承钢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纯高碳铬轴承钢及渗碳轴承钢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纯高碳铬轴承钢及渗碳轴承钢项目在这个潮流中的定位。同时，我们将关注行业内涌现的新兴机遇，以便高纯高碳铬轴承钢及渗碳轴承钢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纯高碳铬轴承钢及渗碳轴承钢项目提供了强大的发展动力。我们将聚焦于行业内最新的技术发展趋势，包括但不限于人工智能、大数据分析、物联网等领域。通过深度的技术研究，我们将确保高纯高碳铬轴承钢及渗碳轴承钢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纯高碳铬轴承钢及渗碳轴承钢项目发展的源泉。我们将投入更多的精力对市场需求进行深入剖析，超越表面的需求，深入挖掘潜在的市场痛点和机遇。通过对市场需求的细致了解，高纯高碳铬轴承钢及渗碳轴承钢项目将更有针对性地设计解决方案，满足市场的多样化需求，从而更好地促进高纯高碳铬轴承钢及渗碳轴承钢项目的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纯高碳铬轴承钢及渗碳轴承钢项目战略至关重要。我们将对竞争态势进行更为深入的分析，包括但不限于市场份额、产品特点、客户满意度等多个维度。通过深度的竞争分析，高纯高碳铬轴承钢及渗碳轴承钢项目将能够更准确地把握市场脉搏，制定具有竞争力的高纯高碳铬轴承钢及渗碳轴承钢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纯高碳铬轴承钢及渗碳轴承钢项目的发展具有直接的影响。我们将进行更为全面的法规和政策分析，了解行业发展中的潜在法律风险和合规挑战。通过充分了解和遵守相关法规，高纯高碳铬轴承钢及渗碳轴承钢项目将确保在法律框架内合法合规运营，为高纯高碳铬轴承钢及渗碳轴承钢项目的稳健发展提供有力支持。</w:t>
      </w:r>
    </w:p>
    <w:p>
      <w:pPr>
        <w:pStyle w:val="Heading2"/>
        <w:ind w:firstLine="560" w:firstLineChars="200"/>
        <w:rPr>
          <w:rFonts w:ascii="仿宋" w:eastAsia="仿宋" w:hAnsi="仿宋" w:cs="仿宋" w:hint="eastAsia"/>
          <w:sz w:val="28"/>
          <w:lang w:eastAsia="zh-CN"/>
        </w:rPr>
      </w:pPr>
      <w:bookmarkStart w:id="12" w:name="_Toc8315"/>
      <w:r>
        <w:rPr>
          <w:rFonts w:ascii="仿宋" w:eastAsia="仿宋" w:hAnsi="仿宋" w:cs="仿宋" w:hint="eastAsia"/>
          <w:sz w:val="28"/>
          <w:lang w:eastAsia="zh-CN"/>
        </w:rPr>
        <w:t>(二)、高纯高碳铬轴承钢及渗碳轴承钢项目建设必要性分析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高碳铬轴承钢及渗碳轴承钢项目建设的迫切性源于对行业发展趋势的深刻洞察。我们正处于一个行业变革的时代，科技创新、数字化转型成为企业发展的关键动力。高纯高碳铬轴承钢及渗碳轴承钢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高碳铬轴承钢及渗碳轴承钢项目建设不仅仅是为了跟上潮流，更是为了通过技术创新推动企业的持续发展。通过引入先进的技术和解决方案，高纯高碳铬轴承钢及渗碳轴承钢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纯高碳铬轴承钢及渗碳轴承钢项目的建设成为必然选择，通过提高产品质量、拓展服务领域，从而在竞争中获得更多的机会。高纯高碳铬轴承钢及渗碳轴承钢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纯高碳铬轴承钢及渗碳轴承钢项目建设的必要性体现在对客户需求更精准的满足。通过高纯高碳铬轴承钢及渗碳轴承钢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高碳铬轴承钢及渗碳轴承钢项目建设的背后是对企业持续创新的追求。只有通过不断创新，企业才能在竞争中立于不败之地。高纯高碳铬轴承钢及渗碳轴承钢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6422"/>
      <w:r>
        <w:rPr>
          <w:rFonts w:ascii="仿宋" w:eastAsia="仿宋" w:hAnsi="仿宋" w:cs="仿宋" w:hint="eastAsia"/>
          <w:sz w:val="28"/>
          <w:lang w:eastAsia="zh-CN"/>
        </w:rPr>
        <w:t>四、高纯高碳铬轴承钢及渗碳轴承钢项目危机管理</w:t>
      </w:r>
      <w:bookmarkEnd w:id="13"/>
    </w:p>
    <w:p>
      <w:pPr>
        <w:pStyle w:val="Heading2"/>
        <w:rPr>
          <w:rFonts w:ascii="仿宋" w:eastAsia="仿宋" w:hAnsi="仿宋" w:cs="仿宋" w:hint="eastAsia"/>
          <w:lang w:eastAsia="zh-CN"/>
        </w:rPr>
      </w:pPr>
      <w:bookmarkStart w:id="14" w:name="_Toc26209"/>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高纯高碳铬轴承钢及渗碳轴承钢项目危机管理中，危机预警与识别是确保高纯高碳铬轴承钢及渗碳轴承钢项目稳健运行的核心步骤。通过建立全面的监测机制，高纯高碳铬轴承钢及渗碳轴承钢项目团队旨在及时发现和理解潜在的风险和危机因素，以便采取及时的预防和应对措施，确保高纯高碳铬轴承钢及渗碳轴承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纯高碳铬轴承钢及渗碳轴承钢项目团队全面分析了整个高纯高碳铬轴承钢及渗碳轴承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纯高碳铬轴承钢及渗碳轴承钢项目团队着重于明确定义高纯高碳铬轴承钢及渗碳轴承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纯高碳铬轴承钢及渗碳轴承钢项目进展的持续监控，团队能够及时发现潜在问题并作出迅速反应。高纯高碳铬轴承钢及渗碳轴承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纯高碳铬轴承钢及渗碳轴承钢项目得以更有序、可控地推进。</w:t>
      </w:r>
    </w:p>
    <w:p>
      <w:pPr>
        <w:pStyle w:val="Heading2"/>
        <w:ind w:firstLine="560" w:firstLineChars="200"/>
        <w:rPr>
          <w:rFonts w:ascii="仿宋" w:eastAsia="仿宋" w:hAnsi="仿宋" w:cs="仿宋" w:hint="eastAsia"/>
          <w:sz w:val="28"/>
          <w:lang w:eastAsia="zh-CN"/>
        </w:rPr>
      </w:pPr>
      <w:bookmarkStart w:id="15" w:name="_Toc23528"/>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在危机发生时，高纯高碳铬轴承钢及渗碳轴承钢项目团队立即行动，成立了应急小组。该小组的任务是迅速制定并实施紧急应对措施，以最小化潜在损失。以下是采取的主要措施：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暂停高纯高碳铬轴承钢及渗碳轴承钢项目进度：为遏制危机蔓延，高纯高碳铬轴承钢及渗碳轴承钢项目暂时停止进行，以便全面评估当前状况。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资源重新分配：重新评估高纯高碳铬轴承钢及渗碳轴承钢项目资源的分配，确保最大限度地减小损失。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实时沟通：与关键利益相关者建立实时沟通机制，向他们传递高纯高碳铬轴承钢及渗碳轴承钢项目危机的实际状况，保障高纯高碳铬轴承钢及渗碳轴承钢项目核心利益。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在紧急应对的同时，高纯高碳铬轴承钢及渗碳轴承钢项目团队强调了团队协作和有效沟通的重要性。以下是团队协作的关键举措：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信息共享机制：建立了信息共享平台，确保团队成员能够及时获取高纯高碳铬轴承钢及渗碳轴承钢项目危机的实时信息。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领导者沟通：高纯高碳铬轴承钢及渗碳轴承钢项目领导者通过定期会议和即时沟通工具，指导团队应对危机，保持团队稳定运行。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随着危机得到初步控制，高纯高碳铬轴承钢及渗碳轴承钢项目团队转向制定恢复计划，以确保高纯高碳铬轴承钢及渗碳轴承钢项目能够从中迅速恢复。主要恢复计划包括：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修复受损的进度计划：重新评估高纯高碳铬轴承钢及渗碳轴承钢项目进度，制定修复计划，确保高纯高碳铬轴承钢及渗碳轴承钢项目尽快回归正常进程。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重新调整资源分配：优化资源分配，确保高纯高碳铬轴承钢及渗碳轴承钢项目在有限资源下高效运转。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风险管理机制加强：对高纯高碳铬轴承钢及渗碳轴承钢项目风险进行全面评估，制定更强化的风险管理策略，以预防未来可能的危机。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6875"/>
      <w:r>
        <w:rPr>
          <w:rFonts w:ascii="仿宋" w:eastAsia="仿宋" w:hAnsi="仿宋" w:cs="仿宋" w:hint="eastAsia"/>
          <w:sz w:val="28"/>
          <w:lang w:eastAsia="zh-CN"/>
        </w:rPr>
        <w:t>五、高纯高碳铬轴承钢及渗碳轴承钢项目选址可行性分析</w:t>
      </w:r>
      <w:bookmarkEnd w:id="16"/>
    </w:p>
    <w:p>
      <w:pPr>
        <w:pStyle w:val="Heading2"/>
        <w:rPr>
          <w:rFonts w:ascii="仿宋" w:eastAsia="仿宋" w:hAnsi="仿宋" w:cs="仿宋" w:hint="eastAsia"/>
          <w:lang w:eastAsia="zh-CN"/>
        </w:rPr>
      </w:pPr>
      <w:bookmarkStart w:id="17" w:name="_Toc14044"/>
      <w:r>
        <w:rPr>
          <w:rFonts w:ascii="仿宋" w:eastAsia="仿宋" w:hAnsi="仿宋" w:cs="仿宋" w:hint="eastAsia"/>
          <w:lang w:eastAsia="zh-CN"/>
        </w:rPr>
        <w:t>(一)、高纯高碳铬轴承钢及渗碳轴承钢项目选址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该高纯高碳铬轴承钢及渗碳轴承钢项目选址位于XX省XX市XX区XXX街道</w:t>
      </w:r>
    </w:p>
    <w:p>
      <w:pPr>
        <w:pStyle w:val="Heading2"/>
        <w:ind w:firstLine="560" w:firstLineChars="200"/>
        <w:rPr>
          <w:rFonts w:ascii="仿宋" w:eastAsia="仿宋" w:hAnsi="仿宋" w:cs="仿宋" w:hint="eastAsia"/>
          <w:sz w:val="28"/>
          <w:lang w:eastAsia="zh-CN"/>
        </w:rPr>
      </w:pPr>
      <w:bookmarkStart w:id="18" w:name="_Toc29177"/>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纯高碳铬轴承钢及渗碳轴承钢项目的征地面积将根据高纯高碳铬轴承钢及渗碳轴承钢项目的实际规模和需求进行精确规划。具体面积XXX平方米，旨在确保高纯高碳铬轴承钢及渗碳轴承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净用地面积是在征地面积基础上去除不可利用面积后的实际可开发用地。具体面积XXX平方米，考虑到环保、交通、安全等多方面因素，以确保高纯高碳铬轴承钢及渗碳轴承钢项目在整体利用效率上达到最优。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纯高碳铬轴承钢及渗碳轴承钢项目计划建设的建筑总规模具体面积XXX平方米。这一规模的确定综合考虑了高纯高碳铬轴承钢及渗碳轴承钢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高纯高碳铬轴承钢及渗碳轴承钢项目用地中被规划为绿地的比例。具体面积XXX平方米，旨在通过合理规划绿地，改善高纯高碳铬轴承钢及渗碳轴承钢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容积率是用地上可以建设的建筑总体积与用地面积之比。具体面积XXX，通过合理的容积率规划，确保高纯高碳铬轴承钢及渗碳轴承钢项目建筑规模与周边环境和谐共生。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纯高碳铬轴承钢及渗碳轴承钢项目选址与当地城市规划相一致，具体面积XXX平方米。通过与城市规划部门深入沟通，确保高纯高碳铬轴承钢及渗碳轴承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纯高碳铬轴承钢及渗碳轴承钢项目选址符合当地产业政策，具体面积XXX平方米。这包括高纯高碳铬轴承钢及渗碳轴承钢项目对当地经济的促进作用，以及对相关产业的带动效应，确保高纯高碳铬轴承钢及渗碳轴承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纯高碳铬轴承钢及渗碳轴承钢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https://d.book118.com/538074122050006025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高纯高碳铬轴承钢及渗碳轴承钢项目计划设计方案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AD622F"/>
    <w:rsid w:val="41AD62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074122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2024-01-10T05:49:00Z</dcterms:created>
  <dcterms:modified xsi:type="dcterms:W3CDTF">2024-01-10T05:49:51Z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30E914D6E20A475B90768BDD3E6353C3_11</vt:lpwstr>
  </property>
  <property fmtid="{D5CDD505-2E9C-101B-9397-08002B2CF9AE}" pid="3" name="KSOProductBuildVer">
    <vt:lpwstr>2052-12.1.0.16120</vt:lpwstr>
  </property>
</Properties>
</file>