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D35264" w14:paraId="6540F63A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D35264" w14:paraId="2511FD50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D35264" w14:paraId="47BF7FA7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D35264" w:rsidRPr="00D35264" w14:paraId="0272BD99" w14:textId="1670F306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D35264">
        <w:rPr>
          <w:rFonts w:ascii="宋体" w:eastAsia="宋体" w:hAnsi="宋体" w:hint="eastAsia"/>
          <w:b/>
          <w:sz w:val="60"/>
        </w:rPr>
        <w:t>红细胞溶血素行业项目可行性分析报告</w:t>
      </w:r>
    </w:p>
    <w:p w:rsidR="00D35264" w:rsidP="00D35264" w14:paraId="2F0E15AB" w14:textId="56AE940E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D35264">
        <w:rPr>
          <w:rFonts w:ascii="仿宋" w:eastAsia="仿宋" w:hAnsi="仿宋" w:hint="eastAsia"/>
          <w:b/>
          <w:sz w:val="40"/>
        </w:rPr>
        <w:t>目录</w:t>
      </w:r>
    </w:p>
    <w:p w:rsidR="00D35264" w14:paraId="2B6C138C" w14:textId="0968CA15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绪论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_Toc160528304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D35264" w14:paraId="6C36A48B" w14:textId="536AC5C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一、红细胞溶血素项目主要建(构)筑物建设工程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_Toc160528305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D35264" w14:paraId="07535BAA" w14:textId="10BA1236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(一)、抗震设防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_Toc160528306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D35264" w14:paraId="23F04347" w14:textId="01CB196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(二)、建筑结构形势及基础方案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_Toc160528307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D35264" w14:paraId="5351CF50" w14:textId="21CD8BF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(三)、主要建(构)筑物建设工程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_Toc160528308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D35264" w14:paraId="048B05B6" w14:textId="232FD92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二、创新研发和知识产权保护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_Toc160528309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D35264" w14:paraId="6466BBD5" w14:textId="11ECE44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(一)、创新研发的思路和方法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_Toc160528310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D35264" w14:paraId="5440B45E" w14:textId="1987BA9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(二)、知识产权保护的策略和措施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_Toc160528311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D35264" w14:paraId="515459C2" w14:textId="528772A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(三)、技术转让和专利许可的协议管理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_Toc160528312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D35264" w14:paraId="2C0438A0" w14:textId="75D8D55B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三、灵活性和可持续性平衡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_Toc160528313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D35264" w14:paraId="38FD211A" w14:textId="5C5037B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(一)、灵活生产与资源效率的平衡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_Toc160528314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D35264" w14:paraId="61EBA727" w14:textId="515397E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(二)、可持续生产和市场变化的平衡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_Toc160528315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D35264" w14:paraId="287872AA" w14:textId="794DD25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(三)、灵活可行性策略的实施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_Toc160528316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D35264" w14:paraId="2FD3A206" w14:textId="1441358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四、红细胞溶血素项目选址科学性分析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_Toc160528317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D35264" w14:paraId="64FB97D8" w14:textId="684DB9E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(一)、红细胞溶血素项目厂址的选择原则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_Toc160528318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D35264" w14:paraId="22FD273E" w14:textId="57EEDDB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(二)、红细胞溶血素项目区概况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_Toc160528319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D35264" w14:paraId="64D72CF8" w14:textId="159EC8D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(三)、红细胞溶血素厂址选择方案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_Toc160528320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D35264" w14:paraId="2DE50FD2" w14:textId="6C4502B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(四)、红细胞溶血素项目选址用地权属性质类别及占地面积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_Toc160528321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D35264" w14:paraId="479CAA14" w14:textId="592D522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(五)、红细胞溶血素项目用地利用指标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_Toc160528322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D35264" w14:paraId="6035A358" w14:textId="54F9668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五、产品定价和销售策略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_Toc160528323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D35264" w14:paraId="04C85E42" w14:textId="684FF96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(一)、产品定价的原则和策略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_Toc160528324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https://d.book118.com/538143056107006042</w:t>
        </w:r>
      </w:hyperlink>
    </w:p>
    <w:p w:rsidR="00D35264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5264" w:rsidP="00BE6ED2" w14:paraId="62568B57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35264" w14:paraId="39932DF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5264" w:rsidP="00BE6ED2" w14:paraId="2D2C80F1" w14:textId="115C5B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D35264" w14:paraId="7F521051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5264" w14:paraId="56569760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5264" w:rsidP="00BE6ED2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35264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5264" w:rsidP="00BE6ED2" w14:textId="115C5B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D35264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526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5264" w14:paraId="412D9E2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5264" w:rsidRPr="00D35264" w:rsidP="00D35264" w14:paraId="57F35659" w14:textId="6329CE16">
    <w:pPr>
      <w:pStyle w:val="Header"/>
      <w:rPr>
        <w:rFonts w:ascii="仿宋" w:eastAsia="仿宋" w:hAnsi="仿宋"/>
      </w:rPr>
    </w:pPr>
    <w:r w:rsidRPr="00D35264">
      <w:rPr>
        <w:rFonts w:ascii="仿宋" w:eastAsia="仿宋" w:hAnsi="仿宋" w:hint="eastAsia"/>
      </w:rPr>
      <w:t>红细胞溶血素可行性报告</w:t>
    </w:r>
    <w:r w:rsidRPr="00D35264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5264" w14:paraId="2DEA9FE3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5264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5264" w:rsidRPr="00D35264" w:rsidP="00D35264" w14:textId="6329CE16">
    <w:pPr>
      <w:pStyle w:val="Header"/>
      <w:rPr>
        <w:rFonts w:ascii="仿宋" w:eastAsia="仿宋" w:hAnsi="仿宋"/>
      </w:rPr>
    </w:pPr>
    <w:r w:rsidRPr="00D35264">
      <w:rPr>
        <w:rFonts w:ascii="仿宋" w:eastAsia="仿宋" w:hAnsi="仿宋" w:hint="eastAsia"/>
      </w:rPr>
      <w:t>红细胞溶血素可行性报告</w:t>
    </w:r>
    <w:r w:rsidRPr="00D35264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526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64"/>
    <w:rsid w:val="00BE6ED2"/>
    <w:rsid w:val="00D3526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6B136C"/>
  <w15:chartTrackingRefBased/>
  <w15:docId w15:val="{25EB7B4D-2442-476D-8C2A-6CDD7424C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D3526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D3526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35264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D3526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D3526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D35264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D352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D35264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35264"/>
  </w:style>
  <w:style w:type="paragraph" w:styleId="TOC1">
    <w:name w:val="toc 1"/>
    <w:basedOn w:val="Normal"/>
    <w:next w:val="Normal"/>
    <w:autoRedefine/>
    <w:uiPriority w:val="39"/>
    <w:unhideWhenUsed/>
    <w:rsid w:val="00D35264"/>
  </w:style>
  <w:style w:type="paragraph" w:styleId="TOC2">
    <w:name w:val="toc 2"/>
    <w:basedOn w:val="Normal"/>
    <w:next w:val="Normal"/>
    <w:autoRedefine/>
    <w:uiPriority w:val="39"/>
    <w:unhideWhenUsed/>
    <w:rsid w:val="00D35264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538143056107006042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3935</Words>
  <Characters>22431</Characters>
  <Application>Microsoft Office Word</Application>
  <DocSecurity>0</DocSecurity>
  <Lines>186</Lines>
  <Paragraphs>52</Paragraphs>
  <ScaleCrop>false</ScaleCrop>
  <Company/>
  <LinksUpToDate>false</LinksUpToDate>
  <CharactersWithSpaces>26314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2024-03-05T02:51:00Z</dcterms:created>
  <dcterms:modified xsi:type="dcterms:W3CDTF">2024-03-05T02:51:00Z</dcterms:modified>
</cp:coreProperties>
</file>