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44" w:line="241" w:lineRule="auto"/>
        <w:ind w:left="8736" w:right="29" w:hanging="942"/>
        <w:rPr>
          <w:sz w:val="21"/>
          <w:szCs w:val="21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4845050</wp:posOffset>
            </wp:positionH>
            <wp:positionV relativeFrom="page">
              <wp:posOffset>3031743</wp:posOffset>
            </wp:positionV>
            <wp:extent cx="2288920" cy="952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892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4845050</wp:posOffset>
            </wp:positionH>
            <wp:positionV relativeFrom="page">
              <wp:posOffset>3250818</wp:posOffset>
            </wp:positionV>
            <wp:extent cx="2288920" cy="952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892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5200014</wp:posOffset>
            </wp:positionH>
            <wp:positionV relativeFrom="page">
              <wp:posOffset>3575490</wp:posOffset>
            </wp:positionV>
            <wp:extent cx="1705610" cy="101530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01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410209</wp:posOffset>
            </wp:positionH>
            <wp:positionV relativeFrom="page">
              <wp:posOffset>594359</wp:posOffset>
            </wp:positionV>
            <wp:extent cx="1563497" cy="37020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3497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4098"/>
          <w:spacing w:val="-4"/>
          <w:sz w:val="21"/>
          <w:szCs w:val="21"/>
        </w:rPr>
        <w:t>证券研究报告</w:t>
      </w:r>
      <w:r>
        <w:rPr>
          <w:color w:val="004098"/>
          <w:spacing w:val="32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004098"/>
          <w:spacing w:val="-4"/>
          <w:sz w:val="21"/>
          <w:szCs w:val="21"/>
        </w:rPr>
        <w:t>|</w:t>
      </w:r>
      <w:r>
        <w:rPr>
          <w:rFonts w:ascii="Tahoma" w:eastAsia="Tahoma" w:hAnsi="Tahoma" w:cs="Tahoma"/>
          <w:color w:val="004098"/>
          <w:spacing w:val="42"/>
          <w:w w:val="101"/>
          <w:sz w:val="21"/>
          <w:szCs w:val="21"/>
        </w:rPr>
        <w:t xml:space="preserve"> </w:t>
      </w:r>
      <w:r>
        <w:rPr>
          <w:color w:val="004098"/>
          <w:spacing w:val="-4"/>
          <w:sz w:val="21"/>
          <w:szCs w:val="21"/>
        </w:rPr>
        <w:t>行业投资策略</w:t>
      </w:r>
      <w:r>
        <w:rPr>
          <w:color w:val="004098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004098"/>
          <w:spacing w:val="-6"/>
          <w:sz w:val="21"/>
          <w:szCs w:val="21"/>
        </w:rPr>
        <w:t xml:space="preserve">2024 </w:t>
      </w:r>
      <w:r>
        <w:rPr>
          <w:color w:val="004098"/>
          <w:spacing w:val="-6"/>
          <w:sz w:val="21"/>
          <w:szCs w:val="21"/>
        </w:rPr>
        <w:t>年</w:t>
      </w:r>
      <w:r>
        <w:rPr>
          <w:color w:val="004098"/>
          <w:spacing w:val="-36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004098"/>
          <w:spacing w:val="-6"/>
          <w:sz w:val="21"/>
          <w:szCs w:val="21"/>
        </w:rPr>
        <w:t>02</w:t>
      </w:r>
      <w:r>
        <w:rPr>
          <w:rFonts w:ascii="Tahoma" w:eastAsia="Tahoma" w:hAnsi="Tahoma" w:cs="Tahoma"/>
          <w:color w:val="004098"/>
          <w:spacing w:val="4"/>
          <w:sz w:val="21"/>
          <w:szCs w:val="21"/>
        </w:rPr>
        <w:t xml:space="preserve"> </w:t>
      </w:r>
      <w:r>
        <w:rPr>
          <w:color w:val="004098"/>
          <w:spacing w:val="-6"/>
          <w:sz w:val="21"/>
          <w:szCs w:val="21"/>
        </w:rPr>
        <w:t>月</w:t>
      </w:r>
      <w:r>
        <w:rPr>
          <w:color w:val="004098"/>
          <w:spacing w:val="-33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004098"/>
          <w:spacing w:val="-6"/>
          <w:sz w:val="21"/>
          <w:szCs w:val="21"/>
        </w:rPr>
        <w:t>20</w:t>
      </w:r>
      <w:r>
        <w:rPr>
          <w:rFonts w:ascii="Tahoma" w:eastAsia="Tahoma" w:hAnsi="Tahoma" w:cs="Tahoma"/>
          <w:color w:val="004098"/>
          <w:spacing w:val="32"/>
          <w:w w:val="101"/>
          <w:sz w:val="21"/>
          <w:szCs w:val="21"/>
        </w:rPr>
        <w:t xml:space="preserve"> </w:t>
      </w:r>
      <w:r>
        <w:rPr>
          <w:color w:val="004098"/>
          <w:spacing w:val="-6"/>
          <w:sz w:val="21"/>
          <w:szCs w:val="21"/>
        </w:rPr>
        <w:t>日</w:t>
      </w:r>
    </w:p>
    <w:p>
      <w:pPr>
        <w:spacing w:before="22" w:line="45" w:lineRule="exact"/>
      </w:pPr>
      <w:r>
        <w:pict>
          <v:shape id="_x0000_i1025" style="width:530.95pt;height:2.25pt;mso-position-horizontal-relative:char;mso-position-vertical-relative:line" coordorigin="0,0" coordsize="10619,45" path="m,45l10618,45l10618,l,l,45xe" filled="t" fillcolor="#004098" stroked="f">
            <w10:wrap type="none"/>
          </v:shape>
        </w:pict>
      </w:r>
    </w:p>
    <w:p>
      <w:pPr>
        <w:pStyle w:val="BodyText"/>
        <w:spacing w:before="338" w:line="215" w:lineRule="auto"/>
        <w:ind w:left="71"/>
        <w:rPr>
          <w:sz w:val="48"/>
          <w:szCs w:val="48"/>
        </w:rPr>
      </w:pPr>
      <w:r>
        <w:rPr>
          <w:color w:val="004098"/>
          <w:spacing w:val="-7"/>
          <w:sz w:val="48"/>
          <w:szCs w:val="48"/>
          <w14:textOutline w14:w="8717">
            <w14:solidFill>
              <w14:srgbClr w14:val="004098"/>
            </w14:solidFill>
            <w14:prstDash w14:val="solid"/>
            <w14:miter w14:lim="10"/>
          </w14:textOutline>
        </w:rPr>
        <w:t>汽车</w:t>
      </w:r>
    </w:p>
    <w:p>
      <w:pPr>
        <w:pStyle w:val="BodyText"/>
        <w:spacing w:before="248" w:line="217" w:lineRule="auto"/>
        <w:ind w:left="56"/>
        <w:outlineLvl w:val="0"/>
        <w:rPr>
          <w:sz w:val="36"/>
          <w:szCs w:val="36"/>
        </w:rPr>
      </w:pPr>
      <w:r>
        <w:rPr>
          <w:rFonts w:ascii="Tahoma" w:eastAsia="Tahoma" w:hAnsi="Tahoma" w:cs="Tahoma"/>
          <w:b/>
          <w:bCs/>
          <w:color w:val="C00000"/>
          <w:spacing w:val="1"/>
          <w:sz w:val="36"/>
          <w:szCs w:val="36"/>
        </w:rPr>
        <w:t xml:space="preserve">2024 </w:t>
      </w:r>
      <w:r>
        <w:rPr>
          <w:color w:val="C00000"/>
          <w:spacing w:val="1"/>
          <w:sz w:val="36"/>
          <w:szCs w:val="36"/>
          <w14:textOutline w14:w="6540">
            <w14:solidFill>
              <w14:srgbClr w14:val="C00000"/>
            </w14:solidFill>
            <w14:prstDash w14:val="solid"/>
            <w14:miter w14:lim="10"/>
          </w14:textOutline>
        </w:rPr>
        <w:t>年向新而行，聚焦智能电动赛道新周期</w:t>
      </w:r>
    </w:p>
    <w:p>
      <w:pPr>
        <w:pStyle w:val="BodyText"/>
        <w:spacing w:before="314" w:line="215" w:lineRule="auto"/>
        <w:ind w:right="30"/>
        <w:jc w:val="right"/>
        <w:rPr>
          <w:sz w:val="36"/>
          <w:szCs w:val="36"/>
        </w:rPr>
      </w:pPr>
      <w:r>
        <w:rPr>
          <w:rFonts w:ascii="Tahoma" w:eastAsia="Tahoma" w:hAnsi="Tahoma" w:cs="Tahoma"/>
          <w:b/>
          <w:bCs/>
          <w:color w:val="C00000"/>
          <w:spacing w:val="-1"/>
          <w:sz w:val="36"/>
          <w:szCs w:val="36"/>
        </w:rPr>
        <w:t>——</w:t>
      </w:r>
      <w:r>
        <w:rPr>
          <w:rFonts w:ascii="Tahoma" w:eastAsia="Tahoma" w:hAnsi="Tahoma" w:cs="Tahoma"/>
          <w:b/>
          <w:bCs/>
          <w:color w:val="C00000"/>
          <w:spacing w:val="-64"/>
          <w:sz w:val="36"/>
          <w:szCs w:val="36"/>
        </w:rPr>
        <w:t xml:space="preserve"> </w:t>
      </w:r>
      <w:r>
        <w:rPr>
          <w:color w:val="C00000"/>
          <w:spacing w:val="-1"/>
          <w:sz w:val="36"/>
          <w:szCs w:val="36"/>
          <w14:textOutline w14:w="6540">
            <w14:solidFill>
              <w14:srgbClr w14:val="C00000"/>
            </w14:solidFill>
            <w14:prstDash w14:val="solid"/>
            <w14:miter w14:lim="10"/>
          </w14:textOutline>
        </w:rPr>
        <w:t>汽车行业</w:t>
      </w:r>
      <w:r>
        <w:rPr>
          <w:color w:val="C00000"/>
          <w:spacing w:val="-64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C00000"/>
          <w:spacing w:val="-1"/>
          <w:sz w:val="36"/>
          <w:szCs w:val="36"/>
        </w:rPr>
        <w:t xml:space="preserve">2024 </w:t>
      </w:r>
      <w:r>
        <w:rPr>
          <w:color w:val="C00000"/>
          <w:spacing w:val="-1"/>
          <w:sz w:val="36"/>
          <w:szCs w:val="36"/>
          <w14:textOutline w14:w="6540">
            <w14:solidFill>
              <w14:srgbClr w14:val="C00000"/>
            </w14:solidFill>
            <w14:prstDash w14:val="solid"/>
            <w14:miter w14:lim="10"/>
          </w14:textOutline>
        </w:rPr>
        <w:t>年度策略</w:t>
      </w:r>
    </w:p>
    <w:p>
      <w:pPr>
        <w:spacing w:line="144" w:lineRule="exact"/>
      </w:pPr>
    </w:p>
    <w:p>
      <w:pPr>
        <w:spacing w:line="144" w:lineRule="exact"/>
        <w:sectPr>
          <w:footerReference w:type="default" r:id="rId7"/>
          <w:pgSz w:w="11910" w:h="16845"/>
          <w:pgMar w:top="935" w:right="645" w:bottom="840" w:left="645" w:header="0" w:footer="544" w:gutter="0"/>
          <w:cols w:num="1" w:space="708" w:equalWidth="0">
            <w:col w:w="10619" w:space="0"/>
          </w:cols>
        </w:sectPr>
      </w:pPr>
    </w:p>
    <w:p>
      <w:pPr>
        <w:spacing w:line="15" w:lineRule="exact"/>
      </w:pPr>
    </w:p>
    <w:tbl>
      <w:tblPr>
        <w:tblStyle w:val="TableNormal"/>
        <w:tblW w:w="6638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08"/>
        <w:gridCol w:w="1018"/>
        <w:gridCol w:w="813"/>
        <w:gridCol w:w="1149"/>
        <w:gridCol w:w="954"/>
        <w:gridCol w:w="908"/>
        <w:gridCol w:w="788"/>
      </w:tblGrid>
      <w:tr>
        <w:tblPrEx>
          <w:tblW w:w="6638" w:type="dxa"/>
          <w:tblInd w:w="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2"/>
        </w:trPr>
        <w:tc>
          <w:tcPr>
            <w:tcW w:w="1008" w:type="dxa"/>
            <w:vMerge w:val="restart"/>
            <w:tcBorders>
              <w:top w:val="single" w:sz="6" w:space="0" w:color="004098"/>
              <w:bottom w:val="nil"/>
            </w:tcBorders>
            <w:vAlign w:val="top"/>
          </w:tcPr>
          <w:p>
            <w:pPr>
              <w:spacing w:before="53" w:line="285" w:lineRule="exact"/>
              <w:ind w:left="307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8"/>
                <w:position w:val="9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股票</w:t>
            </w:r>
          </w:p>
          <w:p>
            <w:pPr>
              <w:spacing w:line="210" w:lineRule="auto"/>
              <w:ind w:left="305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9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代码</w:t>
            </w:r>
          </w:p>
        </w:tc>
        <w:tc>
          <w:tcPr>
            <w:tcW w:w="1018" w:type="dxa"/>
            <w:vMerge w:val="restart"/>
            <w:tcBorders>
              <w:top w:val="single" w:sz="6" w:space="0" w:color="004098"/>
              <w:bottom w:val="nil"/>
            </w:tcBorders>
            <w:vAlign w:val="top"/>
          </w:tcPr>
          <w:p>
            <w:pPr>
              <w:spacing w:before="53" w:line="285" w:lineRule="exact"/>
              <w:ind w:left="305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8"/>
                <w:position w:val="9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股票</w:t>
            </w:r>
          </w:p>
          <w:p>
            <w:pPr>
              <w:spacing w:line="210" w:lineRule="auto"/>
              <w:ind w:left="302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10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名称</w:t>
            </w:r>
          </w:p>
        </w:tc>
        <w:tc>
          <w:tcPr>
            <w:tcW w:w="813" w:type="dxa"/>
            <w:vMerge w:val="restart"/>
            <w:tcBorders>
              <w:top w:val="single" w:sz="6" w:space="0" w:color="004098"/>
              <w:bottom w:val="nil"/>
            </w:tcBorders>
            <w:vAlign w:val="top"/>
          </w:tcPr>
          <w:p>
            <w:pPr>
              <w:spacing w:before="53" w:line="285" w:lineRule="exact"/>
              <w:ind w:left="205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8"/>
                <w:position w:val="9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投资</w:t>
            </w:r>
          </w:p>
          <w:p>
            <w:pPr>
              <w:spacing w:line="210" w:lineRule="auto"/>
              <w:ind w:left="203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9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评级</w:t>
            </w:r>
          </w:p>
        </w:tc>
        <w:tc>
          <w:tcPr>
            <w:tcW w:w="2103" w:type="dxa"/>
            <w:gridSpan w:val="2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53" w:line="228" w:lineRule="auto"/>
              <w:ind w:left="627"/>
              <w:rPr>
                <w:rFonts w:ascii="FangSong" w:eastAsia="FangSong" w:hAnsi="FangSong" w:cs="FangSong"/>
              </w:rPr>
            </w:pPr>
            <w:r>
              <w:rPr>
                <w:b/>
                <w:bCs/>
                <w:color w:val="004098"/>
                <w:spacing w:val="-8"/>
              </w:rPr>
              <w:t>EPS</w:t>
            </w:r>
            <w:r>
              <w:rPr>
                <w:b/>
                <w:bCs/>
                <w:color w:val="004098"/>
                <w:spacing w:val="18"/>
                <w:w w:val="101"/>
              </w:rPr>
              <w:t xml:space="preserve">  </w:t>
            </w:r>
            <w:r>
              <w:rPr>
                <w:rFonts w:ascii="FangSong" w:eastAsia="FangSong" w:hAnsi="FangSong" w:cs="FangSong"/>
                <w:color w:val="004098"/>
                <w:spacing w:val="-8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（元）</w:t>
            </w:r>
          </w:p>
        </w:tc>
        <w:tc>
          <w:tcPr>
            <w:tcW w:w="1696" w:type="dxa"/>
            <w:gridSpan w:val="2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75" w:line="190" w:lineRule="auto"/>
              <w:ind w:left="537"/>
            </w:pPr>
            <w:r>
              <w:rPr>
                <w:b/>
                <w:bCs/>
                <w:color w:val="004098"/>
                <w:spacing w:val="-3"/>
              </w:rPr>
              <w:t>PE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Merge/>
            <w:tcBorders>
              <w:top w:val="nil"/>
              <w:bottom w:val="single" w:sz="6" w:space="0" w:color="004098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8" w:type="dxa"/>
            <w:vMerge/>
            <w:tcBorders>
              <w:top w:val="nil"/>
              <w:bottom w:val="single" w:sz="6" w:space="0" w:color="004098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vMerge/>
            <w:tcBorders>
              <w:top w:val="nil"/>
              <w:bottom w:val="single" w:sz="6" w:space="0" w:color="004098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81" w:line="193" w:lineRule="auto"/>
              <w:ind w:left="417"/>
            </w:pPr>
            <w:r>
              <w:rPr>
                <w:b/>
                <w:bCs/>
                <w:color w:val="004098"/>
              </w:rPr>
              <w:t>2023E</w:t>
            </w:r>
          </w:p>
        </w:tc>
        <w:tc>
          <w:tcPr>
            <w:tcW w:w="954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81" w:line="193" w:lineRule="auto"/>
              <w:ind w:left="229"/>
            </w:pPr>
            <w:r>
              <w:rPr>
                <w:b/>
                <w:bCs/>
                <w:color w:val="004098"/>
              </w:rPr>
              <w:t>2024E</w:t>
            </w:r>
          </w:p>
        </w:tc>
        <w:tc>
          <w:tcPr>
            <w:tcW w:w="908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81" w:line="193" w:lineRule="auto"/>
              <w:ind w:left="221"/>
            </w:pPr>
            <w:r>
              <w:rPr>
                <w:b/>
                <w:bCs/>
                <w:color w:val="004098"/>
              </w:rPr>
              <w:t>2023E</w:t>
            </w:r>
          </w:p>
        </w:tc>
        <w:tc>
          <w:tcPr>
            <w:tcW w:w="788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81" w:line="193" w:lineRule="auto"/>
              <w:ind w:left="184"/>
            </w:pPr>
            <w:r>
              <w:rPr>
                <w:b/>
                <w:bCs/>
                <w:color w:val="004098"/>
              </w:rPr>
              <w:t>2024E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69"/>
        </w:trPr>
        <w:tc>
          <w:tcPr>
            <w:tcW w:w="1008" w:type="dxa"/>
            <w:tcBorders>
              <w:top w:val="single" w:sz="6" w:space="0" w:color="004098"/>
            </w:tcBorders>
            <w:vAlign w:val="top"/>
          </w:tcPr>
          <w:p>
            <w:pPr>
              <w:pStyle w:val="TableText"/>
              <w:spacing w:before="82" w:line="193" w:lineRule="auto"/>
              <w:ind w:left="96"/>
            </w:pPr>
            <w:r>
              <w:rPr>
                <w:spacing w:val="3"/>
              </w:rPr>
              <w:t>000625.</w:t>
            </w:r>
            <w:r>
              <w:t>SZ</w:t>
            </w:r>
          </w:p>
        </w:tc>
        <w:tc>
          <w:tcPr>
            <w:tcW w:w="1018" w:type="dxa"/>
            <w:tcBorders>
              <w:top w:val="single" w:sz="6" w:space="0" w:color="004098"/>
            </w:tcBorders>
            <w:vAlign w:val="top"/>
          </w:tcPr>
          <w:p>
            <w:pPr>
              <w:spacing w:before="63" w:line="221" w:lineRule="auto"/>
              <w:ind w:left="14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长安汽车</w:t>
            </w:r>
          </w:p>
        </w:tc>
        <w:tc>
          <w:tcPr>
            <w:tcW w:w="813" w:type="dxa"/>
            <w:tcBorders>
              <w:top w:val="single" w:sz="6" w:space="0" w:color="004098"/>
            </w:tcBorders>
            <w:vAlign w:val="top"/>
          </w:tcPr>
          <w:p>
            <w:pPr>
              <w:spacing w:before="63" w:line="224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tcBorders>
              <w:top w:val="single" w:sz="6" w:space="0" w:color="004098"/>
            </w:tcBorders>
            <w:vAlign w:val="top"/>
          </w:tcPr>
          <w:p>
            <w:pPr>
              <w:pStyle w:val="TableText"/>
              <w:spacing w:before="82" w:line="193" w:lineRule="auto"/>
              <w:ind w:left="603"/>
            </w:pPr>
            <w:r>
              <w:t>1.31</w:t>
            </w:r>
          </w:p>
        </w:tc>
        <w:tc>
          <w:tcPr>
            <w:tcW w:w="954" w:type="dxa"/>
            <w:tcBorders>
              <w:top w:val="single" w:sz="6" w:space="0" w:color="004098"/>
            </w:tcBorders>
            <w:vAlign w:val="top"/>
          </w:tcPr>
          <w:p>
            <w:pPr>
              <w:pStyle w:val="TableText"/>
              <w:spacing w:before="82" w:line="193" w:lineRule="auto"/>
              <w:ind w:left="415"/>
            </w:pPr>
            <w:r>
              <w:t>1.13</w:t>
            </w:r>
          </w:p>
        </w:tc>
        <w:tc>
          <w:tcPr>
            <w:tcW w:w="908" w:type="dxa"/>
            <w:tcBorders>
              <w:top w:val="single" w:sz="6" w:space="0" w:color="004098"/>
            </w:tcBorders>
            <w:vAlign w:val="top"/>
          </w:tcPr>
          <w:p>
            <w:pPr>
              <w:pStyle w:val="TableText"/>
              <w:spacing w:before="82" w:line="193" w:lineRule="auto"/>
              <w:ind w:left="317"/>
            </w:pPr>
            <w:r>
              <w:t>10.29</w:t>
            </w:r>
          </w:p>
        </w:tc>
        <w:tc>
          <w:tcPr>
            <w:tcW w:w="788" w:type="dxa"/>
            <w:tcBorders>
              <w:top w:val="single" w:sz="6" w:space="0" w:color="004098"/>
            </w:tcBorders>
            <w:vAlign w:val="top"/>
          </w:tcPr>
          <w:p>
            <w:pPr>
              <w:pStyle w:val="TableText"/>
              <w:spacing w:before="82" w:line="193" w:lineRule="auto"/>
              <w:ind w:left="280"/>
            </w:pPr>
            <w:r>
              <w:t>11.93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5"/>
        </w:trPr>
        <w:tc>
          <w:tcPr>
            <w:tcW w:w="1008" w:type="dxa"/>
            <w:vAlign w:val="top"/>
          </w:tcPr>
          <w:p>
            <w:pPr>
              <w:pStyle w:val="TableText"/>
              <w:spacing w:before="68" w:line="193" w:lineRule="auto"/>
              <w:ind w:left="126"/>
            </w:pPr>
            <w:r>
              <w:rPr>
                <w:spacing w:val="-1"/>
              </w:rPr>
              <w:t>00175.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HK</w:t>
            </w:r>
          </w:p>
        </w:tc>
        <w:tc>
          <w:tcPr>
            <w:tcW w:w="1018" w:type="dxa"/>
            <w:vAlign w:val="top"/>
          </w:tcPr>
          <w:p>
            <w:pPr>
              <w:spacing w:before="49" w:line="221" w:lineRule="auto"/>
              <w:ind w:left="149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8"/>
                <w:sz w:val="16"/>
                <w:szCs w:val="16"/>
              </w:rPr>
              <w:t>吉利汽车</w:t>
            </w:r>
          </w:p>
        </w:tc>
        <w:tc>
          <w:tcPr>
            <w:tcW w:w="813" w:type="dxa"/>
            <w:vAlign w:val="top"/>
          </w:tcPr>
          <w:p>
            <w:pPr>
              <w:spacing w:before="49" w:line="224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68" w:line="193" w:lineRule="auto"/>
              <w:ind w:left="603"/>
            </w:pPr>
            <w:r>
              <w:t>1.61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68" w:line="193" w:lineRule="auto"/>
              <w:ind w:left="406"/>
            </w:pPr>
            <w:r>
              <w:rPr>
                <w:spacing w:val="2"/>
              </w:rPr>
              <w:t>2.29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68" w:line="193" w:lineRule="auto"/>
              <w:ind w:left="399"/>
            </w:pPr>
            <w:r>
              <w:rPr>
                <w:spacing w:val="2"/>
              </w:rPr>
              <w:t>5.03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68" w:line="193" w:lineRule="auto"/>
              <w:ind w:left="360"/>
            </w:pPr>
            <w:r>
              <w:rPr>
                <w:spacing w:val="2"/>
              </w:rPr>
              <w:t>3.54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5"/>
        </w:trPr>
        <w:tc>
          <w:tcPr>
            <w:tcW w:w="1008" w:type="dxa"/>
            <w:vAlign w:val="top"/>
          </w:tcPr>
          <w:p>
            <w:pPr>
              <w:pStyle w:val="TableText"/>
              <w:spacing w:before="69" w:line="193" w:lineRule="auto"/>
              <w:ind w:left="96"/>
            </w:pPr>
            <w:r>
              <w:rPr>
                <w:spacing w:val="3"/>
              </w:rPr>
              <w:t>002050.</w:t>
            </w:r>
            <w:r>
              <w:t>SZ</w:t>
            </w:r>
          </w:p>
        </w:tc>
        <w:tc>
          <w:tcPr>
            <w:tcW w:w="1018" w:type="dxa"/>
            <w:vAlign w:val="top"/>
          </w:tcPr>
          <w:p>
            <w:pPr>
              <w:spacing w:before="49" w:line="222" w:lineRule="auto"/>
              <w:ind w:left="152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7"/>
                <w:sz w:val="16"/>
                <w:szCs w:val="16"/>
              </w:rPr>
              <w:t>三花智控</w:t>
            </w:r>
          </w:p>
        </w:tc>
        <w:tc>
          <w:tcPr>
            <w:tcW w:w="813" w:type="dxa"/>
            <w:vAlign w:val="top"/>
          </w:tcPr>
          <w:p>
            <w:pPr>
              <w:spacing w:before="49" w:line="224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68" w:line="194" w:lineRule="auto"/>
              <w:ind w:left="592"/>
            </w:pPr>
            <w:r>
              <w:rPr>
                <w:spacing w:val="3"/>
              </w:rPr>
              <w:t>0.82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69" w:line="193" w:lineRule="auto"/>
              <w:ind w:left="415"/>
            </w:pPr>
            <w:r>
              <w:t>1.02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69" w:line="193" w:lineRule="auto"/>
              <w:ind w:left="308"/>
            </w:pPr>
            <w:r>
              <w:rPr>
                <w:spacing w:val="2"/>
              </w:rPr>
              <w:t>26.95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69" w:line="193" w:lineRule="auto"/>
              <w:ind w:left="271"/>
            </w:pPr>
            <w:r>
              <w:rPr>
                <w:spacing w:val="2"/>
              </w:rPr>
              <w:t>21.67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3"/>
        </w:trPr>
        <w:tc>
          <w:tcPr>
            <w:tcW w:w="1008" w:type="dxa"/>
            <w:vAlign w:val="top"/>
          </w:tcPr>
          <w:p>
            <w:pPr>
              <w:pStyle w:val="TableText"/>
              <w:spacing w:before="69" w:line="193" w:lineRule="auto"/>
              <w:ind w:left="96"/>
            </w:pPr>
            <w:r>
              <w:rPr>
                <w:spacing w:val="3"/>
              </w:rPr>
              <w:t>002126.</w:t>
            </w:r>
            <w:r>
              <w:t>SZ</w:t>
            </w:r>
          </w:p>
        </w:tc>
        <w:tc>
          <w:tcPr>
            <w:tcW w:w="1018" w:type="dxa"/>
            <w:vAlign w:val="top"/>
          </w:tcPr>
          <w:p>
            <w:pPr>
              <w:spacing w:before="49" w:line="221" w:lineRule="auto"/>
              <w:ind w:left="138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1"/>
                <w:sz w:val="16"/>
                <w:szCs w:val="16"/>
              </w:rPr>
              <w:t>银轮股份</w:t>
            </w:r>
          </w:p>
        </w:tc>
        <w:tc>
          <w:tcPr>
            <w:tcW w:w="813" w:type="dxa"/>
            <w:vAlign w:val="top"/>
          </w:tcPr>
          <w:p>
            <w:pPr>
              <w:spacing w:before="49" w:line="223" w:lineRule="auto"/>
              <w:ind w:left="212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4"/>
                <w:sz w:val="16"/>
                <w:szCs w:val="16"/>
              </w:rPr>
              <w:t>买入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69" w:line="193" w:lineRule="auto"/>
              <w:ind w:left="592"/>
            </w:pPr>
            <w:r>
              <w:rPr>
                <w:spacing w:val="3"/>
              </w:rPr>
              <w:t>0.76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69" w:line="193" w:lineRule="auto"/>
              <w:ind w:left="415"/>
            </w:pPr>
            <w:r>
              <w:t>1.02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69" w:line="193" w:lineRule="auto"/>
              <w:ind w:left="308"/>
            </w:pPr>
            <w:r>
              <w:rPr>
                <w:spacing w:val="2"/>
              </w:rPr>
              <w:t>21.42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69" w:line="193" w:lineRule="auto"/>
              <w:ind w:left="280"/>
            </w:pPr>
            <w:r>
              <w:t>15.96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5"/>
        </w:trPr>
        <w:tc>
          <w:tcPr>
            <w:tcW w:w="1008" w:type="dxa"/>
            <w:vAlign w:val="top"/>
          </w:tcPr>
          <w:p>
            <w:pPr>
              <w:pStyle w:val="TableText"/>
              <w:spacing w:before="71" w:line="194" w:lineRule="auto"/>
              <w:ind w:left="96"/>
            </w:pPr>
            <w:r>
              <w:rPr>
                <w:spacing w:val="3"/>
              </w:rPr>
              <w:t>002284.</w:t>
            </w:r>
            <w:r>
              <w:t>SZ</w:t>
            </w:r>
          </w:p>
        </w:tc>
        <w:tc>
          <w:tcPr>
            <w:tcW w:w="1018" w:type="dxa"/>
            <w:vAlign w:val="top"/>
          </w:tcPr>
          <w:p>
            <w:pPr>
              <w:spacing w:before="52" w:line="222" w:lineRule="auto"/>
              <w:ind w:left="145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9"/>
                <w:sz w:val="16"/>
                <w:szCs w:val="16"/>
              </w:rPr>
              <w:t>亚太股份</w:t>
            </w:r>
          </w:p>
        </w:tc>
        <w:tc>
          <w:tcPr>
            <w:tcW w:w="813" w:type="dxa"/>
            <w:vAlign w:val="top"/>
          </w:tcPr>
          <w:p>
            <w:pPr>
              <w:spacing w:before="52" w:line="222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1" w:line="193" w:lineRule="auto"/>
              <w:ind w:left="592"/>
            </w:pPr>
            <w:r>
              <w:rPr>
                <w:spacing w:val="3"/>
              </w:rPr>
              <w:t>0.16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1" w:line="193" w:lineRule="auto"/>
              <w:ind w:left="404"/>
            </w:pPr>
            <w:r>
              <w:rPr>
                <w:spacing w:val="3"/>
              </w:rPr>
              <w:t>0.31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1" w:line="193" w:lineRule="auto"/>
              <w:ind w:left="302"/>
            </w:pPr>
            <w:r>
              <w:rPr>
                <w:spacing w:val="3"/>
              </w:rPr>
              <w:t>40.56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1" w:line="193" w:lineRule="auto"/>
              <w:ind w:left="271"/>
            </w:pPr>
            <w:r>
              <w:rPr>
                <w:spacing w:val="2"/>
              </w:rPr>
              <w:t>20.94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1" w:line="193" w:lineRule="auto"/>
              <w:ind w:left="96"/>
            </w:pPr>
            <w:r>
              <w:rPr>
                <w:spacing w:val="3"/>
              </w:rPr>
              <w:t>002536.</w:t>
            </w:r>
            <w:r>
              <w:t>SZ</w:t>
            </w:r>
          </w:p>
        </w:tc>
        <w:tc>
          <w:tcPr>
            <w:tcW w:w="1018" w:type="dxa"/>
            <w:vAlign w:val="top"/>
          </w:tcPr>
          <w:p>
            <w:pPr>
              <w:spacing w:before="52" w:line="221" w:lineRule="auto"/>
              <w:ind w:left="150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8"/>
                <w:sz w:val="16"/>
                <w:szCs w:val="16"/>
              </w:rPr>
              <w:t>飞龙股份</w:t>
            </w:r>
          </w:p>
        </w:tc>
        <w:tc>
          <w:tcPr>
            <w:tcW w:w="813" w:type="dxa"/>
            <w:vAlign w:val="top"/>
          </w:tcPr>
          <w:p>
            <w:pPr>
              <w:spacing w:before="52" w:line="221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1" w:line="193" w:lineRule="auto"/>
              <w:ind w:left="592"/>
            </w:pPr>
            <w:r>
              <w:rPr>
                <w:spacing w:val="3"/>
              </w:rPr>
              <w:t>0.52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1" w:line="194" w:lineRule="auto"/>
              <w:ind w:left="404"/>
            </w:pPr>
            <w:r>
              <w:rPr>
                <w:spacing w:val="3"/>
              </w:rPr>
              <w:t>0.68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1" w:line="193" w:lineRule="auto"/>
              <w:ind w:left="308"/>
            </w:pPr>
            <w:r>
              <w:rPr>
                <w:spacing w:val="2"/>
              </w:rPr>
              <w:t>21.19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1" w:line="193" w:lineRule="auto"/>
              <w:ind w:left="280"/>
            </w:pPr>
            <w:r>
              <w:t>16.21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3" w:line="193" w:lineRule="auto"/>
              <w:ind w:left="96"/>
            </w:pPr>
            <w:r>
              <w:rPr>
                <w:spacing w:val="3"/>
              </w:rPr>
              <w:t>002906.</w:t>
            </w:r>
            <w:r>
              <w:t>SZ</w:t>
            </w:r>
          </w:p>
        </w:tc>
        <w:tc>
          <w:tcPr>
            <w:tcW w:w="1018" w:type="dxa"/>
            <w:vAlign w:val="top"/>
          </w:tcPr>
          <w:p>
            <w:pPr>
              <w:spacing w:before="53" w:line="220" w:lineRule="auto"/>
              <w:ind w:left="146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9"/>
                <w:sz w:val="16"/>
                <w:szCs w:val="16"/>
              </w:rPr>
              <w:t>华阳集团</w:t>
            </w:r>
          </w:p>
        </w:tc>
        <w:tc>
          <w:tcPr>
            <w:tcW w:w="813" w:type="dxa"/>
            <w:vAlign w:val="top"/>
          </w:tcPr>
          <w:p>
            <w:pPr>
              <w:spacing w:before="53" w:line="220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2" w:line="194" w:lineRule="auto"/>
              <w:ind w:left="592"/>
            </w:pPr>
            <w:r>
              <w:rPr>
                <w:spacing w:val="3"/>
              </w:rPr>
              <w:t>0.88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3" w:line="193" w:lineRule="auto"/>
              <w:ind w:left="415"/>
            </w:pPr>
            <w:r>
              <w:t>1.27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3" w:line="193" w:lineRule="auto"/>
              <w:ind w:left="308"/>
            </w:pPr>
            <w:r>
              <w:rPr>
                <w:spacing w:val="2"/>
              </w:rPr>
              <w:t>25.33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5" w:line="190" w:lineRule="auto"/>
              <w:ind w:left="295"/>
            </w:pPr>
            <w:r>
              <w:rPr>
                <w:spacing w:val="-3"/>
              </w:rPr>
              <w:t>17.55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3" w:line="194" w:lineRule="auto"/>
              <w:ind w:left="97"/>
            </w:pPr>
            <w:r>
              <w:rPr>
                <w:spacing w:val="3"/>
              </w:rPr>
              <w:t>300258.</w:t>
            </w:r>
            <w:r>
              <w:t>SZ</w:t>
            </w:r>
          </w:p>
        </w:tc>
        <w:tc>
          <w:tcPr>
            <w:tcW w:w="1018" w:type="dxa"/>
            <w:vAlign w:val="top"/>
          </w:tcPr>
          <w:p>
            <w:pPr>
              <w:spacing w:before="55" w:line="218" w:lineRule="auto"/>
              <w:ind w:left="138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1"/>
                <w:sz w:val="16"/>
                <w:szCs w:val="16"/>
              </w:rPr>
              <w:t>精锻科技</w:t>
            </w:r>
          </w:p>
        </w:tc>
        <w:tc>
          <w:tcPr>
            <w:tcW w:w="813" w:type="dxa"/>
            <w:vAlign w:val="top"/>
          </w:tcPr>
          <w:p>
            <w:pPr>
              <w:spacing w:before="55" w:line="218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4" w:line="193" w:lineRule="auto"/>
              <w:ind w:left="592"/>
            </w:pPr>
            <w:r>
              <w:rPr>
                <w:spacing w:val="3"/>
              </w:rPr>
              <w:t>0.57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4" w:line="193" w:lineRule="auto"/>
              <w:ind w:left="404"/>
            </w:pPr>
            <w:r>
              <w:rPr>
                <w:spacing w:val="3"/>
              </w:rPr>
              <w:t>0.73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4" w:line="193" w:lineRule="auto"/>
              <w:ind w:left="317"/>
            </w:pPr>
            <w:r>
              <w:t>16.05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4" w:line="193" w:lineRule="auto"/>
              <w:ind w:left="280"/>
            </w:pPr>
            <w:r>
              <w:t>12.53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5"/>
        </w:trPr>
        <w:tc>
          <w:tcPr>
            <w:tcW w:w="1008" w:type="dxa"/>
            <w:vAlign w:val="top"/>
          </w:tcPr>
          <w:p>
            <w:pPr>
              <w:pStyle w:val="TableText"/>
              <w:spacing w:before="75" w:line="193" w:lineRule="auto"/>
              <w:ind w:left="81"/>
            </w:pPr>
            <w:r>
              <w:rPr>
                <w:spacing w:val="3"/>
              </w:rPr>
              <w:t>600104.</w:t>
            </w:r>
            <w:r>
              <w:t>SH</w:t>
            </w:r>
          </w:p>
        </w:tc>
        <w:tc>
          <w:tcPr>
            <w:tcW w:w="1018" w:type="dxa"/>
            <w:vAlign w:val="top"/>
          </w:tcPr>
          <w:p>
            <w:pPr>
              <w:spacing w:before="56" w:line="218" w:lineRule="auto"/>
              <w:ind w:left="143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9"/>
                <w:sz w:val="16"/>
                <w:szCs w:val="16"/>
              </w:rPr>
              <w:t>上汽集团</w:t>
            </w:r>
          </w:p>
        </w:tc>
        <w:tc>
          <w:tcPr>
            <w:tcW w:w="813" w:type="dxa"/>
            <w:vAlign w:val="top"/>
          </w:tcPr>
          <w:p>
            <w:pPr>
              <w:spacing w:before="56" w:line="218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5" w:line="194" w:lineRule="auto"/>
              <w:ind w:left="603"/>
            </w:pPr>
            <w:r>
              <w:t>1.38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8" w:line="190" w:lineRule="auto"/>
              <w:ind w:left="505"/>
            </w:pPr>
            <w:r>
              <w:rPr>
                <w:spacing w:val="-1"/>
              </w:rPr>
              <w:t>1.5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5" w:line="193" w:lineRule="auto"/>
              <w:ind w:left="317"/>
            </w:pPr>
            <w:r>
              <w:t>10.54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5" w:line="193" w:lineRule="auto"/>
              <w:ind w:left="448"/>
            </w:pPr>
            <w:r>
              <w:rPr>
                <w:spacing w:val="3"/>
              </w:rPr>
              <w:t>9.7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5" w:line="193" w:lineRule="auto"/>
              <w:ind w:left="81"/>
            </w:pPr>
            <w:r>
              <w:rPr>
                <w:spacing w:val="3"/>
              </w:rPr>
              <w:t>600733.</w:t>
            </w:r>
            <w:r>
              <w:t>SH</w:t>
            </w:r>
          </w:p>
        </w:tc>
        <w:tc>
          <w:tcPr>
            <w:tcW w:w="1018" w:type="dxa"/>
            <w:vAlign w:val="top"/>
          </w:tcPr>
          <w:p>
            <w:pPr>
              <w:spacing w:before="55" w:line="217" w:lineRule="auto"/>
              <w:ind w:left="143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9"/>
                <w:sz w:val="16"/>
                <w:szCs w:val="16"/>
              </w:rPr>
              <w:t>北汽蓝谷</w:t>
            </w:r>
          </w:p>
        </w:tc>
        <w:tc>
          <w:tcPr>
            <w:tcW w:w="813" w:type="dxa"/>
            <w:vAlign w:val="top"/>
          </w:tcPr>
          <w:p>
            <w:pPr>
              <w:spacing w:before="55" w:line="217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5" w:line="194" w:lineRule="auto"/>
              <w:ind w:left="532"/>
            </w:pPr>
            <w:r>
              <w:rPr>
                <w:spacing w:val="2"/>
              </w:rPr>
              <w:t>-0.86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5" w:line="193" w:lineRule="auto"/>
              <w:ind w:left="434"/>
            </w:pPr>
            <w:r>
              <w:rPr>
                <w:spacing w:val="2"/>
              </w:rPr>
              <w:t>-0.7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5" w:line="193" w:lineRule="auto"/>
              <w:ind w:left="336"/>
            </w:pPr>
            <w:r>
              <w:rPr>
                <w:spacing w:val="2"/>
              </w:rPr>
              <w:t>-5.06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5" w:line="193" w:lineRule="auto"/>
              <w:ind w:left="299"/>
            </w:pPr>
            <w:r>
              <w:rPr>
                <w:spacing w:val="2"/>
              </w:rPr>
              <w:t>-6.21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6" w:line="193" w:lineRule="auto"/>
              <w:ind w:left="81"/>
            </w:pPr>
            <w:r>
              <w:rPr>
                <w:spacing w:val="3"/>
              </w:rPr>
              <w:t>601633.</w:t>
            </w:r>
            <w:r>
              <w:t>SH</w:t>
            </w:r>
          </w:p>
        </w:tc>
        <w:tc>
          <w:tcPr>
            <w:tcW w:w="1018" w:type="dxa"/>
            <w:vAlign w:val="top"/>
          </w:tcPr>
          <w:p>
            <w:pPr>
              <w:spacing w:before="56" w:line="216" w:lineRule="auto"/>
              <w:ind w:left="14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长城汽车</w:t>
            </w:r>
          </w:p>
        </w:tc>
        <w:tc>
          <w:tcPr>
            <w:tcW w:w="813" w:type="dxa"/>
            <w:vAlign w:val="top"/>
          </w:tcPr>
          <w:p>
            <w:pPr>
              <w:spacing w:before="56" w:line="216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5" w:line="194" w:lineRule="auto"/>
              <w:ind w:left="592"/>
            </w:pPr>
            <w:r>
              <w:rPr>
                <w:spacing w:val="3"/>
              </w:rPr>
              <w:t>0.82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5" w:line="194" w:lineRule="auto"/>
              <w:ind w:left="415"/>
            </w:pPr>
            <w:r>
              <w:t>1.08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6" w:line="193" w:lineRule="auto"/>
              <w:ind w:left="308"/>
            </w:pPr>
            <w:r>
              <w:rPr>
                <w:spacing w:val="2"/>
              </w:rPr>
              <w:t>26.93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6" w:line="193" w:lineRule="auto"/>
              <w:ind w:left="271"/>
            </w:pPr>
            <w:r>
              <w:rPr>
                <w:spacing w:val="2"/>
              </w:rPr>
              <w:t>20.44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5"/>
        </w:trPr>
        <w:tc>
          <w:tcPr>
            <w:tcW w:w="1008" w:type="dxa"/>
            <w:vAlign w:val="top"/>
          </w:tcPr>
          <w:p>
            <w:pPr>
              <w:pStyle w:val="TableText"/>
              <w:spacing w:before="78" w:line="193" w:lineRule="auto"/>
              <w:ind w:left="81"/>
            </w:pPr>
            <w:r>
              <w:rPr>
                <w:spacing w:val="3"/>
              </w:rPr>
              <w:t>601799.</w:t>
            </w:r>
            <w:r>
              <w:t>SH</w:t>
            </w:r>
          </w:p>
        </w:tc>
        <w:tc>
          <w:tcPr>
            <w:tcW w:w="1018" w:type="dxa"/>
            <w:vAlign w:val="top"/>
          </w:tcPr>
          <w:p>
            <w:pPr>
              <w:spacing w:before="58" w:line="215" w:lineRule="auto"/>
              <w:ind w:left="147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9"/>
                <w:sz w:val="16"/>
                <w:szCs w:val="16"/>
              </w:rPr>
              <w:t>星宇股份</w:t>
            </w:r>
          </w:p>
        </w:tc>
        <w:tc>
          <w:tcPr>
            <w:tcW w:w="813" w:type="dxa"/>
            <w:vAlign w:val="top"/>
          </w:tcPr>
          <w:p>
            <w:pPr>
              <w:spacing w:before="58" w:line="215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8" w:line="193" w:lineRule="auto"/>
              <w:ind w:left="678"/>
            </w:pPr>
            <w:r>
              <w:rPr>
                <w:spacing w:val="4"/>
              </w:rPr>
              <w:t>4.0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80" w:line="190" w:lineRule="auto"/>
              <w:ind w:left="497"/>
            </w:pPr>
            <w:r>
              <w:rPr>
                <w:spacing w:val="2"/>
              </w:rPr>
              <w:t>5.4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7" w:line="194" w:lineRule="auto"/>
              <w:ind w:left="307"/>
            </w:pPr>
            <w:r>
              <w:rPr>
                <w:spacing w:val="2"/>
              </w:rPr>
              <w:t>33.58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7" w:line="194" w:lineRule="auto"/>
              <w:ind w:left="271"/>
            </w:pPr>
            <w:r>
              <w:rPr>
                <w:spacing w:val="2"/>
              </w:rPr>
              <w:t>24.87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8" w:line="193" w:lineRule="auto"/>
              <w:ind w:left="81"/>
            </w:pPr>
            <w:r>
              <w:rPr>
                <w:spacing w:val="3"/>
              </w:rPr>
              <w:t>603009.</w:t>
            </w:r>
            <w:r>
              <w:t>SH</w:t>
            </w:r>
          </w:p>
        </w:tc>
        <w:tc>
          <w:tcPr>
            <w:tcW w:w="1018" w:type="dxa"/>
            <w:vAlign w:val="top"/>
          </w:tcPr>
          <w:p>
            <w:pPr>
              <w:spacing w:before="58" w:line="214" w:lineRule="auto"/>
              <w:ind w:left="143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9"/>
                <w:sz w:val="16"/>
                <w:szCs w:val="16"/>
              </w:rPr>
              <w:t>北特科技</w:t>
            </w:r>
          </w:p>
        </w:tc>
        <w:tc>
          <w:tcPr>
            <w:tcW w:w="813" w:type="dxa"/>
            <w:vAlign w:val="top"/>
          </w:tcPr>
          <w:p>
            <w:pPr>
              <w:spacing w:before="58" w:line="214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8" w:line="193" w:lineRule="auto"/>
              <w:ind w:left="592"/>
            </w:pPr>
            <w:r>
              <w:rPr>
                <w:spacing w:val="3"/>
              </w:rPr>
              <w:t>0.14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7" w:line="194" w:lineRule="auto"/>
              <w:ind w:left="404"/>
            </w:pPr>
            <w:r>
              <w:rPr>
                <w:spacing w:val="3"/>
              </w:rPr>
              <w:t>0.18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7" w:line="194" w:lineRule="auto"/>
              <w:ind w:left="306"/>
            </w:pPr>
            <w:r>
              <w:rPr>
                <w:spacing w:val="3"/>
              </w:rPr>
              <w:t>68.14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8" w:line="193" w:lineRule="auto"/>
              <w:ind w:left="363"/>
            </w:pPr>
            <w:r>
              <w:rPr>
                <w:spacing w:val="2"/>
              </w:rPr>
              <w:t>53.0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54"/>
        </w:trPr>
        <w:tc>
          <w:tcPr>
            <w:tcW w:w="1008" w:type="dxa"/>
            <w:vAlign w:val="top"/>
          </w:tcPr>
          <w:p>
            <w:pPr>
              <w:pStyle w:val="TableText"/>
              <w:spacing w:before="79" w:line="193" w:lineRule="auto"/>
              <w:ind w:left="81"/>
            </w:pPr>
            <w:r>
              <w:rPr>
                <w:spacing w:val="3"/>
              </w:rPr>
              <w:t>603596.</w:t>
            </w:r>
            <w:r>
              <w:t>SH</w:t>
            </w:r>
          </w:p>
        </w:tc>
        <w:tc>
          <w:tcPr>
            <w:tcW w:w="1018" w:type="dxa"/>
            <w:vAlign w:val="top"/>
          </w:tcPr>
          <w:p>
            <w:pPr>
              <w:spacing w:before="60" w:line="212" w:lineRule="auto"/>
              <w:ind w:left="21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3"/>
                <w:sz w:val="16"/>
                <w:szCs w:val="16"/>
              </w:rPr>
              <w:t>伯特利</w:t>
            </w:r>
          </w:p>
        </w:tc>
        <w:tc>
          <w:tcPr>
            <w:tcW w:w="813" w:type="dxa"/>
            <w:vAlign w:val="top"/>
          </w:tcPr>
          <w:p>
            <w:pPr>
              <w:spacing w:before="60" w:line="212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before="79" w:line="193" w:lineRule="auto"/>
              <w:ind w:left="594"/>
            </w:pPr>
            <w:r>
              <w:rPr>
                <w:spacing w:val="2"/>
              </w:rPr>
              <w:t>2.13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79" w:line="193" w:lineRule="auto"/>
              <w:ind w:left="406"/>
            </w:pPr>
            <w:r>
              <w:rPr>
                <w:spacing w:val="2"/>
              </w:rPr>
              <w:t>2.72</w:t>
            </w:r>
          </w:p>
        </w:tc>
        <w:tc>
          <w:tcPr>
            <w:tcW w:w="908" w:type="dxa"/>
            <w:vAlign w:val="top"/>
          </w:tcPr>
          <w:p>
            <w:pPr>
              <w:pStyle w:val="TableText"/>
              <w:spacing w:before="78" w:line="194" w:lineRule="auto"/>
              <w:ind w:left="308"/>
            </w:pPr>
            <w:r>
              <w:rPr>
                <w:spacing w:val="2"/>
              </w:rPr>
              <w:t>26.78</w:t>
            </w:r>
          </w:p>
        </w:tc>
        <w:tc>
          <w:tcPr>
            <w:tcW w:w="788" w:type="dxa"/>
            <w:vAlign w:val="top"/>
          </w:tcPr>
          <w:p>
            <w:pPr>
              <w:pStyle w:val="TableText"/>
              <w:spacing w:before="79" w:line="193" w:lineRule="auto"/>
              <w:ind w:left="271"/>
            </w:pPr>
            <w:r>
              <w:rPr>
                <w:spacing w:val="2"/>
              </w:rPr>
              <w:t>20.97</w:t>
            </w:r>
          </w:p>
        </w:tc>
      </w:tr>
      <w:tr>
        <w:tblPrEx>
          <w:tblW w:w="6638" w:type="dxa"/>
          <w:tblInd w:w="30" w:type="dxa"/>
          <w:tblLayout w:type="fixed"/>
        </w:tblPrEx>
        <w:trPr>
          <w:trHeight w:val="262"/>
        </w:trPr>
        <w:tc>
          <w:tcPr>
            <w:tcW w:w="1008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79" w:line="194" w:lineRule="auto"/>
              <w:ind w:left="81"/>
            </w:pPr>
            <w:r>
              <w:rPr>
                <w:spacing w:val="3"/>
              </w:rPr>
              <w:t>603786.</w:t>
            </w:r>
            <w:r>
              <w:t>SH</w:t>
            </w:r>
          </w:p>
        </w:tc>
        <w:tc>
          <w:tcPr>
            <w:tcW w:w="1018" w:type="dxa"/>
            <w:tcBorders>
              <w:bottom w:val="single" w:sz="6" w:space="0" w:color="004098"/>
            </w:tcBorders>
            <w:vAlign w:val="top"/>
          </w:tcPr>
          <w:p>
            <w:pPr>
              <w:spacing w:before="61" w:line="220" w:lineRule="auto"/>
              <w:ind w:left="214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3"/>
                <w:sz w:val="16"/>
                <w:szCs w:val="16"/>
              </w:rPr>
              <w:t>科博达</w:t>
            </w:r>
          </w:p>
        </w:tc>
        <w:tc>
          <w:tcPr>
            <w:tcW w:w="813" w:type="dxa"/>
            <w:tcBorders>
              <w:bottom w:val="single" w:sz="6" w:space="0" w:color="004098"/>
            </w:tcBorders>
            <w:vAlign w:val="top"/>
          </w:tcPr>
          <w:p>
            <w:pPr>
              <w:spacing w:before="61" w:line="220" w:lineRule="auto"/>
              <w:ind w:left="201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pacing w:val="10"/>
                <w:sz w:val="16"/>
                <w:szCs w:val="16"/>
              </w:rPr>
              <w:t>增持</w:t>
            </w:r>
          </w:p>
        </w:tc>
        <w:tc>
          <w:tcPr>
            <w:tcW w:w="1149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82" w:line="191" w:lineRule="auto"/>
              <w:ind w:left="603"/>
            </w:pPr>
            <w:r>
              <w:t>1.47</w:t>
            </w:r>
          </w:p>
        </w:tc>
        <w:tc>
          <w:tcPr>
            <w:tcW w:w="954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80" w:line="193" w:lineRule="auto"/>
              <w:ind w:left="505"/>
            </w:pPr>
            <w:r>
              <w:rPr>
                <w:spacing w:val="-1"/>
              </w:rPr>
              <w:t>1.9</w:t>
            </w:r>
          </w:p>
        </w:tc>
        <w:tc>
          <w:tcPr>
            <w:tcW w:w="908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79" w:line="194" w:lineRule="auto"/>
              <w:ind w:left="302"/>
            </w:pPr>
            <w:r>
              <w:rPr>
                <w:spacing w:val="3"/>
              </w:rPr>
              <w:t>40.82</w:t>
            </w:r>
          </w:p>
        </w:tc>
        <w:tc>
          <w:tcPr>
            <w:tcW w:w="788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79" w:line="194" w:lineRule="auto"/>
              <w:ind w:left="270"/>
            </w:pPr>
            <w:r>
              <w:rPr>
                <w:spacing w:val="2"/>
              </w:rPr>
              <w:t>31.58</w:t>
            </w:r>
          </w:p>
        </w:tc>
      </w:tr>
    </w:tbl>
    <w:p>
      <w:pPr>
        <w:pStyle w:val="BodyText"/>
        <w:spacing w:before="85" w:line="210" w:lineRule="auto"/>
        <w:ind w:left="35"/>
        <w:rPr>
          <w:sz w:val="17"/>
          <w:szCs w:val="17"/>
        </w:rPr>
      </w:pPr>
      <w:r>
        <w:rPr>
          <w:i/>
          <w:iCs/>
          <w:color w:val="004098"/>
          <w:spacing w:val="-4"/>
          <w:sz w:val="17"/>
          <w:szCs w:val="17"/>
        </w:rPr>
        <w:t>资料来源：长城证券产业金融研究院</w:t>
      </w:r>
    </w:p>
    <w:p>
      <w:pPr>
        <w:pStyle w:val="BodyText"/>
        <w:spacing w:before="257" w:line="294" w:lineRule="auto"/>
        <w:ind w:left="474" w:right="157" w:hanging="428"/>
      </w:pPr>
      <w:r>
        <w:rPr>
          <w:rFonts w:ascii="Wingdings" w:eastAsia="Wingdings" w:hAnsi="Wingdings" w:cs="Wingdings"/>
          <w:color w:val="004098"/>
          <w:spacing w:val="1"/>
        </w:rPr>
        <w:t>.</w:t>
      </w:r>
      <w:r>
        <w:rPr>
          <w:rFonts w:ascii="Wingdings" w:eastAsia="Wingdings" w:hAnsi="Wingdings" w:cs="Wingdings"/>
          <w:color w:val="004098"/>
          <w:spacing w:val="124"/>
        </w:rPr>
        <w:t xml:space="preserve"> </w:t>
      </w:r>
      <w:r>
        <w:rPr>
          <w:color w:val="004098"/>
          <w:spacing w:val="1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回顾：</w:t>
      </w:r>
      <w:r>
        <w:rPr>
          <w:color w:val="004098"/>
          <w:spacing w:val="25"/>
        </w:rPr>
        <w:t xml:space="preserve"> </w:t>
      </w:r>
      <w:r>
        <w:rPr>
          <w:color w:val="004098"/>
          <w:spacing w:val="1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汽车市场竞争加剧，内生需求有韧性。</w:t>
      </w:r>
      <w:r>
        <w:rPr>
          <w:color w:val="004098"/>
          <w:spacing w:val="-51"/>
        </w:rPr>
        <w:t xml:space="preserve"> </w:t>
      </w:r>
      <w:r>
        <w:rPr>
          <w:rFonts w:ascii="Tahoma" w:eastAsia="Tahoma" w:hAnsi="Tahoma" w:cs="Tahoma"/>
          <w:spacing w:val="1"/>
        </w:rPr>
        <w:t>20</w:t>
      </w:r>
      <w:r>
        <w:rPr>
          <w:rFonts w:ascii="Tahoma" w:eastAsia="Tahoma" w:hAnsi="Tahoma" w:cs="Tahoma"/>
        </w:rPr>
        <w:t>23</w:t>
      </w:r>
      <w:r>
        <w:rPr>
          <w:rFonts w:ascii="Tahoma" w:eastAsia="Tahoma" w:hAnsi="Tahoma" w:cs="Tahoma"/>
          <w:spacing w:val="52"/>
        </w:rPr>
        <w:t xml:space="preserve"> </w:t>
      </w:r>
      <w:r>
        <w:t>全年汽车板块上涨</w:t>
      </w:r>
      <w:r>
        <w:t xml:space="preserve"> </w:t>
      </w:r>
      <w:r>
        <w:rPr>
          <w:rFonts w:ascii="Tahoma" w:eastAsia="Tahoma" w:hAnsi="Tahoma" w:cs="Tahoma"/>
          <w:spacing w:val="5"/>
        </w:rPr>
        <w:t>3.3%</w:t>
      </w:r>
      <w:r>
        <w:rPr>
          <w:spacing w:val="5"/>
        </w:rPr>
        <w:t>，跑赢沪深</w:t>
      </w:r>
      <w:r>
        <w:rPr>
          <w:spacing w:val="-15"/>
        </w:rPr>
        <w:t xml:space="preserve"> </w:t>
      </w:r>
      <w:r>
        <w:rPr>
          <w:rFonts w:ascii="Tahoma" w:eastAsia="Tahoma" w:hAnsi="Tahoma" w:cs="Tahoma"/>
          <w:spacing w:val="5"/>
        </w:rPr>
        <w:t xml:space="preserve">300 </w:t>
      </w:r>
      <w:r>
        <w:rPr>
          <w:spacing w:val="5"/>
        </w:rPr>
        <w:t>指数</w:t>
      </w:r>
      <w:r>
        <w:rPr>
          <w:spacing w:val="-13"/>
        </w:rPr>
        <w:t xml:space="preserve"> </w:t>
      </w:r>
      <w:r>
        <w:rPr>
          <w:rFonts w:ascii="Tahoma" w:eastAsia="Tahoma" w:hAnsi="Tahoma" w:cs="Tahoma"/>
          <w:spacing w:val="5"/>
        </w:rPr>
        <w:t>14.7%</w:t>
      </w:r>
      <w:r>
        <w:rPr>
          <w:spacing w:val="5"/>
        </w:rPr>
        <w:t>。</w:t>
      </w:r>
      <w:r>
        <w:rPr>
          <w:rFonts w:ascii="Tahoma" w:eastAsia="Tahoma" w:hAnsi="Tahoma" w:cs="Tahoma"/>
          <w:b/>
          <w:bCs/>
          <w:color w:val="004098"/>
          <w:spacing w:val="5"/>
        </w:rPr>
        <w:t>1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</w:t>
      </w:r>
      <w:r>
        <w:rPr>
          <w:rFonts w:ascii="Tahoma" w:eastAsia="Tahoma" w:hAnsi="Tahoma" w:cs="Tahoma"/>
          <w:b/>
          <w:bCs/>
          <w:color w:val="004098"/>
          <w:spacing w:val="5"/>
        </w:rPr>
        <w:t xml:space="preserve">2023 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全年乘用车市场价格战反</w:t>
      </w:r>
      <w:r>
        <w:rPr>
          <w:color w:val="004098"/>
        </w:rPr>
        <w:t xml:space="preserve"> </w:t>
      </w:r>
      <w:r>
        <w:rPr>
          <w:color w:val="004098"/>
          <w:spacing w:val="4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复。</w:t>
      </w:r>
      <w:r>
        <w:rPr>
          <w:spacing w:val="4"/>
        </w:rPr>
        <w:t>供给端恢复</w:t>
      </w:r>
      <w:r>
        <w:rPr>
          <w:rFonts w:ascii="Tahoma" w:eastAsia="Tahoma" w:hAnsi="Tahoma" w:cs="Tahoma"/>
          <w:spacing w:val="4"/>
        </w:rPr>
        <w:t>+</w:t>
      </w:r>
      <w:r>
        <w:rPr>
          <w:spacing w:val="4"/>
        </w:rPr>
        <w:t>刺激需求的背景下，</w:t>
      </w:r>
      <w:r>
        <w:rPr>
          <w:rFonts w:ascii="Tahoma" w:eastAsia="Tahoma" w:hAnsi="Tahoma" w:cs="Tahoma"/>
          <w:spacing w:val="4"/>
        </w:rPr>
        <w:t xml:space="preserve">2023 </w:t>
      </w:r>
      <w:r>
        <w:rPr>
          <w:spacing w:val="4"/>
        </w:rPr>
        <w:t>年</w:t>
      </w:r>
      <w:r>
        <w:rPr>
          <w:spacing w:val="3"/>
        </w:rPr>
        <w:t>乘用车终端优惠显著放大，</w:t>
      </w:r>
      <w:r>
        <w:t xml:space="preserve"> </w:t>
      </w:r>
      <w:r>
        <w:rPr>
          <w:rFonts w:ascii="Tahoma" w:eastAsia="Tahoma" w:hAnsi="Tahoma" w:cs="Tahoma"/>
          <w:spacing w:val="2"/>
        </w:rPr>
        <w:t xml:space="preserve">11 </w:t>
      </w:r>
      <w:r>
        <w:rPr>
          <w:spacing w:val="2"/>
        </w:rPr>
        <w:t>月平均折扣额达</w:t>
      </w:r>
      <w:r>
        <w:rPr>
          <w:spacing w:val="-25"/>
        </w:rPr>
        <w:t xml:space="preserve"> </w:t>
      </w:r>
      <w:r>
        <w:rPr>
          <w:rFonts w:ascii="Tahoma" w:eastAsia="Tahoma" w:hAnsi="Tahoma" w:cs="Tahoma"/>
          <w:spacing w:val="2"/>
        </w:rPr>
        <w:t xml:space="preserve">2.49 </w:t>
      </w:r>
      <w:r>
        <w:rPr>
          <w:spacing w:val="2"/>
        </w:rPr>
        <w:t>万元，</w:t>
      </w:r>
      <w:r>
        <w:rPr>
          <w:spacing w:val="-32"/>
        </w:rPr>
        <w:t xml:space="preserve"> </w:t>
      </w:r>
      <w:r>
        <w:rPr>
          <w:spacing w:val="2"/>
        </w:rPr>
        <w:t>折扣率达</w:t>
      </w:r>
      <w:r>
        <w:rPr>
          <w:spacing w:val="2"/>
        </w:rPr>
        <w:t xml:space="preserve"> </w:t>
      </w:r>
      <w:r>
        <w:rPr>
          <w:rFonts w:ascii="Tahoma" w:eastAsia="Tahoma" w:hAnsi="Tahoma" w:cs="Tahoma"/>
          <w:spacing w:val="1"/>
        </w:rPr>
        <w:t>12.8%</w:t>
      </w:r>
      <w:r>
        <w:rPr>
          <w:spacing w:val="1"/>
        </w:rPr>
        <w:t>；</w:t>
      </w:r>
      <w:r>
        <w:rPr>
          <w:rFonts w:ascii="Tahoma" w:eastAsia="Tahoma" w:hAnsi="Tahoma" w:cs="Tahoma"/>
          <w:b/>
          <w:bCs/>
          <w:color w:val="004098"/>
          <w:spacing w:val="1"/>
        </w:rPr>
        <w:t>2</w:t>
      </w:r>
      <w:r>
        <w:rPr>
          <w:color w:val="004098"/>
          <w:spacing w:val="1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</w:t>
      </w:r>
      <w:r>
        <w:rPr>
          <w:rFonts w:ascii="Tahoma" w:eastAsia="Tahoma" w:hAnsi="Tahoma" w:cs="Tahoma"/>
          <w:b/>
          <w:bCs/>
          <w:color w:val="004098"/>
          <w:spacing w:val="1"/>
        </w:rPr>
        <w:t xml:space="preserve">2023 </w:t>
      </w:r>
      <w:r>
        <w:rPr>
          <w:color w:val="004098"/>
          <w:spacing w:val="1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年汽车销量</w:t>
      </w:r>
      <w:r>
        <w:rPr>
          <w:color w:val="004098"/>
        </w:rPr>
        <w:t xml:space="preserve"> </w:t>
      </w:r>
      <w:r>
        <w:rPr>
          <w:color w:val="004098"/>
          <w:spacing w:val="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回归内生增长中枢，</w:t>
      </w:r>
      <w:r>
        <w:rPr>
          <w:color w:val="004098"/>
          <w:spacing w:val="-39"/>
        </w:rPr>
        <w:t xml:space="preserve"> </w:t>
      </w:r>
      <w:r>
        <w:rPr>
          <w:color w:val="004098"/>
          <w:spacing w:val="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出口实现高增长。</w:t>
      </w:r>
      <w:r>
        <w:rPr>
          <w:color w:val="004098"/>
          <w:spacing w:val="-39"/>
        </w:rPr>
        <w:t xml:space="preserve"> </w:t>
      </w:r>
      <w:r>
        <w:rPr>
          <w:rFonts w:ascii="Tahoma" w:eastAsia="Tahoma" w:hAnsi="Tahoma" w:cs="Tahoma"/>
          <w:spacing w:val="3"/>
        </w:rPr>
        <w:t xml:space="preserve">2023 </w:t>
      </w:r>
      <w:r>
        <w:rPr>
          <w:spacing w:val="3"/>
        </w:rPr>
        <w:t>年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>1-</w:t>
      </w:r>
      <w:r>
        <w:rPr>
          <w:rFonts w:ascii="Tahoma" w:eastAsia="Tahoma" w:hAnsi="Tahoma" w:cs="Tahoma"/>
          <w:spacing w:val="-34"/>
        </w:rPr>
        <w:t xml:space="preserve"> </w:t>
      </w:r>
      <w:r>
        <w:rPr>
          <w:rFonts w:ascii="Tahoma" w:eastAsia="Tahoma" w:hAnsi="Tahoma" w:cs="Tahoma"/>
          <w:spacing w:val="3"/>
        </w:rPr>
        <w:t xml:space="preserve">12 </w:t>
      </w:r>
      <w:r>
        <w:rPr>
          <w:spacing w:val="3"/>
        </w:rPr>
        <w:t>月我国</w:t>
      </w:r>
      <w:r>
        <w:rPr>
          <w:spacing w:val="2"/>
        </w:rPr>
        <w:t>乘用车实现</w:t>
      </w:r>
      <w:r>
        <w:t xml:space="preserve"> </w:t>
      </w:r>
      <w:r>
        <w:rPr>
          <w:spacing w:val="-3"/>
        </w:rPr>
        <w:t>批发销量</w:t>
      </w:r>
      <w:r>
        <w:rPr>
          <w:spacing w:val="-24"/>
        </w:rPr>
        <w:t xml:space="preserve"> </w:t>
      </w:r>
      <w:r>
        <w:rPr>
          <w:rFonts w:ascii="Tahoma" w:eastAsia="Tahoma" w:hAnsi="Tahoma" w:cs="Tahoma"/>
          <w:spacing w:val="-3"/>
        </w:rPr>
        <w:t xml:space="preserve">2601 </w:t>
      </w:r>
      <w:r>
        <w:rPr>
          <w:spacing w:val="-3"/>
        </w:rPr>
        <w:t>万辆（同比</w:t>
      </w:r>
      <w:r>
        <w:rPr>
          <w:rFonts w:ascii="Tahoma" w:eastAsia="Tahoma" w:hAnsi="Tahoma" w:cs="Tahoma"/>
          <w:spacing w:val="-3"/>
        </w:rPr>
        <w:t>+10.5%</w:t>
      </w:r>
      <w:r>
        <w:rPr>
          <w:spacing w:val="-40"/>
          <w:w w:val="76"/>
        </w:rPr>
        <w:t>），</w:t>
      </w:r>
      <w:r>
        <w:rPr>
          <w:spacing w:val="-3"/>
        </w:rPr>
        <w:t>其中出口</w:t>
      </w:r>
      <w:r>
        <w:rPr>
          <w:spacing w:val="-31"/>
        </w:rPr>
        <w:t xml:space="preserve"> </w:t>
      </w:r>
      <w:r>
        <w:rPr>
          <w:rFonts w:ascii="Tahoma" w:eastAsia="Tahoma" w:hAnsi="Tahoma" w:cs="Tahoma"/>
          <w:spacing w:val="-3"/>
        </w:rPr>
        <w:t xml:space="preserve">485 </w:t>
      </w:r>
      <w:r>
        <w:rPr>
          <w:spacing w:val="-3"/>
        </w:rPr>
        <w:t>万辆（同比</w:t>
      </w:r>
      <w:r>
        <w:rPr>
          <w:rFonts w:ascii="Tahoma" w:eastAsia="Tahoma" w:hAnsi="Tahoma" w:cs="Tahoma"/>
          <w:spacing w:val="-3"/>
        </w:rPr>
        <w:t>+62.7%</w:t>
      </w:r>
      <w:r>
        <w:rPr>
          <w:spacing w:val="-3"/>
        </w:rPr>
        <w:t>）。</w:t>
      </w:r>
      <w:r>
        <w:t xml:space="preserve"> </w:t>
      </w:r>
      <w:r>
        <w:rPr>
          <w:spacing w:val="8"/>
        </w:rPr>
        <w:t>从市场份额看，</w:t>
      </w:r>
      <w:r>
        <w:rPr>
          <w:rFonts w:ascii="Tahoma" w:eastAsia="Tahoma" w:hAnsi="Tahoma" w:cs="Tahoma"/>
          <w:spacing w:val="8"/>
        </w:rPr>
        <w:t>2023</w:t>
      </w:r>
      <w:r>
        <w:rPr>
          <w:rFonts w:ascii="Tahoma" w:eastAsia="Tahoma" w:hAnsi="Tahoma" w:cs="Tahoma"/>
          <w:spacing w:val="45"/>
        </w:rPr>
        <w:t xml:space="preserve"> </w:t>
      </w:r>
      <w:r>
        <w:rPr>
          <w:spacing w:val="8"/>
        </w:rPr>
        <w:t>年自主品牌全面崛起（自主品牌市占率</w:t>
      </w:r>
      <w:r>
        <w:rPr>
          <w:spacing w:val="8"/>
        </w:rPr>
        <w:t xml:space="preserve"> </w:t>
      </w:r>
      <w:r>
        <w:rPr>
          <w:rFonts w:ascii="Tahoma" w:eastAsia="Tahoma" w:hAnsi="Tahoma" w:cs="Tahoma"/>
          <w:spacing w:val="8"/>
        </w:rPr>
        <w:t>55.9%</w:t>
      </w:r>
      <w:r>
        <w:rPr>
          <w:spacing w:val="8"/>
        </w:rPr>
        <w:t>，</w:t>
      </w:r>
      <w:r>
        <w:t xml:space="preserve"> </w:t>
      </w:r>
      <w:r>
        <w:rPr>
          <w:spacing w:val="-4"/>
        </w:rPr>
        <w:t>同比</w:t>
      </w:r>
      <w:r>
        <w:rPr>
          <w:rFonts w:ascii="Tahoma" w:eastAsia="Tahoma" w:hAnsi="Tahoma" w:cs="Tahoma"/>
          <w:spacing w:val="-4"/>
        </w:rPr>
        <w:t>+5.9pct</w:t>
      </w:r>
      <w:r>
        <w:rPr>
          <w:spacing w:val="-4"/>
        </w:rPr>
        <w:t>）。</w:t>
      </w:r>
    </w:p>
    <w:p>
      <w:pPr>
        <w:pStyle w:val="BodyText"/>
        <w:spacing w:before="245" w:line="296" w:lineRule="auto"/>
        <w:ind w:left="472" w:right="213" w:hanging="426"/>
      </w:pPr>
      <w:r>
        <w:rPr>
          <w:rFonts w:ascii="Wingdings" w:eastAsia="Wingdings" w:hAnsi="Wingdings" w:cs="Wingdings"/>
          <w:color w:val="004098"/>
          <w:spacing w:val="-2"/>
        </w:rPr>
        <w:t>.</w:t>
      </w:r>
      <w:r>
        <w:rPr>
          <w:rFonts w:ascii="Wingdings" w:eastAsia="Wingdings" w:hAnsi="Wingdings" w:cs="Wingdings"/>
          <w:color w:val="004098"/>
          <w:spacing w:val="108"/>
        </w:rPr>
        <w:t xml:space="preserve"> </w:t>
      </w:r>
      <w:r>
        <w:rPr>
          <w:color w:val="004098"/>
          <w:spacing w:val="-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展望：</w:t>
      </w:r>
      <w:r>
        <w:rPr>
          <w:color w:val="004098"/>
          <w:spacing w:val="24"/>
        </w:rPr>
        <w:t xml:space="preserve"> </w:t>
      </w:r>
      <w:r>
        <w:rPr>
          <w:color w:val="004098"/>
          <w:spacing w:val="-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预计车市增长稳健，关注出海增量</w:t>
      </w:r>
      <w:r>
        <w:rPr>
          <w:color w:val="004098"/>
          <w:spacing w:val="-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及新车投放。</w:t>
      </w:r>
      <w:r>
        <w:rPr>
          <w:color w:val="004098"/>
          <w:spacing w:val="-44"/>
        </w:rPr>
        <w:t xml:space="preserve"> </w:t>
      </w:r>
      <w:r>
        <w:rPr>
          <w:rFonts w:ascii="Tahoma" w:eastAsia="Tahoma" w:hAnsi="Tahoma" w:cs="Tahoma"/>
          <w:b/>
          <w:bCs/>
          <w:color w:val="004098"/>
          <w:spacing w:val="-3"/>
        </w:rPr>
        <w:t>1</w:t>
      </w:r>
      <w:r>
        <w:rPr>
          <w:color w:val="004098"/>
          <w:spacing w:val="-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）新车：</w:t>
      </w:r>
      <w:r>
        <w:rPr>
          <w:color w:val="004098"/>
          <w:spacing w:val="40"/>
        </w:rPr>
        <w:t xml:space="preserve"> </w:t>
      </w:r>
      <w:r>
        <w:rPr>
          <w:spacing w:val="-3"/>
        </w:rPr>
        <w:t>当前</w:t>
      </w:r>
      <w:r>
        <w:t xml:space="preserve"> </w:t>
      </w:r>
      <w:r>
        <w:rPr>
          <w:spacing w:val="7"/>
        </w:rPr>
        <w:t>新能源渗透率已突破</w:t>
      </w:r>
      <w:r>
        <w:rPr>
          <w:spacing w:val="-28"/>
        </w:rPr>
        <w:t xml:space="preserve"> </w:t>
      </w:r>
      <w:r>
        <w:rPr>
          <w:rFonts w:ascii="Tahoma" w:eastAsia="Tahoma" w:hAnsi="Tahoma" w:cs="Tahoma"/>
          <w:spacing w:val="7"/>
        </w:rPr>
        <w:t>40%</w:t>
      </w:r>
      <w:r>
        <w:rPr>
          <w:spacing w:val="7"/>
        </w:rPr>
        <w:t>，预计短期自主新能源对市占率提升的诉求更</w:t>
      </w:r>
      <w:r>
        <w:t xml:space="preserve"> </w:t>
      </w:r>
      <w:r>
        <w:rPr>
          <w:spacing w:val="3"/>
        </w:rPr>
        <w:t>加强烈。</w:t>
      </w:r>
      <w:r>
        <w:rPr>
          <w:spacing w:val="-45"/>
        </w:rPr>
        <w:t xml:space="preserve"> </w:t>
      </w:r>
      <w:r>
        <w:rPr>
          <w:rFonts w:ascii="Tahoma" w:eastAsia="Tahoma" w:hAnsi="Tahoma" w:cs="Tahoma"/>
          <w:spacing w:val="3"/>
        </w:rPr>
        <w:t xml:space="preserve">2024 </w:t>
      </w:r>
      <w:r>
        <w:rPr>
          <w:spacing w:val="3"/>
        </w:rPr>
        <w:t>年自主车企</w:t>
      </w:r>
      <w:r>
        <w:rPr>
          <w:spacing w:val="-24"/>
        </w:rPr>
        <w:t xml:space="preserve"> </w:t>
      </w:r>
      <w:r>
        <w:rPr>
          <w:rFonts w:ascii="Tahoma" w:eastAsia="Tahoma" w:hAnsi="Tahoma" w:cs="Tahoma"/>
          <w:spacing w:val="3"/>
        </w:rPr>
        <w:t xml:space="preserve">20 </w:t>
      </w:r>
      <w:r>
        <w:rPr>
          <w:spacing w:val="3"/>
        </w:rPr>
        <w:t>万左右新能源车型将密集上市，</w:t>
      </w:r>
      <w:r>
        <w:rPr>
          <w:spacing w:val="3"/>
        </w:rPr>
        <w:t xml:space="preserve"> </w:t>
      </w:r>
      <w:r>
        <w:rPr>
          <w:spacing w:val="3"/>
        </w:rPr>
        <w:t>建议关注</w:t>
      </w:r>
      <w:r>
        <w:t xml:space="preserve"> </w:t>
      </w:r>
      <w:r>
        <w:rPr>
          <w:spacing w:val="5"/>
        </w:rPr>
        <w:t>新车节奏较快且目标市场增量空间大的主机厂；</w:t>
      </w:r>
      <w:r>
        <w:rPr>
          <w:spacing w:val="5"/>
        </w:rPr>
        <w:t xml:space="preserve"> </w:t>
      </w:r>
      <w:r>
        <w:rPr>
          <w:rFonts w:ascii="Tahoma" w:eastAsia="Tahoma" w:hAnsi="Tahoma" w:cs="Tahoma"/>
          <w:b/>
          <w:bCs/>
          <w:color w:val="004098"/>
          <w:spacing w:val="5"/>
        </w:rPr>
        <w:t>2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）出口：</w:t>
      </w:r>
      <w:r>
        <w:rPr>
          <w:rFonts w:ascii="Tahoma" w:eastAsia="Tahoma" w:hAnsi="Tahoma" w:cs="Tahoma"/>
          <w:spacing w:val="5"/>
        </w:rPr>
        <w:t xml:space="preserve">2023 </w:t>
      </w:r>
      <w:r>
        <w:rPr>
          <w:spacing w:val="5"/>
        </w:rPr>
        <w:t>年出口</w:t>
      </w:r>
      <w:r>
        <w:rPr>
          <w:spacing w:val="8"/>
        </w:rPr>
        <w:t xml:space="preserve"> </w:t>
      </w:r>
      <w:r>
        <w:rPr>
          <w:spacing w:val="7"/>
        </w:rPr>
        <w:t>呈现量价齐增特点，</w:t>
      </w:r>
      <w:r>
        <w:rPr>
          <w:spacing w:val="7"/>
        </w:rPr>
        <w:t xml:space="preserve"> </w:t>
      </w:r>
      <w:r>
        <w:rPr>
          <w:spacing w:val="7"/>
        </w:rPr>
        <w:t>多数主机厂通过海外</w:t>
      </w:r>
      <w:r>
        <w:rPr>
          <w:spacing w:val="6"/>
        </w:rPr>
        <w:t>设厂等方式积极寻找销量新增</w:t>
      </w:r>
      <w:r>
        <w:t xml:space="preserve"> </w:t>
      </w:r>
      <w:r>
        <w:t>长点，</w:t>
      </w:r>
      <w:r>
        <w:t xml:space="preserve"> </w:t>
      </w:r>
      <w:r>
        <w:t>预计</w:t>
      </w:r>
      <w:r>
        <w:rPr>
          <w:spacing w:val="-6"/>
        </w:rPr>
        <w:t xml:space="preserve"> </w:t>
      </w:r>
      <w:r>
        <w:rPr>
          <w:rFonts w:ascii="Tahoma" w:eastAsia="Tahoma" w:hAnsi="Tahoma" w:cs="Tahoma"/>
        </w:rPr>
        <w:t xml:space="preserve">2025 </w:t>
      </w:r>
      <w:r>
        <w:t>年前后将有大规模新增产能落地；</w:t>
      </w:r>
      <w:r>
        <w:rPr>
          <w:rFonts w:ascii="Tahoma" w:eastAsia="Tahoma" w:hAnsi="Tahoma" w:cs="Tahoma"/>
          <w:b/>
          <w:bCs/>
          <w:color w:val="004098"/>
        </w:rPr>
        <w:t>3</w:t>
      </w:r>
      <w:r>
        <w:rPr>
          <w:color w:val="004098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）销量预测：</w:t>
      </w:r>
      <w:r>
        <w:rPr>
          <w:color w:val="004098"/>
        </w:rPr>
        <w:t xml:space="preserve"> </w:t>
      </w:r>
      <w:r>
        <w:t>在实</w:t>
      </w:r>
      <w:r>
        <w:t xml:space="preserve"> </w:t>
      </w:r>
      <w:r>
        <w:rPr>
          <w:spacing w:val="6"/>
        </w:rPr>
        <w:t>际需求同比</w:t>
      </w:r>
      <w:r>
        <w:rPr>
          <w:rFonts w:ascii="Tahoma" w:eastAsia="Tahoma" w:hAnsi="Tahoma" w:cs="Tahoma"/>
          <w:spacing w:val="6"/>
        </w:rPr>
        <w:t>+4%</w:t>
      </w:r>
      <w:r>
        <w:rPr>
          <w:spacing w:val="6"/>
        </w:rPr>
        <w:t>（略低于经济增长</w:t>
      </w:r>
      <w:r>
        <w:rPr>
          <w:spacing w:val="-53"/>
        </w:rPr>
        <w:t>），</w:t>
      </w:r>
      <w:r>
        <w:rPr>
          <w:spacing w:val="6"/>
        </w:rPr>
        <w:t>库存变化为</w:t>
      </w:r>
      <w:r>
        <w:rPr>
          <w:spacing w:val="-26"/>
        </w:rPr>
        <w:t xml:space="preserve"> </w:t>
      </w:r>
      <w:r>
        <w:rPr>
          <w:rFonts w:ascii="Tahoma" w:eastAsia="Tahoma" w:hAnsi="Tahoma" w:cs="Tahoma"/>
          <w:spacing w:val="6"/>
        </w:rPr>
        <w:t>0</w:t>
      </w:r>
      <w:r>
        <w:rPr>
          <w:rFonts w:ascii="Tahoma" w:eastAsia="Tahoma" w:hAnsi="Tahoma" w:cs="Tahoma"/>
          <w:spacing w:val="-34"/>
        </w:rPr>
        <w:t xml:space="preserve"> </w:t>
      </w:r>
      <w:r>
        <w:rPr>
          <w:spacing w:val="6"/>
        </w:rPr>
        <w:t>，出口同比</w:t>
      </w:r>
      <w:r>
        <w:rPr>
          <w:rFonts w:ascii="Tahoma" w:eastAsia="Tahoma" w:hAnsi="Tahoma" w:cs="Tahoma"/>
          <w:spacing w:val="6"/>
        </w:rPr>
        <w:t>+</w:t>
      </w:r>
      <w:r>
        <w:rPr>
          <w:rFonts w:ascii="Tahoma" w:eastAsia="Tahoma" w:hAnsi="Tahoma" w:cs="Tahoma"/>
          <w:spacing w:val="5"/>
        </w:rPr>
        <w:t>30%</w:t>
      </w:r>
      <w:r>
        <w:rPr>
          <w:spacing w:val="5"/>
        </w:rPr>
        <w:t>的</w:t>
      </w:r>
      <w:r>
        <w:t xml:space="preserve"> </w:t>
      </w:r>
      <w:r>
        <w:rPr>
          <w:spacing w:val="7"/>
        </w:rPr>
        <w:t>情况下，预计</w:t>
      </w:r>
      <w:r>
        <w:rPr>
          <w:spacing w:val="7"/>
        </w:rPr>
        <w:t xml:space="preserve"> </w:t>
      </w:r>
      <w:r>
        <w:rPr>
          <w:rFonts w:ascii="Tahoma" w:eastAsia="Tahoma" w:hAnsi="Tahoma" w:cs="Tahoma"/>
          <w:spacing w:val="7"/>
        </w:rPr>
        <w:t>2024</w:t>
      </w:r>
      <w:r>
        <w:rPr>
          <w:rFonts w:ascii="Tahoma" w:eastAsia="Tahoma" w:hAnsi="Tahoma" w:cs="Tahoma"/>
          <w:spacing w:val="41"/>
        </w:rPr>
        <w:t xml:space="preserve"> </w:t>
      </w:r>
      <w:r>
        <w:rPr>
          <w:spacing w:val="7"/>
        </w:rPr>
        <w:t>年乘用车批售同比</w:t>
      </w:r>
      <w:r>
        <w:rPr>
          <w:rFonts w:ascii="Tahoma" w:eastAsia="Tahoma" w:hAnsi="Tahoma" w:cs="Tahoma"/>
          <w:spacing w:val="7"/>
        </w:rPr>
        <w:t>+4.1%</w:t>
      </w:r>
      <w:r>
        <w:rPr>
          <w:spacing w:val="7"/>
        </w:rPr>
        <w:t>。对出口增速进行敏感性</w:t>
      </w:r>
      <w:r>
        <w:t xml:space="preserve"> </w:t>
      </w:r>
      <w:r>
        <w:rPr>
          <w:spacing w:val="3"/>
        </w:rPr>
        <w:t>分析，</w:t>
      </w:r>
      <w:r>
        <w:rPr>
          <w:spacing w:val="3"/>
        </w:rPr>
        <w:t xml:space="preserve"> </w:t>
      </w:r>
      <w:r>
        <w:rPr>
          <w:spacing w:val="3"/>
        </w:rPr>
        <w:t>预计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 xml:space="preserve">2024 </w:t>
      </w:r>
      <w:r>
        <w:rPr>
          <w:spacing w:val="3"/>
        </w:rPr>
        <w:t>年乘用车批售增速区间为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>2.5%</w:t>
      </w:r>
      <w:r>
        <w:rPr>
          <w:spacing w:val="2"/>
        </w:rPr>
        <w:t>（出口增速</w:t>
      </w:r>
      <w:r>
        <w:rPr>
          <w:spacing w:val="2"/>
        </w:rPr>
        <w:t xml:space="preserve"> </w:t>
      </w:r>
      <w:r>
        <w:rPr>
          <w:rFonts w:ascii="Tahoma" w:eastAsia="Tahoma" w:hAnsi="Tahoma" w:cs="Tahoma"/>
          <w:spacing w:val="2"/>
        </w:rPr>
        <w:t>20%</w:t>
      </w:r>
      <w:r>
        <w:rPr>
          <w:spacing w:val="2"/>
        </w:rPr>
        <w:t>）至</w:t>
      </w:r>
      <w:r>
        <w:t xml:space="preserve"> </w:t>
      </w:r>
      <w:r>
        <w:rPr>
          <w:rFonts w:ascii="Tahoma" w:eastAsia="Tahoma" w:hAnsi="Tahoma" w:cs="Tahoma"/>
        </w:rPr>
        <w:t>5.6%</w:t>
      </w:r>
      <w:r>
        <w:t>（出口增速</w:t>
      </w:r>
      <w:r>
        <w:rPr>
          <w:spacing w:val="-16"/>
        </w:rPr>
        <w:t xml:space="preserve"> </w:t>
      </w:r>
      <w:r>
        <w:rPr>
          <w:rFonts w:ascii="Tahoma" w:eastAsia="Tahoma" w:hAnsi="Tahoma" w:cs="Tahoma"/>
        </w:rPr>
        <w:t>40%</w:t>
      </w:r>
      <w:r>
        <w:t>）。</w:t>
      </w:r>
    </w:p>
    <w:p>
      <w:pPr>
        <w:pStyle w:val="BodyText"/>
        <w:spacing w:before="220" w:line="268" w:lineRule="auto"/>
        <w:ind w:left="468" w:right="215" w:hanging="422"/>
      </w:pPr>
      <w:r>
        <w:rPr>
          <w:rFonts w:ascii="Wingdings" w:eastAsia="Wingdings" w:hAnsi="Wingdings" w:cs="Wingdings"/>
          <w:color w:val="004098"/>
          <w:spacing w:val="5"/>
        </w:rPr>
        <w:t>.</w:t>
      </w:r>
      <w:r>
        <w:rPr>
          <w:rFonts w:ascii="Wingdings" w:eastAsia="Wingdings" w:hAnsi="Wingdings" w:cs="Wingdings"/>
          <w:color w:val="004098"/>
          <w:spacing w:val="121"/>
        </w:rPr>
        <w:t xml:space="preserve"> 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赛道</w:t>
      </w:r>
      <w:r>
        <w:rPr>
          <w:rFonts w:ascii="Tahoma" w:eastAsia="Tahoma" w:hAnsi="Tahoma" w:cs="Tahoma"/>
          <w:b/>
          <w:bCs/>
          <w:color w:val="004098"/>
          <w:spacing w:val="5"/>
        </w:rPr>
        <w:t>-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智能车载光：</w:t>
      </w:r>
      <w:r>
        <w:rPr>
          <w:color w:val="004098"/>
          <w:spacing w:val="-48"/>
        </w:rPr>
        <w:t xml:space="preserve"> 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以光为引，开启车载投影新时代。</w:t>
      </w:r>
      <w:r>
        <w:rPr>
          <w:color w:val="004098"/>
          <w:spacing w:val="-48"/>
        </w:rPr>
        <w:t xml:space="preserve"> </w:t>
      </w:r>
      <w:r>
        <w:rPr>
          <w:spacing w:val="5"/>
        </w:rPr>
        <w:t>华为力推车载光</w:t>
      </w:r>
      <w:r>
        <w:t xml:space="preserve"> </w:t>
      </w:r>
      <w:r>
        <w:rPr>
          <w:spacing w:val="14"/>
        </w:rPr>
        <w:t>打造智能车核心差异点，</w:t>
      </w:r>
      <w:r>
        <w:rPr>
          <w:rFonts w:ascii="Tahoma" w:eastAsia="Tahoma" w:hAnsi="Tahoma" w:cs="Tahoma"/>
        </w:rPr>
        <w:t>AR</w:t>
      </w:r>
      <w:r>
        <w:rPr>
          <w:rFonts w:ascii="Tahoma" w:eastAsia="Tahoma" w:hAnsi="Tahoma" w:cs="Tahoma"/>
          <w:spacing w:val="14"/>
        </w:rPr>
        <w:t>-</w:t>
      </w:r>
      <w:r>
        <w:rPr>
          <w:rFonts w:ascii="Tahoma" w:eastAsia="Tahoma" w:hAnsi="Tahoma" w:cs="Tahoma"/>
        </w:rPr>
        <w:t>HUD</w:t>
      </w:r>
      <w:r>
        <w:rPr>
          <w:spacing w:val="14"/>
        </w:rPr>
        <w:t>、智慧车灯有望成为人</w:t>
      </w:r>
      <w:r>
        <w:rPr>
          <w:spacing w:val="13"/>
        </w:rPr>
        <w:t>车交互重要载</w:t>
      </w:r>
      <w:r>
        <w:t xml:space="preserve"> </w:t>
      </w:r>
      <w:r>
        <w:rPr>
          <w:spacing w:val="5"/>
        </w:rPr>
        <w:t>体。</w:t>
      </w:r>
      <w:r>
        <w:rPr>
          <w:spacing w:val="5"/>
        </w:rPr>
        <w:t xml:space="preserve"> </w:t>
      </w:r>
      <w:r>
        <w:rPr>
          <w:rFonts w:ascii="Tahoma" w:eastAsia="Tahoma" w:hAnsi="Tahoma" w:cs="Tahoma"/>
          <w:b/>
          <w:bCs/>
          <w:color w:val="004098"/>
          <w:spacing w:val="5"/>
        </w:rPr>
        <w:t>1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</w:t>
      </w:r>
      <w:r>
        <w:rPr>
          <w:rFonts w:ascii="Tahoma" w:eastAsia="Tahoma" w:hAnsi="Tahoma" w:cs="Tahoma"/>
          <w:b/>
          <w:bCs/>
          <w:color w:val="004098"/>
        </w:rPr>
        <w:t>AR</w:t>
      </w:r>
      <w:r>
        <w:rPr>
          <w:rFonts w:ascii="Tahoma" w:eastAsia="Tahoma" w:hAnsi="Tahoma" w:cs="Tahoma"/>
          <w:b/>
          <w:bCs/>
          <w:color w:val="004098"/>
          <w:spacing w:val="5"/>
        </w:rPr>
        <w:t>-</w:t>
      </w:r>
      <w:r>
        <w:rPr>
          <w:rFonts w:ascii="Tahoma" w:eastAsia="Tahoma" w:hAnsi="Tahoma" w:cs="Tahoma"/>
          <w:b/>
          <w:bCs/>
          <w:color w:val="004098"/>
        </w:rPr>
        <w:t>HUD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：</w:t>
      </w:r>
      <w:r>
        <w:rPr>
          <w:color w:val="004098"/>
          <w:spacing w:val="-47"/>
        </w:rPr>
        <w:t xml:space="preserve"> </w:t>
      </w:r>
      <w:r>
        <w:rPr>
          <w:rFonts w:ascii="Tahoma" w:eastAsia="Tahoma" w:hAnsi="Tahoma" w:cs="Tahoma"/>
        </w:rPr>
        <w:t>AR</w:t>
      </w:r>
      <w:r>
        <w:rPr>
          <w:rFonts w:ascii="Tahoma" w:eastAsia="Tahoma" w:hAnsi="Tahoma" w:cs="Tahoma"/>
          <w:spacing w:val="5"/>
        </w:rPr>
        <w:t>-</w:t>
      </w:r>
      <w:r>
        <w:rPr>
          <w:rFonts w:ascii="Tahoma" w:eastAsia="Tahoma" w:hAnsi="Tahoma" w:cs="Tahoma"/>
          <w:spacing w:val="-26"/>
        </w:rPr>
        <w:t xml:space="preserve"> </w:t>
      </w:r>
      <w:r>
        <w:rPr>
          <w:rFonts w:ascii="Tahoma" w:eastAsia="Tahoma" w:hAnsi="Tahoma" w:cs="Tahoma"/>
        </w:rPr>
        <w:t>HUD</w:t>
      </w:r>
      <w:r>
        <w:rPr>
          <w:rFonts w:ascii="Tahoma" w:eastAsia="Tahoma" w:hAnsi="Tahoma" w:cs="Tahoma"/>
          <w:spacing w:val="5"/>
        </w:rPr>
        <w:t xml:space="preserve">  </w:t>
      </w:r>
      <w:r>
        <w:rPr>
          <w:spacing w:val="5"/>
        </w:rPr>
        <w:t>凭借更强的交互性（虚实融合、智驾可视</w:t>
      </w:r>
    </w:p>
    <w:p>
      <w:pPr>
        <w:spacing w:line="14" w:lineRule="auto"/>
        <w:rPr>
          <w:rFonts w:ascii="Arial"/>
          <w:sz w:val="2"/>
        </w:rPr>
        <w:sectPr>
          <w:footerReference w:type="default" r:id="rId8"/>
          <w:type w:val="continuous"/>
          <w:pgSz w:w="11910" w:h="16845"/>
          <w:pgMar w:top="935" w:right="645" w:bottom="840" w:left="645" w:header="0" w:footer="544" w:gutter="0"/>
          <w:pgNumType w:start="2"/>
          <w:cols w:num="2" w:space="708" w:equalWidth="0">
            <w:col w:w="6885" w:space="100"/>
            <w:col w:w="3635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line="329" w:lineRule="exact"/>
      </w:pPr>
      <w:r>
        <w:rPr>
          <w:position w:val="-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6" type="#_x0000_t202" style="width:180.25pt;height:16.55pt;mso-position-horizontal-relative:char;mso-position-vertical-relative:line" filled="t" fillcolor="#1f497d" stroked="f">
            <o:lock v:ext="edit" aspectratio="f"/>
            <v:textbox inset="0,0,0,0">
              <w:txbxContent>
                <w:p>
                  <w:pPr>
                    <w:spacing w:before="34" w:line="217" w:lineRule="auto"/>
                    <w:ind w:left="595"/>
                    <w:rPr>
                      <w:rFonts w:ascii="FangSong" w:eastAsia="FangSong" w:hAnsi="FangSong" w:cs="FangSong"/>
                      <w:sz w:val="24"/>
                      <w:szCs w:val="24"/>
                    </w:rPr>
                  </w:pPr>
                  <w:r>
                    <w:rPr>
                      <w:rFonts w:ascii="FangSong" w:eastAsia="FangSong" w:hAnsi="FangSong" w:cs="FangSong"/>
                      <w:color w:val="FFFFFF"/>
                      <w:spacing w:val="3"/>
                      <w:sz w:val="24"/>
                      <w:szCs w:val="24"/>
                      <w14:textOutline w14:w="435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强于大市（维持评级）</w:t>
                  </w:r>
                </w:p>
              </w:txbxContent>
            </v:textbox>
            <w10:wrap type="none"/>
          </v:shape>
        </w:pict>
      </w: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69" w:line="217" w:lineRule="auto"/>
        <w:ind w:left="8"/>
        <w:rPr>
          <w:sz w:val="21"/>
          <w:szCs w:val="21"/>
        </w:rPr>
      </w:pPr>
      <w:r>
        <w:rPr>
          <w:color w:val="004098"/>
          <w:spacing w:val="9"/>
          <w:sz w:val="21"/>
          <w:szCs w:val="21"/>
          <w14:textOutline w14:w="3810">
            <w14:solidFill>
              <w14:srgbClr w14:val="004098"/>
            </w14:solidFill>
            <w14:prstDash w14:val="solid"/>
            <w14:miter w14:lim="10"/>
          </w14:textOutline>
        </w:rPr>
        <w:t>行业走势</w:t>
      </w: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53" w:line="221" w:lineRule="auto"/>
        <w:ind w:left="621"/>
        <w:rPr>
          <w:rFonts w:ascii="Tahoma" w:eastAsia="Tahoma" w:hAnsi="Tahoma" w:cs="Tahoma"/>
          <w:sz w:val="16"/>
          <w:szCs w:val="16"/>
        </w:rPr>
      </w:pPr>
      <w:r>
        <w:rPr>
          <w:position w:val="3"/>
          <w:sz w:val="16"/>
          <w:szCs w:val="16"/>
        </w:rPr>
        <w:drawing>
          <wp:inline distT="0" distB="0" distL="0" distR="0">
            <wp:extent cx="269240" cy="254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24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9"/>
          <w:sz w:val="16"/>
          <w:szCs w:val="16"/>
        </w:rPr>
        <w:t xml:space="preserve"> </w:t>
      </w:r>
      <w:r>
        <w:rPr>
          <w:spacing w:val="3"/>
          <w:sz w:val="16"/>
          <w:szCs w:val="16"/>
        </w:rPr>
        <w:t>汽车</w:t>
      </w:r>
      <w:r>
        <w:rPr>
          <w:spacing w:val="1"/>
          <w:sz w:val="16"/>
          <w:szCs w:val="16"/>
        </w:rPr>
        <w:t xml:space="preserve">      </w:t>
      </w:r>
      <w:r>
        <w:rPr>
          <w:strike/>
          <w:spacing w:val="19"/>
          <w:sz w:val="16"/>
          <w:szCs w:val="16"/>
        </w:rPr>
        <w:t xml:space="preserve">    </w:t>
      </w:r>
      <w:r>
        <w:rPr>
          <w:spacing w:val="-14"/>
          <w:sz w:val="16"/>
          <w:szCs w:val="16"/>
        </w:rPr>
        <w:t xml:space="preserve"> </w:t>
      </w:r>
      <w:r>
        <w:rPr>
          <w:spacing w:val="3"/>
          <w:sz w:val="16"/>
          <w:szCs w:val="16"/>
        </w:rPr>
        <w:t>沪深</w:t>
      </w:r>
      <w:r>
        <w:rPr>
          <w:rFonts w:ascii="Tahoma" w:eastAsia="Tahoma" w:hAnsi="Tahoma" w:cs="Tahoma"/>
          <w:spacing w:val="3"/>
          <w:sz w:val="16"/>
          <w:szCs w:val="16"/>
        </w:rPr>
        <w:t>300</w:t>
      </w:r>
    </w:p>
    <w:p>
      <w:pPr>
        <w:spacing w:before="19" w:line="221" w:lineRule="exact"/>
        <w:ind w:left="279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position w:val="8"/>
          <w:sz w:val="13"/>
          <w:szCs w:val="13"/>
        </w:rPr>
        <w:t>5%</w:t>
      </w:r>
    </w:p>
    <w:p>
      <w:pPr>
        <w:spacing w:before="1" w:line="193" w:lineRule="auto"/>
        <w:ind w:left="286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pacing w:val="-2"/>
          <w:sz w:val="13"/>
          <w:szCs w:val="13"/>
        </w:rPr>
        <w:t>1%</w:t>
      </w:r>
    </w:p>
    <w:p>
      <w:pPr>
        <w:spacing w:before="94" w:line="194" w:lineRule="auto"/>
        <w:ind w:left="226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z w:val="13"/>
          <w:szCs w:val="13"/>
        </w:rPr>
        <w:t>-4%</w:t>
      </w:r>
    </w:p>
    <w:p>
      <w:pPr>
        <w:spacing w:before="93" w:line="195" w:lineRule="auto"/>
        <w:ind w:left="226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z w:val="13"/>
          <w:szCs w:val="13"/>
        </w:rPr>
        <w:t>-8%</w:t>
      </w:r>
    </w:p>
    <w:p>
      <w:pPr>
        <w:spacing w:before="94" w:line="194" w:lineRule="auto"/>
        <w:ind w:left="149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pacing w:val="-1"/>
          <w:sz w:val="13"/>
          <w:szCs w:val="13"/>
        </w:rPr>
        <w:t>-13</w:t>
      </w:r>
      <w:r>
        <w:rPr>
          <w:rFonts w:ascii="Tahoma" w:eastAsia="Tahoma" w:hAnsi="Tahoma" w:cs="Tahoma"/>
          <w:spacing w:val="-17"/>
          <w:sz w:val="13"/>
          <w:szCs w:val="13"/>
        </w:rPr>
        <w:t xml:space="preserve"> </w:t>
      </w:r>
      <w:r>
        <w:rPr>
          <w:rFonts w:ascii="Tahoma" w:eastAsia="Tahoma" w:hAnsi="Tahoma" w:cs="Tahoma"/>
          <w:spacing w:val="-1"/>
          <w:sz w:val="13"/>
          <w:szCs w:val="13"/>
        </w:rPr>
        <w:t>%</w:t>
      </w:r>
    </w:p>
    <w:p>
      <w:pPr>
        <w:spacing w:before="94" w:line="194" w:lineRule="auto"/>
        <w:ind w:left="149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pacing w:val="-1"/>
          <w:sz w:val="13"/>
          <w:szCs w:val="13"/>
        </w:rPr>
        <w:t>-17</w:t>
      </w:r>
      <w:r>
        <w:rPr>
          <w:rFonts w:ascii="Tahoma" w:eastAsia="Tahoma" w:hAnsi="Tahoma" w:cs="Tahoma"/>
          <w:spacing w:val="-17"/>
          <w:sz w:val="13"/>
          <w:szCs w:val="13"/>
        </w:rPr>
        <w:t xml:space="preserve"> </w:t>
      </w:r>
      <w:r>
        <w:rPr>
          <w:rFonts w:ascii="Tahoma" w:eastAsia="Tahoma" w:hAnsi="Tahoma" w:cs="Tahoma"/>
          <w:spacing w:val="-1"/>
          <w:sz w:val="13"/>
          <w:szCs w:val="13"/>
        </w:rPr>
        <w:t>%</w:t>
      </w:r>
    </w:p>
    <w:p>
      <w:pPr>
        <w:spacing w:before="95" w:line="194" w:lineRule="auto"/>
        <w:ind w:left="149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pacing w:val="-1"/>
          <w:sz w:val="13"/>
          <w:szCs w:val="13"/>
        </w:rPr>
        <w:t>-21</w:t>
      </w:r>
      <w:r>
        <w:rPr>
          <w:rFonts w:ascii="Tahoma" w:eastAsia="Tahoma" w:hAnsi="Tahoma" w:cs="Tahoma"/>
          <w:spacing w:val="-17"/>
          <w:sz w:val="13"/>
          <w:szCs w:val="13"/>
        </w:rPr>
        <w:t xml:space="preserve"> </w:t>
      </w:r>
      <w:r>
        <w:rPr>
          <w:rFonts w:ascii="Tahoma" w:eastAsia="Tahoma" w:hAnsi="Tahoma" w:cs="Tahoma"/>
          <w:spacing w:val="-1"/>
          <w:sz w:val="13"/>
          <w:szCs w:val="13"/>
        </w:rPr>
        <w:t>%</w:t>
      </w:r>
    </w:p>
    <w:p>
      <w:pPr>
        <w:spacing w:before="92" w:line="195" w:lineRule="auto"/>
        <w:ind w:left="149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pacing w:val="5"/>
          <w:sz w:val="13"/>
          <w:szCs w:val="13"/>
        </w:rPr>
        <w:t>-26%</w:t>
      </w:r>
    </w:p>
    <w:p>
      <w:pPr>
        <w:spacing w:before="59" w:line="194" w:lineRule="auto"/>
        <w:ind w:left="372"/>
        <w:rPr>
          <w:rFonts w:ascii="Tahoma" w:eastAsia="Tahoma" w:hAnsi="Tahoma" w:cs="Tahoma"/>
          <w:sz w:val="13"/>
          <w:szCs w:val="13"/>
        </w:rPr>
      </w:pPr>
      <w:r>
        <w:rPr>
          <w:rFonts w:ascii="Tahoma" w:eastAsia="Tahoma" w:hAnsi="Tahoma" w:cs="Tahoma"/>
          <w:spacing w:val="4"/>
          <w:sz w:val="13"/>
          <w:szCs w:val="13"/>
        </w:rPr>
        <w:t>2023-02</w:t>
      </w:r>
      <w:r>
        <w:rPr>
          <w:rFonts w:ascii="Tahoma" w:eastAsia="Tahoma" w:hAnsi="Tahoma" w:cs="Tahoma"/>
          <w:sz w:val="13"/>
          <w:szCs w:val="13"/>
        </w:rPr>
        <w:t xml:space="preserve">         </w:t>
      </w:r>
      <w:r>
        <w:rPr>
          <w:rFonts w:ascii="Tahoma" w:eastAsia="Tahoma" w:hAnsi="Tahoma" w:cs="Tahoma"/>
          <w:spacing w:val="4"/>
          <w:sz w:val="13"/>
          <w:szCs w:val="13"/>
        </w:rPr>
        <w:t>2023-06</w:t>
      </w:r>
      <w:r>
        <w:rPr>
          <w:rFonts w:ascii="Tahoma" w:eastAsia="Tahoma" w:hAnsi="Tahoma" w:cs="Tahoma"/>
          <w:spacing w:val="1"/>
          <w:sz w:val="13"/>
          <w:szCs w:val="13"/>
        </w:rPr>
        <w:t xml:space="preserve">         </w:t>
      </w:r>
      <w:r>
        <w:rPr>
          <w:rFonts w:ascii="Tahoma" w:eastAsia="Tahoma" w:hAnsi="Tahoma" w:cs="Tahoma"/>
          <w:spacing w:val="4"/>
          <w:sz w:val="13"/>
          <w:szCs w:val="13"/>
        </w:rPr>
        <w:t>2023-10</w:t>
      </w:r>
      <w:r>
        <w:rPr>
          <w:rFonts w:ascii="Tahoma" w:eastAsia="Tahoma" w:hAnsi="Tahoma" w:cs="Tahoma"/>
          <w:spacing w:val="1"/>
          <w:sz w:val="13"/>
          <w:szCs w:val="13"/>
        </w:rPr>
        <w:t xml:space="preserve">         </w:t>
      </w:r>
      <w:r>
        <w:rPr>
          <w:rFonts w:ascii="Tahoma" w:eastAsia="Tahoma" w:hAnsi="Tahoma" w:cs="Tahoma"/>
          <w:spacing w:val="4"/>
          <w:sz w:val="13"/>
          <w:szCs w:val="13"/>
        </w:rPr>
        <w:t>2024-02</w:t>
      </w:r>
    </w:p>
    <w:p>
      <w:pPr>
        <w:spacing w:before="16"/>
      </w:pPr>
    </w:p>
    <w:tbl>
      <w:tblPr>
        <w:tblStyle w:val="TableNormal0"/>
        <w:tblW w:w="36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04"/>
      </w:tblGrid>
      <w:tr>
        <w:tblPrEx>
          <w:tblW w:w="360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21"/>
        </w:trPr>
        <w:tc>
          <w:tcPr>
            <w:tcW w:w="3604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spacing w:before="44" w:line="216" w:lineRule="auto"/>
              <w:ind w:left="10"/>
              <w:rPr>
                <w:rFonts w:ascii="FangSong" w:eastAsia="FangSong" w:hAnsi="FangSong" w:cs="FangSong"/>
                <w:sz w:val="21"/>
                <w:szCs w:val="21"/>
              </w:rPr>
            </w:pPr>
            <w:r>
              <w:rPr>
                <w:rFonts w:ascii="FangSong" w:eastAsia="FangSong" w:hAnsi="FangSong" w:cs="FangSong"/>
                <w:color w:val="004098"/>
                <w:spacing w:val="2"/>
                <w:sz w:val="21"/>
                <w:szCs w:val="21"/>
                <w14:textOutline w14:w="3810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作者</w:t>
            </w:r>
          </w:p>
        </w:tc>
      </w:tr>
      <w:tr>
        <w:tblPrEx>
          <w:tblW w:w="3604" w:type="dxa"/>
          <w:tblInd w:w="0" w:type="dxa"/>
          <w:tblLayout w:type="fixed"/>
        </w:tblPrEx>
        <w:trPr>
          <w:trHeight w:val="3876"/>
        </w:trPr>
        <w:tc>
          <w:tcPr>
            <w:tcW w:w="3604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spacing w:before="122" w:line="223" w:lineRule="auto"/>
              <w:ind w:left="37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4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分析师</w:t>
            </w:r>
            <w:r>
              <w:rPr>
                <w:rFonts w:ascii="FangSong" w:eastAsia="FangSong" w:hAnsi="FangSong" w:cs="FangSong"/>
                <w:color w:val="004098"/>
                <w:spacing w:val="29"/>
                <w:sz w:val="16"/>
                <w:szCs w:val="16"/>
              </w:rPr>
              <w:t xml:space="preserve">  </w:t>
            </w:r>
            <w:r>
              <w:rPr>
                <w:rFonts w:ascii="FangSong" w:eastAsia="FangSong" w:hAnsi="FangSong" w:cs="FangSong"/>
                <w:color w:val="004098"/>
                <w:spacing w:val="4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陈</w:t>
            </w:r>
            <w:r>
              <w:rPr>
                <w:rFonts w:ascii="FangSong" w:eastAsia="FangSong" w:hAnsi="FangSong" w:cs="FangSong"/>
                <w:color w:val="004098"/>
                <w:spacing w:val="-45"/>
                <w:sz w:val="16"/>
                <w:szCs w:val="16"/>
              </w:rPr>
              <w:t xml:space="preserve"> </w:t>
            </w:r>
            <w:r>
              <w:rPr>
                <w:rFonts w:ascii="FangSong" w:eastAsia="FangSong" w:hAnsi="FangSong" w:cs="FangSong"/>
                <w:color w:val="004098"/>
                <w:spacing w:val="4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逸同</w:t>
            </w:r>
          </w:p>
          <w:p>
            <w:pPr>
              <w:pStyle w:val="TableText"/>
              <w:spacing w:before="119" w:line="220" w:lineRule="auto"/>
              <w:ind w:left="39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10"/>
                <w:sz w:val="15"/>
                <w:szCs w:val="15"/>
              </w:rPr>
              <w:t>执业证书编号：</w:t>
            </w:r>
            <w:r>
              <w:rPr>
                <w:rFonts w:ascii="FangSong" w:eastAsia="FangSong" w:hAnsi="FangSong" w:cs="FangSong"/>
                <w:spacing w:val="64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S1070522110001</w:t>
            </w:r>
          </w:p>
          <w:p>
            <w:pPr>
              <w:pStyle w:val="TableText"/>
              <w:spacing w:before="136" w:line="212" w:lineRule="auto"/>
              <w:ind w:left="42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2"/>
                <w:sz w:val="15"/>
                <w:szCs w:val="15"/>
              </w:rPr>
              <w:t>邮箱：</w:t>
            </w:r>
            <w:r>
              <w:rPr>
                <w:rFonts w:ascii="FangSong" w:eastAsia="FangSong" w:hAnsi="FangSong" w:cs="FangSong"/>
                <w:spacing w:val="-2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chenyitong@cgws.com</w:t>
            </w:r>
          </w:p>
          <w:p>
            <w:pPr>
              <w:spacing w:before="130" w:line="223" w:lineRule="auto"/>
              <w:ind w:left="37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6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分析师</w:t>
            </w:r>
            <w:r>
              <w:rPr>
                <w:rFonts w:ascii="FangSong" w:eastAsia="FangSong" w:hAnsi="FangSong" w:cs="FangSong"/>
                <w:color w:val="004098"/>
                <w:spacing w:val="22"/>
                <w:w w:val="101"/>
                <w:sz w:val="16"/>
                <w:szCs w:val="16"/>
              </w:rPr>
              <w:t xml:space="preserve">  </w:t>
            </w:r>
            <w:r>
              <w:rPr>
                <w:rFonts w:ascii="FangSong" w:eastAsia="FangSong" w:hAnsi="FangSong" w:cs="FangSong"/>
                <w:color w:val="004098"/>
                <w:spacing w:val="6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王</w:t>
            </w:r>
            <w:r>
              <w:rPr>
                <w:rFonts w:ascii="FangSong" w:eastAsia="FangSong" w:hAnsi="FangSong" w:cs="FangSong"/>
                <w:color w:val="004098"/>
                <w:spacing w:val="-45"/>
                <w:sz w:val="16"/>
                <w:szCs w:val="16"/>
              </w:rPr>
              <w:t xml:space="preserve"> </w:t>
            </w:r>
            <w:r>
              <w:rPr>
                <w:rFonts w:ascii="FangSong" w:eastAsia="FangSong" w:hAnsi="FangSong" w:cs="FangSong"/>
                <w:color w:val="004098"/>
                <w:spacing w:val="6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仕宏</w:t>
            </w:r>
          </w:p>
          <w:p>
            <w:pPr>
              <w:pStyle w:val="TableText"/>
              <w:spacing w:before="119" w:line="220" w:lineRule="auto"/>
              <w:ind w:left="39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10"/>
                <w:sz w:val="15"/>
                <w:szCs w:val="15"/>
              </w:rPr>
              <w:t>执业证书编号：</w:t>
            </w:r>
            <w:r>
              <w:rPr>
                <w:rFonts w:ascii="FangSong" w:eastAsia="FangSong" w:hAnsi="FangSong" w:cs="FangSong"/>
                <w:spacing w:val="64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S1070523080002</w:t>
            </w:r>
          </w:p>
          <w:p>
            <w:pPr>
              <w:pStyle w:val="TableText"/>
              <w:spacing w:before="138" w:line="212" w:lineRule="auto"/>
              <w:ind w:left="42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2"/>
                <w:sz w:val="15"/>
                <w:szCs w:val="15"/>
              </w:rPr>
              <w:t>邮箱：</w:t>
            </w:r>
            <w:r>
              <w:rPr>
                <w:rFonts w:ascii="FangSong" w:eastAsia="FangSong" w:hAnsi="FangSong" w:cs="FangSong"/>
                <w:spacing w:val="-2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wangshihong@cgws.com</w:t>
            </w:r>
          </w:p>
          <w:p>
            <w:pPr>
              <w:spacing w:before="144" w:line="225" w:lineRule="auto"/>
              <w:ind w:left="36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6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联系人</w:t>
            </w:r>
            <w:r>
              <w:rPr>
                <w:rFonts w:ascii="FangSong" w:eastAsia="FangSong" w:hAnsi="FangSong" w:cs="FangSong"/>
                <w:color w:val="004098"/>
                <w:spacing w:val="23"/>
                <w:w w:val="101"/>
                <w:sz w:val="16"/>
                <w:szCs w:val="16"/>
              </w:rPr>
              <w:t xml:space="preserve">  </w:t>
            </w:r>
            <w:r>
              <w:rPr>
                <w:rFonts w:ascii="FangSong" w:eastAsia="FangSong" w:hAnsi="FangSong" w:cs="FangSong"/>
                <w:color w:val="004098"/>
                <w:spacing w:val="6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吴</w:t>
            </w:r>
            <w:r>
              <w:rPr>
                <w:rFonts w:ascii="FangSong" w:eastAsia="FangSong" w:hAnsi="FangSong" w:cs="FangSong"/>
                <w:color w:val="004098"/>
                <w:spacing w:val="-46"/>
                <w:sz w:val="16"/>
                <w:szCs w:val="16"/>
              </w:rPr>
              <w:t xml:space="preserve"> </w:t>
            </w:r>
            <w:r>
              <w:rPr>
                <w:rFonts w:ascii="FangSong" w:eastAsia="FangSong" w:hAnsi="FangSong" w:cs="FangSong"/>
                <w:color w:val="004098"/>
                <w:spacing w:val="6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铭杰</w:t>
            </w:r>
          </w:p>
          <w:p>
            <w:pPr>
              <w:pStyle w:val="TableText"/>
              <w:spacing w:before="118" w:line="220" w:lineRule="auto"/>
              <w:ind w:left="39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10"/>
                <w:sz w:val="15"/>
                <w:szCs w:val="15"/>
              </w:rPr>
              <w:t>执业证书编号：</w:t>
            </w:r>
            <w:r>
              <w:rPr>
                <w:rFonts w:ascii="FangSong" w:eastAsia="FangSong" w:hAnsi="FangSong" w:cs="FangSong"/>
                <w:spacing w:val="64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S1070122070020</w:t>
            </w:r>
          </w:p>
          <w:p>
            <w:pPr>
              <w:pStyle w:val="TableText"/>
              <w:spacing w:before="122" w:line="212" w:lineRule="auto"/>
              <w:ind w:left="42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3"/>
                <w:sz w:val="15"/>
                <w:szCs w:val="15"/>
              </w:rPr>
              <w:t>邮箱：</w:t>
            </w:r>
            <w:r>
              <w:rPr>
                <w:rFonts w:ascii="FangSong" w:eastAsia="FangSong" w:hAnsi="FangSong" w:cs="FangSong"/>
                <w:spacing w:val="-3"/>
                <w:sz w:val="15"/>
                <w:szCs w:val="15"/>
              </w:rPr>
              <w:t xml:space="preserve"> </w:t>
            </w:r>
            <w:r>
              <w:rPr>
                <w:spacing w:val="-3"/>
                <w:sz w:val="15"/>
                <w:szCs w:val="15"/>
              </w:rPr>
              <w:t>wumingjie@cgws.com</w:t>
            </w:r>
          </w:p>
          <w:p>
            <w:pPr>
              <w:spacing w:before="145" w:line="224" w:lineRule="auto"/>
              <w:ind w:left="36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color w:val="004098"/>
                <w:spacing w:val="14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联系人</w:t>
            </w:r>
            <w:r>
              <w:rPr>
                <w:rFonts w:ascii="FangSong" w:eastAsia="FangSong" w:hAnsi="FangSong" w:cs="FangSong"/>
                <w:color w:val="004098"/>
                <w:spacing w:val="21"/>
                <w:sz w:val="16"/>
                <w:szCs w:val="16"/>
              </w:rPr>
              <w:t xml:space="preserve">  </w:t>
            </w:r>
            <w:r>
              <w:rPr>
                <w:rFonts w:ascii="FangSong" w:eastAsia="FangSong" w:hAnsi="FangSong" w:cs="FangSong"/>
                <w:color w:val="004098"/>
                <w:spacing w:val="14"/>
                <w:sz w:val="16"/>
                <w:szCs w:val="16"/>
                <w14:textOutline w14:w="2993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金瑞</w:t>
            </w:r>
          </w:p>
          <w:p>
            <w:pPr>
              <w:pStyle w:val="TableText"/>
              <w:spacing w:before="119" w:line="220" w:lineRule="auto"/>
              <w:ind w:left="39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10"/>
                <w:sz w:val="15"/>
                <w:szCs w:val="15"/>
              </w:rPr>
              <w:t>执业证书编号：</w:t>
            </w:r>
            <w:r>
              <w:rPr>
                <w:rFonts w:ascii="FangSong" w:eastAsia="FangSong" w:hAnsi="FangSong" w:cs="FangSong"/>
                <w:spacing w:val="64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S1070123070009</w:t>
            </w:r>
          </w:p>
          <w:p>
            <w:pPr>
              <w:pStyle w:val="TableText"/>
              <w:spacing w:before="137" w:line="212" w:lineRule="auto"/>
              <w:ind w:left="42"/>
              <w:rPr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spacing w:val="-3"/>
                <w:sz w:val="15"/>
                <w:szCs w:val="15"/>
              </w:rPr>
              <w:t>邮箱：</w:t>
            </w:r>
            <w:r>
              <w:rPr>
                <w:rFonts w:ascii="FangSong" w:eastAsia="FangSong" w:hAnsi="FangSong" w:cs="FangSong"/>
                <w:spacing w:val="-3"/>
                <w:sz w:val="15"/>
                <w:szCs w:val="15"/>
              </w:rPr>
              <w:t xml:space="preserve"> </w:t>
            </w:r>
            <w:r>
              <w:rPr>
                <w:spacing w:val="-3"/>
                <w:sz w:val="15"/>
                <w:szCs w:val="15"/>
              </w:rPr>
              <w:t>jinrui@cgws.com</w:t>
            </w:r>
          </w:p>
        </w:tc>
      </w:tr>
      <w:tr>
        <w:tblPrEx>
          <w:tblW w:w="3604" w:type="dxa"/>
          <w:tblInd w:w="0" w:type="dxa"/>
          <w:tblLayout w:type="fixed"/>
        </w:tblPrEx>
        <w:trPr>
          <w:trHeight w:val="336"/>
        </w:trPr>
        <w:tc>
          <w:tcPr>
            <w:tcW w:w="3604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spacing w:before="52" w:line="217" w:lineRule="auto"/>
              <w:ind w:left="5"/>
              <w:rPr>
                <w:rFonts w:ascii="FangSong" w:eastAsia="FangSong" w:hAnsi="FangSong" w:cs="FangSong"/>
                <w:sz w:val="21"/>
                <w:szCs w:val="21"/>
              </w:rPr>
            </w:pPr>
            <w:r>
              <w:rPr>
                <w:rFonts w:ascii="FangSong" w:eastAsia="FangSong" w:hAnsi="FangSong" w:cs="FangSong"/>
                <w:color w:val="004098"/>
                <w:spacing w:val="10"/>
                <w:sz w:val="21"/>
                <w:szCs w:val="21"/>
                <w14:textOutline w14:w="3810">
                  <w14:solidFill>
                    <w14:srgbClr w14:val="004098"/>
                  </w14:solidFill>
                  <w14:prstDash w14:val="solid"/>
                  <w14:miter w14:lim="10"/>
                </w14:textOutline>
              </w:rPr>
              <w:t>相关研究</w:t>
            </w:r>
          </w:p>
        </w:tc>
      </w:tr>
    </w:tbl>
    <w:p>
      <w:pPr>
        <w:pStyle w:val="BodyText"/>
        <w:spacing w:before="127" w:line="266" w:lineRule="auto"/>
        <w:ind w:left="42" w:right="75" w:firstLine="4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4"/>
          <w:sz w:val="15"/>
          <w:szCs w:val="15"/>
        </w:rPr>
        <w:t>1</w:t>
      </w:r>
      <w:r>
        <w:rPr>
          <w:spacing w:val="-4"/>
          <w:sz w:val="15"/>
          <w:szCs w:val="15"/>
        </w:rPr>
        <w:t>、《</w:t>
      </w:r>
      <w:r>
        <w:rPr>
          <w:rFonts w:ascii="Tahoma" w:eastAsia="Tahoma" w:hAnsi="Tahoma" w:cs="Tahoma"/>
          <w:spacing w:val="-4"/>
          <w:sz w:val="15"/>
          <w:szCs w:val="15"/>
        </w:rPr>
        <w:t>2023</w:t>
      </w:r>
      <w:r>
        <w:rPr>
          <w:rFonts w:ascii="Tahoma" w:eastAsia="Tahoma" w:hAnsi="Tahoma" w:cs="Tahoma"/>
          <w:spacing w:val="30"/>
          <w:sz w:val="15"/>
          <w:szCs w:val="15"/>
        </w:rPr>
        <w:t xml:space="preserve"> </w:t>
      </w:r>
      <w:r>
        <w:rPr>
          <w:spacing w:val="-4"/>
          <w:sz w:val="15"/>
          <w:szCs w:val="15"/>
        </w:rPr>
        <w:t>年皮卡销量同比</w:t>
      </w:r>
      <w:r>
        <w:rPr>
          <w:rFonts w:ascii="Tahoma" w:eastAsia="Tahoma" w:hAnsi="Tahoma" w:cs="Tahoma"/>
          <w:spacing w:val="-4"/>
          <w:sz w:val="15"/>
          <w:szCs w:val="15"/>
        </w:rPr>
        <w:t>-0.1%</w:t>
      </w:r>
      <w:r>
        <w:rPr>
          <w:spacing w:val="-4"/>
          <w:sz w:val="15"/>
          <w:szCs w:val="15"/>
        </w:rPr>
        <w:t>，表现平稳</w:t>
      </w:r>
      <w:r>
        <w:rPr>
          <w:spacing w:val="-48"/>
          <w:sz w:val="15"/>
          <w:szCs w:val="15"/>
        </w:rPr>
        <w:t xml:space="preserve"> </w:t>
      </w:r>
      <w:r>
        <w:rPr>
          <w:spacing w:val="-4"/>
          <w:sz w:val="15"/>
          <w:szCs w:val="15"/>
        </w:rPr>
        <w:t>—汽车行</w:t>
      </w:r>
      <w:r>
        <w:rPr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业周报</w:t>
      </w:r>
      <w:r>
        <w:rPr>
          <w:spacing w:val="-4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5"/>
          <w:sz w:val="15"/>
          <w:szCs w:val="15"/>
        </w:rPr>
        <w:t xml:space="preserve">2024 </w:t>
      </w:r>
      <w:r>
        <w:rPr>
          <w:spacing w:val="-5"/>
          <w:sz w:val="15"/>
          <w:szCs w:val="15"/>
        </w:rPr>
        <w:t>第</w:t>
      </w:r>
      <w:r>
        <w:rPr>
          <w:spacing w:val="-27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5"/>
          <w:sz w:val="15"/>
          <w:szCs w:val="15"/>
        </w:rPr>
        <w:t xml:space="preserve">4 </w:t>
      </w:r>
      <w:r>
        <w:rPr>
          <w:spacing w:val="-5"/>
          <w:sz w:val="15"/>
          <w:szCs w:val="15"/>
        </w:rPr>
        <w:t>期》</w:t>
      </w:r>
      <w:r>
        <w:rPr>
          <w:rFonts w:ascii="Tahoma" w:eastAsia="Tahoma" w:hAnsi="Tahoma" w:cs="Tahoma"/>
          <w:spacing w:val="-5"/>
          <w:sz w:val="15"/>
          <w:szCs w:val="15"/>
        </w:rPr>
        <w:t>2024-02-05</w:t>
      </w:r>
    </w:p>
    <w:p>
      <w:pPr>
        <w:pStyle w:val="BodyText"/>
        <w:spacing w:before="77" w:line="288" w:lineRule="auto"/>
        <w:ind w:left="37" w:right="60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5"/>
          <w:sz w:val="15"/>
          <w:szCs w:val="15"/>
        </w:rPr>
        <w:t>2</w:t>
      </w:r>
      <w:r>
        <w:rPr>
          <w:spacing w:val="5"/>
          <w:sz w:val="15"/>
          <w:szCs w:val="15"/>
        </w:rPr>
        <w:t>、《</w:t>
      </w:r>
      <w:r>
        <w:rPr>
          <w:rFonts w:ascii="Tahoma" w:eastAsia="Tahoma" w:hAnsi="Tahoma" w:cs="Tahoma"/>
          <w:spacing w:val="5"/>
          <w:sz w:val="15"/>
          <w:szCs w:val="15"/>
        </w:rPr>
        <w:t xml:space="preserve">1  </w:t>
      </w:r>
      <w:r>
        <w:rPr>
          <w:spacing w:val="5"/>
          <w:sz w:val="15"/>
          <w:szCs w:val="15"/>
        </w:rPr>
        <w:t>月狭义乘用车零售预计</w:t>
      </w:r>
      <w:r>
        <w:rPr>
          <w:spacing w:val="27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5"/>
          <w:sz w:val="15"/>
          <w:szCs w:val="15"/>
        </w:rPr>
        <w:t xml:space="preserve">220  </w:t>
      </w:r>
      <w:r>
        <w:rPr>
          <w:spacing w:val="5"/>
          <w:sz w:val="15"/>
          <w:szCs w:val="15"/>
        </w:rPr>
        <w:t>万辆，同环比</w:t>
      </w:r>
      <w:r>
        <w:rPr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3"/>
          <w:sz w:val="15"/>
          <w:szCs w:val="15"/>
        </w:rPr>
        <w:t xml:space="preserve">+70.2%/-6.5% </w:t>
      </w:r>
      <w:r>
        <w:rPr>
          <w:spacing w:val="3"/>
          <w:sz w:val="15"/>
          <w:szCs w:val="15"/>
        </w:rPr>
        <w:t>—</w:t>
      </w:r>
      <w:r>
        <w:rPr>
          <w:spacing w:val="-21"/>
          <w:sz w:val="15"/>
          <w:szCs w:val="15"/>
        </w:rPr>
        <w:t xml:space="preserve"> </w:t>
      </w:r>
      <w:r>
        <w:rPr>
          <w:spacing w:val="3"/>
          <w:sz w:val="15"/>
          <w:szCs w:val="15"/>
        </w:rPr>
        <w:t>汽车行业周报</w:t>
      </w:r>
      <w:r>
        <w:rPr>
          <w:spacing w:val="40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3"/>
          <w:sz w:val="15"/>
          <w:szCs w:val="15"/>
        </w:rPr>
        <w:t xml:space="preserve">2024  </w:t>
      </w:r>
      <w:r>
        <w:rPr>
          <w:spacing w:val="3"/>
          <w:sz w:val="15"/>
          <w:szCs w:val="15"/>
        </w:rPr>
        <w:t>第</w:t>
      </w:r>
      <w:r>
        <w:rPr>
          <w:spacing w:val="37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3"/>
          <w:sz w:val="15"/>
          <w:szCs w:val="15"/>
        </w:rPr>
        <w:t xml:space="preserve">3  </w:t>
      </w:r>
      <w:r>
        <w:rPr>
          <w:spacing w:val="3"/>
          <w:sz w:val="15"/>
          <w:szCs w:val="15"/>
        </w:rPr>
        <w:t>期》</w:t>
      </w:r>
      <w:r>
        <w:rPr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5"/>
          <w:sz w:val="15"/>
          <w:szCs w:val="15"/>
        </w:rPr>
        <w:t>2024-01-29</w:t>
      </w:r>
    </w:p>
    <w:p>
      <w:pPr>
        <w:pStyle w:val="BodyText"/>
        <w:spacing w:before="96" w:line="274" w:lineRule="auto"/>
        <w:ind w:left="38" w:right="47" w:hanging="1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6"/>
          <w:sz w:val="15"/>
          <w:szCs w:val="15"/>
        </w:rPr>
        <w:t>3</w:t>
      </w:r>
      <w:r>
        <w:rPr>
          <w:spacing w:val="-6"/>
          <w:sz w:val="15"/>
          <w:szCs w:val="15"/>
        </w:rPr>
        <w:t>、《理想</w:t>
      </w:r>
      <w:r>
        <w:rPr>
          <w:spacing w:val="-6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6"/>
          <w:sz w:val="15"/>
          <w:szCs w:val="15"/>
        </w:rPr>
        <w:t xml:space="preserve">12 </w:t>
      </w:r>
      <w:r>
        <w:rPr>
          <w:spacing w:val="-6"/>
          <w:sz w:val="15"/>
          <w:szCs w:val="15"/>
        </w:rPr>
        <w:t>月交付量破</w:t>
      </w:r>
      <w:r>
        <w:rPr>
          <w:spacing w:val="-5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6"/>
          <w:sz w:val="15"/>
          <w:szCs w:val="15"/>
        </w:rPr>
        <w:t xml:space="preserve">5 </w:t>
      </w:r>
      <w:r>
        <w:rPr>
          <w:spacing w:val="-6"/>
          <w:sz w:val="15"/>
          <w:szCs w:val="15"/>
        </w:rPr>
        <w:t>万辆，零跑月交付量创历史</w:t>
      </w:r>
      <w:r>
        <w:rPr>
          <w:sz w:val="15"/>
          <w:szCs w:val="15"/>
        </w:rPr>
        <w:t xml:space="preserve"> </w:t>
      </w:r>
      <w:r>
        <w:rPr>
          <w:spacing w:val="-4"/>
          <w:sz w:val="15"/>
          <w:szCs w:val="15"/>
        </w:rPr>
        <w:t>新高—造车新势力</w:t>
      </w:r>
      <w:r>
        <w:rPr>
          <w:spacing w:val="-4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4"/>
          <w:sz w:val="15"/>
          <w:szCs w:val="15"/>
        </w:rPr>
        <w:t xml:space="preserve">12 </w:t>
      </w:r>
      <w:r>
        <w:rPr>
          <w:spacing w:val="-4"/>
          <w:sz w:val="15"/>
          <w:szCs w:val="15"/>
        </w:rPr>
        <w:t>月月报》</w:t>
      </w:r>
      <w:r>
        <w:rPr>
          <w:rFonts w:ascii="Tahoma" w:eastAsia="Tahoma" w:hAnsi="Tahoma" w:cs="Tahoma"/>
          <w:spacing w:val="-4"/>
          <w:sz w:val="15"/>
          <w:szCs w:val="15"/>
        </w:rPr>
        <w:t>2024-01-22</w:t>
      </w:r>
    </w:p>
    <w:p>
      <w:pPr>
        <w:spacing w:line="274" w:lineRule="auto"/>
        <w:rPr>
          <w:rFonts w:ascii="Tahoma" w:eastAsia="Tahoma" w:hAnsi="Tahoma" w:cs="Tahoma"/>
          <w:sz w:val="15"/>
          <w:szCs w:val="15"/>
        </w:rPr>
        <w:sectPr>
          <w:footerReference w:type="default" r:id="rId10"/>
          <w:type w:val="nextPage"/>
          <w:pgSz w:w="11910" w:h="16845"/>
          <w:pgMar w:top="935" w:right="645" w:bottom="840" w:left="645" w:header="0" w:footer="544" w:gutter="0"/>
          <w:pgNumType w:start="3"/>
          <w:cols w:num="2" w:space="708" w:equalWidth="0">
            <w:col w:w="6885" w:space="100"/>
            <w:col w:w="3635" w:space="0"/>
          </w:cols>
          <w:titlePg w:val="0"/>
        </w:sectPr>
      </w:pPr>
    </w:p>
    <w:p>
      <w:pPr>
        <w:pStyle w:val="BodyText"/>
        <w:spacing w:before="192" w:line="316" w:lineRule="exact"/>
        <w:ind w:left="513"/>
      </w:pPr>
      <w:r>
        <w:rPr>
          <w:spacing w:val="6"/>
          <w:position w:val="9"/>
        </w:rPr>
        <w:t>化）、更好的显示效果（更远的视距、更大的视</w:t>
      </w:r>
      <w:r>
        <w:rPr>
          <w:spacing w:val="5"/>
          <w:position w:val="9"/>
        </w:rPr>
        <w:t>场）有望驱动</w:t>
      </w:r>
      <w:r>
        <w:rPr>
          <w:spacing w:val="-22"/>
          <w:position w:val="9"/>
        </w:rPr>
        <w:t xml:space="preserve"> </w:t>
      </w:r>
      <w:r>
        <w:rPr>
          <w:rFonts w:ascii="Tahoma" w:eastAsia="Tahoma" w:hAnsi="Tahoma" w:cs="Tahoma"/>
          <w:position w:val="9"/>
        </w:rPr>
        <w:t>HUD</w:t>
      </w:r>
      <w:r>
        <w:rPr>
          <w:rFonts w:ascii="Tahoma" w:eastAsia="Tahoma" w:hAnsi="Tahoma" w:cs="Tahoma"/>
          <w:spacing w:val="-18"/>
          <w:position w:val="9"/>
        </w:rPr>
        <w:t xml:space="preserve"> </w:t>
      </w:r>
      <w:r>
        <w:rPr>
          <w:spacing w:val="5"/>
          <w:position w:val="9"/>
        </w:rPr>
        <w:t>加速</w:t>
      </w:r>
    </w:p>
    <w:p>
      <w:pPr>
        <w:pStyle w:val="BodyText"/>
        <w:spacing w:line="222" w:lineRule="auto"/>
        <w:ind w:left="511"/>
      </w:pPr>
      <w:r>
        <w:rPr>
          <w:spacing w:val="3"/>
        </w:rPr>
        <w:t>渗透，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 xml:space="preserve">2023 </w:t>
      </w:r>
      <w:r>
        <w:rPr>
          <w:spacing w:val="3"/>
        </w:rPr>
        <w:t>年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>1-9</w:t>
      </w:r>
      <w:r>
        <w:rPr>
          <w:rFonts w:ascii="Tahoma" w:eastAsia="Tahoma" w:hAnsi="Tahoma" w:cs="Tahoma"/>
          <w:spacing w:val="16"/>
          <w:w w:val="101"/>
        </w:rPr>
        <w:t xml:space="preserve"> </w:t>
      </w:r>
      <w:r>
        <w:rPr>
          <w:spacing w:val="3"/>
        </w:rPr>
        <w:t>月国内</w:t>
      </w:r>
      <w:r>
        <w:rPr>
          <w:spacing w:val="-21"/>
        </w:rPr>
        <w:t xml:space="preserve"> </w:t>
      </w:r>
      <w:r>
        <w:rPr>
          <w:rFonts w:ascii="Tahoma" w:eastAsia="Tahoma" w:hAnsi="Tahoma" w:cs="Tahoma"/>
        </w:rPr>
        <w:t>AR</w:t>
      </w:r>
      <w:r>
        <w:rPr>
          <w:rFonts w:ascii="Tahoma" w:eastAsia="Tahoma" w:hAnsi="Tahoma" w:cs="Tahoma"/>
          <w:spacing w:val="3"/>
        </w:rPr>
        <w:t>-</w:t>
      </w:r>
      <w:r>
        <w:rPr>
          <w:rFonts w:ascii="Tahoma" w:eastAsia="Tahoma" w:hAnsi="Tahoma" w:cs="Tahoma"/>
        </w:rPr>
        <w:t>HUD</w:t>
      </w:r>
      <w:r>
        <w:rPr>
          <w:rFonts w:ascii="Tahoma" w:eastAsia="Tahoma" w:hAnsi="Tahoma" w:cs="Tahoma"/>
          <w:spacing w:val="3"/>
        </w:rPr>
        <w:t xml:space="preserve"> </w:t>
      </w:r>
      <w:r>
        <w:rPr>
          <w:spacing w:val="3"/>
        </w:rPr>
        <w:t>前装标配搭载量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>1</w:t>
      </w:r>
      <w:r>
        <w:rPr>
          <w:rFonts w:ascii="Tahoma" w:eastAsia="Tahoma" w:hAnsi="Tahoma" w:cs="Tahoma"/>
          <w:spacing w:val="2"/>
        </w:rPr>
        <w:t>3.23</w:t>
      </w:r>
      <w:r>
        <w:rPr>
          <w:rFonts w:ascii="Tahoma" w:eastAsia="Tahoma" w:hAnsi="Tahoma" w:cs="Tahoma"/>
          <w:spacing w:val="18"/>
        </w:rPr>
        <w:t xml:space="preserve"> </w:t>
      </w:r>
      <w:r>
        <w:rPr>
          <w:spacing w:val="2"/>
        </w:rPr>
        <w:t>万辆（同比</w:t>
      </w:r>
    </w:p>
    <w:p>
      <w:pPr>
        <w:pStyle w:val="BodyText"/>
        <w:spacing w:before="86" w:line="222" w:lineRule="auto"/>
        <w:ind w:left="514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7"/>
        </w:rPr>
        <w:t>+82.48%</w:t>
      </w:r>
      <w:r>
        <w:rPr>
          <w:spacing w:val="7"/>
        </w:rPr>
        <w:t>）。我国成像光机与空间光学技术发展有望持续推动</w:t>
      </w:r>
      <w:r>
        <w:rPr>
          <w:spacing w:val="7"/>
        </w:rPr>
        <w:t xml:space="preserve"> </w:t>
      </w:r>
      <w:r>
        <w:rPr>
          <w:rFonts w:ascii="Tahoma" w:eastAsia="Tahoma" w:hAnsi="Tahoma" w:cs="Tahoma"/>
        </w:rPr>
        <w:t>AR</w:t>
      </w:r>
      <w:r>
        <w:rPr>
          <w:rFonts w:ascii="Tahoma" w:eastAsia="Tahoma" w:hAnsi="Tahoma" w:cs="Tahoma"/>
          <w:spacing w:val="7"/>
        </w:rPr>
        <w:t>-</w:t>
      </w:r>
      <w:r>
        <w:rPr>
          <w:rFonts w:ascii="Tahoma" w:eastAsia="Tahoma" w:hAnsi="Tahoma" w:cs="Tahoma"/>
        </w:rPr>
        <w:t>HUD</w:t>
      </w:r>
    </w:p>
    <w:p>
      <w:pPr>
        <w:pStyle w:val="BodyText"/>
        <w:spacing w:before="71" w:line="223" w:lineRule="auto"/>
        <w:ind w:left="509"/>
      </w:pPr>
      <w:r>
        <w:rPr>
          <w:spacing w:val="10"/>
        </w:rPr>
        <w:t>技术路线多元化，近期吉利银河、长安深蓝、长安启源</w:t>
      </w:r>
      <w:r>
        <w:rPr>
          <w:spacing w:val="9"/>
        </w:rPr>
        <w:t>、理想、问界等</w:t>
      </w:r>
    </w:p>
    <w:p>
      <w:pPr>
        <w:pStyle w:val="BodyText"/>
        <w:spacing w:before="85" w:line="220" w:lineRule="auto"/>
        <w:ind w:left="517"/>
      </w:pPr>
      <w:r>
        <w:rPr>
          <w:spacing w:val="10"/>
        </w:rPr>
        <w:t>多</w:t>
      </w:r>
      <w:r>
        <w:rPr>
          <w:spacing w:val="-42"/>
        </w:rPr>
        <w:t xml:space="preserve"> </w:t>
      </w:r>
      <w:r>
        <w:rPr>
          <w:spacing w:val="10"/>
        </w:rPr>
        <w:t>款</w:t>
      </w:r>
      <w:r>
        <w:rPr>
          <w:spacing w:val="-54"/>
        </w:rPr>
        <w:t xml:space="preserve"> </w:t>
      </w:r>
      <w:r>
        <w:rPr>
          <w:spacing w:val="10"/>
        </w:rPr>
        <w:t>新</w:t>
      </w:r>
      <w:r>
        <w:rPr>
          <w:spacing w:val="-49"/>
        </w:rPr>
        <w:t xml:space="preserve"> </w:t>
      </w:r>
      <w:r>
        <w:rPr>
          <w:spacing w:val="10"/>
        </w:rPr>
        <w:t>车均搭</w:t>
      </w:r>
      <w:r>
        <w:rPr>
          <w:spacing w:val="-52"/>
        </w:rPr>
        <w:t xml:space="preserve"> </w:t>
      </w:r>
      <w:r>
        <w:rPr>
          <w:spacing w:val="10"/>
        </w:rPr>
        <w:t>载了</w:t>
      </w:r>
      <w:r>
        <w:rPr>
          <w:spacing w:val="40"/>
        </w:rPr>
        <w:t xml:space="preserve"> </w:t>
      </w:r>
      <w:r>
        <w:rPr>
          <w:rFonts w:ascii="Tahoma" w:eastAsia="Tahoma" w:hAnsi="Tahoma" w:cs="Tahoma"/>
        </w:rPr>
        <w:t>AR</w:t>
      </w:r>
      <w:r>
        <w:rPr>
          <w:rFonts w:ascii="Tahoma" w:eastAsia="Tahoma" w:hAnsi="Tahoma" w:cs="Tahoma"/>
          <w:spacing w:val="10"/>
        </w:rPr>
        <w:t>-</w:t>
      </w:r>
      <w:r>
        <w:rPr>
          <w:rFonts w:ascii="Tahoma" w:eastAsia="Tahoma" w:hAnsi="Tahoma" w:cs="Tahoma"/>
        </w:rPr>
        <w:t>HUD</w:t>
      </w:r>
      <w:r>
        <w:rPr>
          <w:rFonts w:ascii="Tahoma" w:eastAsia="Tahoma" w:hAnsi="Tahoma" w:cs="Tahoma"/>
          <w:spacing w:val="2"/>
        </w:rPr>
        <w:t xml:space="preserve">  </w:t>
      </w:r>
      <w:r>
        <w:rPr>
          <w:spacing w:val="10"/>
        </w:rPr>
        <w:t>并采用本土方案，</w:t>
      </w:r>
      <w:r>
        <w:rPr>
          <w:spacing w:val="-51"/>
        </w:rPr>
        <w:t xml:space="preserve"> </w:t>
      </w:r>
      <w:r>
        <w:rPr>
          <w:spacing w:val="10"/>
        </w:rPr>
        <w:t>建议</w:t>
      </w:r>
      <w:r>
        <w:rPr>
          <w:spacing w:val="-49"/>
        </w:rPr>
        <w:t xml:space="preserve"> </w:t>
      </w:r>
      <w:r>
        <w:rPr>
          <w:spacing w:val="10"/>
        </w:rPr>
        <w:t>关</w:t>
      </w:r>
      <w:r>
        <w:rPr>
          <w:spacing w:val="-52"/>
        </w:rPr>
        <w:t xml:space="preserve"> </w:t>
      </w:r>
      <w:r>
        <w:rPr>
          <w:spacing w:val="10"/>
        </w:rPr>
        <w:t>注华</w:t>
      </w:r>
      <w:r>
        <w:rPr>
          <w:spacing w:val="-40"/>
        </w:rPr>
        <w:t xml:space="preserve"> </w:t>
      </w:r>
      <w:r>
        <w:rPr>
          <w:spacing w:val="10"/>
        </w:rPr>
        <w:t>阳</w:t>
      </w:r>
      <w:r>
        <w:rPr>
          <w:spacing w:val="-53"/>
        </w:rPr>
        <w:t xml:space="preserve"> </w:t>
      </w:r>
      <w:r>
        <w:rPr>
          <w:spacing w:val="10"/>
        </w:rPr>
        <w:t>集团</w:t>
      </w:r>
    </w:p>
    <w:p>
      <w:pPr>
        <w:pStyle w:val="BodyText"/>
        <w:spacing w:before="88" w:line="233" w:lineRule="auto"/>
        <w:ind w:left="502"/>
        <w:rPr>
          <w:rFonts w:ascii="Tahoma" w:eastAsia="Tahoma" w:hAnsi="Tahoma" w:cs="Tahoma"/>
        </w:rPr>
      </w:pPr>
      <w:r>
        <w:rPr>
          <w:spacing w:val="2"/>
        </w:rPr>
        <w:t>（</w:t>
      </w:r>
      <w:r>
        <w:rPr>
          <w:rFonts w:ascii="Tahoma" w:eastAsia="Tahoma" w:hAnsi="Tahoma" w:cs="Tahoma"/>
        </w:rPr>
        <w:t>TFT</w:t>
      </w:r>
      <w:r>
        <w:rPr>
          <w:rFonts w:ascii="Tahoma" w:eastAsia="Tahoma" w:hAnsi="Tahoma" w:cs="Tahoma"/>
          <w:spacing w:val="2"/>
        </w:rPr>
        <w:t>+</w:t>
      </w:r>
      <w:r>
        <w:rPr>
          <w:rFonts w:ascii="Tahoma" w:eastAsia="Tahoma" w:hAnsi="Tahoma" w:cs="Tahoma"/>
        </w:rPr>
        <w:t>DLP</w:t>
      </w:r>
      <w:r>
        <w:rPr>
          <w:rFonts w:ascii="Tahoma" w:eastAsia="Tahoma" w:hAnsi="Tahoma" w:cs="Tahoma"/>
          <w:spacing w:val="2"/>
        </w:rPr>
        <w:t>+</w:t>
      </w:r>
      <w:r>
        <w:rPr>
          <w:rFonts w:ascii="Tahoma" w:eastAsia="Tahoma" w:hAnsi="Tahoma" w:cs="Tahoma"/>
        </w:rPr>
        <w:t>LCoS</w:t>
      </w:r>
      <w:r>
        <w:rPr>
          <w:spacing w:val="2"/>
        </w:rPr>
        <w:t>）、华为（</w:t>
      </w:r>
      <w:r>
        <w:rPr>
          <w:rFonts w:ascii="Tahoma" w:eastAsia="Tahoma" w:hAnsi="Tahoma" w:cs="Tahoma"/>
        </w:rPr>
        <w:t>LCoS</w:t>
      </w:r>
      <w:r>
        <w:rPr>
          <w:spacing w:val="2"/>
        </w:rPr>
        <w:t>）等；</w:t>
      </w:r>
      <w:r>
        <w:rPr>
          <w:spacing w:val="2"/>
        </w:rPr>
        <w:t xml:space="preserve"> </w:t>
      </w:r>
      <w:r>
        <w:rPr>
          <w:rFonts w:ascii="Tahoma" w:eastAsia="Tahoma" w:hAnsi="Tahoma" w:cs="Tahoma"/>
          <w:b/>
          <w:bCs/>
          <w:color w:val="004098"/>
          <w:spacing w:val="2"/>
        </w:rPr>
        <w:t>2</w:t>
      </w:r>
      <w:r>
        <w:rPr>
          <w:color w:val="004098"/>
          <w:spacing w:val="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）智能车灯：</w:t>
      </w:r>
      <w:r>
        <w:rPr>
          <w:color w:val="004098"/>
          <w:spacing w:val="-26"/>
        </w:rPr>
        <w:t xml:space="preserve"> </w:t>
      </w:r>
      <w:r>
        <w:rPr>
          <w:spacing w:val="2"/>
        </w:rPr>
        <w:t>当前车灯安全</w:t>
      </w:r>
      <w:r>
        <w:rPr>
          <w:rFonts w:ascii="Tahoma" w:eastAsia="Tahoma" w:hAnsi="Tahoma" w:cs="Tahoma"/>
          <w:spacing w:val="2"/>
        </w:rPr>
        <w:t>&amp;</w:t>
      </w:r>
    </w:p>
    <w:p>
      <w:pPr>
        <w:pStyle w:val="BodyText"/>
        <w:spacing w:before="76" w:line="233" w:lineRule="auto"/>
        <w:ind w:left="507"/>
      </w:pPr>
      <w:r>
        <w:rPr>
          <w:spacing w:val="5"/>
        </w:rPr>
        <w:t>智能</w:t>
      </w:r>
      <w:r>
        <w:rPr>
          <w:rFonts w:ascii="Tahoma" w:eastAsia="Tahoma" w:hAnsi="Tahoma" w:cs="Tahoma"/>
          <w:spacing w:val="5"/>
        </w:rPr>
        <w:t>&amp;</w:t>
      </w:r>
      <w:r>
        <w:rPr>
          <w:spacing w:val="5"/>
        </w:rPr>
        <w:t>娱乐属性融合趋势明显，有望驱动车灯光源（</w:t>
      </w:r>
      <w:r>
        <w:rPr>
          <w:rFonts w:ascii="Tahoma" w:eastAsia="Tahoma" w:hAnsi="Tahoma" w:cs="Tahoma"/>
        </w:rPr>
        <w:t>LED</w:t>
      </w:r>
      <w:r>
        <w:rPr>
          <w:spacing w:val="5"/>
        </w:rPr>
        <w:t>、激光）</w:t>
      </w:r>
      <w:r>
        <w:rPr>
          <w:spacing w:val="-30"/>
        </w:rPr>
        <w:t xml:space="preserve"> </w:t>
      </w:r>
      <w:r>
        <w:rPr>
          <w:spacing w:val="5"/>
        </w:rPr>
        <w:t>和成像</w:t>
      </w:r>
    </w:p>
    <w:p>
      <w:pPr>
        <w:pStyle w:val="BodyText"/>
        <w:spacing w:before="75" w:line="221" w:lineRule="auto"/>
        <w:ind w:left="509"/>
      </w:pPr>
      <w:r>
        <w:rPr>
          <w:spacing w:val="1"/>
        </w:rPr>
        <w:t>技术（</w:t>
      </w:r>
      <w:r>
        <w:rPr>
          <w:rFonts w:ascii="Tahoma" w:eastAsia="Tahoma" w:hAnsi="Tahoma" w:cs="Tahoma"/>
        </w:rPr>
        <w:t>DLP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spacing w:val="1"/>
        </w:rPr>
        <w:t>等）双重升级。</w:t>
      </w:r>
      <w:r>
        <w:rPr>
          <w:spacing w:val="1"/>
        </w:rPr>
        <w:t xml:space="preserve"> </w:t>
      </w:r>
      <w:r>
        <w:rPr>
          <w:rFonts w:ascii="Tahoma" w:eastAsia="Tahoma" w:hAnsi="Tahoma" w:cs="Tahoma"/>
          <w:spacing w:val="1"/>
        </w:rPr>
        <w:t xml:space="preserve">2023 </w:t>
      </w:r>
      <w:r>
        <w:rPr>
          <w:spacing w:val="1"/>
        </w:rPr>
        <w:t>年华为首发百万级像素智慧</w:t>
      </w:r>
      <w:r>
        <w:t>大灯，</w:t>
      </w:r>
      <w:r>
        <w:rPr>
          <w:spacing w:val="-20"/>
        </w:rPr>
        <w:t xml:space="preserve"> </w:t>
      </w:r>
      <w:r>
        <w:t>建议</w:t>
      </w:r>
    </w:p>
    <w:p>
      <w:pPr>
        <w:pStyle w:val="BodyText"/>
        <w:spacing w:before="73" w:line="221" w:lineRule="auto"/>
        <w:ind w:left="515"/>
      </w:pPr>
      <w:r>
        <w:rPr>
          <w:spacing w:val="3"/>
        </w:rPr>
        <w:t>关注华为对产业链带动作用，星宇股份（配套问界</w:t>
      </w:r>
      <w:r>
        <w:rPr>
          <w:spacing w:val="-20"/>
        </w:rPr>
        <w:t xml:space="preserve"> </w:t>
      </w:r>
      <w:r>
        <w:rPr>
          <w:rFonts w:ascii="Tahoma" w:eastAsia="Tahoma" w:hAnsi="Tahoma" w:cs="Tahoma"/>
          <w:spacing w:val="3"/>
        </w:rPr>
        <w:t xml:space="preserve">M9 </w:t>
      </w:r>
      <w:r>
        <w:rPr>
          <w:rFonts w:ascii="Tahoma" w:eastAsia="Tahoma" w:hAnsi="Tahoma" w:cs="Tahoma"/>
        </w:rPr>
        <w:t>DLP</w:t>
      </w:r>
      <w:r>
        <w:rPr>
          <w:rFonts w:ascii="Tahoma" w:eastAsia="Tahoma" w:hAnsi="Tahoma" w:cs="Tahoma"/>
          <w:spacing w:val="3"/>
        </w:rPr>
        <w:t xml:space="preserve"> </w:t>
      </w:r>
      <w:r>
        <w:rPr>
          <w:spacing w:val="3"/>
        </w:rPr>
        <w:t>大灯）</w:t>
      </w:r>
      <w:r>
        <w:rPr>
          <w:spacing w:val="2"/>
        </w:rPr>
        <w:t>、佛山</w:t>
      </w:r>
    </w:p>
    <w:p>
      <w:pPr>
        <w:pStyle w:val="BodyText"/>
        <w:spacing w:before="88" w:line="220" w:lineRule="auto"/>
        <w:ind w:left="521"/>
      </w:pPr>
      <w:r>
        <w:rPr>
          <w:spacing w:val="-1"/>
        </w:rPr>
        <w:t>照明（旗下南宁燎旺是问界新</w:t>
      </w:r>
      <w:r>
        <w:rPr>
          <w:spacing w:val="-13"/>
        </w:rPr>
        <w:t xml:space="preserve"> </w:t>
      </w:r>
      <w:r>
        <w:rPr>
          <w:rFonts w:ascii="Tahoma" w:eastAsia="Tahoma" w:hAnsi="Tahoma" w:cs="Tahoma"/>
          <w:spacing w:val="-1"/>
        </w:rPr>
        <w:t>M7</w:t>
      </w:r>
      <w:r>
        <w:rPr>
          <w:spacing w:val="-1"/>
        </w:rPr>
        <w:t>、深蓝汽车车灯供应商）、华域汽车（配</w:t>
      </w:r>
    </w:p>
    <w:p>
      <w:pPr>
        <w:pStyle w:val="BodyText"/>
        <w:spacing w:before="89" w:line="223" w:lineRule="auto"/>
        <w:ind w:left="509"/>
      </w:pPr>
      <w:r>
        <w:rPr>
          <w:spacing w:val="4"/>
        </w:rPr>
        <w:t>套智己</w:t>
      </w:r>
      <w:r>
        <w:rPr>
          <w:spacing w:val="-5"/>
        </w:rPr>
        <w:t xml:space="preserve"> </w:t>
      </w:r>
      <w:r>
        <w:rPr>
          <w:rFonts w:ascii="Tahoma" w:eastAsia="Tahoma" w:hAnsi="Tahoma" w:cs="Tahoma"/>
          <w:spacing w:val="4"/>
        </w:rPr>
        <w:t>L7</w:t>
      </w:r>
      <w:r>
        <w:rPr>
          <w:spacing w:val="4"/>
        </w:rPr>
        <w:t>、</w:t>
      </w:r>
      <w:r>
        <w:rPr>
          <w:spacing w:val="-56"/>
        </w:rPr>
        <w:t xml:space="preserve"> </w:t>
      </w:r>
      <w:r>
        <w:rPr>
          <w:spacing w:val="4"/>
        </w:rPr>
        <w:t>高合</w:t>
      </w:r>
      <w:r>
        <w:rPr>
          <w:spacing w:val="-20"/>
        </w:rPr>
        <w:t xml:space="preserve"> </w:t>
      </w:r>
      <w:r>
        <w:rPr>
          <w:rFonts w:ascii="Tahoma" w:eastAsia="Tahoma" w:hAnsi="Tahoma" w:cs="Tahoma"/>
        </w:rPr>
        <w:t>HiPhi</w:t>
      </w:r>
      <w:r>
        <w:rPr>
          <w:rFonts w:ascii="Tahoma" w:eastAsia="Tahoma" w:hAnsi="Tahoma" w:cs="Tahoma"/>
          <w:spacing w:val="4"/>
        </w:rPr>
        <w:t xml:space="preserve"> </w:t>
      </w:r>
      <w:r>
        <w:rPr>
          <w:rFonts w:ascii="Tahoma" w:eastAsia="Tahoma" w:hAnsi="Tahoma" w:cs="Tahoma"/>
        </w:rPr>
        <w:t>X</w:t>
      </w:r>
      <w:r>
        <w:rPr>
          <w:rFonts w:ascii="Tahoma" w:eastAsia="Tahoma" w:hAnsi="Tahoma" w:cs="Tahoma"/>
          <w:spacing w:val="23"/>
        </w:rPr>
        <w:t xml:space="preserve"> </w:t>
      </w:r>
      <w:r>
        <w:rPr>
          <w:rFonts w:ascii="Tahoma" w:eastAsia="Tahoma" w:hAnsi="Tahoma" w:cs="Tahoma"/>
        </w:rPr>
        <w:t>DLP</w:t>
      </w:r>
      <w:r>
        <w:rPr>
          <w:rFonts w:ascii="Tahoma" w:eastAsia="Tahoma" w:hAnsi="Tahoma" w:cs="Tahoma"/>
          <w:spacing w:val="4"/>
        </w:rPr>
        <w:t xml:space="preserve"> </w:t>
      </w:r>
      <w:r>
        <w:rPr>
          <w:spacing w:val="4"/>
        </w:rPr>
        <w:t>大灯）均有望受益。</w:t>
      </w:r>
    </w:p>
    <w:p>
      <w:pPr>
        <w:pStyle w:val="BodyText"/>
        <w:spacing w:before="235" w:line="293" w:lineRule="auto"/>
        <w:ind w:left="496" w:right="3907" w:hanging="416"/>
      </w:pPr>
      <w:r>
        <w:rPr>
          <w:rFonts w:ascii="Wingdings" w:eastAsia="Wingdings" w:hAnsi="Wingdings" w:cs="Wingdings"/>
          <w:color w:val="004098"/>
          <w:spacing w:val="3"/>
        </w:rPr>
        <w:t>.</w:t>
      </w:r>
      <w:r>
        <w:rPr>
          <w:rFonts w:ascii="Wingdings" w:eastAsia="Wingdings" w:hAnsi="Wingdings" w:cs="Wingdings"/>
          <w:color w:val="004098"/>
          <w:spacing w:val="105"/>
        </w:rPr>
        <w:t xml:space="preserve"> </w:t>
      </w:r>
      <w:r>
        <w:rPr>
          <w:color w:val="004098"/>
          <w:spacing w:val="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赛道</w:t>
      </w:r>
      <w:r>
        <w:rPr>
          <w:rFonts w:ascii="Tahoma" w:eastAsia="Tahoma" w:hAnsi="Tahoma" w:cs="Tahoma"/>
          <w:b/>
          <w:bCs/>
          <w:color w:val="004098"/>
          <w:spacing w:val="3"/>
        </w:rPr>
        <w:t>-</w:t>
      </w:r>
      <w:r>
        <w:rPr>
          <w:color w:val="004098"/>
          <w:spacing w:val="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线控制动：</w:t>
      </w:r>
      <w:r>
        <w:rPr>
          <w:color w:val="004098"/>
          <w:spacing w:val="-16"/>
        </w:rPr>
        <w:t xml:space="preserve"> </w:t>
      </w:r>
      <w:r>
        <w:rPr>
          <w:color w:val="004098"/>
          <w:spacing w:val="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自动驾驶执行层技术高地，</w:t>
      </w:r>
      <w:r>
        <w:rPr>
          <w:color w:val="004098"/>
          <w:spacing w:val="-52"/>
        </w:rPr>
        <w:t xml:space="preserve"> </w:t>
      </w:r>
      <w:r>
        <w:rPr>
          <w:color w:val="004098"/>
          <w:spacing w:val="3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本土厂商加速发力。</w:t>
      </w:r>
      <w:r>
        <w:rPr>
          <w:color w:val="004098"/>
          <w:spacing w:val="-43"/>
        </w:rPr>
        <w:t xml:space="preserve"> </w:t>
      </w:r>
      <w:r>
        <w:rPr>
          <w:spacing w:val="3"/>
        </w:rPr>
        <w:t>线控</w:t>
      </w:r>
      <w:r>
        <w:t xml:space="preserve"> </w:t>
      </w:r>
      <w:r>
        <w:rPr>
          <w:spacing w:val="13"/>
        </w:rPr>
        <w:t>制动是实现自动驾驶技术的核心（车辆横纵向控制的关键，</w:t>
      </w:r>
      <w:r>
        <w:rPr>
          <w:rFonts w:ascii="Tahoma" w:eastAsia="Tahoma" w:hAnsi="Tahoma" w:cs="Tahoma"/>
        </w:rPr>
        <w:t>ACC</w:t>
      </w:r>
      <w:r>
        <w:rPr>
          <w:rFonts w:ascii="Tahoma" w:eastAsia="Tahoma" w:hAnsi="Tahoma" w:cs="Tahoma"/>
          <w:spacing w:val="-21"/>
        </w:rPr>
        <w:t xml:space="preserve"> </w:t>
      </w:r>
      <w:r>
        <w:rPr>
          <w:spacing w:val="13"/>
        </w:rPr>
        <w:t>、</w:t>
      </w:r>
      <w:r>
        <w:rPr>
          <w:rFonts w:ascii="Tahoma" w:eastAsia="Tahoma" w:hAnsi="Tahoma" w:cs="Tahoma"/>
        </w:rPr>
        <w:t>AEB</w:t>
      </w:r>
      <w:r>
        <w:rPr>
          <w:rFonts w:ascii="Tahoma" w:eastAsia="Tahoma" w:hAnsi="Tahoma" w:cs="Tahoma"/>
          <w:spacing w:val="13"/>
        </w:rPr>
        <w:t xml:space="preserve"> </w:t>
      </w:r>
      <w:r>
        <w:rPr>
          <w:spacing w:val="3"/>
        </w:rPr>
        <w:t>等功能的基石</w:t>
      </w:r>
      <w:r>
        <w:rPr>
          <w:spacing w:val="-43"/>
          <w:w w:val="81"/>
        </w:rPr>
        <w:t>），</w:t>
      </w:r>
      <w:r>
        <w:rPr>
          <w:rFonts w:ascii="Tahoma" w:eastAsia="Tahoma" w:hAnsi="Tahoma" w:cs="Tahoma"/>
          <w:spacing w:val="3"/>
        </w:rPr>
        <w:t xml:space="preserve">2023 </w:t>
      </w:r>
      <w:r>
        <w:rPr>
          <w:spacing w:val="3"/>
        </w:rPr>
        <w:t>年</w:t>
      </w:r>
      <w:r>
        <w:rPr>
          <w:spacing w:val="3"/>
        </w:rPr>
        <w:t xml:space="preserve"> </w:t>
      </w:r>
      <w:r>
        <w:rPr>
          <w:rFonts w:ascii="Tahoma" w:eastAsia="Tahoma" w:hAnsi="Tahoma" w:cs="Tahoma"/>
          <w:spacing w:val="3"/>
        </w:rPr>
        <w:t>1-8</w:t>
      </w:r>
      <w:r>
        <w:rPr>
          <w:rFonts w:ascii="Tahoma" w:eastAsia="Tahoma" w:hAnsi="Tahoma" w:cs="Tahoma"/>
          <w:spacing w:val="-10"/>
        </w:rPr>
        <w:t xml:space="preserve"> </w:t>
      </w:r>
      <w:r>
        <w:rPr>
          <w:spacing w:val="3"/>
        </w:rPr>
        <w:t>月国内乘用车线控制动搭载率已达到</w:t>
      </w:r>
      <w:r>
        <w:rPr>
          <w:spacing w:val="-27"/>
        </w:rPr>
        <w:t xml:space="preserve"> </w:t>
      </w:r>
      <w:r>
        <w:rPr>
          <w:rFonts w:ascii="Tahoma" w:eastAsia="Tahoma" w:hAnsi="Tahoma" w:cs="Tahoma"/>
          <w:spacing w:val="3"/>
        </w:rPr>
        <w:t>37%</w:t>
      </w:r>
      <w:r>
        <w:rPr>
          <w:spacing w:val="3"/>
        </w:rPr>
        <w:t>，</w:t>
      </w:r>
      <w:r>
        <w:t xml:space="preserve"> </w:t>
      </w:r>
      <w:r>
        <w:rPr>
          <w:spacing w:val="7"/>
        </w:rPr>
        <w:t>电动智能化将持续驱动线控制动应用。</w:t>
      </w:r>
      <w:r>
        <w:rPr>
          <w:spacing w:val="7"/>
        </w:rPr>
        <w:t xml:space="preserve"> </w:t>
      </w:r>
      <w:r>
        <w:rPr>
          <w:spacing w:val="7"/>
        </w:rPr>
        <w:t>市场格局看博世仍</w:t>
      </w:r>
      <w:r>
        <w:rPr>
          <w:spacing w:val="6"/>
        </w:rPr>
        <w:t>为线控制动市</w:t>
      </w:r>
      <w:r>
        <w:t xml:space="preserve"> </w:t>
      </w:r>
      <w:r>
        <w:rPr>
          <w:spacing w:val="9"/>
        </w:rPr>
        <w:t>场龙头，本土上市公司中的伯特利、亚太股份、万安科技、拓普</w:t>
      </w:r>
      <w:r>
        <w:rPr>
          <w:spacing w:val="8"/>
        </w:rPr>
        <w:t>集团、</w:t>
      </w:r>
      <w:r>
        <w:t xml:space="preserve">  </w:t>
      </w:r>
      <w:r>
        <w:rPr>
          <w:spacing w:val="12"/>
        </w:rPr>
        <w:t>万向钱潮等均逐步发力，并逐步兑现从制动</w:t>
      </w:r>
      <w:r>
        <w:rPr>
          <w:spacing w:val="-44"/>
        </w:rPr>
        <w:t xml:space="preserve"> </w:t>
      </w:r>
      <w:r>
        <w:rPr>
          <w:spacing w:val="11"/>
        </w:rPr>
        <w:t>→</w:t>
      </w:r>
      <w:r>
        <w:rPr>
          <w:spacing w:val="-66"/>
        </w:rPr>
        <w:t xml:space="preserve"> </w:t>
      </w:r>
      <w:r>
        <w:rPr>
          <w:spacing w:val="11"/>
        </w:rPr>
        <w:t>制动</w:t>
      </w:r>
      <w:r>
        <w:rPr>
          <w:spacing w:val="-53"/>
        </w:rPr>
        <w:t xml:space="preserve"> </w:t>
      </w:r>
      <w:r>
        <w:rPr>
          <w:rFonts w:ascii="Tahoma" w:eastAsia="Tahoma" w:hAnsi="Tahoma" w:cs="Tahoma"/>
          <w:spacing w:val="11"/>
        </w:rPr>
        <w:t>+</w:t>
      </w:r>
      <w:r>
        <w:rPr>
          <w:spacing w:val="11"/>
        </w:rPr>
        <w:t>转向</w:t>
      </w:r>
      <w:r>
        <w:rPr>
          <w:spacing w:val="-44"/>
        </w:rPr>
        <w:t xml:space="preserve"> </w:t>
      </w:r>
      <w:r>
        <w:rPr>
          <w:spacing w:val="11"/>
        </w:rPr>
        <w:t>→</w:t>
      </w:r>
      <w:r>
        <w:rPr>
          <w:spacing w:val="-60"/>
        </w:rPr>
        <w:t xml:space="preserve"> </w:t>
      </w:r>
      <w:r>
        <w:rPr>
          <w:spacing w:val="11"/>
        </w:rPr>
        <w:t>线控底盘</w:t>
      </w:r>
      <w:r>
        <w:t xml:space="preserve"> </w:t>
      </w:r>
      <w:r>
        <w:rPr>
          <w:rFonts w:ascii="Tahoma" w:eastAsia="Tahoma" w:hAnsi="Tahoma" w:cs="Tahoma"/>
          <w:spacing w:val="10"/>
        </w:rPr>
        <w:t>/</w:t>
      </w:r>
      <w:r>
        <w:rPr>
          <w:rFonts w:ascii="Tahoma" w:eastAsia="Tahoma" w:hAnsi="Tahoma" w:cs="Tahoma"/>
        </w:rPr>
        <w:t>ADAS</w:t>
      </w:r>
      <w:r>
        <w:rPr>
          <w:rFonts w:ascii="Tahoma" w:eastAsia="Tahoma" w:hAnsi="Tahoma" w:cs="Tahoma"/>
          <w:spacing w:val="10"/>
        </w:rPr>
        <w:t xml:space="preserve"> </w:t>
      </w:r>
      <w:r>
        <w:rPr>
          <w:spacing w:val="10"/>
        </w:rPr>
        <w:t>方案的内生成长逻辑。</w:t>
      </w:r>
    </w:p>
    <w:p>
      <w:pPr>
        <w:pStyle w:val="BodyText"/>
        <w:spacing w:before="235" w:line="292" w:lineRule="auto"/>
        <w:ind w:left="506" w:right="3948" w:hanging="426"/>
      </w:pPr>
      <w:r>
        <w:rPr>
          <w:rFonts w:ascii="Wingdings" w:eastAsia="Wingdings" w:hAnsi="Wingdings" w:cs="Wingdings"/>
          <w:color w:val="004098"/>
          <w:spacing w:val="2"/>
        </w:rPr>
        <w:t>.</w:t>
      </w:r>
      <w:r>
        <w:rPr>
          <w:rFonts w:ascii="Wingdings" w:eastAsia="Wingdings" w:hAnsi="Wingdings" w:cs="Wingdings"/>
          <w:color w:val="004098"/>
          <w:spacing w:val="103"/>
        </w:rPr>
        <w:t xml:space="preserve"> </w:t>
      </w:r>
      <w:r>
        <w:rPr>
          <w:color w:val="004098"/>
          <w:spacing w:val="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赛道</w:t>
      </w:r>
      <w:r>
        <w:rPr>
          <w:rFonts w:ascii="Tahoma" w:eastAsia="Tahoma" w:hAnsi="Tahoma" w:cs="Tahoma"/>
          <w:b/>
          <w:bCs/>
          <w:color w:val="004098"/>
          <w:spacing w:val="2"/>
        </w:rPr>
        <w:t>-</w:t>
      </w:r>
      <w:r>
        <w:rPr>
          <w:color w:val="004098"/>
          <w:spacing w:val="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空气悬架：</w:t>
      </w:r>
      <w:r>
        <w:rPr>
          <w:color w:val="004098"/>
          <w:spacing w:val="-46"/>
        </w:rPr>
        <w:t xml:space="preserve"> </w:t>
      </w:r>
      <w:r>
        <w:rPr>
          <w:color w:val="004098"/>
          <w:spacing w:val="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成本下行拓宽装机需求，</w:t>
      </w:r>
      <w:r>
        <w:rPr>
          <w:color w:val="004098"/>
          <w:spacing w:val="35"/>
        </w:rPr>
        <w:t xml:space="preserve"> </w:t>
      </w:r>
      <w:r>
        <w:rPr>
          <w:color w:val="004098"/>
          <w:spacing w:val="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电</w:t>
      </w:r>
      <w:r>
        <w:rPr>
          <w:color w:val="004098"/>
          <w:spacing w:val="1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动智能带来绝佳适配性。</w:t>
      </w:r>
      <w:r>
        <w:rPr>
          <w:color w:val="004098"/>
        </w:rPr>
        <w:t xml:space="preserve"> </w:t>
      </w:r>
      <w:r>
        <w:rPr>
          <w:color w:val="004098"/>
          <w:spacing w:val="10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空悬作为汽车垂直方向智能控制的核心部件，是电动智能车</w:t>
      </w:r>
      <w:r>
        <w:rPr>
          <w:color w:val="004098"/>
          <w:spacing w:val="9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差异化的重</w:t>
      </w:r>
      <w:r>
        <w:rPr>
          <w:color w:val="004098"/>
        </w:rPr>
        <w:t xml:space="preserve"> </w:t>
      </w:r>
      <w:r>
        <w:rPr>
          <w:color w:val="004098"/>
          <w:spacing w:val="6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要配置之一。</w:t>
      </w:r>
      <w:r>
        <w:rPr>
          <w:color w:val="004098"/>
          <w:spacing w:val="-39"/>
        </w:rPr>
        <w:t xml:space="preserve"> </w:t>
      </w:r>
      <w:r>
        <w:rPr>
          <w:spacing w:val="6"/>
        </w:rPr>
        <w:t>当前国产供应链积极降本，空悬有望在乘用车</w:t>
      </w:r>
      <w:r>
        <w:rPr>
          <w:spacing w:val="-21"/>
        </w:rPr>
        <w:t xml:space="preserve"> </w:t>
      </w:r>
      <w:r>
        <w:rPr>
          <w:rFonts w:ascii="Tahoma" w:eastAsia="Tahoma" w:hAnsi="Tahoma" w:cs="Tahoma"/>
          <w:spacing w:val="6"/>
        </w:rPr>
        <w:t xml:space="preserve">B </w:t>
      </w:r>
      <w:r>
        <w:rPr>
          <w:spacing w:val="6"/>
        </w:rPr>
        <w:t>级车主流</w:t>
      </w:r>
      <w:r>
        <w:t xml:space="preserve"> </w:t>
      </w:r>
      <w:r>
        <w:rPr>
          <w:spacing w:val="7"/>
        </w:rPr>
        <w:t>价格段（</w:t>
      </w:r>
      <w:r>
        <w:rPr>
          <w:rFonts w:ascii="Tahoma" w:eastAsia="Tahoma" w:hAnsi="Tahoma" w:cs="Tahoma"/>
          <w:spacing w:val="7"/>
        </w:rPr>
        <w:t xml:space="preserve">20-30 </w:t>
      </w:r>
      <w:r>
        <w:rPr>
          <w:spacing w:val="7"/>
        </w:rPr>
        <w:t>万元，销量占比</w:t>
      </w:r>
      <w:r>
        <w:rPr>
          <w:spacing w:val="-13"/>
        </w:rPr>
        <w:t xml:space="preserve"> </w:t>
      </w:r>
      <w:r>
        <w:rPr>
          <w:rFonts w:ascii="Tahoma" w:eastAsia="Tahoma" w:hAnsi="Tahoma" w:cs="Tahoma"/>
          <w:spacing w:val="7"/>
        </w:rPr>
        <w:t>17%</w:t>
      </w:r>
      <w:r>
        <w:rPr>
          <w:spacing w:val="7"/>
        </w:rPr>
        <w:t>）迎来更广阔</w:t>
      </w:r>
      <w:r>
        <w:rPr>
          <w:spacing w:val="6"/>
        </w:rPr>
        <w:t>的市场空间。在空气</w:t>
      </w:r>
      <w:r>
        <w:t xml:space="preserve"> </w:t>
      </w:r>
      <w:r>
        <w:rPr>
          <w:spacing w:val="7"/>
        </w:rPr>
        <w:t>悬架加速渗透（在新能源</w:t>
      </w:r>
      <w:r>
        <w:rPr>
          <w:rFonts w:ascii="Tahoma" w:eastAsia="Tahoma" w:hAnsi="Tahoma" w:cs="Tahoma"/>
          <w:spacing w:val="7"/>
        </w:rPr>
        <w:t>/</w:t>
      </w:r>
      <w:r>
        <w:rPr>
          <w:spacing w:val="7"/>
        </w:rPr>
        <w:t>传统能源中的渗透率分别为</w:t>
      </w:r>
      <w:r>
        <w:rPr>
          <w:spacing w:val="7"/>
        </w:rPr>
        <w:t xml:space="preserve"> </w:t>
      </w:r>
      <w:r>
        <w:rPr>
          <w:rFonts w:ascii="Tahoma" w:eastAsia="Tahoma" w:hAnsi="Tahoma" w:cs="Tahoma"/>
          <w:spacing w:val="7"/>
        </w:rPr>
        <w:t>6%/3%</w:t>
      </w:r>
      <w:r>
        <w:rPr>
          <w:spacing w:val="7"/>
        </w:rPr>
        <w:t>）</w:t>
      </w:r>
      <w:r>
        <w:rPr>
          <w:spacing w:val="-51"/>
        </w:rPr>
        <w:t xml:space="preserve"> </w:t>
      </w:r>
      <w:r>
        <w:rPr>
          <w:rFonts w:ascii="Tahoma" w:eastAsia="Tahoma" w:hAnsi="Tahoma" w:cs="Tahoma"/>
          <w:spacing w:val="7"/>
        </w:rPr>
        <w:t>+</w:t>
      </w:r>
      <w:r>
        <w:rPr>
          <w:spacing w:val="7"/>
        </w:rPr>
        <w:t>国产</w:t>
      </w:r>
      <w:r>
        <w:t xml:space="preserve"> </w:t>
      </w:r>
      <w:r>
        <w:rPr>
          <w:spacing w:val="5"/>
        </w:rPr>
        <w:t>替代降本（价值量下降至</w:t>
      </w:r>
      <w:r>
        <w:rPr>
          <w:spacing w:val="-28"/>
        </w:rPr>
        <w:t xml:space="preserve"> </w:t>
      </w:r>
      <w:r>
        <w:rPr>
          <w:rFonts w:ascii="Tahoma" w:eastAsia="Tahoma" w:hAnsi="Tahoma" w:cs="Tahoma"/>
          <w:spacing w:val="5"/>
        </w:rPr>
        <w:t xml:space="preserve">9000 </w:t>
      </w:r>
      <w:r>
        <w:rPr>
          <w:spacing w:val="5"/>
        </w:rPr>
        <w:t>元）的假设下，</w:t>
      </w:r>
      <w:r>
        <w:rPr>
          <w:spacing w:val="4"/>
        </w:rPr>
        <w:t>预计</w:t>
      </w:r>
      <w:r>
        <w:rPr>
          <w:spacing w:val="-24"/>
        </w:rPr>
        <w:t xml:space="preserve"> </w:t>
      </w:r>
      <w:r>
        <w:rPr>
          <w:rFonts w:ascii="Tahoma" w:eastAsia="Tahoma" w:hAnsi="Tahoma" w:cs="Tahoma"/>
          <w:spacing w:val="4"/>
        </w:rPr>
        <w:t xml:space="preserve">2025 </w:t>
      </w:r>
      <w:r>
        <w:rPr>
          <w:spacing w:val="4"/>
        </w:rPr>
        <w:t>年国内空气悬</w:t>
      </w:r>
      <w:r>
        <w:t xml:space="preserve"> </w:t>
      </w:r>
      <w:r>
        <w:rPr>
          <w:spacing w:val="6"/>
        </w:rPr>
        <w:t>架规模有望达到</w:t>
      </w:r>
      <w:r>
        <w:rPr>
          <w:spacing w:val="6"/>
        </w:rPr>
        <w:t xml:space="preserve"> </w:t>
      </w:r>
      <w:r>
        <w:rPr>
          <w:rFonts w:ascii="Tahoma" w:eastAsia="Tahoma" w:hAnsi="Tahoma" w:cs="Tahoma"/>
          <w:spacing w:val="6"/>
        </w:rPr>
        <w:t>101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spacing w:val="6"/>
        </w:rPr>
        <w:t>亿元。</w:t>
      </w:r>
    </w:p>
    <w:p>
      <w:pPr>
        <w:pStyle w:val="BodyText"/>
        <w:spacing w:before="234" w:line="294" w:lineRule="auto"/>
        <w:ind w:left="500" w:right="3922" w:hanging="420"/>
      </w:pPr>
      <w:r>
        <w:rPr>
          <w:rFonts w:ascii="Wingdings" w:eastAsia="Wingdings" w:hAnsi="Wingdings" w:cs="Wingdings"/>
          <w:color w:val="004098"/>
        </w:rPr>
        <w:t>.</w:t>
      </w:r>
      <w:r>
        <w:rPr>
          <w:rFonts w:ascii="Wingdings" w:eastAsia="Wingdings" w:hAnsi="Wingdings" w:cs="Wingdings"/>
          <w:color w:val="004098"/>
          <w:spacing w:val="120"/>
        </w:rPr>
        <w:t xml:space="preserve"> </w:t>
      </w:r>
      <w:r>
        <w:rPr>
          <w:color w:val="004098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赛道</w:t>
      </w:r>
      <w:r>
        <w:rPr>
          <w:rFonts w:ascii="Tahoma" w:eastAsia="Tahoma" w:hAnsi="Tahoma" w:cs="Tahoma"/>
          <w:b/>
          <w:bCs/>
          <w:color w:val="004098"/>
        </w:rPr>
        <w:t>-</w:t>
      </w:r>
      <w:r>
        <w:rPr>
          <w:color w:val="004098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机器人：产业化进程加速，</w:t>
      </w:r>
      <w:r>
        <w:rPr>
          <w:color w:val="004098"/>
          <w:spacing w:val="33"/>
        </w:rPr>
        <w:t xml:space="preserve"> </w:t>
      </w:r>
      <w:r>
        <w:rPr>
          <w:rFonts w:ascii="Tahoma" w:eastAsia="Tahoma" w:hAnsi="Tahoma" w:cs="Tahoma"/>
          <w:b/>
          <w:bCs/>
          <w:color w:val="004098"/>
        </w:rPr>
        <w:t xml:space="preserve">2025 </w:t>
      </w:r>
      <w:r>
        <w:rPr>
          <w:color w:val="004098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年有望成为量产元年。</w:t>
      </w:r>
      <w:r>
        <w:rPr>
          <w:color w:val="004098"/>
          <w:spacing w:val="-41"/>
        </w:rPr>
        <w:t xml:space="preserve"> </w:t>
      </w:r>
      <w:r>
        <w:rPr>
          <w:rFonts w:ascii="Tahoma" w:eastAsia="Tahoma" w:hAnsi="Tahoma" w:cs="Tahoma"/>
        </w:rPr>
        <w:t>1</w:t>
      </w:r>
      <w:r>
        <w:t>）根据</w:t>
      </w:r>
      <w:r>
        <w:t xml:space="preserve"> </w:t>
      </w:r>
      <w:r>
        <w:rPr>
          <w:rFonts w:ascii="Tahoma" w:eastAsia="Tahoma" w:hAnsi="Tahoma" w:cs="Tahoma"/>
        </w:rPr>
        <w:t>Stratistics</w:t>
      </w:r>
      <w:r>
        <w:rPr>
          <w:rFonts w:ascii="Tahoma" w:eastAsia="Tahoma" w:hAnsi="Tahoma" w:cs="Tahoma"/>
          <w:spacing w:val="50"/>
        </w:rPr>
        <w:t xml:space="preserve"> </w:t>
      </w:r>
      <w:r>
        <w:rPr>
          <w:rFonts w:ascii="Tahoma" w:eastAsia="Tahoma" w:hAnsi="Tahoma" w:cs="Tahoma"/>
        </w:rPr>
        <w:t>Market</w:t>
      </w:r>
      <w:r>
        <w:rPr>
          <w:rFonts w:ascii="Tahoma" w:eastAsia="Tahoma" w:hAnsi="Tahoma" w:cs="Tahoma"/>
          <w:spacing w:val="41"/>
        </w:rPr>
        <w:t xml:space="preserve"> </w:t>
      </w:r>
      <w:r>
        <w:rPr>
          <w:rFonts w:ascii="Tahoma" w:eastAsia="Tahoma" w:hAnsi="Tahoma" w:cs="Tahoma"/>
        </w:rPr>
        <w:t>Research</w:t>
      </w:r>
      <w:r>
        <w:rPr>
          <w:rFonts w:ascii="Tahoma" w:eastAsia="Tahoma" w:hAnsi="Tahoma" w:cs="Tahoma"/>
          <w:spacing w:val="36"/>
        </w:rPr>
        <w:t xml:space="preserve"> </w:t>
      </w:r>
      <w:r>
        <w:rPr>
          <w:rFonts w:ascii="Tahoma" w:eastAsia="Tahoma" w:hAnsi="Tahoma" w:cs="Tahoma"/>
        </w:rPr>
        <w:t>Consulting</w:t>
      </w:r>
      <w:r>
        <w:rPr>
          <w:rFonts w:ascii="Tahoma" w:eastAsia="Tahoma" w:hAnsi="Tahoma" w:cs="Tahoma"/>
          <w:spacing w:val="12"/>
        </w:rPr>
        <w:t xml:space="preserve"> </w:t>
      </w:r>
      <w:r>
        <w:rPr>
          <w:spacing w:val="12"/>
        </w:rPr>
        <w:t>数据预测，</w:t>
      </w:r>
      <w:r>
        <w:rPr>
          <w:spacing w:val="-50"/>
        </w:rPr>
        <w:t xml:space="preserve"> </w:t>
      </w:r>
      <w:r>
        <w:rPr>
          <w:rFonts w:ascii="Tahoma" w:eastAsia="Tahoma" w:hAnsi="Tahoma" w:cs="Tahoma"/>
          <w:spacing w:val="12"/>
        </w:rPr>
        <w:t xml:space="preserve">2022 </w:t>
      </w:r>
      <w:r>
        <w:rPr>
          <w:spacing w:val="12"/>
        </w:rPr>
        <w:t>全球人形机器</w:t>
      </w:r>
      <w:r>
        <w:t xml:space="preserve"> </w:t>
      </w:r>
      <w:r>
        <w:rPr>
          <w:spacing w:val="2"/>
        </w:rPr>
        <w:t>人市场规模为</w:t>
      </w:r>
      <w:r>
        <w:rPr>
          <w:spacing w:val="2"/>
        </w:rPr>
        <w:t xml:space="preserve"> </w:t>
      </w:r>
      <w:r>
        <w:rPr>
          <w:rFonts w:ascii="Tahoma" w:eastAsia="Tahoma" w:hAnsi="Tahoma" w:cs="Tahoma"/>
          <w:spacing w:val="2"/>
        </w:rPr>
        <w:t xml:space="preserve">14 </w:t>
      </w:r>
      <w:r>
        <w:rPr>
          <w:spacing w:val="2"/>
        </w:rPr>
        <w:t>亿美元，</w:t>
      </w:r>
      <w:r>
        <w:rPr>
          <w:spacing w:val="-49"/>
        </w:rPr>
        <w:t xml:space="preserve"> </w:t>
      </w:r>
      <w:r>
        <w:rPr>
          <w:rFonts w:ascii="Tahoma" w:eastAsia="Tahoma" w:hAnsi="Tahoma" w:cs="Tahoma"/>
          <w:spacing w:val="2"/>
        </w:rPr>
        <w:t xml:space="preserve">2030 </w:t>
      </w:r>
      <w:r>
        <w:rPr>
          <w:spacing w:val="2"/>
        </w:rPr>
        <w:t>年有望</w:t>
      </w:r>
      <w:r>
        <w:rPr>
          <w:spacing w:val="1"/>
        </w:rPr>
        <w:t>达到</w:t>
      </w:r>
      <w:r>
        <w:rPr>
          <w:spacing w:val="-25"/>
        </w:rPr>
        <w:t xml:space="preserve"> </w:t>
      </w:r>
      <w:r>
        <w:rPr>
          <w:rFonts w:ascii="Tahoma" w:eastAsia="Tahoma" w:hAnsi="Tahoma" w:cs="Tahoma"/>
          <w:spacing w:val="1"/>
        </w:rPr>
        <w:t xml:space="preserve">704 </w:t>
      </w:r>
      <w:r>
        <w:rPr>
          <w:spacing w:val="1"/>
        </w:rPr>
        <w:t>亿美元，</w:t>
      </w:r>
      <w:r>
        <w:rPr>
          <w:spacing w:val="-53"/>
        </w:rPr>
        <w:t xml:space="preserve"> </w:t>
      </w:r>
      <w:r>
        <w:rPr>
          <w:rFonts w:ascii="Tahoma" w:eastAsia="Tahoma" w:hAnsi="Tahoma" w:cs="Tahoma"/>
        </w:rPr>
        <w:t>CAGR</w:t>
      </w:r>
      <w:r>
        <w:rPr>
          <w:rFonts w:ascii="Tahoma" w:eastAsia="Tahoma" w:hAnsi="Tahoma" w:cs="Tahoma"/>
          <w:spacing w:val="1"/>
        </w:rPr>
        <w:t>=63%</w:t>
      </w:r>
      <w:r>
        <w:rPr>
          <w:spacing w:val="1"/>
        </w:rPr>
        <w:t>，</w:t>
      </w:r>
      <w:r>
        <w:t xml:space="preserve"> </w:t>
      </w:r>
      <w:r>
        <w:rPr>
          <w:spacing w:val="8"/>
        </w:rPr>
        <w:t>未来增长确定性高；</w:t>
      </w:r>
      <w:r>
        <w:rPr>
          <w:spacing w:val="-49"/>
        </w:rPr>
        <w:t xml:space="preserve"> </w:t>
      </w:r>
      <w:r>
        <w:rPr>
          <w:rFonts w:ascii="Tahoma" w:eastAsia="Tahoma" w:hAnsi="Tahoma" w:cs="Tahoma"/>
          <w:spacing w:val="8"/>
        </w:rPr>
        <w:t>2</w:t>
      </w:r>
      <w:r>
        <w:rPr>
          <w:spacing w:val="8"/>
        </w:rPr>
        <w:t>）目前在特斯拉引领下，</w:t>
      </w:r>
      <w:r>
        <w:rPr>
          <w:spacing w:val="8"/>
        </w:rPr>
        <w:t xml:space="preserve"> </w:t>
      </w:r>
      <w:r>
        <w:rPr>
          <w:spacing w:val="8"/>
        </w:rPr>
        <w:t>国内小米、小鹏、华为</w:t>
      </w:r>
      <w:r>
        <w:t xml:space="preserve"> </w:t>
      </w:r>
      <w:r>
        <w:rPr>
          <w:spacing w:val="10"/>
        </w:rPr>
        <w:t>等玩家也迅速布局人形机器人产业，产业有望迎来加速落地期，由于汽</w:t>
      </w:r>
      <w:r>
        <w:t xml:space="preserve"> </w:t>
      </w:r>
      <w:r>
        <w:rPr>
          <w:spacing w:val="9"/>
        </w:rPr>
        <w:t>车行业在精密制造、智能电控、精益生产等领域拥</w:t>
      </w:r>
      <w:r>
        <w:rPr>
          <w:spacing w:val="8"/>
        </w:rPr>
        <w:t>有长期的积累，</w:t>
      </w:r>
      <w:r>
        <w:rPr>
          <w:spacing w:val="-55"/>
        </w:rPr>
        <w:t xml:space="preserve"> </w:t>
      </w:r>
      <w:r>
        <w:rPr>
          <w:spacing w:val="8"/>
        </w:rPr>
        <w:t>汽车</w:t>
      </w:r>
      <w:r>
        <w:t xml:space="preserve"> </w:t>
      </w:r>
      <w:r>
        <w:rPr>
          <w:spacing w:val="5"/>
        </w:rPr>
        <w:t>领域相关配套供应链有望与机器人产业共生发展，</w:t>
      </w:r>
      <w:r>
        <w:rPr>
          <w:spacing w:val="5"/>
        </w:rPr>
        <w:t xml:space="preserve"> </w:t>
      </w:r>
      <w:r>
        <w:rPr>
          <w:spacing w:val="5"/>
        </w:rPr>
        <w:t>建议在汽车减速器、</w:t>
      </w:r>
      <w:r>
        <w:rPr>
          <w:spacing w:val="5"/>
        </w:rPr>
        <w:t xml:space="preserve"> </w:t>
      </w:r>
      <w:r>
        <w:rPr>
          <w:spacing w:val="11"/>
        </w:rPr>
        <w:t>轴承、传感器等和机器人领域技术同源的细分赛道选择优质标的。</w:t>
      </w:r>
    </w:p>
    <w:p>
      <w:pPr>
        <w:pStyle w:val="BodyText"/>
        <w:spacing w:before="237" w:line="292" w:lineRule="auto"/>
        <w:ind w:left="501" w:right="3887" w:hanging="421"/>
      </w:pPr>
      <w:r>
        <w:rPr>
          <w:rFonts w:ascii="Wingdings" w:eastAsia="Wingdings" w:hAnsi="Wingdings" w:cs="Wingdings"/>
          <w:color w:val="004098"/>
          <w:spacing w:val="5"/>
        </w:rPr>
        <w:t>.</w:t>
      </w:r>
      <w:r>
        <w:rPr>
          <w:rFonts w:ascii="Wingdings" w:eastAsia="Wingdings" w:hAnsi="Wingdings" w:cs="Wingdings"/>
          <w:color w:val="004098"/>
          <w:spacing w:val="119"/>
        </w:rPr>
        <w:t xml:space="preserve"> </w:t>
      </w:r>
      <w:r>
        <w:rPr>
          <w:color w:val="004098"/>
          <w:spacing w:val="5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投资建议：</w:t>
      </w:r>
      <w:r>
        <w:rPr>
          <w:color w:val="004098"/>
          <w:spacing w:val="-38"/>
        </w:rPr>
        <w:t xml:space="preserve"> </w:t>
      </w:r>
      <w:r>
        <w:rPr>
          <w:rFonts w:ascii="Tahoma" w:eastAsia="Tahoma" w:hAnsi="Tahoma" w:cs="Tahoma"/>
          <w:spacing w:val="5"/>
        </w:rPr>
        <w:t>1</w:t>
      </w:r>
      <w:r>
        <w:rPr>
          <w:spacing w:val="5"/>
        </w:rPr>
        <w:t>）整车方面推荐处于强势新品周期、边际改善明显的吉利</w:t>
      </w:r>
      <w:r>
        <w:rPr>
          <w:spacing w:val="5"/>
        </w:rPr>
        <w:t xml:space="preserve"> </w:t>
      </w:r>
      <w:r>
        <w:rPr>
          <w:spacing w:val="13"/>
        </w:rPr>
        <w:t>汽车、长安汽车、长城汽车、北汽蓝谷、上汽集团；</w:t>
      </w:r>
      <w:r>
        <w:rPr>
          <w:rFonts w:ascii="Tahoma" w:eastAsia="Tahoma" w:hAnsi="Tahoma" w:cs="Tahoma"/>
          <w:spacing w:val="12"/>
        </w:rPr>
        <w:t>2</w:t>
      </w:r>
      <w:r>
        <w:rPr>
          <w:spacing w:val="12"/>
        </w:rPr>
        <w:t>）零部件方面推</w:t>
      </w:r>
      <w:r>
        <w:t xml:space="preserve"> </w:t>
      </w:r>
      <w:r>
        <w:rPr>
          <w:spacing w:val="-4"/>
        </w:rPr>
        <w:t>荐电动智能增量部件供应商：星宇股份（智能车灯）、华阳集团（</w:t>
      </w:r>
      <w:r>
        <w:rPr>
          <w:rFonts w:ascii="Tahoma" w:eastAsia="Tahoma" w:hAnsi="Tahoma" w:cs="Tahoma"/>
          <w:spacing w:val="-4"/>
        </w:rPr>
        <w:t>AR-HUD+</w:t>
      </w:r>
      <w:r>
        <w:rPr>
          <w:rFonts w:ascii="Tahoma" w:eastAsia="Tahoma" w:hAnsi="Tahoma" w:cs="Tahoma"/>
          <w:spacing w:val="1"/>
        </w:rPr>
        <w:t xml:space="preserve">  </w:t>
      </w:r>
      <w:r>
        <w:rPr>
          <w:spacing w:val="-1"/>
        </w:rPr>
        <w:t>域控）、伯特利（线控底盘</w:t>
      </w:r>
      <w:r>
        <w:rPr>
          <w:rFonts w:ascii="Tahoma" w:eastAsia="Tahoma" w:hAnsi="Tahoma" w:cs="Tahoma"/>
          <w:spacing w:val="-1"/>
        </w:rPr>
        <w:t>+</w:t>
      </w:r>
      <w:r>
        <w:rPr>
          <w:spacing w:val="-1"/>
        </w:rPr>
        <w:t>轻量化）、亚太股份（线控制动）、拓普集团</w:t>
      </w:r>
      <w:r>
        <w:rPr>
          <w:spacing w:val="-1"/>
        </w:rPr>
        <w:t xml:space="preserve"> </w:t>
      </w:r>
      <w:r>
        <w:rPr>
          <w:spacing w:val="-1"/>
        </w:rPr>
        <w:t>（底盘</w:t>
      </w:r>
      <w:r>
        <w:rPr>
          <w:spacing w:val="-35"/>
        </w:rPr>
        <w:t xml:space="preserve"> </w:t>
      </w:r>
      <w:r>
        <w:rPr>
          <w:rFonts w:ascii="Tahoma" w:eastAsia="Tahoma" w:hAnsi="Tahoma" w:cs="Tahoma"/>
          <w:spacing w:val="-1"/>
        </w:rPr>
        <w:t>Tier 0.5</w:t>
      </w:r>
      <w:r>
        <w:rPr>
          <w:rFonts w:ascii="Tahoma" w:eastAsia="Tahoma" w:hAnsi="Tahoma" w:cs="Tahoma"/>
          <w:spacing w:val="-12"/>
        </w:rPr>
        <w:t xml:space="preserve"> </w:t>
      </w:r>
      <w:r>
        <w:rPr>
          <w:spacing w:val="-1"/>
        </w:rPr>
        <w:t>供应商</w:t>
      </w:r>
      <w:r>
        <w:rPr>
          <w:rFonts w:ascii="Tahoma" w:eastAsia="Tahoma" w:hAnsi="Tahoma" w:cs="Tahoma"/>
          <w:spacing w:val="-1"/>
        </w:rPr>
        <w:t>+</w:t>
      </w:r>
      <w:r>
        <w:rPr>
          <w:spacing w:val="-1"/>
        </w:rPr>
        <w:t>机器人）、中鼎股份（空气悬架）、保隆科技（空</w:t>
      </w:r>
      <w:r>
        <w:t xml:space="preserve">  </w:t>
      </w:r>
      <w:r>
        <w:rPr>
          <w:spacing w:val="-4"/>
        </w:rPr>
        <w:t>气弹簧）、三花智控（机器人执行器总成）、北特科技</w:t>
      </w:r>
      <w:r>
        <w:rPr>
          <w:spacing w:val="-5"/>
        </w:rPr>
        <w:t>（底盘</w:t>
      </w:r>
      <w:r>
        <w:rPr>
          <w:rFonts w:ascii="Tahoma" w:eastAsia="Tahoma" w:hAnsi="Tahoma" w:cs="Tahoma"/>
          <w:spacing w:val="-5"/>
        </w:rPr>
        <w:t>+</w:t>
      </w:r>
      <w:r>
        <w:rPr>
          <w:spacing w:val="-5"/>
        </w:rPr>
        <w:t>滚柱丝杠）。</w:t>
      </w:r>
    </w:p>
    <w:p>
      <w:pPr>
        <w:pStyle w:val="BodyText"/>
        <w:spacing w:before="226" w:line="263" w:lineRule="auto"/>
        <w:ind w:left="515" w:right="3948" w:hanging="435"/>
      </w:pPr>
      <w:r>
        <w:rPr>
          <w:rFonts w:ascii="Wingdings" w:eastAsia="Wingdings" w:hAnsi="Wingdings" w:cs="Wingdings"/>
          <w:color w:val="004098"/>
          <w:spacing w:val="2"/>
        </w:rPr>
        <w:t>.</w:t>
      </w:r>
      <w:r>
        <w:rPr>
          <w:rFonts w:ascii="Wingdings" w:eastAsia="Wingdings" w:hAnsi="Wingdings" w:cs="Wingdings"/>
          <w:color w:val="004098"/>
          <w:spacing w:val="108"/>
        </w:rPr>
        <w:t xml:space="preserve"> </w:t>
      </w:r>
      <w:r>
        <w:rPr>
          <w:color w:val="004098"/>
          <w:spacing w:val="2"/>
          <w14:textOutline w14:w="3537">
            <w14:solidFill>
              <w14:srgbClr w14:val="004098"/>
            </w14:solidFill>
            <w14:prstDash w14:val="solid"/>
            <w14:miter w14:lim="10"/>
          </w14:textOutline>
        </w:rPr>
        <w:t>风险提示：</w:t>
      </w:r>
      <w:r>
        <w:rPr>
          <w:color w:val="004098"/>
          <w:spacing w:val="2"/>
        </w:rPr>
        <w:t xml:space="preserve"> </w:t>
      </w:r>
      <w:r>
        <w:rPr>
          <w:color w:val="C00000"/>
          <w:spacing w:val="2"/>
        </w:rPr>
        <w:t>新能源车销量不及预期、汽车智能化进程不及预期、宏观经</w:t>
      </w:r>
      <w:r>
        <w:rPr>
          <w:color w:val="C00000"/>
        </w:rPr>
        <w:t xml:space="preserve"> </w:t>
      </w:r>
      <w:r>
        <w:rPr>
          <w:color w:val="C00000"/>
          <w:spacing w:val="11"/>
        </w:rPr>
        <w:t>济恢复不及预期、上游原材料价格大幅上涨</w:t>
      </w:r>
    </w:p>
    <w:p>
      <w:pPr>
        <w:spacing w:line="263" w:lineRule="auto"/>
        <w:sectPr>
          <w:headerReference w:type="default" r:id="rId11"/>
          <w:footerReference w:type="default" r:id="rId12"/>
          <w:pgSz w:w="11910" w:h="16845"/>
          <w:pgMar w:top="885" w:right="645" w:bottom="840" w:left="612" w:header="386" w:footer="542" w:gutter="0"/>
          <w:pgNumType w:start="4"/>
          <w:cols w:space="708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91" w:line="222" w:lineRule="auto"/>
        <w:ind w:left="115"/>
        <w:rPr>
          <w:sz w:val="28"/>
          <w:szCs w:val="28"/>
        </w:rPr>
      </w:pPr>
      <w:r>
        <w:rPr>
          <w:color w:val="004098"/>
          <w:sz w:val="28"/>
          <w:szCs w:val="28"/>
          <w14:textOutline w14:w="5179">
            <w14:solidFill>
              <w14:srgbClr w14:val="004098"/>
            </w14:solidFill>
            <w14:prstDash w14:val="solid"/>
            <w14:miter w14:lim="10"/>
          </w14:textOutline>
        </w:rPr>
        <w:t>内容目录</w:t>
      </w:r>
    </w:p>
    <w:sdt>
      <w:sdtPr>
        <w:rPr>
          <w:rFonts w:ascii="Arial" w:eastAsia="Arial" w:hAnsi="Arial" w:cs="Arial"/>
          <w:sz w:val="21"/>
          <w:szCs w:val="21"/>
        </w:rPr>
        <w:id w:val="824115747"/>
        <w:docPartObj>
          <w:docPartGallery w:val="Table of Contents"/>
          <w:docPartUnique/>
        </w:docPartObj>
      </w:sdtPr>
      <w:sdtEndPr>
        <w:rPr>
          <w:rFonts w:ascii="Tahoma" w:eastAsia="Tahoma" w:hAnsi="Tahoma" w:cs="Tahoma"/>
          <w:sz w:val="21"/>
          <w:szCs w:val="21"/>
        </w:rPr>
      </w:sdtEndPr>
      <w:sdtContent>
        <w:p>
          <w:pPr>
            <w:pStyle w:val="BodyText"/>
            <w:tabs>
              <w:tab w:val="right" w:leader="dot" w:pos="10600"/>
            </w:tabs>
            <w:spacing w:before="299" w:line="215" w:lineRule="auto"/>
            <w:ind w:left="87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2"/>
              <w:sz w:val="21"/>
              <w:szCs w:val="21"/>
            </w:rPr>
            <w:t>1.</w:t>
          </w:r>
          <w:r>
            <w:rPr>
              <w:rFonts w:ascii="Tahoma" w:eastAsia="Tahoma" w:hAnsi="Tahoma" w:cs="Tahoma"/>
              <w:spacing w:val="21"/>
              <w:sz w:val="21"/>
              <w:szCs w:val="21"/>
            </w:rPr>
            <w:t xml:space="preserve">   </w:t>
          </w:r>
          <w:r>
            <w:rPr>
              <w:spacing w:val="-2"/>
              <w:sz w:val="21"/>
              <w:szCs w:val="21"/>
            </w:rPr>
            <w:t>回顾：汽车市场竞争加剧，板块表现优于市场整体</w:t>
          </w:r>
          <w:r>
            <w:rPr>
              <w:spacing w:val="-89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49"/>
              <w:sz w:val="21"/>
              <w:szCs w:val="21"/>
            </w:rPr>
            <w:t xml:space="preserve"> </w:t>
          </w:r>
          <w:hyperlink w:anchor="bookmark1" w:history="1">
            <w:r>
              <w:rPr>
                <w:rFonts w:ascii="Tahoma" w:eastAsia="Tahoma" w:hAnsi="Tahoma" w:cs="Tahoma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9" w:line="216" w:lineRule="auto"/>
            <w:ind w:left="507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4"/>
              <w:sz w:val="21"/>
              <w:szCs w:val="21"/>
            </w:rPr>
            <w:t xml:space="preserve">1.1        </w:t>
          </w:r>
          <w:r>
            <w:rPr>
              <w:spacing w:val="-4"/>
              <w:sz w:val="21"/>
              <w:szCs w:val="21"/>
            </w:rPr>
            <w:t>行情回顾：</w:t>
          </w:r>
          <w:r>
            <w:rPr>
              <w:spacing w:val="33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4"/>
              <w:sz w:val="21"/>
              <w:szCs w:val="21"/>
            </w:rPr>
            <w:t xml:space="preserve">2023 </w:t>
          </w:r>
          <w:r>
            <w:rPr>
              <w:spacing w:val="-4"/>
              <w:sz w:val="21"/>
              <w:szCs w:val="21"/>
            </w:rPr>
            <w:t>全年汽车板块上涨</w:t>
          </w:r>
          <w:r>
            <w:rPr>
              <w:spacing w:val="-51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4"/>
              <w:sz w:val="21"/>
              <w:szCs w:val="21"/>
            </w:rPr>
            <w:t>3.</w:t>
          </w:r>
          <w:r>
            <w:rPr>
              <w:rFonts w:ascii="Tahoma" w:eastAsia="Tahoma" w:hAnsi="Tahoma" w:cs="Tahoma"/>
              <w:spacing w:val="-5"/>
              <w:sz w:val="21"/>
              <w:szCs w:val="21"/>
            </w:rPr>
            <w:t>3%</w:t>
          </w:r>
          <w:r>
            <w:rPr>
              <w:spacing w:val="-5"/>
              <w:sz w:val="21"/>
              <w:szCs w:val="21"/>
            </w:rPr>
            <w:t>，跑赢沪深</w:t>
          </w:r>
          <w:r>
            <w:rPr>
              <w:spacing w:val="-36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5"/>
              <w:sz w:val="21"/>
              <w:szCs w:val="21"/>
            </w:rPr>
            <w:t>300</w:t>
          </w:r>
          <w:r>
            <w:rPr>
              <w:rFonts w:ascii="Tahoma" w:eastAsia="Tahoma" w:hAnsi="Tahoma" w:cs="Tahoma"/>
              <w:spacing w:val="11"/>
              <w:sz w:val="21"/>
              <w:szCs w:val="21"/>
            </w:rPr>
            <w:t xml:space="preserve"> </w:t>
          </w:r>
          <w:r>
            <w:rPr>
              <w:spacing w:val="-5"/>
              <w:sz w:val="21"/>
              <w:szCs w:val="21"/>
            </w:rPr>
            <w:t>指数</w:t>
          </w:r>
          <w:r>
            <w:rPr>
              <w:spacing w:val="-22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5"/>
              <w:sz w:val="21"/>
              <w:szCs w:val="21"/>
            </w:rPr>
            <w:t>14.7%</w:t>
          </w:r>
          <w:r>
            <w:rPr>
              <w:rFonts w:ascii="Tahoma" w:eastAsia="Tahoma" w:hAnsi="Tahoma" w:cs="Tahoma"/>
              <w:spacing w:val="-25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z w:val="21"/>
              <w:szCs w:val="21"/>
            </w:rPr>
            <w:tab/>
          </w:r>
          <w:r>
            <w:rPr>
              <w:rFonts w:ascii="Tahoma" w:eastAsia="Tahoma" w:hAnsi="Tahoma" w:cs="Tahoma"/>
              <w:spacing w:val="-10"/>
              <w:sz w:val="21"/>
              <w:szCs w:val="21"/>
            </w:rPr>
            <w:t xml:space="preserve"> </w:t>
          </w:r>
          <w:hyperlink w:anchor="bookmark2" w:history="1">
            <w:r>
              <w:rPr>
                <w:rFonts w:ascii="Tahoma" w:eastAsia="Tahoma" w:hAnsi="Tahoma" w:cs="Tahoma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0" w:line="215" w:lineRule="auto"/>
            <w:ind w:left="75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1"/>
              <w:sz w:val="21"/>
              <w:szCs w:val="21"/>
            </w:rPr>
            <w:t xml:space="preserve">2.   </w:t>
          </w:r>
          <w:r>
            <w:rPr>
              <w:spacing w:val="1"/>
              <w:sz w:val="21"/>
              <w:szCs w:val="21"/>
            </w:rPr>
            <w:t>乘用车：预计车市增长稳健，关注出海增量及新车投放</w:t>
          </w:r>
          <w:r>
            <w:rPr>
              <w:spacing w:val="-9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4"/>
              <w:sz w:val="21"/>
              <w:szCs w:val="21"/>
            </w:rPr>
            <w:t xml:space="preserve"> </w:t>
          </w:r>
          <w:hyperlink w:anchor="bookmark3" w:history="1">
            <w:r>
              <w:rPr>
                <w:rFonts w:ascii="Tahoma" w:eastAsia="Tahoma" w:hAnsi="Tahoma" w:cs="Tahoma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25" w:line="216" w:lineRule="auto"/>
            <w:ind w:left="495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1"/>
              <w:sz w:val="21"/>
              <w:szCs w:val="21"/>
            </w:rPr>
            <w:t xml:space="preserve">2.1        </w:t>
          </w:r>
          <w:r>
            <w:rPr>
              <w:spacing w:val="1"/>
              <w:sz w:val="21"/>
              <w:szCs w:val="21"/>
            </w:rPr>
            <w:t>市场格局：需求有韧性，</w:t>
          </w:r>
          <w:r>
            <w:rPr>
              <w:sz w:val="21"/>
              <w:szCs w:val="21"/>
            </w:rPr>
            <w:t>自主电动智能化重塑行业格局</w:t>
          </w:r>
          <w:r>
            <w:rPr>
              <w:spacing w:val="-4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5"/>
              <w:sz w:val="21"/>
              <w:szCs w:val="21"/>
            </w:rPr>
            <w:t xml:space="preserve"> </w:t>
          </w:r>
          <w:hyperlink w:anchor="bookmark4" w:history="1">
            <w:r>
              <w:rPr>
                <w:rFonts w:ascii="Tahoma" w:eastAsia="Tahoma" w:hAnsi="Tahoma" w:cs="Tahoma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0" w:line="215" w:lineRule="auto"/>
            <w:ind w:left="916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4"/>
              <w:sz w:val="21"/>
              <w:szCs w:val="21"/>
            </w:rPr>
            <w:t xml:space="preserve">2.1.1  </w:t>
          </w:r>
          <w:r>
            <w:rPr>
              <w:spacing w:val="-4"/>
              <w:sz w:val="21"/>
              <w:szCs w:val="21"/>
            </w:rPr>
            <w:t>总量：</w:t>
          </w:r>
          <w:r>
            <w:rPr>
              <w:spacing w:val="-4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4"/>
              <w:sz w:val="21"/>
              <w:szCs w:val="21"/>
            </w:rPr>
            <w:t xml:space="preserve">2023 </w:t>
          </w:r>
          <w:r>
            <w:rPr>
              <w:spacing w:val="-4"/>
              <w:sz w:val="21"/>
              <w:szCs w:val="21"/>
            </w:rPr>
            <w:t>年需求复苏，乘用车回归内生驱动</w:t>
          </w:r>
          <w:r>
            <w:rPr>
              <w:spacing w:val="-7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4"/>
              <w:sz w:val="21"/>
              <w:szCs w:val="21"/>
            </w:rPr>
            <w:t xml:space="preserve"> </w:t>
          </w:r>
          <w:hyperlink w:anchor="bookmark5" w:history="1">
            <w:r>
              <w:rPr>
                <w:rFonts w:ascii="Tahoma" w:eastAsia="Tahoma" w:hAnsi="Tahoma" w:cs="Tahoma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1" w:line="215" w:lineRule="auto"/>
            <w:ind w:left="916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z w:val="21"/>
              <w:szCs w:val="21"/>
            </w:rPr>
            <w:t>2.1.2</w:t>
          </w:r>
          <w:r>
            <w:rPr>
              <w:rFonts w:ascii="Tahoma" w:eastAsia="Tahoma" w:hAnsi="Tahoma" w:cs="Tahoma"/>
              <w:spacing w:val="5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>价格：长期看车市结构升级推动均价上行，中短期关注定价中</w:t>
          </w:r>
          <w:r>
            <w:rPr>
              <w:spacing w:val="-1"/>
              <w:sz w:val="21"/>
              <w:szCs w:val="21"/>
            </w:rPr>
            <w:t>枢下沉</w:t>
          </w:r>
          <w:r>
            <w:rPr>
              <w:spacing w:val="-9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5"/>
              <w:sz w:val="21"/>
              <w:szCs w:val="21"/>
            </w:rPr>
            <w:t xml:space="preserve"> </w:t>
          </w:r>
          <w:hyperlink w:anchor="bookmark6" w:history="1">
            <w:r>
              <w:rPr>
                <w:rFonts w:ascii="Tahoma" w:eastAsia="Tahoma" w:hAnsi="Tahoma" w:cs="Tahoma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25" w:line="215" w:lineRule="auto"/>
            <w:ind w:left="916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3"/>
              <w:sz w:val="21"/>
              <w:szCs w:val="21"/>
            </w:rPr>
            <w:t>2.1.3</w:t>
          </w:r>
          <w:r>
            <w:rPr>
              <w:rFonts w:ascii="Tahoma" w:eastAsia="Tahoma" w:hAnsi="Tahoma" w:cs="Tahoma"/>
              <w:spacing w:val="57"/>
              <w:sz w:val="21"/>
              <w:szCs w:val="21"/>
            </w:rPr>
            <w:t xml:space="preserve"> </w:t>
          </w:r>
          <w:r>
            <w:rPr>
              <w:spacing w:val="-3"/>
              <w:sz w:val="21"/>
              <w:szCs w:val="21"/>
            </w:rPr>
            <w:t>新车：</w:t>
          </w:r>
          <w:r>
            <w:rPr>
              <w:spacing w:val="-3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3"/>
              <w:sz w:val="21"/>
              <w:szCs w:val="21"/>
            </w:rPr>
            <w:t xml:space="preserve">2024 </w:t>
          </w:r>
          <w:r>
            <w:rPr>
              <w:spacing w:val="-3"/>
              <w:sz w:val="21"/>
              <w:szCs w:val="21"/>
            </w:rPr>
            <w:t>年新车市场百舸争</w:t>
          </w:r>
          <w:r>
            <w:rPr>
              <w:spacing w:val="-4"/>
              <w:sz w:val="21"/>
              <w:szCs w:val="21"/>
            </w:rPr>
            <w:t>流，总量之外关注潜力市场</w:t>
          </w:r>
          <w:r>
            <w:rPr>
              <w:sz w:val="21"/>
              <w:szCs w:val="21"/>
            </w:rPr>
            <w:tab/>
          </w:r>
          <w:r>
            <w:rPr>
              <w:spacing w:val="-38"/>
              <w:sz w:val="21"/>
              <w:szCs w:val="21"/>
            </w:rPr>
            <w:t xml:space="preserve"> </w:t>
          </w:r>
          <w:hyperlink w:anchor="bookmark7" w:history="1">
            <w:r>
              <w:rPr>
                <w:rFonts w:ascii="Tahoma" w:eastAsia="Tahoma" w:hAnsi="Tahoma" w:cs="Tahoma"/>
                <w:spacing w:val="-5"/>
                <w:sz w:val="21"/>
                <w:szCs w:val="21"/>
              </w:rPr>
              <w:t>11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0" w:line="215" w:lineRule="auto"/>
            <w:ind w:left="495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1"/>
              <w:sz w:val="21"/>
              <w:szCs w:val="21"/>
            </w:rPr>
            <w:t>2.2</w:t>
          </w:r>
          <w:r>
            <w:rPr>
              <w:rFonts w:ascii="Tahoma" w:eastAsia="Tahoma" w:hAnsi="Tahoma" w:cs="Tahoma"/>
              <w:spacing w:val="7"/>
              <w:sz w:val="21"/>
              <w:szCs w:val="21"/>
            </w:rPr>
            <w:t xml:space="preserve">        </w:t>
          </w:r>
          <w:r>
            <w:rPr>
              <w:spacing w:val="-1"/>
              <w:sz w:val="21"/>
              <w:szCs w:val="21"/>
            </w:rPr>
            <w:t>出口展望：自主车企加速全球化布局，把握出海量价齐</w:t>
          </w:r>
          <w:r>
            <w:rPr>
              <w:spacing w:val="-2"/>
              <w:sz w:val="21"/>
              <w:szCs w:val="21"/>
            </w:rPr>
            <w:t>升机遇</w:t>
          </w:r>
          <w:r>
            <w:rPr>
              <w:spacing w:val="-7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38"/>
              <w:sz w:val="21"/>
              <w:szCs w:val="21"/>
            </w:rPr>
            <w:t xml:space="preserve"> </w:t>
          </w:r>
          <w:hyperlink w:anchor="bookmark8" w:history="1">
            <w:r>
              <w:rPr>
                <w:rFonts w:ascii="Tahoma" w:eastAsia="Tahoma" w:hAnsi="Tahoma" w:cs="Tahoma"/>
                <w:spacing w:val="-5"/>
                <w:sz w:val="21"/>
                <w:szCs w:val="21"/>
              </w:rPr>
              <w:t>15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1" w:line="218" w:lineRule="auto"/>
            <w:ind w:left="495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z w:val="21"/>
              <w:szCs w:val="21"/>
            </w:rPr>
            <w:t xml:space="preserve">2.3        2024 </w:t>
          </w:r>
          <w:r>
            <w:rPr>
              <w:sz w:val="21"/>
              <w:szCs w:val="21"/>
            </w:rPr>
            <w:t>年预测：预计基准销量同比</w:t>
          </w:r>
          <w:r>
            <w:rPr>
              <w:rFonts w:ascii="Tahoma" w:eastAsia="Tahoma" w:hAnsi="Tahoma" w:cs="Tahoma"/>
              <w:sz w:val="21"/>
              <w:szCs w:val="21"/>
            </w:rPr>
            <w:t>+4.1%</w:t>
          </w:r>
          <w:r>
            <w:rPr>
              <w:sz w:val="21"/>
              <w:szCs w:val="21"/>
            </w:rPr>
            <w:t>，乐观情境下有望达同比</w:t>
          </w:r>
          <w:r>
            <w:rPr>
              <w:rFonts w:ascii="Tahoma" w:eastAsia="Tahoma" w:hAnsi="Tahoma" w:cs="Tahoma"/>
              <w:sz w:val="21"/>
              <w:szCs w:val="21"/>
            </w:rPr>
            <w:t>+5.6%</w:t>
          </w:r>
          <w:r>
            <w:rPr>
              <w:rFonts w:ascii="Tahoma" w:eastAsia="Tahoma" w:hAnsi="Tahoma" w:cs="Tahoma"/>
              <w:spacing w:val="-38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z w:val="21"/>
              <w:szCs w:val="21"/>
            </w:rPr>
            <w:tab/>
          </w:r>
          <w:r>
            <w:rPr>
              <w:rFonts w:ascii="Tahoma" w:eastAsia="Tahoma" w:hAnsi="Tahoma" w:cs="Tahoma"/>
              <w:spacing w:val="-1"/>
              <w:sz w:val="21"/>
              <w:szCs w:val="21"/>
            </w:rPr>
            <w:t xml:space="preserve"> </w:t>
          </w:r>
          <w:hyperlink w:anchor="bookmark9" w:history="1">
            <w:r>
              <w:rPr>
                <w:rFonts w:ascii="Tahoma" w:eastAsia="Tahoma" w:hAnsi="Tahoma" w:cs="Tahoma"/>
                <w:spacing w:val="-5"/>
                <w:sz w:val="21"/>
                <w:szCs w:val="21"/>
              </w:rPr>
              <w:t>18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23" w:line="217" w:lineRule="auto"/>
            <w:ind w:left="73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1"/>
              <w:sz w:val="21"/>
              <w:szCs w:val="21"/>
            </w:rPr>
            <w:t xml:space="preserve">3.   </w:t>
          </w:r>
          <w:r>
            <w:rPr>
              <w:spacing w:val="1"/>
              <w:sz w:val="21"/>
              <w:szCs w:val="21"/>
            </w:rPr>
            <w:t>零部件：聚焦新赛道，把握智能电动新机遇</w:t>
          </w:r>
          <w:r>
            <w:rPr>
              <w:spacing w:val="-5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40"/>
              <w:sz w:val="21"/>
              <w:szCs w:val="21"/>
            </w:rPr>
            <w:t xml:space="preserve"> </w:t>
          </w:r>
          <w:hyperlink w:anchor="bookmark10" w:history="1">
            <w:r>
              <w:rPr>
                <w:rFonts w:ascii="Tahoma" w:eastAsia="Tahoma" w:hAnsi="Tahoma" w:cs="Tahoma"/>
                <w:spacing w:val="-5"/>
                <w:sz w:val="21"/>
                <w:szCs w:val="21"/>
              </w:rPr>
              <w:t>19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8" w:line="215" w:lineRule="auto"/>
            <w:ind w:left="49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1"/>
              <w:sz w:val="21"/>
              <w:szCs w:val="21"/>
            </w:rPr>
            <w:t xml:space="preserve">3.1        </w:t>
          </w:r>
          <w:r>
            <w:rPr>
              <w:spacing w:val="1"/>
              <w:sz w:val="21"/>
              <w:szCs w:val="21"/>
            </w:rPr>
            <w:t>智能车载光：以光为引</w:t>
          </w:r>
          <w:r>
            <w:rPr>
              <w:sz w:val="21"/>
              <w:szCs w:val="21"/>
            </w:rPr>
            <w:t>，开启车载投影新时代</w:t>
          </w:r>
          <w:r>
            <w:rPr>
              <w:spacing w:val="-4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1"/>
              <w:sz w:val="21"/>
              <w:szCs w:val="21"/>
            </w:rPr>
            <w:t xml:space="preserve"> </w:t>
          </w:r>
          <w:hyperlink w:anchor="bookmark11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20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1" w:line="217" w:lineRule="auto"/>
            <w:ind w:left="91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6"/>
              <w:sz w:val="21"/>
              <w:szCs w:val="21"/>
            </w:rPr>
            <w:t>3.1.1 AR-HUD</w:t>
          </w:r>
          <w:r>
            <w:rPr>
              <w:spacing w:val="-6"/>
              <w:sz w:val="21"/>
              <w:szCs w:val="21"/>
            </w:rPr>
            <w:t>：预计</w:t>
          </w:r>
          <w:r>
            <w:rPr>
              <w:spacing w:val="-6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6"/>
              <w:sz w:val="21"/>
              <w:szCs w:val="21"/>
            </w:rPr>
            <w:t xml:space="preserve">2024 </w:t>
          </w:r>
          <w:r>
            <w:rPr>
              <w:spacing w:val="-6"/>
              <w:sz w:val="21"/>
              <w:szCs w:val="21"/>
            </w:rPr>
            <w:t>年将迎来大规模商用，</w:t>
          </w:r>
          <w:r>
            <w:rPr>
              <w:spacing w:val="80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6"/>
              <w:sz w:val="21"/>
              <w:szCs w:val="21"/>
            </w:rPr>
            <w:t xml:space="preserve">LCoS </w:t>
          </w:r>
          <w:r>
            <w:rPr>
              <w:spacing w:val="-6"/>
              <w:sz w:val="21"/>
              <w:szCs w:val="21"/>
            </w:rPr>
            <w:t>方案逐步进入市场</w:t>
          </w:r>
          <w:r>
            <w:rPr>
              <w:sz w:val="21"/>
              <w:szCs w:val="21"/>
            </w:rPr>
            <w:tab/>
          </w:r>
          <w:r>
            <w:rPr>
              <w:spacing w:val="-51"/>
              <w:sz w:val="21"/>
              <w:szCs w:val="21"/>
            </w:rPr>
            <w:t xml:space="preserve"> </w:t>
          </w:r>
          <w:hyperlink w:anchor="bookmark12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21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23" w:line="215" w:lineRule="auto"/>
            <w:ind w:left="91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z w:val="21"/>
              <w:szCs w:val="21"/>
            </w:rPr>
            <w:t>3.1.2</w:t>
          </w:r>
          <w:r>
            <w:rPr>
              <w:rFonts w:ascii="Tahoma" w:eastAsia="Tahoma" w:hAnsi="Tahoma" w:cs="Tahoma"/>
              <w:spacing w:val="53"/>
              <w:w w:val="10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>智能车灯：光源及成像方案主导升级方向，关注华为对产业链带动作用</w:t>
          </w:r>
          <w:r>
            <w:rPr>
              <w:spacing w:val="-6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2"/>
              <w:sz w:val="21"/>
              <w:szCs w:val="21"/>
            </w:rPr>
            <w:t xml:space="preserve"> </w:t>
          </w:r>
          <w:hyperlink w:anchor="bookmark13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26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0" w:line="216" w:lineRule="auto"/>
            <w:ind w:left="49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1"/>
              <w:sz w:val="21"/>
              <w:szCs w:val="21"/>
            </w:rPr>
            <w:t xml:space="preserve">3.2        </w:t>
          </w:r>
          <w:r>
            <w:rPr>
              <w:spacing w:val="1"/>
              <w:sz w:val="21"/>
              <w:szCs w:val="21"/>
            </w:rPr>
            <w:t>智能底盘：华为发布途灵智能底</w:t>
          </w:r>
          <w:r>
            <w:rPr>
              <w:sz w:val="21"/>
              <w:szCs w:val="21"/>
            </w:rPr>
            <w:t>盘，底盘技术升级赋能高阶智驾</w:t>
          </w:r>
          <w:r>
            <w:rPr>
              <w:spacing w:val="-4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1"/>
              <w:sz w:val="21"/>
              <w:szCs w:val="21"/>
            </w:rPr>
            <w:t xml:space="preserve"> </w:t>
          </w:r>
          <w:hyperlink w:anchor="bookmark14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29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0" w:line="217" w:lineRule="auto"/>
            <w:ind w:left="91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1"/>
              <w:sz w:val="21"/>
              <w:szCs w:val="21"/>
            </w:rPr>
            <w:t xml:space="preserve">3.2.1  </w:t>
          </w:r>
          <w:r>
            <w:rPr>
              <w:spacing w:val="-1"/>
              <w:sz w:val="21"/>
              <w:szCs w:val="21"/>
            </w:rPr>
            <w:t>线控制动：自动驾驶执行层技术高地，本土力量进一步发力</w:t>
          </w:r>
          <w:r>
            <w:rPr>
              <w:spacing w:val="-7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1"/>
              <w:sz w:val="21"/>
              <w:szCs w:val="21"/>
            </w:rPr>
            <w:t xml:space="preserve"> </w:t>
          </w:r>
          <w:hyperlink w:anchor="bookmark15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30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23" w:line="216" w:lineRule="auto"/>
            <w:ind w:left="91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z w:val="21"/>
              <w:szCs w:val="21"/>
            </w:rPr>
            <w:t xml:space="preserve">3.2.2  </w:t>
          </w:r>
          <w:r>
            <w:rPr>
              <w:sz w:val="21"/>
              <w:szCs w:val="21"/>
            </w:rPr>
            <w:t>空气悬架：成本下行拓宽装</w:t>
          </w:r>
          <w:r>
            <w:rPr>
              <w:spacing w:val="-1"/>
              <w:sz w:val="21"/>
              <w:szCs w:val="21"/>
            </w:rPr>
            <w:t>机需求，电动智能带来绝佳适配性</w:t>
          </w:r>
          <w:r>
            <w:rPr>
              <w:spacing w:val="-6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2"/>
              <w:sz w:val="21"/>
              <w:szCs w:val="21"/>
            </w:rPr>
            <w:t xml:space="preserve"> </w:t>
          </w:r>
          <w:hyperlink w:anchor="bookmark16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34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10" w:line="218" w:lineRule="auto"/>
            <w:ind w:left="494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4"/>
              <w:sz w:val="21"/>
              <w:szCs w:val="21"/>
            </w:rPr>
            <w:t xml:space="preserve">3.3        </w:t>
          </w:r>
          <w:r>
            <w:rPr>
              <w:spacing w:val="-4"/>
              <w:sz w:val="21"/>
              <w:szCs w:val="21"/>
            </w:rPr>
            <w:t>机器人：产业化进程加速</w:t>
          </w:r>
          <w:r>
            <w:rPr>
              <w:spacing w:val="-5"/>
              <w:sz w:val="21"/>
              <w:szCs w:val="21"/>
            </w:rPr>
            <w:t>，</w:t>
          </w:r>
          <w:r>
            <w:rPr>
              <w:spacing w:val="56"/>
              <w:sz w:val="21"/>
              <w:szCs w:val="21"/>
            </w:rPr>
            <w:t xml:space="preserve"> </w:t>
          </w:r>
          <w:r>
            <w:rPr>
              <w:rFonts w:ascii="Tahoma" w:eastAsia="Tahoma" w:hAnsi="Tahoma" w:cs="Tahoma"/>
              <w:spacing w:val="-5"/>
              <w:sz w:val="21"/>
              <w:szCs w:val="21"/>
            </w:rPr>
            <w:t>25</w:t>
          </w:r>
          <w:r>
            <w:rPr>
              <w:rFonts w:ascii="Tahoma" w:eastAsia="Tahoma" w:hAnsi="Tahoma" w:cs="Tahoma"/>
              <w:spacing w:val="11"/>
              <w:sz w:val="21"/>
              <w:szCs w:val="21"/>
            </w:rPr>
            <w:t xml:space="preserve"> </w:t>
          </w:r>
          <w:r>
            <w:rPr>
              <w:spacing w:val="-5"/>
              <w:sz w:val="21"/>
              <w:szCs w:val="21"/>
            </w:rPr>
            <w:t>年有望成为量产元年</w:t>
          </w:r>
          <w:r>
            <w:rPr>
              <w:spacing w:val="-7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3"/>
              <w:sz w:val="21"/>
              <w:szCs w:val="21"/>
            </w:rPr>
            <w:t xml:space="preserve"> </w:t>
          </w:r>
          <w:hyperlink w:anchor="bookmark17" w:history="1">
            <w:r>
              <w:rPr>
                <w:rFonts w:ascii="Tahoma" w:eastAsia="Tahoma" w:hAnsi="Tahoma" w:cs="Tahoma"/>
                <w:spacing w:val="-2"/>
                <w:sz w:val="21"/>
                <w:szCs w:val="21"/>
              </w:rPr>
              <w:t>36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7" w:line="220" w:lineRule="auto"/>
            <w:ind w:left="68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2"/>
              <w:sz w:val="21"/>
              <w:szCs w:val="21"/>
            </w:rPr>
            <w:t>4.</w:t>
          </w:r>
          <w:r>
            <w:rPr>
              <w:rFonts w:ascii="Tahoma" w:eastAsia="Tahoma" w:hAnsi="Tahoma" w:cs="Tahoma"/>
              <w:spacing w:val="12"/>
              <w:sz w:val="21"/>
              <w:szCs w:val="21"/>
            </w:rPr>
            <w:t xml:space="preserve">   </w:t>
          </w:r>
          <w:r>
            <w:rPr>
              <w:spacing w:val="-2"/>
              <w:sz w:val="21"/>
              <w:szCs w:val="21"/>
            </w:rPr>
            <w:t>投资建议</w:t>
          </w:r>
          <w:r>
            <w:rPr>
              <w:spacing w:val="-8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8"/>
              <w:sz w:val="21"/>
              <w:szCs w:val="21"/>
            </w:rPr>
            <w:t xml:space="preserve"> </w:t>
          </w:r>
          <w:hyperlink w:anchor="bookmark18" w:history="1">
            <w:r>
              <w:rPr>
                <w:rFonts w:ascii="Tahoma" w:eastAsia="Tahoma" w:hAnsi="Tahoma" w:cs="Tahoma"/>
                <w:sz w:val="21"/>
                <w:szCs w:val="21"/>
              </w:rPr>
              <w:t>40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20" w:line="220" w:lineRule="auto"/>
            <w:ind w:left="76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ahoma" w:eastAsia="Tahoma" w:hAnsi="Tahoma" w:cs="Tahoma"/>
              <w:spacing w:val="-3"/>
              <w:sz w:val="21"/>
              <w:szCs w:val="21"/>
            </w:rPr>
            <w:t>5.</w:t>
          </w:r>
          <w:r>
            <w:rPr>
              <w:rFonts w:ascii="Tahoma" w:eastAsia="Tahoma" w:hAnsi="Tahoma" w:cs="Tahoma"/>
              <w:spacing w:val="12"/>
              <w:sz w:val="21"/>
              <w:szCs w:val="21"/>
            </w:rPr>
            <w:t xml:space="preserve">   </w:t>
          </w:r>
          <w:r>
            <w:rPr>
              <w:spacing w:val="-3"/>
              <w:sz w:val="21"/>
              <w:szCs w:val="21"/>
            </w:rPr>
            <w:t>风险提示</w:t>
          </w:r>
          <w:r>
            <w:rPr>
              <w:spacing w:val="-8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8"/>
              <w:sz w:val="21"/>
              <w:szCs w:val="21"/>
            </w:rPr>
            <w:t xml:space="preserve"> </w:t>
          </w:r>
          <w:hyperlink w:anchor="bookmark19" w:history="1">
            <w:r>
              <w:rPr>
                <w:rFonts w:ascii="Tahoma" w:eastAsia="Tahoma" w:hAnsi="Tahoma" w:cs="Tahoma"/>
                <w:sz w:val="21"/>
                <w:szCs w:val="21"/>
              </w:rPr>
              <w:t>40</w:t>
            </w:r>
          </w:hyperlink>
        </w:p>
      </w:sdtContent>
    </w:sdt>
    <w:p>
      <w:pPr>
        <w:spacing w:line="313" w:lineRule="auto"/>
        <w:rPr>
          <w:rFonts w:ascii="Arial"/>
          <w:sz w:val="21"/>
        </w:rPr>
      </w:pPr>
    </w:p>
    <w:sdt>
      <w:sdtPr>
        <w:rPr>
          <w:rFonts w:ascii="FangSong" w:eastAsia="FangSong" w:hAnsi="FangSong" w:cs="FangSong"/>
          <w:sz w:val="28"/>
          <w:szCs w:val="28"/>
        </w:rPr>
        <w:id w:val="288440480"/>
        <w:docPartObj>
          <w:docPartGallery w:val="Table of Contents"/>
          <w:docPartUnique/>
        </w:docPartObj>
      </w:sdtPr>
      <w:sdtEndPr>
        <w:rPr>
          <w:rFonts w:ascii="Tahoma" w:eastAsia="Tahoma" w:hAnsi="Tahoma" w:cs="Tahoma"/>
          <w:sz w:val="22"/>
          <w:szCs w:val="22"/>
        </w:rPr>
      </w:sdtEndPr>
      <w:sdtContent>
        <w:p>
          <w:pPr>
            <w:pStyle w:val="BodyText"/>
            <w:spacing w:before="92" w:line="222" w:lineRule="auto"/>
            <w:ind w:left="108"/>
            <w:rPr>
              <w:sz w:val="28"/>
              <w:szCs w:val="28"/>
            </w:rPr>
          </w:pPr>
          <w:r>
            <w:rPr>
              <w:color w:val="004098"/>
              <w:spacing w:val="1"/>
              <w:sz w:val="28"/>
              <w:szCs w:val="28"/>
              <w14:textOutline w14:w="5179">
                <w14:solidFill>
                  <w14:srgbClr w14:val="004098"/>
                </w14:solidFill>
                <w14:prstDash w14:val="solid"/>
                <w14:miter w14:lim="10"/>
              </w14:textOutline>
            </w:rPr>
            <w:t>图表目录</w:t>
          </w:r>
        </w:p>
        <w:p>
          <w:pPr>
            <w:pStyle w:val="BodyText"/>
            <w:tabs>
              <w:tab w:val="right" w:leader="dot" w:pos="10651"/>
            </w:tabs>
            <w:spacing w:before="297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1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2023</w:t>
          </w:r>
          <w:r>
            <w:rPr>
              <w:i/>
              <w:iCs/>
              <w:spacing w:val="-2"/>
              <w:sz w:val="22"/>
              <w:szCs w:val="22"/>
            </w:rPr>
            <w:t>年至今汽车板块行情及乘用车批零走势</w:t>
          </w:r>
          <w:r>
            <w:rPr>
              <w:sz w:val="22"/>
              <w:szCs w:val="22"/>
            </w:rPr>
            <w:tab/>
          </w:r>
          <w:r>
            <w:rPr>
              <w:spacing w:val="-65"/>
              <w:sz w:val="22"/>
              <w:szCs w:val="22"/>
            </w:rPr>
            <w:t xml:space="preserve"> </w:t>
          </w:r>
          <w:hyperlink w:anchor="bookmark1" w:history="1">
            <w:r>
              <w:rPr>
                <w:rFonts w:ascii="Tahoma" w:eastAsia="Tahoma" w:hAnsi="Tahoma" w:cs="Tahoma"/>
                <w:spacing w:val="24"/>
                <w:w w:val="108"/>
                <w:sz w:val="22"/>
                <w:szCs w:val="22"/>
              </w:rPr>
              <w:t>5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2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8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基金持仓占汽车流通市值比例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2" w:history="1">
            <w:r>
              <w:rPr>
                <w:rFonts w:ascii="Tahoma" w:eastAsia="Tahoma" w:hAnsi="Tahoma" w:cs="Tahoma"/>
                <w:spacing w:val="24"/>
                <w:w w:val="108"/>
                <w:sz w:val="22"/>
                <w:szCs w:val="22"/>
              </w:rPr>
              <w:t>5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3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18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汽车持仓占基金股票总仓位比例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20" w:history="1">
            <w:r>
              <w:rPr>
                <w:rFonts w:ascii="Tahoma" w:eastAsia="Tahoma" w:hAnsi="Tahoma" w:cs="Tahoma"/>
                <w:spacing w:val="24"/>
                <w:w w:val="108"/>
                <w:sz w:val="22"/>
                <w:szCs w:val="22"/>
              </w:rPr>
              <w:t>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4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11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陆股通标的北上资金持股情况</w:t>
          </w:r>
          <w:r>
            <w:rPr>
              <w:sz w:val="22"/>
              <w:szCs w:val="22"/>
            </w:rPr>
            <w:tab/>
          </w:r>
          <w:r>
            <w:rPr>
              <w:spacing w:val="-70"/>
              <w:sz w:val="22"/>
              <w:szCs w:val="22"/>
            </w:rPr>
            <w:t xml:space="preserve"> </w:t>
          </w:r>
          <w:hyperlink w:anchor="bookmark4" w:history="1">
            <w:r>
              <w:rPr>
                <w:rFonts w:ascii="Tahoma" w:eastAsia="Tahoma" w:hAnsi="Tahoma" w:cs="Tahoma"/>
                <w:spacing w:val="14"/>
                <w:w w:val="120"/>
                <w:sz w:val="22"/>
                <w:szCs w:val="22"/>
              </w:rPr>
              <w:t>6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20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5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2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2005-2023</w:t>
          </w:r>
          <w:r>
            <w:rPr>
              <w:i/>
              <w:iCs/>
              <w:spacing w:val="-2"/>
              <w:sz w:val="22"/>
              <w:szCs w:val="22"/>
            </w:rPr>
            <w:t>年乘用车月度批发量及月度同比趋势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21" w:history="1">
            <w:r>
              <w:rPr>
                <w:rFonts w:ascii="Tahoma" w:eastAsia="Tahoma" w:hAnsi="Tahoma" w:cs="Tahoma"/>
                <w:spacing w:val="16"/>
                <w:w w:val="116"/>
                <w:sz w:val="22"/>
                <w:szCs w:val="22"/>
              </w:rPr>
              <w:t>7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6</w:t>
          </w:r>
          <w:r>
            <w:rPr>
              <w:i/>
              <w:iCs/>
              <w:spacing w:val="-6"/>
              <w:sz w:val="22"/>
              <w:szCs w:val="22"/>
            </w:rPr>
            <w:t>：</w:t>
          </w:r>
          <w:r>
            <w:rPr>
              <w:spacing w:val="-2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2016-2023</w:t>
          </w:r>
          <w:r>
            <w:rPr>
              <w:i/>
              <w:iCs/>
              <w:spacing w:val="-6"/>
              <w:sz w:val="22"/>
              <w:szCs w:val="22"/>
            </w:rPr>
            <w:t>年中国乘用车批发数走势（万辆）</w:t>
          </w:r>
          <w:r>
            <w:rPr>
              <w:spacing w:val="-6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22" w:history="1">
            <w:r>
              <w:rPr>
                <w:rFonts w:ascii="Tahoma" w:eastAsia="Tahoma" w:hAnsi="Tahoma" w:cs="Tahoma"/>
                <w:spacing w:val="16"/>
                <w:w w:val="116"/>
                <w:sz w:val="22"/>
                <w:szCs w:val="22"/>
              </w:rPr>
              <w:t>7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7</w:t>
          </w:r>
          <w:r>
            <w:rPr>
              <w:i/>
              <w:iCs/>
              <w:spacing w:val="-6"/>
              <w:sz w:val="22"/>
              <w:szCs w:val="22"/>
            </w:rPr>
            <w:t>：</w:t>
          </w:r>
          <w:r>
            <w:rPr>
              <w:spacing w:val="-2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2016-2023</w:t>
          </w:r>
          <w:r>
            <w:rPr>
              <w:i/>
              <w:iCs/>
              <w:spacing w:val="-6"/>
              <w:sz w:val="22"/>
              <w:szCs w:val="22"/>
            </w:rPr>
            <w:t>年中国乘用车上险数走势（万辆）</w:t>
          </w:r>
          <w:r>
            <w:rPr>
              <w:spacing w:val="-6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23" w:history="1">
            <w:r>
              <w:rPr>
                <w:rFonts w:ascii="Tahoma" w:eastAsia="Tahoma" w:hAnsi="Tahoma" w:cs="Tahoma"/>
                <w:spacing w:val="16"/>
                <w:w w:val="116"/>
                <w:sz w:val="22"/>
                <w:szCs w:val="22"/>
              </w:rPr>
              <w:t>7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8</w:t>
          </w:r>
          <w:r>
            <w:rPr>
              <w:i/>
              <w:iCs/>
              <w:spacing w:val="-1"/>
              <w:sz w:val="22"/>
              <w:szCs w:val="22"/>
            </w:rPr>
            <w:t>：</w:t>
          </w:r>
          <w:r>
            <w:rPr>
              <w:spacing w:val="-2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2010-2023</w:t>
          </w:r>
          <w:r>
            <w:rPr>
              <w:i/>
              <w:iCs/>
              <w:spacing w:val="-1"/>
              <w:sz w:val="22"/>
              <w:szCs w:val="22"/>
            </w:rPr>
            <w:t>年我国乘用车市场分系别占比</w:t>
          </w:r>
          <w:r>
            <w:rPr>
              <w:sz w:val="22"/>
              <w:szCs w:val="22"/>
            </w:rPr>
            <w:tab/>
          </w:r>
          <w:r>
            <w:rPr>
              <w:spacing w:val="-70"/>
              <w:sz w:val="22"/>
              <w:szCs w:val="22"/>
            </w:rPr>
            <w:t xml:space="preserve"> </w:t>
          </w:r>
          <w:hyperlink w:anchor="bookmark24" w:history="1">
            <w:r>
              <w:rPr>
                <w:rFonts w:ascii="Tahoma" w:eastAsia="Tahoma" w:hAnsi="Tahoma" w:cs="Tahoma"/>
                <w:spacing w:val="16"/>
                <w:w w:val="120"/>
                <w:sz w:val="22"/>
                <w:szCs w:val="22"/>
              </w:rPr>
              <w:t>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9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14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2011-2023</w:t>
          </w:r>
          <w:r>
            <w:rPr>
              <w:i/>
              <w:iCs/>
              <w:spacing w:val="-2"/>
              <w:sz w:val="22"/>
              <w:szCs w:val="22"/>
            </w:rPr>
            <w:t>年我国乘用车市场分系别销量同比</w:t>
          </w:r>
          <w:r>
            <w:rPr>
              <w:sz w:val="22"/>
              <w:szCs w:val="22"/>
            </w:rPr>
            <w:tab/>
          </w:r>
          <w:r>
            <w:rPr>
              <w:spacing w:val="-71"/>
              <w:sz w:val="22"/>
              <w:szCs w:val="22"/>
            </w:rPr>
            <w:t xml:space="preserve"> </w:t>
          </w:r>
          <w:hyperlink w:anchor="bookmark25" w:history="1">
            <w:r>
              <w:rPr>
                <w:rFonts w:ascii="Tahoma" w:eastAsia="Tahoma" w:hAnsi="Tahoma" w:cs="Tahoma"/>
                <w:spacing w:val="16"/>
                <w:w w:val="120"/>
                <w:sz w:val="22"/>
                <w:szCs w:val="22"/>
              </w:rPr>
              <w:t>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10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24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2023</w:t>
          </w:r>
          <w:r>
            <w:rPr>
              <w:i/>
              <w:iCs/>
              <w:spacing w:val="4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1-12</w:t>
          </w:r>
          <w:r>
            <w:rPr>
              <w:i/>
              <w:iCs/>
              <w:spacing w:val="4"/>
              <w:sz w:val="22"/>
              <w:szCs w:val="22"/>
            </w:rPr>
            <w:t>月乘用车企业市场份额</w:t>
          </w:r>
          <w:r>
            <w:rPr>
              <w:sz w:val="22"/>
              <w:szCs w:val="22"/>
            </w:rPr>
            <w:tab/>
          </w:r>
          <w:r>
            <w:rPr>
              <w:spacing w:val="-72"/>
              <w:sz w:val="22"/>
              <w:szCs w:val="22"/>
            </w:rPr>
            <w:t xml:space="preserve"> </w:t>
          </w:r>
          <w:hyperlink w:anchor="bookmark26" w:history="1">
            <w:r>
              <w:rPr>
                <w:rFonts w:ascii="Tahoma" w:eastAsia="Tahoma" w:hAnsi="Tahoma" w:cs="Tahoma"/>
                <w:spacing w:val="16"/>
                <w:w w:val="120"/>
                <w:sz w:val="22"/>
                <w:szCs w:val="22"/>
              </w:rPr>
              <w:t>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  <w:sectPr>
              <w:headerReference w:type="default" r:id="rId13"/>
              <w:footerReference w:type="default" r:id="rId14"/>
              <w:pgSz w:w="11910" w:h="16845"/>
              <w:pgMar w:top="885" w:right="644" w:bottom="840" w:left="612" w:header="386" w:footer="542" w:gutter="0"/>
              <w:pgNumType w:start="5"/>
              <w:cols w:space="708"/>
            </w:sectPr>
          </w:pPr>
          <w:r>
            <w:rPr>
              <w:i/>
              <w:iCs/>
              <w:spacing w:val="-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11</w:t>
          </w:r>
          <w:r>
            <w:rPr>
              <w:i/>
              <w:iCs/>
              <w:spacing w:val="-4"/>
              <w:sz w:val="22"/>
              <w:szCs w:val="22"/>
            </w:rPr>
            <w:t>：</w:t>
          </w:r>
          <w:r>
            <w:rPr>
              <w:spacing w:val="-4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2017-2023</w:t>
          </w:r>
          <w:r>
            <w:rPr>
              <w:i/>
              <w:iCs/>
              <w:spacing w:val="-4"/>
              <w:sz w:val="22"/>
              <w:szCs w:val="22"/>
            </w:rPr>
            <w:t>年乘用车成交均价（万</w:t>
          </w:r>
          <w:r>
            <w:rPr>
              <w:i/>
              <w:iCs/>
              <w:spacing w:val="-5"/>
              <w:sz w:val="22"/>
              <w:szCs w:val="22"/>
            </w:rPr>
            <w:t>元）</w:t>
          </w:r>
          <w:r>
            <w:rPr>
              <w:spacing w:val="-48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70"/>
              <w:sz w:val="22"/>
              <w:szCs w:val="22"/>
            </w:rPr>
            <w:t xml:space="preserve"> </w:t>
          </w:r>
          <w:hyperlink w:anchor="bookmark27" w:history="1">
            <w:r>
              <w:rPr>
                <w:rFonts w:ascii="Tahoma" w:eastAsia="Tahoma" w:hAnsi="Tahoma" w:cs="Tahoma"/>
                <w:spacing w:val="14"/>
                <w:w w:val="122"/>
                <w:sz w:val="22"/>
                <w:szCs w:val="22"/>
              </w:rPr>
              <w:t>9</w:t>
            </w:r>
          </w:hyperlink>
        </w:p>
      </w:sdtContent>
    </w:sdt>
    <w:sdt>
      <w:sdtPr>
        <w:rPr>
          <w:rFonts w:ascii="FangSong" w:eastAsia="FangSong" w:hAnsi="FangSong" w:cs="FangSong"/>
          <w:sz w:val="28"/>
          <w:szCs w:val="28"/>
        </w:rPr>
        <w:id w:val="598094544"/>
        <w:docPartObj>
          <w:docPartGallery w:val="Table of Contents"/>
          <w:docPartUnique/>
        </w:docPartObj>
      </w:sdtPr>
      <w:sdtEndPr>
        <w:rPr>
          <w:rFonts w:ascii="Tahoma" w:eastAsia="Tahoma" w:hAnsi="Tahoma" w:cs="Tahoma"/>
          <w:sz w:val="22"/>
          <w:szCs w:val="22"/>
        </w:rPr>
      </w:sdtEndPr>
      <w:sdtContent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12</w:t>
          </w:r>
          <w:r>
            <w:rPr>
              <w:i/>
              <w:iCs/>
              <w:spacing w:val="-1"/>
              <w:sz w:val="22"/>
              <w:szCs w:val="22"/>
            </w:rPr>
            <w:t>：</w:t>
          </w:r>
          <w:r>
            <w:rPr>
              <w:spacing w:val="-2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2017-2023</w:t>
          </w:r>
          <w:r>
            <w:rPr>
              <w:i/>
              <w:iCs/>
              <w:spacing w:val="-1"/>
              <w:sz w:val="22"/>
              <w:szCs w:val="22"/>
            </w:rPr>
            <w:t>年乘用车市场价格段销量结构</w:t>
          </w:r>
          <w:r>
            <w:rPr>
              <w:sz w:val="22"/>
              <w:szCs w:val="22"/>
            </w:rPr>
            <w:tab/>
          </w:r>
          <w:r>
            <w:rPr>
              <w:spacing w:val="-70"/>
              <w:sz w:val="22"/>
              <w:szCs w:val="22"/>
            </w:rPr>
            <w:t xml:space="preserve"> </w:t>
          </w:r>
          <w:hyperlink w:anchor="bookmark28" w:history="1">
            <w:r>
              <w:rPr>
                <w:rFonts w:ascii="Tahoma" w:eastAsia="Tahoma" w:hAnsi="Tahoma" w:cs="Tahoma"/>
                <w:spacing w:val="14"/>
                <w:w w:val="122"/>
                <w:sz w:val="22"/>
                <w:szCs w:val="22"/>
              </w:rPr>
              <w:t>9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13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33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2017-2022</w:t>
          </w:r>
          <w:r>
            <w:rPr>
              <w:i/>
              <w:iCs/>
              <w:sz w:val="22"/>
              <w:szCs w:val="22"/>
            </w:rPr>
            <w:t>年首购、换购、增购占比</w:t>
          </w:r>
          <w:r>
            <w:rPr>
              <w:sz w:val="22"/>
              <w:szCs w:val="22"/>
            </w:rPr>
            <w:tab/>
          </w:r>
          <w:r>
            <w:rPr>
              <w:spacing w:val="-56"/>
              <w:sz w:val="22"/>
              <w:szCs w:val="22"/>
            </w:rPr>
            <w:t xml:space="preserve"> </w:t>
          </w:r>
          <w:hyperlink w:anchor="bookmark29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0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14</w:t>
          </w:r>
          <w:r>
            <w:rPr>
              <w:i/>
              <w:iCs/>
              <w:spacing w:val="-1"/>
              <w:sz w:val="22"/>
              <w:szCs w:val="22"/>
            </w:rPr>
            <w:t>：</w:t>
          </w:r>
          <w:r>
            <w:rPr>
              <w:spacing w:val="-19"/>
              <w:sz w:val="22"/>
              <w:szCs w:val="22"/>
            </w:rPr>
            <w:t xml:space="preserve"> </w:t>
          </w:r>
          <w:r>
            <w:rPr>
              <w:i/>
              <w:iCs/>
              <w:spacing w:val="-1"/>
              <w:sz w:val="22"/>
              <w:szCs w:val="22"/>
            </w:rPr>
            <w:t>置换用户购车价格迁移情况（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2023</w:t>
          </w:r>
          <w:r>
            <w:rPr>
              <w:i/>
              <w:iCs/>
              <w:spacing w:val="-1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1-5</w:t>
          </w:r>
          <w:r>
            <w:rPr>
              <w:i/>
              <w:iCs/>
              <w:spacing w:val="-1"/>
              <w:sz w:val="22"/>
              <w:szCs w:val="22"/>
            </w:rPr>
            <w:t>月）</w:t>
          </w:r>
          <w:r>
            <w:rPr>
              <w:spacing w:val="-67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30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5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5"/>
              <w:sz w:val="22"/>
              <w:szCs w:val="22"/>
            </w:rPr>
            <w:t>15</w:t>
          </w:r>
          <w:r>
            <w:rPr>
              <w:i/>
              <w:iCs/>
              <w:spacing w:val="5"/>
              <w:sz w:val="22"/>
              <w:szCs w:val="22"/>
            </w:rPr>
            <w:t>：</w:t>
          </w:r>
          <w:r>
            <w:rPr>
              <w:spacing w:val="-33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5"/>
              <w:sz w:val="22"/>
              <w:szCs w:val="22"/>
            </w:rPr>
            <w:t>2023</w:t>
          </w:r>
          <w:r>
            <w:rPr>
              <w:i/>
              <w:iCs/>
              <w:spacing w:val="5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5"/>
              <w:sz w:val="22"/>
              <w:szCs w:val="22"/>
            </w:rPr>
            <w:t>11</w:t>
          </w:r>
          <w:r>
            <w:rPr>
              <w:i/>
              <w:iCs/>
              <w:spacing w:val="5"/>
              <w:sz w:val="22"/>
              <w:szCs w:val="22"/>
            </w:rPr>
            <w:t>月乘用车零售价格分布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31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16</w:t>
          </w:r>
          <w:r>
            <w:rPr>
              <w:i/>
              <w:iCs/>
              <w:spacing w:val="-6"/>
              <w:sz w:val="22"/>
              <w:szCs w:val="22"/>
            </w:rPr>
            <w:t>：</w:t>
          </w:r>
          <w:r>
            <w:rPr>
              <w:spacing w:val="-32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2023</w:t>
          </w:r>
          <w:r>
            <w:rPr>
              <w:i/>
              <w:iCs/>
              <w:spacing w:val="-6"/>
              <w:sz w:val="22"/>
              <w:szCs w:val="22"/>
            </w:rPr>
            <w:t>年整体及新能源市场成交均价（万元）</w:t>
          </w:r>
          <w:r>
            <w:rPr>
              <w:spacing w:val="-6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32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1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17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4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2021-2023</w:t>
          </w:r>
          <w:r>
            <w:rPr>
              <w:i/>
              <w:iCs/>
              <w:sz w:val="22"/>
              <w:szCs w:val="22"/>
            </w:rPr>
            <w:t>乘用车优惠与零售销量走势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33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18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33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2019-2023</w:t>
          </w:r>
          <w:r>
            <w:rPr>
              <w:i/>
              <w:iCs/>
              <w:sz w:val="22"/>
              <w:szCs w:val="22"/>
            </w:rPr>
            <w:t>年乘用车终端折扣率走势</w:t>
          </w:r>
          <w:r>
            <w:rPr>
              <w:sz w:val="22"/>
              <w:szCs w:val="22"/>
            </w:rPr>
            <w:tab/>
          </w:r>
          <w:r>
            <w:rPr>
              <w:spacing w:val="-56"/>
              <w:sz w:val="22"/>
              <w:szCs w:val="22"/>
            </w:rPr>
            <w:t xml:space="preserve"> </w:t>
          </w:r>
          <w:hyperlink w:anchor="bookmark34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10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19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4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2021-2023</w:t>
          </w:r>
          <w:r>
            <w:rPr>
              <w:i/>
              <w:iCs/>
              <w:spacing w:val="-2"/>
              <w:sz w:val="22"/>
              <w:szCs w:val="22"/>
            </w:rPr>
            <w:t>年新能源渗透率及新能源</w:t>
          </w:r>
          <w:r>
            <w:rPr>
              <w:i/>
              <w:iCs/>
              <w:spacing w:val="-3"/>
              <w:sz w:val="22"/>
              <w:szCs w:val="22"/>
            </w:rPr>
            <w:t>、燃油车折扣率走势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35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11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24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20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4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2023</w:t>
          </w:r>
          <w:r>
            <w:rPr>
              <w:i/>
              <w:iCs/>
              <w:sz w:val="22"/>
              <w:szCs w:val="22"/>
            </w:rPr>
            <w:t>年新能源厂商批发销量及市占率</w:t>
          </w:r>
          <w:r>
            <w:rPr>
              <w:sz w:val="22"/>
              <w:szCs w:val="22"/>
            </w:rPr>
            <w:tab/>
          </w:r>
          <w:r>
            <w:rPr>
              <w:spacing w:val="-53"/>
              <w:sz w:val="22"/>
              <w:szCs w:val="22"/>
            </w:rPr>
            <w:t xml:space="preserve"> </w:t>
          </w:r>
          <w:hyperlink w:anchor="bookmark36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21</w:t>
          </w:r>
          <w:r>
            <w:rPr>
              <w:i/>
              <w:iCs/>
              <w:spacing w:val="-1"/>
              <w:sz w:val="22"/>
              <w:szCs w:val="22"/>
            </w:rPr>
            <w:t>：</w:t>
          </w:r>
          <w:r>
            <w:rPr>
              <w:spacing w:val="-3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2024</w:t>
          </w:r>
          <w:r>
            <w:rPr>
              <w:i/>
              <w:iCs/>
              <w:spacing w:val="-1"/>
              <w:sz w:val="22"/>
              <w:szCs w:val="22"/>
            </w:rPr>
            <w:t>年各车企在各新能源细分市场的布局</w:t>
          </w:r>
          <w:r>
            <w:rPr>
              <w:sz w:val="22"/>
              <w:szCs w:val="22"/>
            </w:rPr>
            <w:tab/>
          </w:r>
          <w:r>
            <w:rPr>
              <w:spacing w:val="-53"/>
              <w:sz w:val="22"/>
              <w:szCs w:val="22"/>
            </w:rPr>
            <w:t xml:space="preserve"> </w:t>
          </w:r>
          <w:hyperlink w:anchor="bookmark37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22</w:t>
          </w:r>
          <w:r>
            <w:rPr>
              <w:i/>
              <w:iCs/>
              <w:spacing w:val="2"/>
              <w:sz w:val="22"/>
              <w:szCs w:val="22"/>
            </w:rPr>
            <w:t>：</w:t>
          </w:r>
          <w:r>
            <w:rPr>
              <w:spacing w:val="-3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2024</w:t>
          </w:r>
          <w:r>
            <w:rPr>
              <w:i/>
              <w:iCs/>
              <w:spacing w:val="2"/>
              <w:sz w:val="22"/>
              <w:szCs w:val="22"/>
            </w:rPr>
            <w:t>年自主车企新车规划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38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12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23</w:t>
          </w:r>
          <w:r>
            <w:rPr>
              <w:i/>
              <w:iCs/>
              <w:spacing w:val="3"/>
              <w:sz w:val="22"/>
              <w:szCs w:val="22"/>
            </w:rPr>
            <w:t>：</w:t>
          </w:r>
          <w:r>
            <w:rPr>
              <w:spacing w:val="-3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2024</w:t>
          </w:r>
          <w:r>
            <w:rPr>
              <w:i/>
              <w:iCs/>
              <w:spacing w:val="3"/>
              <w:sz w:val="22"/>
              <w:szCs w:val="22"/>
            </w:rPr>
            <w:t>年新势力新车规划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39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14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24</w:t>
          </w:r>
          <w:r>
            <w:rPr>
              <w:i/>
              <w:iCs/>
              <w:spacing w:val="3"/>
              <w:sz w:val="22"/>
              <w:szCs w:val="22"/>
            </w:rPr>
            <w:t>：</w:t>
          </w:r>
          <w:r>
            <w:rPr>
              <w:spacing w:val="-3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2024</w:t>
          </w:r>
          <w:r>
            <w:rPr>
              <w:i/>
              <w:iCs/>
              <w:spacing w:val="3"/>
              <w:sz w:val="22"/>
              <w:szCs w:val="22"/>
            </w:rPr>
            <w:t>年华为系新车规划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40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14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25</w:t>
          </w:r>
          <w:r>
            <w:rPr>
              <w:i/>
              <w:iCs/>
              <w:spacing w:val="2"/>
              <w:sz w:val="22"/>
              <w:szCs w:val="22"/>
            </w:rPr>
            <w:t>：</w:t>
          </w:r>
          <w:r>
            <w:rPr>
              <w:spacing w:val="-3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2024</w:t>
          </w:r>
          <w:r>
            <w:rPr>
              <w:i/>
              <w:iCs/>
              <w:spacing w:val="2"/>
              <w:sz w:val="22"/>
              <w:szCs w:val="22"/>
            </w:rPr>
            <w:t>年合资车企新车规划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41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14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26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33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2019-2023</w:t>
          </w:r>
          <w:r>
            <w:rPr>
              <w:i/>
              <w:iCs/>
              <w:sz w:val="22"/>
              <w:szCs w:val="22"/>
            </w:rPr>
            <w:t>年我国汽车出口销量情况</w:t>
          </w:r>
          <w:r>
            <w:rPr>
              <w:sz w:val="22"/>
              <w:szCs w:val="22"/>
            </w:rPr>
            <w:tab/>
          </w:r>
          <w:r>
            <w:rPr>
              <w:spacing w:val="-56"/>
              <w:sz w:val="22"/>
              <w:szCs w:val="22"/>
            </w:rPr>
            <w:t xml:space="preserve"> </w:t>
          </w:r>
          <w:hyperlink w:anchor="bookmark42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27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4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2019-2023</w:t>
          </w:r>
          <w:r>
            <w:rPr>
              <w:i/>
              <w:iCs/>
              <w:sz w:val="22"/>
              <w:szCs w:val="22"/>
            </w:rPr>
            <w:t>年我国乘用车出口销量情况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43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16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8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8"/>
              <w:sz w:val="22"/>
              <w:szCs w:val="22"/>
            </w:rPr>
            <w:t>28</w:t>
          </w:r>
          <w:r>
            <w:rPr>
              <w:i/>
              <w:iCs/>
              <w:spacing w:val="-8"/>
              <w:sz w:val="22"/>
              <w:szCs w:val="22"/>
            </w:rPr>
            <w:t>：</w:t>
          </w:r>
          <w:r>
            <w:rPr>
              <w:spacing w:val="-35"/>
              <w:sz w:val="22"/>
              <w:szCs w:val="22"/>
            </w:rPr>
            <w:t xml:space="preserve"> </w:t>
          </w:r>
          <w:r>
            <w:rPr>
              <w:i/>
              <w:iCs/>
              <w:spacing w:val="-8"/>
              <w:sz w:val="22"/>
              <w:szCs w:val="22"/>
            </w:rPr>
            <w:t>乘用车出口单价情况（万美元）</w:t>
          </w:r>
          <w:r>
            <w:rPr>
              <w:spacing w:val="-8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44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16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23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9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9"/>
              <w:sz w:val="22"/>
              <w:szCs w:val="22"/>
            </w:rPr>
            <w:t>29</w:t>
          </w:r>
          <w:r>
            <w:rPr>
              <w:i/>
              <w:iCs/>
              <w:spacing w:val="-9"/>
              <w:sz w:val="22"/>
              <w:szCs w:val="22"/>
            </w:rPr>
            <w:t>：</w:t>
          </w:r>
          <w:r>
            <w:rPr>
              <w:spacing w:val="-9"/>
              <w:sz w:val="22"/>
              <w:szCs w:val="22"/>
            </w:rPr>
            <w:t xml:space="preserve"> </w:t>
          </w:r>
          <w:r>
            <w:rPr>
              <w:i/>
              <w:iCs/>
              <w:spacing w:val="-9"/>
              <w:sz w:val="22"/>
              <w:szCs w:val="22"/>
            </w:rPr>
            <w:t>自主品牌六大集团乘用车出口情况（万辆）</w:t>
          </w:r>
          <w:r>
            <w:rPr>
              <w:spacing w:val="-48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53"/>
              <w:sz w:val="22"/>
              <w:szCs w:val="22"/>
            </w:rPr>
            <w:t xml:space="preserve"> </w:t>
          </w:r>
          <w:hyperlink w:anchor="bookmark45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17</w:t>
            </w:r>
          </w:hyperlink>
        </w:p>
        <w:p>
          <w:pPr>
            <w:pStyle w:val="BodyText"/>
            <w:tabs>
              <w:tab w:val="right" w:leader="dot" w:pos="10651"/>
            </w:tabs>
            <w:spacing w:before="9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30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3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自主品牌海外布局情况</w:t>
          </w:r>
          <w:r>
            <w:rPr>
              <w:sz w:val="22"/>
              <w:szCs w:val="22"/>
            </w:rPr>
            <w:tab/>
          </w:r>
          <w:r>
            <w:rPr>
              <w:spacing w:val="-54"/>
              <w:sz w:val="22"/>
              <w:szCs w:val="22"/>
            </w:rPr>
            <w:t xml:space="preserve"> </w:t>
          </w:r>
          <w:hyperlink w:anchor="bookmark46" w:history="1">
            <w:r>
              <w:rPr>
                <w:rFonts w:ascii="Tahoma" w:eastAsia="Tahoma" w:hAnsi="Tahoma" w:cs="Tahoma"/>
                <w:spacing w:val="11"/>
                <w:sz w:val="22"/>
                <w:szCs w:val="22"/>
              </w:rPr>
              <w:t>17</w:t>
            </w:r>
          </w:hyperlink>
        </w:p>
      </w:sdtContent>
    </w:sdt>
    <w:p>
      <w:pPr>
        <w:spacing w:line="208" w:lineRule="auto"/>
        <w:rPr>
          <w:rFonts w:ascii="Tahoma" w:eastAsia="Tahoma" w:hAnsi="Tahoma" w:cs="Tahoma"/>
          <w:sz w:val="22"/>
          <w:szCs w:val="22"/>
        </w:rPr>
        <w:sectPr>
          <w:headerReference w:type="default" r:id="rId15"/>
          <w:footerReference w:type="default" r:id="rId16"/>
          <w:type w:val="nextPage"/>
          <w:pgSz w:w="11910" w:h="16845"/>
          <w:pgMar w:top="885" w:right="644" w:bottom="840" w:left="612" w:header="386" w:footer="542" w:gutter="0"/>
          <w:pgNumType w:start="6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2"/>
          <w:szCs w:val="22"/>
        </w:rPr>
        <w:id w:val="1913458346"/>
        <w:docPartObj>
          <w:docPartGallery w:val="Table of Contents"/>
          <w:docPartUnique/>
        </w:docPartObj>
      </w:sdtPr>
      <w:sdtEndPr>
        <w:rPr>
          <w:rFonts w:ascii="Tahoma" w:eastAsia="Tahoma" w:hAnsi="Tahoma" w:cs="Tahoma"/>
          <w:sz w:val="22"/>
          <w:szCs w:val="22"/>
        </w:rPr>
      </w:sdtEndPr>
      <w:sdtContent>
        <w:p>
          <w:pPr>
            <w:pStyle w:val="BodyText"/>
            <w:tabs>
              <w:tab w:val="right" w:leader="dot" w:pos="10653"/>
            </w:tabs>
            <w:spacing w:before="16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31</w:t>
          </w:r>
          <w:r>
            <w:rPr>
              <w:i/>
              <w:iCs/>
              <w:spacing w:val="-6"/>
              <w:sz w:val="22"/>
              <w:szCs w:val="22"/>
            </w:rPr>
            <w:t>：</w:t>
          </w:r>
          <w:r>
            <w:rPr>
              <w:spacing w:val="-24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2024</w:t>
          </w:r>
          <w:r>
            <w:rPr>
              <w:i/>
              <w:iCs/>
              <w:spacing w:val="-6"/>
              <w:sz w:val="22"/>
              <w:szCs w:val="22"/>
            </w:rPr>
            <w:t>年乘用车销量预测（单位：万辆）</w:t>
          </w:r>
          <w:r>
            <w:rPr>
              <w:spacing w:val="-6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47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18</w:t>
            </w:r>
          </w:hyperlink>
        </w:p>
        <w:p>
          <w:pPr>
            <w:pStyle w:val="BodyText"/>
            <w:spacing w:before="7" w:line="208" w:lineRule="auto"/>
            <w:jc w:val="right"/>
            <w:rPr>
              <w:sz w:val="22"/>
              <w:szCs w:val="22"/>
            </w:rPr>
          </w:pPr>
          <w:r>
            <w:rPr>
              <w:i/>
              <w:iCs/>
              <w:spacing w:val="-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32</w:t>
          </w:r>
          <w:r>
            <w:rPr>
              <w:i/>
              <w:iCs/>
              <w:spacing w:val="-1"/>
              <w:sz w:val="22"/>
              <w:szCs w:val="22"/>
            </w:rPr>
            <w:t>：</w:t>
          </w:r>
          <w:r>
            <w:rPr>
              <w:spacing w:val="-4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2024</w:t>
          </w:r>
          <w:r>
            <w:rPr>
              <w:i/>
              <w:iCs/>
              <w:spacing w:val="-1"/>
              <w:sz w:val="22"/>
              <w:szCs w:val="22"/>
            </w:rPr>
            <w:t>年批发量同比增速敏感性分析（横轴为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2024</w:t>
          </w:r>
          <w:r>
            <w:rPr>
              <w:i/>
              <w:iCs/>
              <w:spacing w:val="-1"/>
              <w:sz w:val="22"/>
              <w:szCs w:val="22"/>
            </w:rPr>
            <w:t>年</w:t>
          </w:r>
          <w:r>
            <w:rPr>
              <w:i/>
              <w:iCs/>
              <w:spacing w:val="-2"/>
              <w:sz w:val="22"/>
              <w:szCs w:val="22"/>
            </w:rPr>
            <w:t>出口增速，纵轴为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2024</w:t>
          </w:r>
          <w:r>
            <w:rPr>
              <w:i/>
              <w:iCs/>
              <w:spacing w:val="-2"/>
              <w:sz w:val="22"/>
              <w:szCs w:val="22"/>
            </w:rPr>
            <w:t>年去库存量，单位：万辆）</w:t>
          </w:r>
        </w:p>
        <w:p>
          <w:pPr>
            <w:tabs>
              <w:tab w:val="right" w:leader="dot" w:pos="10653"/>
            </w:tabs>
            <w:spacing w:before="47" w:line="182" w:lineRule="auto"/>
            <w:ind w:left="128"/>
            <w:rPr>
              <w:rFonts w:ascii="Tahoma" w:eastAsia="Tahoma" w:hAnsi="Tahoma" w:cs="Tahoma"/>
              <w:sz w:val="22"/>
              <w:szCs w:val="22"/>
            </w:rPr>
          </w:pPr>
          <w:r>
            <w:rPr>
              <w:rFonts w:ascii="Tahoma" w:eastAsia="Tahoma" w:hAnsi="Tahoma" w:cs="Tahoma"/>
              <w:sz w:val="22"/>
              <w:szCs w:val="22"/>
            </w:rPr>
            <w:tab/>
          </w:r>
          <w:r>
            <w:rPr>
              <w:rFonts w:ascii="Tahoma" w:eastAsia="Tahoma" w:hAnsi="Tahoma" w:cs="Tahoma"/>
              <w:spacing w:val="-14"/>
              <w:sz w:val="22"/>
              <w:szCs w:val="22"/>
            </w:rPr>
            <w:t xml:space="preserve"> </w:t>
          </w:r>
          <w:hyperlink w:anchor="bookmark48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33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19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华为智能汽车解决方案布局</w:t>
          </w:r>
          <w:r>
            <w:rPr>
              <w:sz w:val="22"/>
              <w:szCs w:val="22"/>
            </w:rPr>
            <w:tab/>
          </w:r>
          <w:r>
            <w:rPr>
              <w:spacing w:val="-55"/>
              <w:sz w:val="22"/>
              <w:szCs w:val="22"/>
            </w:rPr>
            <w:t xml:space="preserve"> </w:t>
          </w:r>
          <w:hyperlink w:anchor="bookmark49" w:history="1">
            <w:r>
              <w:rPr>
                <w:rFonts w:ascii="Tahoma" w:eastAsia="Tahoma" w:hAnsi="Tahoma" w:cs="Tahoma"/>
                <w:spacing w:val="12"/>
                <w:sz w:val="22"/>
                <w:szCs w:val="22"/>
              </w:rPr>
              <w:t>19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34</w:t>
          </w:r>
          <w:r>
            <w:rPr>
              <w:i/>
              <w:iCs/>
              <w:spacing w:val="-4"/>
              <w:sz w:val="22"/>
              <w:szCs w:val="22"/>
            </w:rPr>
            <w:t>：</w:t>
          </w:r>
          <w:r>
            <w:rPr>
              <w:spacing w:val="-12"/>
              <w:sz w:val="22"/>
              <w:szCs w:val="22"/>
            </w:rPr>
            <w:t xml:space="preserve"> </w:t>
          </w:r>
          <w:r>
            <w:rPr>
              <w:i/>
              <w:iCs/>
              <w:spacing w:val="-4"/>
              <w:sz w:val="22"/>
              <w:szCs w:val="22"/>
            </w:rPr>
            <w:t>华为智能汽车软硬件及云服务布局情况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50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35</w:t>
          </w:r>
          <w:r>
            <w:rPr>
              <w:i/>
              <w:iCs/>
              <w:spacing w:val="-4"/>
              <w:sz w:val="22"/>
              <w:szCs w:val="22"/>
            </w:rPr>
            <w:t>：</w:t>
          </w:r>
          <w:r>
            <w:rPr>
              <w:spacing w:val="-28"/>
              <w:sz w:val="22"/>
              <w:szCs w:val="22"/>
            </w:rPr>
            <w:t xml:space="preserve"> </w:t>
          </w:r>
          <w:r>
            <w:rPr>
              <w:i/>
              <w:iCs/>
              <w:spacing w:val="-4"/>
              <w:sz w:val="22"/>
              <w:szCs w:val="22"/>
            </w:rPr>
            <w:t>车载光学是华为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“</w:t>
          </w:r>
          <w:r>
            <w:rPr>
              <w:i/>
              <w:iCs/>
              <w:spacing w:val="-4"/>
              <w:sz w:val="22"/>
              <w:szCs w:val="22"/>
            </w:rPr>
            <w:t>光学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-</w:t>
          </w:r>
          <w:r>
            <w:rPr>
              <w:i/>
              <w:iCs/>
              <w:spacing w:val="-4"/>
              <w:sz w:val="22"/>
              <w:szCs w:val="22"/>
            </w:rPr>
            <w:t>光应用</w:t>
          </w:r>
          <w:r>
            <w:rPr>
              <w:rFonts w:ascii="Tahoma" w:eastAsia="Tahoma" w:hAnsi="Tahoma" w:cs="Tahoma"/>
              <w:spacing w:val="-4"/>
              <w:sz w:val="22"/>
              <w:szCs w:val="22"/>
            </w:rPr>
            <w:t>”</w:t>
          </w:r>
          <w:r>
            <w:rPr>
              <w:i/>
              <w:iCs/>
              <w:spacing w:val="-4"/>
              <w:sz w:val="22"/>
              <w:szCs w:val="22"/>
            </w:rPr>
            <w:t>领域的重要</w:t>
          </w:r>
          <w:r>
            <w:rPr>
              <w:i/>
              <w:iCs/>
              <w:spacing w:val="-5"/>
              <w:sz w:val="22"/>
              <w:szCs w:val="22"/>
            </w:rPr>
            <w:t>构成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51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36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13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华为在光学领域的战略：围绕投影，面向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XR</w:t>
          </w:r>
          <w:r>
            <w:rPr>
              <w:rFonts w:ascii="Tahoma" w:eastAsia="Tahoma" w:hAnsi="Tahoma" w:cs="Tahoma"/>
              <w:sz w:val="22"/>
              <w:szCs w:val="22"/>
            </w:rPr>
            <w:tab/>
          </w:r>
          <w:r>
            <w:rPr>
              <w:rFonts w:ascii="Tahoma" w:eastAsia="Tahoma" w:hAnsi="Tahoma" w:cs="Tahoma"/>
              <w:spacing w:val="-25"/>
              <w:sz w:val="22"/>
              <w:szCs w:val="22"/>
            </w:rPr>
            <w:t xml:space="preserve"> </w:t>
          </w:r>
          <w:hyperlink w:anchor="bookmark52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37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17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华为光学汽车领域合作伙伴（部分，截至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2023.12</w:t>
          </w:r>
          <w:r>
            <w:rPr>
              <w:i/>
              <w:iCs/>
              <w:spacing w:val="-3"/>
              <w:sz w:val="22"/>
              <w:szCs w:val="22"/>
            </w:rPr>
            <w:t>）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53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4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7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7"/>
              <w:sz w:val="22"/>
              <w:szCs w:val="22"/>
            </w:rPr>
            <w:t>38</w:t>
          </w:r>
          <w:r>
            <w:rPr>
              <w:i/>
              <w:iCs/>
              <w:spacing w:val="7"/>
              <w:sz w:val="22"/>
              <w:szCs w:val="22"/>
            </w:rPr>
            <w:t>：</w:t>
          </w:r>
          <w:r>
            <w:rPr>
              <w:spacing w:val="-37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7"/>
              <w:sz w:val="22"/>
              <w:szCs w:val="22"/>
            </w:rPr>
            <w:t>2023</w:t>
          </w:r>
          <w:r>
            <w:rPr>
              <w:i/>
              <w:iCs/>
              <w:spacing w:val="7"/>
              <w:sz w:val="22"/>
              <w:szCs w:val="22"/>
            </w:rPr>
            <w:t>年前三季度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7"/>
              <w:sz w:val="22"/>
              <w:szCs w:val="22"/>
            </w:rPr>
            <w:t>销量走势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54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12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39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32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2021-2028</w:t>
          </w:r>
          <w:r>
            <w:rPr>
              <w:i/>
              <w:iCs/>
              <w:spacing w:val="-3"/>
              <w:sz w:val="22"/>
              <w:szCs w:val="22"/>
            </w:rPr>
            <w:t>年中国乘用车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HUD/AR-HUD</w:t>
          </w:r>
          <w:r>
            <w:rPr>
              <w:i/>
              <w:iCs/>
              <w:spacing w:val="-3"/>
              <w:sz w:val="22"/>
              <w:szCs w:val="22"/>
            </w:rPr>
            <w:t>销量预测（万台）</w:t>
          </w:r>
          <w:r>
            <w:rPr>
              <w:spacing w:val="-3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5"/>
              <w:sz w:val="22"/>
              <w:szCs w:val="22"/>
            </w:rPr>
            <w:t xml:space="preserve"> </w:t>
          </w:r>
          <w:hyperlink w:anchor="bookmark55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40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34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各类视觉显示硬件信息显示内容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56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2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4"/>
              <w:sz w:val="22"/>
              <w:szCs w:val="22"/>
            </w:rPr>
            <w:t>41</w:t>
          </w:r>
          <w:r>
            <w:rPr>
              <w:i/>
              <w:iCs/>
              <w:spacing w:val="14"/>
              <w:sz w:val="22"/>
              <w:szCs w:val="22"/>
            </w:rPr>
            <w:t>：</w:t>
          </w:r>
          <w:r>
            <w:rPr>
              <w:spacing w:val="-3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14"/>
              <w:sz w:val="22"/>
              <w:szCs w:val="22"/>
            </w:rPr>
            <w:t>3</w:t>
          </w:r>
          <w:r>
            <w:rPr>
              <w:i/>
              <w:iCs/>
              <w:spacing w:val="14"/>
              <w:sz w:val="22"/>
              <w:szCs w:val="22"/>
            </w:rPr>
            <w:t>种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14"/>
              <w:sz w:val="22"/>
              <w:szCs w:val="22"/>
            </w:rPr>
            <w:t>结构的比较</w:t>
          </w:r>
          <w:r>
            <w:rPr>
              <w:sz w:val="22"/>
              <w:szCs w:val="22"/>
            </w:rPr>
            <w:tab/>
          </w:r>
          <w:r>
            <w:rPr>
              <w:spacing w:val="-65"/>
              <w:sz w:val="22"/>
              <w:szCs w:val="22"/>
            </w:rPr>
            <w:t xml:space="preserve"> </w:t>
          </w:r>
          <w:hyperlink w:anchor="bookmark57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0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0"/>
              <w:sz w:val="22"/>
              <w:szCs w:val="22"/>
            </w:rPr>
            <w:t>42</w:t>
          </w:r>
          <w:r>
            <w:rPr>
              <w:i/>
              <w:iCs/>
              <w:spacing w:val="10"/>
              <w:sz w:val="22"/>
              <w:szCs w:val="22"/>
            </w:rPr>
            <w:t>：</w:t>
          </w:r>
          <w:r>
            <w:rPr>
              <w:spacing w:val="-32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AR</w:t>
          </w:r>
          <w:r>
            <w:rPr>
              <w:rFonts w:ascii="Tahoma" w:eastAsia="Tahoma" w:hAnsi="Tahoma" w:cs="Tahoma"/>
              <w:spacing w:val="10"/>
              <w:sz w:val="22"/>
              <w:szCs w:val="22"/>
            </w:rPr>
            <w:t>-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10"/>
              <w:sz w:val="22"/>
              <w:szCs w:val="22"/>
            </w:rPr>
            <w:t>原理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58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4" w:line="212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43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9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无数字仪表车型（标配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W/AR-HUD</w:t>
          </w:r>
          <w:r>
            <w:rPr>
              <w:i/>
              <w:iCs/>
              <w:spacing w:val="-2"/>
              <w:sz w:val="22"/>
              <w:szCs w:val="22"/>
            </w:rPr>
            <w:t>）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59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17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44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28"/>
              <w:sz w:val="22"/>
              <w:szCs w:val="22"/>
            </w:rPr>
            <w:t xml:space="preserve"> </w:t>
          </w:r>
          <w:r>
            <w:rPr>
              <w:i/>
              <w:iCs/>
              <w:sz w:val="22"/>
              <w:szCs w:val="22"/>
            </w:rPr>
            <w:t>不同技术路线实现</w:t>
          </w:r>
          <w:r>
            <w:rPr>
              <w:rFonts w:ascii="Tahoma" w:eastAsia="Tahoma" w:hAnsi="Tahoma" w:cs="Tahoma"/>
              <w:sz w:val="22"/>
              <w:szCs w:val="22"/>
            </w:rPr>
            <w:t>AR-HUD</w:t>
          </w:r>
          <w:r>
            <w:rPr>
              <w:rFonts w:ascii="Tahoma" w:eastAsia="Tahoma" w:hAnsi="Tahoma" w:cs="Tahoma"/>
              <w:spacing w:val="-35"/>
              <w:sz w:val="22"/>
              <w:szCs w:val="22"/>
            </w:rPr>
            <w:t xml:space="preserve"> </w:t>
          </w:r>
          <w:r>
            <w:rPr>
              <w:i/>
              <w:iCs/>
              <w:sz w:val="22"/>
              <w:szCs w:val="22"/>
            </w:rPr>
            <w:t>的对比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60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23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06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45</w:t>
          </w:r>
          <w:r>
            <w:rPr>
              <w:i/>
              <w:iCs/>
              <w:spacing w:val="1"/>
              <w:sz w:val="22"/>
              <w:szCs w:val="22"/>
            </w:rPr>
            <w:t>：</w:t>
          </w:r>
          <w:r>
            <w:rPr>
              <w:spacing w:val="-30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DLP</w:t>
          </w:r>
          <w:r>
            <w:rPr>
              <w:i/>
              <w:iCs/>
              <w:spacing w:val="1"/>
              <w:sz w:val="22"/>
              <w:szCs w:val="22"/>
            </w:rPr>
            <w:t>通过微型镜面转动控制反射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61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23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10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46</w:t>
          </w:r>
          <w:r>
            <w:rPr>
              <w:i/>
              <w:iCs/>
              <w:spacing w:val="2"/>
              <w:sz w:val="22"/>
              <w:szCs w:val="22"/>
            </w:rPr>
            <w:t>：</w:t>
          </w:r>
          <w:r>
            <w:rPr>
              <w:spacing w:val="-14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LCoS</w:t>
          </w:r>
          <w:r>
            <w:rPr>
              <w:i/>
              <w:iCs/>
              <w:spacing w:val="2"/>
              <w:sz w:val="22"/>
              <w:szCs w:val="22"/>
            </w:rPr>
            <w:t>通过液晶控制反射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62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23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0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47</w:t>
          </w:r>
          <w:r>
            <w:rPr>
              <w:i/>
              <w:iCs/>
              <w:spacing w:val="1"/>
              <w:sz w:val="22"/>
              <w:szCs w:val="22"/>
            </w:rPr>
            <w:t>：</w:t>
          </w:r>
          <w:r>
            <w:rPr>
              <w:spacing w:val="-34"/>
              <w:sz w:val="22"/>
              <w:szCs w:val="22"/>
            </w:rPr>
            <w:t xml:space="preserve"> </w:t>
          </w:r>
          <w:r>
            <w:rPr>
              <w:i/>
              <w:iCs/>
              <w:spacing w:val="1"/>
              <w:sz w:val="22"/>
              <w:szCs w:val="22"/>
            </w:rPr>
            <w:t>典型</w:t>
          </w:r>
          <w:r>
            <w:rPr>
              <w:rFonts w:ascii="Tahoma" w:eastAsia="Tahoma" w:hAnsi="Tahoma" w:cs="Tahoma"/>
              <w:sz w:val="22"/>
              <w:szCs w:val="22"/>
            </w:rPr>
            <w:t>DLP</w:t>
          </w:r>
          <w:r>
            <w:rPr>
              <w:i/>
              <w:iCs/>
              <w:spacing w:val="1"/>
              <w:sz w:val="22"/>
              <w:szCs w:val="22"/>
            </w:rPr>
            <w:t>方案</w:t>
          </w:r>
          <w:r>
            <w:rPr>
              <w:rFonts w:ascii="Tahoma" w:eastAsia="Tahoma" w:hAnsi="Tahoma" w:cs="Tahoma"/>
              <w:sz w:val="22"/>
              <w:szCs w:val="22"/>
            </w:rPr>
            <w:t>AR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-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rFonts w:ascii="Tahoma" w:eastAsia="Tahoma" w:hAnsi="Tahoma" w:cs="Tahoma"/>
              <w:spacing w:val="-35"/>
              <w:sz w:val="22"/>
              <w:szCs w:val="22"/>
            </w:rPr>
            <w:t xml:space="preserve"> </w:t>
          </w:r>
          <w:r>
            <w:rPr>
              <w:i/>
              <w:iCs/>
              <w:spacing w:val="1"/>
              <w:sz w:val="22"/>
              <w:szCs w:val="22"/>
            </w:rPr>
            <w:t>的成本构成（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2022</w:t>
          </w:r>
          <w:r>
            <w:rPr>
              <w:i/>
              <w:iCs/>
              <w:spacing w:val="1"/>
              <w:sz w:val="22"/>
              <w:szCs w:val="22"/>
            </w:rPr>
            <w:t>年）</w:t>
          </w:r>
          <w:r>
            <w:rPr>
              <w:spacing w:val="-46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63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24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5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>48</w:t>
          </w:r>
          <w:r>
            <w:rPr>
              <w:i/>
              <w:iCs/>
              <w:spacing w:val="-1"/>
              <w:sz w:val="22"/>
              <w:szCs w:val="22"/>
            </w:rPr>
            <w:t>：</w:t>
          </w:r>
          <w:r>
            <w:rPr>
              <w:spacing w:val="-2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-1"/>
              <w:sz w:val="22"/>
              <w:szCs w:val="22"/>
            </w:rPr>
            <w:t xml:space="preserve">AR-HUD </w:t>
          </w:r>
          <w:r>
            <w:rPr>
              <w:i/>
              <w:iCs/>
              <w:spacing w:val="-1"/>
              <w:sz w:val="22"/>
              <w:szCs w:val="22"/>
            </w:rPr>
            <w:t>各个技术路线市占率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64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24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49</w:t>
          </w:r>
          <w:r>
            <w:rPr>
              <w:i/>
              <w:iCs/>
              <w:spacing w:val="3"/>
              <w:sz w:val="22"/>
              <w:szCs w:val="22"/>
            </w:rPr>
            <w:t>：</w:t>
          </w:r>
          <w:r>
            <w:rPr>
              <w:spacing w:val="-19"/>
              <w:sz w:val="22"/>
              <w:szCs w:val="22"/>
            </w:rPr>
            <w:t xml:space="preserve"> </w:t>
          </w:r>
          <w:r>
            <w:rPr>
              <w:i/>
              <w:iCs/>
              <w:spacing w:val="3"/>
              <w:sz w:val="22"/>
              <w:szCs w:val="22"/>
            </w:rPr>
            <w:t>国内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3"/>
              <w:sz w:val="22"/>
              <w:szCs w:val="22"/>
            </w:rPr>
            <w:t>市场市占率（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2023</w:t>
          </w:r>
          <w:r>
            <w:rPr>
              <w:i/>
              <w:iCs/>
              <w:spacing w:val="3"/>
              <w:sz w:val="22"/>
              <w:szCs w:val="22"/>
            </w:rPr>
            <w:t>年前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3</w:t>
          </w:r>
          <w:r>
            <w:rPr>
              <w:i/>
              <w:iCs/>
              <w:spacing w:val="3"/>
              <w:sz w:val="22"/>
              <w:szCs w:val="22"/>
            </w:rPr>
            <w:t>季度）</w:t>
          </w:r>
          <w:r>
            <w:rPr>
              <w:spacing w:val="-46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5"/>
              <w:sz w:val="22"/>
              <w:szCs w:val="22"/>
            </w:rPr>
            <w:t xml:space="preserve"> </w:t>
          </w:r>
          <w:hyperlink w:anchor="bookmark65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24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1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6"/>
              <w:sz w:val="22"/>
              <w:szCs w:val="22"/>
            </w:rPr>
            <w:t>50</w:t>
          </w:r>
          <w:r>
            <w:rPr>
              <w:i/>
              <w:iCs/>
              <w:spacing w:val="6"/>
              <w:sz w:val="22"/>
              <w:szCs w:val="22"/>
            </w:rPr>
            <w:t>：</w:t>
          </w:r>
          <w:r>
            <w:rPr>
              <w:spacing w:val="-3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AR</w:t>
          </w:r>
          <w:r>
            <w:rPr>
              <w:rFonts w:ascii="Tahoma" w:eastAsia="Tahoma" w:hAnsi="Tahoma" w:cs="Tahoma"/>
              <w:spacing w:val="6"/>
              <w:sz w:val="22"/>
              <w:szCs w:val="22"/>
            </w:rPr>
            <w:t>-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6"/>
              <w:sz w:val="22"/>
              <w:szCs w:val="22"/>
            </w:rPr>
            <w:t>配套情况</w:t>
          </w:r>
          <w:r>
            <w:rPr>
              <w:sz w:val="22"/>
              <w:szCs w:val="22"/>
            </w:rPr>
            <w:tab/>
          </w:r>
          <w:r>
            <w:rPr>
              <w:spacing w:val="-65"/>
              <w:sz w:val="22"/>
              <w:szCs w:val="22"/>
            </w:rPr>
            <w:t xml:space="preserve"> </w:t>
          </w:r>
          <w:hyperlink w:anchor="bookmark66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24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4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51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17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4"/>
              <w:sz w:val="22"/>
              <w:szCs w:val="22"/>
            </w:rPr>
            <w:t>整体配套情况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67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52</w:t>
          </w:r>
          <w:r>
            <w:rPr>
              <w:i/>
              <w:iCs/>
              <w:spacing w:val="2"/>
              <w:sz w:val="22"/>
              <w:szCs w:val="22"/>
            </w:rPr>
            <w:t>：</w:t>
          </w:r>
          <w:r>
            <w:rPr>
              <w:spacing w:val="-28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2023</w:t>
          </w:r>
          <w:r>
            <w:rPr>
              <w:i/>
              <w:iCs/>
              <w:spacing w:val="2"/>
              <w:sz w:val="22"/>
              <w:szCs w:val="22"/>
            </w:rPr>
            <w:t>年搭载</w:t>
          </w:r>
          <w:r>
            <w:rPr>
              <w:rFonts w:ascii="Tahoma" w:eastAsia="Tahoma" w:hAnsi="Tahoma" w:cs="Tahoma"/>
              <w:sz w:val="22"/>
              <w:szCs w:val="22"/>
            </w:rPr>
            <w:t>AR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-</w:t>
          </w:r>
          <w:r>
            <w:rPr>
              <w:rFonts w:ascii="Tahoma" w:eastAsia="Tahoma" w:hAnsi="Tahoma" w:cs="Tahoma"/>
              <w:sz w:val="22"/>
              <w:szCs w:val="22"/>
            </w:rPr>
            <w:t>HUD</w:t>
          </w:r>
          <w:r>
            <w:rPr>
              <w:i/>
              <w:iCs/>
              <w:spacing w:val="2"/>
              <w:sz w:val="22"/>
              <w:szCs w:val="22"/>
            </w:rPr>
            <w:t>车型开始加速投放市场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68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3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53</w:t>
          </w:r>
          <w:r>
            <w:rPr>
              <w:i/>
              <w:iCs/>
              <w:spacing w:val="1"/>
              <w:sz w:val="22"/>
              <w:szCs w:val="22"/>
            </w:rPr>
            <w:t>：</w:t>
          </w:r>
          <w:r>
            <w:rPr>
              <w:spacing w:val="-28"/>
              <w:sz w:val="22"/>
              <w:szCs w:val="22"/>
            </w:rPr>
            <w:t xml:space="preserve"> </w:t>
          </w:r>
          <w:r>
            <w:rPr>
              <w:i/>
              <w:iCs/>
              <w:spacing w:val="1"/>
              <w:sz w:val="22"/>
              <w:szCs w:val="22"/>
            </w:rPr>
            <w:t>不同光源大灯对比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69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26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5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6"/>
              <w:sz w:val="22"/>
              <w:szCs w:val="22"/>
            </w:rPr>
            <w:t>54</w:t>
          </w:r>
          <w:r>
            <w:rPr>
              <w:i/>
              <w:iCs/>
              <w:spacing w:val="6"/>
              <w:sz w:val="22"/>
              <w:szCs w:val="22"/>
            </w:rPr>
            <w:t>：</w:t>
          </w:r>
          <w:r>
            <w:rPr>
              <w:spacing w:val="-38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6"/>
              <w:sz w:val="22"/>
              <w:szCs w:val="22"/>
            </w:rPr>
            <w:t>2019</w:t>
          </w:r>
          <w:r>
            <w:rPr>
              <w:i/>
              <w:iCs/>
              <w:spacing w:val="6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6"/>
              <w:sz w:val="22"/>
              <w:szCs w:val="22"/>
            </w:rPr>
            <w:t>-2022</w:t>
          </w:r>
          <w:r>
            <w:rPr>
              <w:i/>
              <w:iCs/>
              <w:spacing w:val="6"/>
              <w:sz w:val="22"/>
              <w:szCs w:val="22"/>
            </w:rPr>
            <w:t>年中国</w:t>
          </w:r>
          <w:r>
            <w:rPr>
              <w:rFonts w:ascii="Tahoma" w:eastAsia="Tahoma" w:hAnsi="Tahoma" w:cs="Tahoma"/>
              <w:sz w:val="22"/>
              <w:szCs w:val="22"/>
            </w:rPr>
            <w:t>ADB</w:t>
          </w:r>
          <w:r>
            <w:rPr>
              <w:i/>
              <w:iCs/>
              <w:spacing w:val="6"/>
              <w:sz w:val="22"/>
              <w:szCs w:val="22"/>
            </w:rPr>
            <w:t>前照灯渗透率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70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26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55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34"/>
              <w:sz w:val="22"/>
              <w:szCs w:val="22"/>
            </w:rPr>
            <w:t xml:space="preserve"> </w:t>
          </w:r>
          <w:r>
            <w:rPr>
              <w:i/>
              <w:iCs/>
              <w:sz w:val="22"/>
              <w:szCs w:val="22"/>
            </w:rPr>
            <w:t>不同数字大灯技术对比</w:t>
          </w:r>
          <w:r>
            <w:rPr>
              <w:sz w:val="22"/>
              <w:szCs w:val="22"/>
            </w:rPr>
            <w:tab/>
          </w:r>
          <w:r>
            <w:rPr>
              <w:spacing w:val="-66"/>
              <w:sz w:val="22"/>
              <w:szCs w:val="22"/>
            </w:rPr>
            <w:t xml:space="preserve"> </w:t>
          </w:r>
          <w:hyperlink w:anchor="bookmark71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27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0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56</w:t>
          </w:r>
          <w:r>
            <w:rPr>
              <w:i/>
              <w:iCs/>
              <w:spacing w:val="1"/>
              <w:sz w:val="22"/>
              <w:szCs w:val="22"/>
            </w:rPr>
            <w:t>：</w:t>
          </w:r>
          <w:r>
            <w:rPr>
              <w:spacing w:val="-22"/>
              <w:sz w:val="22"/>
              <w:szCs w:val="22"/>
            </w:rPr>
            <w:t xml:space="preserve"> </w:t>
          </w:r>
          <w:r>
            <w:rPr>
              <w:i/>
              <w:iCs/>
              <w:spacing w:val="1"/>
              <w:sz w:val="22"/>
              <w:szCs w:val="22"/>
            </w:rPr>
            <w:t>乘用车</w:t>
          </w:r>
          <w:r>
            <w:rPr>
              <w:rFonts w:ascii="Tahoma" w:eastAsia="Tahoma" w:hAnsi="Tahoma" w:cs="Tahoma"/>
              <w:sz w:val="22"/>
              <w:szCs w:val="22"/>
            </w:rPr>
            <w:t>LED</w:t>
          </w:r>
          <w:r>
            <w:rPr>
              <w:i/>
              <w:iCs/>
              <w:spacing w:val="1"/>
              <w:sz w:val="22"/>
              <w:szCs w:val="22"/>
            </w:rPr>
            <w:t>前大灯</w:t>
          </w:r>
          <w:r>
            <w:rPr>
              <w:spacing w:val="30"/>
              <w:sz w:val="22"/>
              <w:szCs w:val="22"/>
            </w:rPr>
            <w:t xml:space="preserve"> </w:t>
          </w:r>
          <w:r>
            <w:rPr>
              <w:i/>
              <w:iCs/>
              <w:spacing w:val="1"/>
              <w:sz w:val="22"/>
              <w:szCs w:val="22"/>
            </w:rPr>
            <w:t>（标配）供应商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2022</w:t>
          </w:r>
          <w:r>
            <w:rPr>
              <w:i/>
              <w:iCs/>
              <w:spacing w:val="1"/>
              <w:sz w:val="22"/>
              <w:szCs w:val="22"/>
            </w:rPr>
            <w:t>年前装市场份额</w:t>
          </w:r>
          <w:r>
            <w:rPr>
              <w:sz w:val="22"/>
              <w:szCs w:val="22"/>
            </w:rPr>
            <w:tab/>
          </w:r>
          <w:r>
            <w:rPr>
              <w:spacing w:val="-65"/>
              <w:sz w:val="22"/>
              <w:szCs w:val="22"/>
            </w:rPr>
            <w:t xml:space="preserve"> </w:t>
          </w:r>
          <w:hyperlink w:anchor="bookmark72" w:history="1">
            <w:r>
              <w:rPr>
                <w:rFonts w:ascii="Tahoma" w:eastAsia="Tahoma" w:hAnsi="Tahoma" w:cs="Tahoma"/>
                <w:spacing w:val="17"/>
                <w:sz w:val="22"/>
                <w:szCs w:val="22"/>
              </w:rPr>
              <w:t>27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57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31"/>
              <w:sz w:val="22"/>
              <w:szCs w:val="22"/>
            </w:rPr>
            <w:t xml:space="preserve"> </w:t>
          </w:r>
          <w:r>
            <w:rPr>
              <w:i/>
              <w:iCs/>
              <w:spacing w:val="4"/>
              <w:sz w:val="22"/>
              <w:szCs w:val="22"/>
            </w:rPr>
            <w:t>乘用车</w:t>
          </w:r>
          <w:r>
            <w:rPr>
              <w:rFonts w:ascii="Tahoma" w:eastAsia="Tahoma" w:hAnsi="Tahoma" w:cs="Tahoma"/>
              <w:sz w:val="22"/>
              <w:szCs w:val="22"/>
            </w:rPr>
            <w:t>LED</w:t>
          </w:r>
          <w:r>
            <w:rPr>
              <w:i/>
              <w:iCs/>
              <w:spacing w:val="4"/>
              <w:sz w:val="22"/>
              <w:szCs w:val="22"/>
            </w:rPr>
            <w:t>前大灯（标配</w:t>
          </w:r>
          <w:r>
            <w:rPr>
              <w:rFonts w:ascii="Tahoma" w:eastAsia="Tahoma" w:hAnsi="Tahoma" w:cs="Tahoma"/>
              <w:sz w:val="22"/>
              <w:szCs w:val="22"/>
            </w:rPr>
            <w:t>ADB</w:t>
          </w:r>
          <w:r>
            <w:rPr>
              <w:i/>
              <w:iCs/>
              <w:spacing w:val="4"/>
              <w:sz w:val="22"/>
              <w:szCs w:val="22"/>
            </w:rPr>
            <w:t>功能）控制器供应商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2022</w:t>
          </w:r>
          <w:r>
            <w:rPr>
              <w:i/>
              <w:iCs/>
              <w:spacing w:val="4"/>
              <w:sz w:val="22"/>
              <w:szCs w:val="22"/>
            </w:rPr>
            <w:t>年前装份额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73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58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34"/>
              <w:sz w:val="22"/>
              <w:szCs w:val="22"/>
            </w:rPr>
            <w:t xml:space="preserve"> </w:t>
          </w:r>
          <w:r>
            <w:rPr>
              <w:i/>
              <w:iCs/>
              <w:spacing w:val="4"/>
              <w:sz w:val="22"/>
              <w:szCs w:val="22"/>
            </w:rPr>
            <w:t>乘用车</w:t>
          </w:r>
          <w:r>
            <w:rPr>
              <w:rFonts w:ascii="Tahoma" w:eastAsia="Tahoma" w:hAnsi="Tahoma" w:cs="Tahoma"/>
              <w:sz w:val="22"/>
              <w:szCs w:val="22"/>
            </w:rPr>
            <w:t>LED</w:t>
          </w:r>
          <w:r>
            <w:rPr>
              <w:i/>
              <w:iCs/>
              <w:spacing w:val="4"/>
              <w:sz w:val="22"/>
              <w:szCs w:val="22"/>
            </w:rPr>
            <w:t>前大灯（标配</w:t>
          </w:r>
          <w:r>
            <w:rPr>
              <w:rFonts w:ascii="Tahoma" w:eastAsia="Tahoma" w:hAnsi="Tahoma" w:cs="Tahoma"/>
              <w:sz w:val="22"/>
              <w:szCs w:val="22"/>
            </w:rPr>
            <w:t>AFS</w:t>
          </w:r>
          <w:r>
            <w:rPr>
              <w:i/>
              <w:iCs/>
              <w:spacing w:val="4"/>
              <w:sz w:val="22"/>
              <w:szCs w:val="22"/>
            </w:rPr>
            <w:t>功能）控制器供应商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2022</w:t>
          </w:r>
          <w:r>
            <w:rPr>
              <w:i/>
              <w:iCs/>
              <w:spacing w:val="4"/>
              <w:sz w:val="22"/>
              <w:szCs w:val="22"/>
            </w:rPr>
            <w:t>年前装份额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74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4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59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6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近期部分新车型车灯配套一览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75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60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6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华为途灵智能底盘软硬件配置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76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29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7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61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15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华为途灵智能底盘四大核心技术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77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29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1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62</w:t>
          </w:r>
          <w:r>
            <w:rPr>
              <w:i/>
              <w:iCs/>
              <w:spacing w:val="2"/>
              <w:sz w:val="22"/>
              <w:szCs w:val="22"/>
            </w:rPr>
            <w:t>：</w:t>
          </w:r>
          <w:r>
            <w:rPr>
              <w:spacing w:val="-24"/>
              <w:sz w:val="22"/>
              <w:szCs w:val="22"/>
            </w:rPr>
            <w:t xml:space="preserve"> </w:t>
          </w:r>
          <w:r>
            <w:rPr>
              <w:i/>
              <w:iCs/>
              <w:spacing w:val="2"/>
              <w:sz w:val="22"/>
              <w:szCs w:val="22"/>
            </w:rPr>
            <w:t>途灵底盘的车辆智控中枢是</w:t>
          </w:r>
          <w:r>
            <w:rPr>
              <w:rFonts w:ascii="Tahoma" w:eastAsia="Tahoma" w:hAnsi="Tahoma" w:cs="Tahoma"/>
              <w:sz w:val="22"/>
              <w:szCs w:val="22"/>
            </w:rPr>
            <w:t>MFSS</w:t>
          </w:r>
          <w:r>
            <w:rPr>
              <w:i/>
              <w:iCs/>
              <w:spacing w:val="2"/>
              <w:sz w:val="22"/>
              <w:szCs w:val="22"/>
            </w:rPr>
            <w:t>、</w:t>
          </w:r>
          <w:r>
            <w:rPr>
              <w:rFonts w:ascii="Tahoma" w:eastAsia="Tahoma" w:hAnsi="Tahoma" w:cs="Tahoma"/>
              <w:sz w:val="22"/>
              <w:szCs w:val="22"/>
            </w:rPr>
            <w:t>DATS</w:t>
          </w:r>
          <w:r>
            <w:rPr>
              <w:i/>
              <w:iCs/>
              <w:spacing w:val="2"/>
              <w:sz w:val="22"/>
              <w:szCs w:val="22"/>
            </w:rPr>
            <w:t>和</w:t>
          </w:r>
          <w:r>
            <w:rPr>
              <w:rFonts w:ascii="Tahoma" w:eastAsia="Tahoma" w:hAnsi="Tahoma" w:cs="Tahoma"/>
              <w:sz w:val="22"/>
              <w:szCs w:val="22"/>
            </w:rPr>
            <w:t>xMotion</w:t>
          </w:r>
          <w:r>
            <w:rPr>
              <w:i/>
              <w:iCs/>
              <w:spacing w:val="2"/>
              <w:sz w:val="22"/>
              <w:szCs w:val="22"/>
            </w:rPr>
            <w:t>技术</w:t>
          </w:r>
          <w:r>
            <w:rPr>
              <w:sz w:val="22"/>
              <w:szCs w:val="22"/>
            </w:rPr>
            <w:tab/>
          </w:r>
          <w:r>
            <w:rPr>
              <w:spacing w:val="-69"/>
              <w:sz w:val="22"/>
              <w:szCs w:val="22"/>
            </w:rPr>
            <w:t xml:space="preserve"> </w:t>
          </w:r>
          <w:hyperlink w:anchor="bookmark78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63</w:t>
          </w:r>
          <w:r>
            <w:rPr>
              <w:i/>
              <w:iCs/>
              <w:spacing w:val="3"/>
              <w:sz w:val="22"/>
              <w:szCs w:val="22"/>
            </w:rPr>
            <w:t>：</w:t>
          </w:r>
          <w:r>
            <w:rPr>
              <w:spacing w:val="-41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2020</w:t>
          </w:r>
          <w:r>
            <w:rPr>
              <w:i/>
              <w:iCs/>
              <w:spacing w:val="3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-2023</w:t>
          </w:r>
          <w:r>
            <w:rPr>
              <w:i/>
              <w:iCs/>
              <w:spacing w:val="3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3"/>
              <w:sz w:val="22"/>
              <w:szCs w:val="22"/>
            </w:rPr>
            <w:t>1-8</w:t>
          </w:r>
          <w:r>
            <w:rPr>
              <w:i/>
              <w:iCs/>
              <w:spacing w:val="3"/>
              <w:sz w:val="22"/>
              <w:szCs w:val="22"/>
            </w:rPr>
            <w:t>月年中国乘用</w:t>
          </w:r>
          <w:r>
            <w:rPr>
              <w:i/>
              <w:iCs/>
              <w:spacing w:val="2"/>
              <w:sz w:val="22"/>
              <w:szCs w:val="22"/>
            </w:rPr>
            <w:t>车线控制动装配率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79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30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64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26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乘用车线控制动不同方案对比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0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4" w:line="212" w:lineRule="auto"/>
            <w:ind w:left="86"/>
            <w:rPr>
              <w:rFonts w:ascii="Tahoma" w:eastAsia="Tahoma" w:hAnsi="Tahoma" w:cs="Tahoma"/>
              <w:sz w:val="22"/>
              <w:szCs w:val="22"/>
            </w:rPr>
            <w:sectPr>
              <w:headerReference w:type="default" r:id="rId17"/>
              <w:footerReference w:type="default" r:id="rId18"/>
              <w:pgSz w:w="11910" w:h="16845"/>
              <w:pgMar w:top="885" w:right="517" w:bottom="840" w:left="612" w:header="386" w:footer="542" w:gutter="0"/>
              <w:pgNumType w:start="7"/>
              <w:cols w:space="708"/>
            </w:sect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65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3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中国乘用车线控制动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One-Box/Two-Box</w:t>
          </w:r>
          <w:r>
            <w:rPr>
              <w:rFonts w:ascii="Tahoma" w:eastAsia="Tahoma" w:hAnsi="Tahoma" w:cs="Tahoma"/>
              <w:spacing w:val="-11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占比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1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22"/>
          <w:szCs w:val="22"/>
        </w:rPr>
        <w:id w:val="662680023"/>
        <w:docPartObj>
          <w:docPartGallery w:val="Table of Contents"/>
          <w:docPartUnique/>
        </w:docPartObj>
      </w:sdtPr>
      <w:sdtEndPr>
        <w:rPr>
          <w:rFonts w:ascii="Tahoma" w:eastAsia="Tahoma" w:hAnsi="Tahoma" w:cs="Tahoma"/>
          <w:sz w:val="22"/>
          <w:szCs w:val="22"/>
        </w:rPr>
      </w:sdtEndPr>
      <w:sdtContent>
        <w:p>
          <w:pPr>
            <w:pStyle w:val="BodyText"/>
            <w:tabs>
              <w:tab w:val="right" w:leader="dot" w:pos="10653"/>
            </w:tabs>
            <w:spacing w:before="2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5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5"/>
              <w:sz w:val="22"/>
              <w:szCs w:val="22"/>
            </w:rPr>
            <w:t>66</w:t>
          </w:r>
          <w:r>
            <w:rPr>
              <w:i/>
              <w:iCs/>
              <w:spacing w:val="5"/>
              <w:sz w:val="22"/>
              <w:szCs w:val="22"/>
            </w:rPr>
            <w:t>：</w:t>
          </w:r>
          <w:r>
            <w:rPr>
              <w:spacing w:val="-22"/>
              <w:sz w:val="22"/>
              <w:szCs w:val="22"/>
            </w:rPr>
            <w:t xml:space="preserve"> </w:t>
          </w:r>
          <w:r>
            <w:rPr>
              <w:i/>
              <w:iCs/>
              <w:spacing w:val="5"/>
              <w:sz w:val="22"/>
              <w:szCs w:val="22"/>
            </w:rPr>
            <w:t>前湿后干</w:t>
          </w:r>
          <w:r>
            <w:rPr>
              <w:rFonts w:ascii="Tahoma" w:eastAsia="Tahoma" w:hAnsi="Tahoma" w:cs="Tahoma"/>
              <w:sz w:val="22"/>
              <w:szCs w:val="22"/>
            </w:rPr>
            <w:t>EMB</w:t>
          </w:r>
          <w:r>
            <w:rPr>
              <w:i/>
              <w:iCs/>
              <w:spacing w:val="5"/>
              <w:sz w:val="22"/>
              <w:szCs w:val="22"/>
            </w:rPr>
            <w:t>方案结构图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2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31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6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67</w:t>
          </w:r>
          <w:r>
            <w:rPr>
              <w:i/>
              <w:iCs/>
              <w:spacing w:val="1"/>
              <w:sz w:val="22"/>
              <w:szCs w:val="22"/>
            </w:rPr>
            <w:t>：</w:t>
          </w:r>
          <w:r>
            <w:rPr>
              <w:spacing w:val="-35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2023</w:t>
          </w:r>
          <w:r>
            <w:rPr>
              <w:i/>
              <w:iCs/>
              <w:spacing w:val="1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1-8</w:t>
          </w:r>
          <w:r>
            <w:rPr>
              <w:i/>
              <w:iCs/>
              <w:spacing w:val="1"/>
              <w:sz w:val="22"/>
              <w:szCs w:val="22"/>
            </w:rPr>
            <w:t>月中国乘用车线控制动供应商市占率情况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3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3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68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30"/>
              <w:sz w:val="22"/>
              <w:szCs w:val="22"/>
            </w:rPr>
            <w:t xml:space="preserve"> </w:t>
          </w:r>
          <w:r>
            <w:rPr>
              <w:i/>
              <w:iCs/>
              <w:spacing w:val="4"/>
              <w:sz w:val="22"/>
              <w:szCs w:val="22"/>
            </w:rPr>
            <w:t>部分供应商</w:t>
          </w:r>
          <w:r>
            <w:rPr>
              <w:rFonts w:ascii="Tahoma" w:eastAsia="Tahoma" w:hAnsi="Tahoma" w:cs="Tahoma"/>
              <w:sz w:val="22"/>
              <w:szCs w:val="22"/>
            </w:rPr>
            <w:t>EHB</w:t>
          </w:r>
          <w:r>
            <w:rPr>
              <w:i/>
              <w:iCs/>
              <w:spacing w:val="4"/>
              <w:sz w:val="22"/>
              <w:szCs w:val="22"/>
            </w:rPr>
            <w:t>产品布局情况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4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32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69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36"/>
              <w:sz w:val="22"/>
              <w:szCs w:val="22"/>
            </w:rPr>
            <w:t xml:space="preserve"> </w:t>
          </w:r>
          <w:r>
            <w:rPr>
              <w:i/>
              <w:iCs/>
              <w:spacing w:val="4"/>
              <w:sz w:val="22"/>
              <w:szCs w:val="22"/>
            </w:rPr>
            <w:t>部分供应商</w:t>
          </w:r>
          <w:r>
            <w:rPr>
              <w:rFonts w:ascii="Tahoma" w:eastAsia="Tahoma" w:hAnsi="Tahoma" w:cs="Tahoma"/>
              <w:sz w:val="22"/>
              <w:szCs w:val="22"/>
            </w:rPr>
            <w:t>EMB</w:t>
          </w:r>
          <w:r>
            <w:rPr>
              <w:i/>
              <w:iCs/>
              <w:spacing w:val="4"/>
              <w:sz w:val="22"/>
              <w:szCs w:val="22"/>
            </w:rPr>
            <w:t>产品布局情况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5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33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7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70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28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本土制动厂商制动系列产品布局情况</w:t>
          </w:r>
          <w:r>
            <w:rPr>
              <w:sz w:val="22"/>
              <w:szCs w:val="22"/>
            </w:rPr>
            <w:tab/>
          </w:r>
          <w:r>
            <w:rPr>
              <w:spacing w:val="-69"/>
              <w:sz w:val="22"/>
              <w:szCs w:val="22"/>
            </w:rPr>
            <w:t xml:space="preserve"> </w:t>
          </w:r>
          <w:hyperlink w:anchor="bookmark86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33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3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1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71</w:t>
          </w:r>
          <w:r>
            <w:rPr>
              <w:i/>
              <w:iCs/>
              <w:spacing w:val="1"/>
              <w:sz w:val="22"/>
              <w:szCs w:val="22"/>
            </w:rPr>
            <w:t>：</w:t>
          </w:r>
          <w:r>
            <w:rPr>
              <w:spacing w:val="-31"/>
              <w:sz w:val="22"/>
              <w:szCs w:val="22"/>
            </w:rPr>
            <w:t xml:space="preserve"> </w:t>
          </w:r>
          <w:r>
            <w:rPr>
              <w:i/>
              <w:iCs/>
              <w:spacing w:val="1"/>
              <w:sz w:val="22"/>
              <w:szCs w:val="22"/>
            </w:rPr>
            <w:t>本土品牌</w:t>
          </w:r>
          <w:r>
            <w:rPr>
              <w:rFonts w:ascii="Tahoma" w:eastAsia="Tahoma" w:hAnsi="Tahoma" w:cs="Tahoma"/>
              <w:spacing w:val="1"/>
              <w:sz w:val="22"/>
              <w:szCs w:val="22"/>
            </w:rPr>
            <w:t>2023</w:t>
          </w:r>
          <w:r>
            <w:rPr>
              <w:i/>
              <w:iCs/>
              <w:spacing w:val="1"/>
              <w:sz w:val="22"/>
              <w:szCs w:val="22"/>
            </w:rPr>
            <w:t>年上市标配空气悬架车型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87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34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4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72</w:t>
          </w:r>
          <w:r>
            <w:rPr>
              <w:i/>
              <w:iCs/>
              <w:spacing w:val="4"/>
              <w:sz w:val="22"/>
              <w:szCs w:val="22"/>
            </w:rPr>
            <w:t>：</w:t>
          </w:r>
          <w:r>
            <w:rPr>
              <w:spacing w:val="-37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2023</w:t>
          </w:r>
          <w:r>
            <w:rPr>
              <w:i/>
              <w:iCs/>
              <w:spacing w:val="4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4"/>
              <w:sz w:val="22"/>
              <w:szCs w:val="22"/>
            </w:rPr>
            <w:t>1-11</w:t>
          </w:r>
          <w:r>
            <w:rPr>
              <w:i/>
              <w:iCs/>
              <w:spacing w:val="4"/>
              <w:sz w:val="22"/>
              <w:szCs w:val="22"/>
            </w:rPr>
            <w:t>月空气悬架供应商搭载量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88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5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73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21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空气悬架各价格区间市场同期变化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89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1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74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22"/>
              <w:sz w:val="22"/>
              <w:szCs w:val="22"/>
            </w:rPr>
            <w:t xml:space="preserve"> </w:t>
          </w:r>
          <w:r>
            <w:rPr>
              <w:i/>
              <w:iCs/>
              <w:sz w:val="22"/>
              <w:szCs w:val="22"/>
            </w:rPr>
            <w:t>我国空气悬架渗透率和</w:t>
          </w:r>
          <w:r>
            <w:rPr>
              <w:rFonts w:ascii="Tahoma" w:eastAsia="Tahoma" w:hAnsi="Tahoma" w:cs="Tahoma"/>
              <w:sz w:val="22"/>
              <w:szCs w:val="22"/>
            </w:rPr>
            <w:t>25</w:t>
          </w:r>
          <w:r>
            <w:rPr>
              <w:i/>
              <w:iCs/>
              <w:sz w:val="22"/>
              <w:szCs w:val="22"/>
            </w:rPr>
            <w:t>万以上车销量占比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0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8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75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11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空气悬架分类别市场规模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1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5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76</w:t>
          </w:r>
          <w:r>
            <w:rPr>
              <w:i/>
              <w:iCs/>
              <w:spacing w:val="2"/>
              <w:sz w:val="22"/>
              <w:szCs w:val="22"/>
            </w:rPr>
            <w:t>：</w:t>
          </w:r>
          <w:r>
            <w:rPr>
              <w:spacing w:val="-33"/>
              <w:sz w:val="22"/>
              <w:szCs w:val="22"/>
            </w:rPr>
            <w:t xml:space="preserve"> 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2023</w:t>
          </w:r>
          <w:r>
            <w:rPr>
              <w:i/>
              <w:iCs/>
              <w:spacing w:val="2"/>
              <w:sz w:val="22"/>
              <w:szCs w:val="22"/>
            </w:rPr>
            <w:t>年</w:t>
          </w:r>
          <w:r>
            <w:rPr>
              <w:rFonts w:ascii="Tahoma" w:eastAsia="Tahoma" w:hAnsi="Tahoma" w:cs="Tahoma"/>
              <w:spacing w:val="2"/>
              <w:sz w:val="22"/>
              <w:szCs w:val="22"/>
            </w:rPr>
            <w:t>1-11</w:t>
          </w:r>
          <w:r>
            <w:rPr>
              <w:i/>
              <w:iCs/>
              <w:spacing w:val="2"/>
              <w:sz w:val="22"/>
              <w:szCs w:val="22"/>
            </w:rPr>
            <w:t>月空气悬架搭载量及渗透率的变化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2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35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1" w:line="210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7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7"/>
              <w:sz w:val="22"/>
              <w:szCs w:val="22"/>
            </w:rPr>
            <w:t>77</w:t>
          </w:r>
          <w:r>
            <w:rPr>
              <w:i/>
              <w:iCs/>
              <w:spacing w:val="-7"/>
              <w:sz w:val="22"/>
              <w:szCs w:val="22"/>
            </w:rPr>
            <w:t>：</w:t>
          </w:r>
          <w:r>
            <w:rPr>
              <w:spacing w:val="-7"/>
              <w:sz w:val="22"/>
              <w:szCs w:val="22"/>
            </w:rPr>
            <w:t xml:space="preserve"> </w:t>
          </w:r>
          <w:r>
            <w:rPr>
              <w:i/>
              <w:iCs/>
              <w:spacing w:val="-7"/>
              <w:sz w:val="22"/>
              <w:szCs w:val="22"/>
            </w:rPr>
            <w:t>国产空气悬架成本拆分（</w:t>
          </w:r>
          <w:r>
            <w:rPr>
              <w:rFonts w:ascii="Tahoma" w:eastAsia="Tahoma" w:hAnsi="Tahoma" w:cs="Tahoma"/>
              <w:spacing w:val="-7"/>
              <w:sz w:val="22"/>
              <w:szCs w:val="22"/>
            </w:rPr>
            <w:t>2022</w:t>
          </w:r>
          <w:r>
            <w:rPr>
              <w:i/>
              <w:iCs/>
              <w:spacing w:val="-7"/>
              <w:sz w:val="22"/>
              <w:szCs w:val="22"/>
            </w:rPr>
            <w:t>年）</w:t>
          </w:r>
          <w:r>
            <w:rPr>
              <w:spacing w:val="-7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9"/>
              <w:sz w:val="22"/>
              <w:szCs w:val="22"/>
            </w:rPr>
            <w:t xml:space="preserve"> </w:t>
          </w:r>
          <w:hyperlink w:anchor="bookmark93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36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5" w:line="207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5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5"/>
              <w:sz w:val="22"/>
              <w:szCs w:val="22"/>
            </w:rPr>
            <w:t>78</w:t>
          </w:r>
          <w:r>
            <w:rPr>
              <w:i/>
              <w:iCs/>
              <w:spacing w:val="-5"/>
              <w:sz w:val="22"/>
              <w:szCs w:val="22"/>
            </w:rPr>
            <w:t>：</w:t>
          </w:r>
          <w:r>
            <w:rPr>
              <w:spacing w:val="-5"/>
              <w:sz w:val="22"/>
              <w:szCs w:val="22"/>
            </w:rPr>
            <w:t xml:space="preserve"> </w:t>
          </w:r>
          <w:r>
            <w:rPr>
              <w:i/>
              <w:iCs/>
              <w:spacing w:val="-5"/>
              <w:sz w:val="22"/>
              <w:szCs w:val="22"/>
            </w:rPr>
            <w:t>国内新能源乘用车空气悬架市场规模预测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94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36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79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34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特斯拉人形机器人发展重要节点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5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37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1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z w:val="22"/>
              <w:szCs w:val="22"/>
            </w:rPr>
            <w:t>80</w:t>
          </w:r>
          <w:r>
            <w:rPr>
              <w:i/>
              <w:iCs/>
              <w:sz w:val="22"/>
              <w:szCs w:val="22"/>
            </w:rPr>
            <w:t>：</w:t>
          </w:r>
          <w:r>
            <w:rPr>
              <w:spacing w:val="-25"/>
              <w:sz w:val="22"/>
              <w:szCs w:val="22"/>
            </w:rPr>
            <w:t xml:space="preserve"> </w:t>
          </w:r>
          <w:r>
            <w:rPr>
              <w:i/>
              <w:iCs/>
              <w:sz w:val="22"/>
              <w:szCs w:val="22"/>
            </w:rPr>
            <w:t>特斯拉人形机器人结构（基于</w:t>
          </w:r>
          <w:r>
            <w:rPr>
              <w:rFonts w:ascii="Tahoma" w:eastAsia="Tahoma" w:hAnsi="Tahoma" w:cs="Tahoma"/>
              <w:sz w:val="22"/>
              <w:szCs w:val="22"/>
            </w:rPr>
            <w:t>2022</w:t>
          </w:r>
          <w:r>
            <w:rPr>
              <w:i/>
              <w:iCs/>
              <w:sz w:val="22"/>
              <w:szCs w:val="22"/>
            </w:rPr>
            <w:t>年特斯拉</w:t>
          </w:r>
          <w:r>
            <w:rPr>
              <w:rFonts w:ascii="Tahoma" w:eastAsia="Tahoma" w:hAnsi="Tahoma" w:cs="Tahoma"/>
              <w:sz w:val="22"/>
              <w:szCs w:val="22"/>
            </w:rPr>
            <w:t>AIDAY</w:t>
          </w:r>
          <w:r>
            <w:rPr>
              <w:i/>
              <w:iCs/>
              <w:sz w:val="22"/>
              <w:szCs w:val="22"/>
            </w:rPr>
            <w:t>）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6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37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7" w:line="214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6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81</w:t>
          </w:r>
          <w:r>
            <w:rPr>
              <w:i/>
              <w:iCs/>
              <w:spacing w:val="-6"/>
              <w:sz w:val="22"/>
              <w:szCs w:val="22"/>
            </w:rPr>
            <w:t>：</w:t>
          </w:r>
          <w:r>
            <w:rPr>
              <w:spacing w:val="-33"/>
              <w:sz w:val="22"/>
              <w:szCs w:val="22"/>
            </w:rPr>
            <w:t xml:space="preserve"> </w:t>
          </w:r>
          <w:r>
            <w:rPr>
              <w:i/>
              <w:iCs/>
              <w:spacing w:val="-6"/>
              <w:sz w:val="22"/>
              <w:szCs w:val="22"/>
            </w:rPr>
            <w:t>特斯拉六种型号执行器（旋转</w:t>
          </w:r>
          <w:r>
            <w:rPr>
              <w:rFonts w:ascii="Tahoma" w:eastAsia="Tahoma" w:hAnsi="Tahoma" w:cs="Tahoma"/>
              <w:spacing w:val="-6"/>
              <w:sz w:val="22"/>
              <w:szCs w:val="22"/>
            </w:rPr>
            <w:t>+</w:t>
          </w:r>
          <w:r>
            <w:rPr>
              <w:i/>
              <w:iCs/>
              <w:spacing w:val="-6"/>
              <w:sz w:val="22"/>
              <w:szCs w:val="22"/>
            </w:rPr>
            <w:t>线性）</w:t>
          </w:r>
          <w:r>
            <w:rPr>
              <w:spacing w:val="-90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67"/>
              <w:sz w:val="22"/>
              <w:szCs w:val="22"/>
            </w:rPr>
            <w:t xml:space="preserve"> </w:t>
          </w:r>
          <w:hyperlink w:anchor="bookmark97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1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3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3"/>
              <w:sz w:val="22"/>
              <w:szCs w:val="22"/>
            </w:rPr>
            <w:t>82</w:t>
          </w:r>
          <w:r>
            <w:rPr>
              <w:i/>
              <w:iCs/>
              <w:spacing w:val="-3"/>
              <w:sz w:val="22"/>
              <w:szCs w:val="22"/>
            </w:rPr>
            <w:t>：</w:t>
          </w:r>
          <w:r>
            <w:rPr>
              <w:spacing w:val="-21"/>
              <w:sz w:val="22"/>
              <w:szCs w:val="22"/>
            </w:rPr>
            <w:t xml:space="preserve"> </w:t>
          </w:r>
          <w:r>
            <w:rPr>
              <w:i/>
              <w:iCs/>
              <w:spacing w:val="-3"/>
              <w:sz w:val="22"/>
              <w:szCs w:val="22"/>
            </w:rPr>
            <w:t>特斯拉人形机器人各环节成本分析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8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38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20" w:line="208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2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2"/>
              <w:sz w:val="22"/>
              <w:szCs w:val="22"/>
            </w:rPr>
            <w:t>83</w:t>
          </w:r>
          <w:r>
            <w:rPr>
              <w:i/>
              <w:iCs/>
              <w:spacing w:val="-2"/>
              <w:sz w:val="22"/>
              <w:szCs w:val="22"/>
            </w:rPr>
            <w:t>：</w:t>
          </w:r>
          <w:r>
            <w:rPr>
              <w:spacing w:val="-34"/>
              <w:sz w:val="22"/>
              <w:szCs w:val="22"/>
            </w:rPr>
            <w:t xml:space="preserve"> </w:t>
          </w:r>
          <w:r>
            <w:rPr>
              <w:i/>
              <w:iCs/>
              <w:spacing w:val="-2"/>
              <w:sz w:val="22"/>
              <w:szCs w:val="22"/>
            </w:rPr>
            <w:t>机器人领域国产供应商布局情况</w:t>
          </w:r>
          <w:r>
            <w:rPr>
              <w:sz w:val="22"/>
              <w:szCs w:val="22"/>
            </w:rPr>
            <w:tab/>
          </w:r>
          <w:r>
            <w:rPr>
              <w:spacing w:val="-68"/>
              <w:sz w:val="22"/>
              <w:szCs w:val="22"/>
            </w:rPr>
            <w:t xml:space="preserve"> </w:t>
          </w:r>
          <w:hyperlink w:anchor="bookmark99" w:history="1">
            <w:r>
              <w:rPr>
                <w:rFonts w:ascii="Tahoma" w:eastAsia="Tahoma" w:hAnsi="Tahoma" w:cs="Tahoma"/>
                <w:spacing w:val="18"/>
                <w:sz w:val="22"/>
                <w:szCs w:val="22"/>
              </w:rPr>
              <w:t>39</w:t>
            </w:r>
          </w:hyperlink>
        </w:p>
        <w:p>
          <w:pPr>
            <w:pStyle w:val="BodyText"/>
            <w:tabs>
              <w:tab w:val="right" w:leader="dot" w:pos="10653"/>
            </w:tabs>
            <w:spacing w:before="9" w:line="209" w:lineRule="auto"/>
            <w:ind w:left="86"/>
            <w:rPr>
              <w:rFonts w:ascii="Tahoma" w:eastAsia="Tahoma" w:hAnsi="Tahoma" w:cs="Tahoma"/>
              <w:sz w:val="22"/>
              <w:szCs w:val="22"/>
            </w:rPr>
          </w:pPr>
          <w:r>
            <w:rPr>
              <w:i/>
              <w:iCs/>
              <w:spacing w:val="-9"/>
              <w:sz w:val="22"/>
              <w:szCs w:val="22"/>
            </w:rPr>
            <w:t>图表</w:t>
          </w:r>
          <w:r>
            <w:rPr>
              <w:rFonts w:ascii="Tahoma" w:eastAsia="Tahoma" w:hAnsi="Tahoma" w:cs="Tahoma"/>
              <w:spacing w:val="-9"/>
              <w:sz w:val="22"/>
              <w:szCs w:val="22"/>
            </w:rPr>
            <w:t>84</w:t>
          </w:r>
          <w:r>
            <w:rPr>
              <w:i/>
              <w:iCs/>
              <w:spacing w:val="-9"/>
              <w:sz w:val="22"/>
              <w:szCs w:val="22"/>
            </w:rPr>
            <w:t>：</w:t>
          </w:r>
          <w:r>
            <w:rPr>
              <w:spacing w:val="-21"/>
              <w:sz w:val="22"/>
              <w:szCs w:val="22"/>
            </w:rPr>
            <w:t xml:space="preserve"> </w:t>
          </w:r>
          <w:r>
            <w:rPr>
              <w:i/>
              <w:iCs/>
              <w:spacing w:val="-9"/>
              <w:sz w:val="22"/>
              <w:szCs w:val="22"/>
            </w:rPr>
            <w:t>全球人形机器人及各环节市场规模预测（亿美元）</w:t>
          </w:r>
          <w:r>
            <w:rPr>
              <w:spacing w:val="-9"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ab/>
          </w:r>
          <w:r>
            <w:rPr>
              <w:spacing w:val="-74"/>
              <w:sz w:val="22"/>
              <w:szCs w:val="22"/>
            </w:rPr>
            <w:t xml:space="preserve"> </w:t>
          </w:r>
          <w:hyperlink w:anchor="bookmark100" w:history="1">
            <w:r>
              <w:rPr>
                <w:rFonts w:ascii="Tahoma" w:eastAsia="Tahoma" w:hAnsi="Tahoma" w:cs="Tahoma"/>
                <w:spacing w:val="21"/>
                <w:sz w:val="22"/>
                <w:szCs w:val="22"/>
              </w:rPr>
              <w:t>40</w:t>
            </w:r>
          </w:hyperlink>
        </w:p>
      </w:sdtContent>
    </w:sdt>
    <w:p>
      <w:pPr>
        <w:spacing w:line="209" w:lineRule="auto"/>
        <w:rPr>
          <w:rFonts w:ascii="Tahoma" w:eastAsia="Tahoma" w:hAnsi="Tahoma" w:cs="Tahoma"/>
          <w:sz w:val="22"/>
          <w:szCs w:val="22"/>
        </w:rPr>
        <w:sectPr>
          <w:headerReference w:type="default" r:id="rId19"/>
          <w:footerReference w:type="default" r:id="rId20"/>
          <w:type w:val="nextPage"/>
          <w:pgSz w:w="11910" w:h="16845"/>
          <w:pgMar w:top="885" w:right="517" w:bottom="840" w:left="612" w:header="386" w:footer="542" w:gutter="0"/>
          <w:pgNumType w:start="8"/>
          <w:cols w:space="708"/>
          <w:titlePg w:val="0"/>
        </w:sectPr>
      </w:pPr>
    </w:p>
    <w:p>
      <w:pPr>
        <w:pStyle w:val="BodyText"/>
        <w:spacing w:before="296" w:line="216" w:lineRule="auto"/>
        <w:ind w:left="2645"/>
        <w:outlineLvl w:val="0"/>
        <w:rPr>
          <w:sz w:val="30"/>
          <w:szCs w:val="30"/>
        </w:rPr>
      </w:pPr>
      <w:r>
        <w:pict>
          <v:rect id="_x0000_s1027" style="width:2.5pt;height:2.35pt;margin-top:382.52pt;margin-left:228.62pt;mso-position-horizontal-relative:page;mso-position-vertical-relative:page;position:absolute;z-index:251673600" o:allowincell="f" filled="t" fillcolor="#003e98" stroked="f"/>
        </w:pict>
      </w:r>
      <w:r>
        <w:pict>
          <v:shape id="_x0000_s1028" style="width:400.3pt;height:0.75pt;margin-top:327.3pt;margin-left:161.45pt;mso-position-horizontal-relative:page;mso-position-vertical-relative:page;position:absolute;z-index:251666432" coordorigin="0,0" coordsize="8005,15" o:allowincell="f" path="m,15l8005,15l8005,l,l,15xe" filled="t" fillcolor="#004098" stroked="f"/>
        </w:pict>
      </w:r>
      <w:r>
        <w:pict>
          <v:shape id="_x0000_s1029" style="width:39.25pt;height:33.25pt;margin-top:389.12pt;margin-left:468.62pt;mso-position-horizontal-relative:page;mso-position-vertical-relative:page;position:absolute;z-index:251662336" coordorigin="0,0" coordsize="785,665" o:allowincell="f" path="m17,107l47,92l62,107m182,107l197,152m212,47l227,47l242,47l272,17l287,77m332,212l347,212l377,212m452,287l467,287l497,287l512,302m527,407l542,392l557,437m572,557l587,557l617,557m632,422l647,407l662,452m677,527l692,572l722,572l737,572l752,602l767,647e" filled="f" strokecolor="#003e98" strokeweight="1.75pt">
            <v:stroke endcap="round"/>
          </v:shape>
        </w:pict>
      </w:r>
      <w:r>
        <w:pict>
          <v:shape id="_x0000_s1030" style="width:13pt;height:13pt;margin-top:392.12pt;margin-left:381.62pt;mso-position-horizontal-relative:page;mso-position-vertical-relative:page;position:absolute;z-index:251668480" coordorigin="0,0" coordsize="260,260" o:allowincell="f" path="m17,137l32,137l47,137m92,47l107,17m122,92l137,62l152,62l167,62l197,77l212,122m227,197l242,242e" filled="f" strokecolor="#003e98" strokeweight="1.75pt">
            <v:stroke endcap="round"/>
          </v:shape>
        </w:pict>
      </w:r>
      <w:r>
        <w:pict>
          <v:shape id="_x0000_s1031" style="width:20.5pt;height:22.75pt;margin-top:392.12pt;margin-left:362.12pt;mso-position-horizontal-relative:page;mso-position-vertical-relative:page;position:absolute;z-index:251663360" coordorigin="0,0" coordsize="410,455" o:allowincell="f" path="m17,182l32,152l47,212l62,212l77,212l92,272l107,17l137,77l152,137m167,242l182,242l197,242l212,272m242,167l257,197m287,407l302,407l317,407l332,437m377,347l392,287e" filled="f" strokecolor="#003e98" strokeweight="1.75pt">
            <v:stroke endcap="round"/>
          </v:shape>
        </w:pict>
      </w:r>
      <w:r>
        <w:pict>
          <v:shape id="_x0000_s1032" style="width:25.75pt;height:1.75pt;margin-top:370.34pt;margin-left:279.62pt;mso-position-horizontal-relative:page;mso-position-vertical-relative:page;position:absolute;z-index:251670528" coordorigin="0,0" coordsize="515,35" o:allowincell="f" path="m17,17l32,17l47,17l62,17l92,17l107,17l122,17l137,17l152,17l167,17l197,17l212,17l227,17l242,17l257,17l272,17l287,17l317,17l332,17l347,17l362,17l377,17l392,17l422,17l437,17l452,17l467,17l482,17l497,17e" filled="f" strokecolor="#98b954" strokeweight="1.75pt">
            <v:stroke endcap="round"/>
          </v:shape>
        </w:pict>
      </w:r>
      <w:r>
        <w:pict>
          <v:group id="_x0000_s1033" style="width:25.75pt;height:1.75pt;margin-top:414.62pt;margin-left:464.88pt;mso-position-horizontal-relative:page;mso-position-vertical-relative:page;position:absolute;z-index:251672576" coordorigin="0,0" coordsize="515,35" o:allowincell="f" filled="f" stroked="f">
            <v:shape id="_x0000_s1034" style="width:515;height:35;position:absolute" coordorigin="0,0" coordsize="515,35" path="m17,17l32,17l47,17l62,17l77,17l92,17l122,17l137,17l152,17l167,17l182,17l197,17l227,17l242,17l257,17l272,17l287,17l302,17l317,17l347,17l362,17l377,17l392,17l407,17l422,17l452,17l467,17l482,17l496,17e" filled="f" strokecolor="#98b954" strokeweight="1.75pt">
              <v:stroke endcap="round"/>
            </v:shape>
            <v:shape id="_x0000_s1035" style="width:515;height:35;position:absolute" coordorigin="0,0" coordsize="515,35" path="m17,17l32,17l47,17l62,17l77,17l92,17l122,17l137,17l152,17l167,17l182,17l197,17l227,17l242,17l257,17l272,17l287,17l302,17l317,17l347,17l362,17l377,17l392,17l407,17l422,17l452,17l467,17l482,17l496,17e" filled="f" strokecolor="#7d60a0" strokeweight="1.75pt">
              <v:stroke endcap="round"/>
            </v:shape>
          </v:group>
        </w:pict>
      </w:r>
      <w:r>
        <w:pict>
          <v:shape id="_x0000_s1036" style="width:25.75pt;height:1.75pt;margin-top:393.76pt;margin-left:279.62pt;mso-position-horizontal-relative:page;mso-position-vertical-relative:page;position:absolute;z-index:251671552" coordorigin="0,0" coordsize="515,35" o:allowincell="f" path="m17,17l32,17l47,17l62,17l92,17l107,17l122,17l137,17l152,17l167,17l197,17l212,17l227,17l242,17l257,17l272,17l287,17l317,17l332,17l347,17l362,17l377,17l392,17l422,17l437,17l452,17l467,17l482,17l497,17e" filled="f" strokecolor="#7d60a0" strokeweight="1.75pt">
            <v:stroke endcap="round"/>
          </v:shape>
        </w:pict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2570162</wp:posOffset>
            </wp:positionH>
            <wp:positionV relativeFrom="page">
              <wp:posOffset>4858067</wp:posOffset>
            </wp:positionV>
            <wp:extent cx="3989831" cy="1287144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9831" cy="1287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7" style="width:16.75pt;height:9.25pt;margin-top:401.12pt;margin-left:460.38pt;mso-position-horizontal-relative:page;mso-position-vertical-relative:page;position:absolute;z-index:251669504" coordorigin="0,0" coordsize="335,185" o:allowincell="f" path="m17,17l32,17l47,17l62,32m92,167l107,122l122,137m137,17l152,17l167,17m257,77l272,77l287,77l317,77e" filled="f" strokecolor="#003e98" strokeweight="1.75pt">
            <v:stroke endcap="round"/>
          </v:shape>
        </w:pict>
      </w:r>
      <w:r>
        <w:pict>
          <v:shape id="_x0000_s1038" style="width:400.3pt;height:0.75pt;margin-top:518.73pt;margin-left:161.45pt;mso-position-horizontal-relative:page;mso-position-vertical-relative:page;position:absolute;z-index:251667456" coordorigin="0,0" coordsize="8005,15" o:allowincell="f" path="m,15l8005,15l8005,l,l,15xe" filled="t" fillcolor="#004098" stroked="f"/>
        </w:pict>
      </w:r>
      <w:r>
        <w:pict>
          <v:shape id="_x0000_s1039" style="width:521.95pt;height:0.75pt;margin-top:607.3pt;margin-left:36.8pt;mso-position-horizontal-relative:page;mso-position-vertical-relative:page;position:absolute;z-index:251664384" coordorigin="0,0" coordsize="10439,15" o:allowincell="f" path="m,15l5091,15l5091,l,l,15xem5091,15l5106,15l5106,l5091,l5091,15xem5106,15l5347,15l5347,l5106,l5106,15xem5347,15l5362,15l5362,l5347,l5347,15xem5362,15l10438,15l10438,l5362,l5362,15xe" filled="t" fillcolor="#004098" stroked="f"/>
        </w:pict>
      </w:r>
      <w:r>
        <w:pict>
          <v:shape id="_x0000_s1040" style="width:521.95pt;height:0.75pt;margin-top:751.42pt;margin-left:36.8pt;mso-position-horizontal-relative:page;mso-position-vertical-relative:page;position:absolute;z-index:251665408" coordorigin="0,0" coordsize="10439,15" o:allowincell="f" path="m,15l5091,15l5091,l,l,15xem5091,15l5106,15l5106,l5091,l5091,15xem5106,15l5347,15l5347,l5106,l5106,15xem5347,15l5362,15l5362,l5347,l5347,15xem5362,15l10438,15l10438,l5362,l5362,15xe" filled="t" fillcolor="#004098" stroked="f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2297429</wp:posOffset>
            </wp:positionH>
            <wp:positionV relativeFrom="page">
              <wp:posOffset>5612130</wp:posOffset>
            </wp:positionV>
            <wp:extent cx="303402" cy="297306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3402" cy="297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1"/>
      <w:bookmarkEnd w:id="0"/>
      <w:bookmarkStart w:id="1" w:name="bookmark2"/>
      <w:bookmarkEnd w:id="1"/>
      <w:bookmarkStart w:id="2" w:name="bookmark20"/>
      <w:bookmarkEnd w:id="2"/>
      <w:r>
        <w:rPr>
          <w:rFonts w:ascii="Tahoma" w:eastAsia="Tahoma" w:hAnsi="Tahoma" w:cs="Tahoma"/>
          <w:b/>
          <w:bCs/>
          <w:color w:val="002F7B"/>
          <w:spacing w:val="1"/>
          <w:sz w:val="30"/>
          <w:szCs w:val="30"/>
        </w:rPr>
        <w:t xml:space="preserve">1. </w:t>
      </w:r>
      <w:r>
        <w:rPr>
          <w:color w:val="002F7B"/>
          <w:spacing w:val="1"/>
          <w:sz w:val="30"/>
          <w:szCs w:val="30"/>
          <w14:textOutline w14:w="5451">
            <w14:solidFill>
              <w14:srgbClr w14:val="002F7B"/>
            </w14:solidFill>
            <w14:prstDash w14:val="solid"/>
            <w14:miter w14:lim="10"/>
          </w14:textOutline>
        </w:rPr>
        <w:t>回顾：汽车市场竞争加剧，板块表现优于市场整体</w:t>
      </w:r>
    </w:p>
    <w:p>
      <w:pPr>
        <w:spacing w:line="342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pStyle w:val="BodyText"/>
        <w:spacing w:before="78" w:line="216" w:lineRule="auto"/>
        <w:ind w:left="2639"/>
        <w:outlineLvl w:val="1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b/>
          <w:bCs/>
          <w:color w:val="002F7B"/>
          <w:spacing w:val="-10"/>
          <w:sz w:val="24"/>
          <w:szCs w:val="24"/>
        </w:rPr>
        <w:t xml:space="preserve">1.1   </w:t>
      </w:r>
      <w:r>
        <w:rPr>
          <w:color w:val="002F7B"/>
          <w:spacing w:val="-10"/>
          <w:sz w:val="24"/>
          <w:szCs w:val="24"/>
          <w14:textOutline w14:w="4354">
            <w14:solidFill>
              <w14:srgbClr w14:val="002F7B"/>
            </w14:solidFill>
            <w14:prstDash w14:val="solid"/>
            <w14:miter w14:lim="10"/>
          </w14:textOutline>
        </w:rPr>
        <w:t>行情回顾：</w:t>
      </w:r>
      <w:r>
        <w:rPr>
          <w:color w:val="002F7B"/>
          <w:spacing w:val="-55"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bCs/>
          <w:color w:val="002F7B"/>
          <w:spacing w:val="-10"/>
          <w:sz w:val="24"/>
          <w:szCs w:val="24"/>
        </w:rPr>
        <w:t xml:space="preserve">2023 </w:t>
      </w:r>
      <w:r>
        <w:rPr>
          <w:color w:val="002F7B"/>
          <w:spacing w:val="-10"/>
          <w:sz w:val="24"/>
          <w:szCs w:val="24"/>
          <w14:textOutline w14:w="4354">
            <w14:solidFill>
              <w14:srgbClr w14:val="002F7B"/>
            </w14:solidFill>
            <w14:prstDash w14:val="solid"/>
            <w14:miter w14:lim="10"/>
          </w14:textOutline>
        </w:rPr>
        <w:t>全年汽车板块上涨</w:t>
      </w:r>
      <w:r>
        <w:rPr>
          <w:color w:val="002F7B"/>
          <w:spacing w:val="-33"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bCs/>
          <w:color w:val="002F7B"/>
          <w:spacing w:val="-10"/>
          <w:sz w:val="24"/>
          <w:szCs w:val="24"/>
        </w:rPr>
        <w:t>3.3%</w:t>
      </w:r>
      <w:r>
        <w:rPr>
          <w:color w:val="002F7B"/>
          <w:spacing w:val="-10"/>
          <w:sz w:val="24"/>
          <w:szCs w:val="24"/>
          <w14:textOutline w14:w="4354">
            <w14:solidFill>
              <w14:srgbClr w14:val="002F7B"/>
            </w14:solidFill>
            <w14:prstDash w14:val="solid"/>
            <w14:miter w14:lim="10"/>
          </w14:textOutline>
        </w:rPr>
        <w:t>，跑赢沪深</w:t>
      </w:r>
      <w:r>
        <w:rPr>
          <w:color w:val="002F7B"/>
          <w:spacing w:val="-33"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bCs/>
          <w:color w:val="002F7B"/>
          <w:spacing w:val="-10"/>
          <w:sz w:val="24"/>
          <w:szCs w:val="24"/>
        </w:rPr>
        <w:t xml:space="preserve">300 </w:t>
      </w:r>
      <w:r>
        <w:rPr>
          <w:color w:val="002F7B"/>
          <w:spacing w:val="-10"/>
          <w:sz w:val="24"/>
          <w:szCs w:val="24"/>
          <w14:textOutline w14:w="4354">
            <w14:solidFill>
              <w14:srgbClr w14:val="002F7B"/>
            </w14:solidFill>
            <w14:prstDash w14:val="solid"/>
            <w14:miter w14:lim="10"/>
          </w14:textOutline>
        </w:rPr>
        <w:t>指数</w:t>
      </w:r>
      <w:r>
        <w:rPr>
          <w:color w:val="002F7B"/>
          <w:spacing w:val="-10"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bCs/>
          <w:color w:val="002F7B"/>
          <w:spacing w:val="-10"/>
          <w:sz w:val="24"/>
          <w:szCs w:val="24"/>
        </w:rPr>
        <w:t>14.7%</w:t>
      </w:r>
    </w:p>
    <w:p>
      <w:pPr>
        <w:pStyle w:val="BodyText"/>
        <w:spacing w:before="270" w:line="216" w:lineRule="auto"/>
        <w:ind w:left="2628"/>
        <w:rPr>
          <w:sz w:val="21"/>
          <w:szCs w:val="21"/>
        </w:rPr>
      </w:pPr>
      <w:r>
        <w:rPr>
          <w:rFonts w:ascii="Tahoma" w:eastAsia="Tahoma" w:hAnsi="Tahoma" w:cs="Tahoma"/>
          <w:spacing w:val="-2"/>
          <w:sz w:val="21"/>
          <w:szCs w:val="21"/>
        </w:rPr>
        <w:t xml:space="preserve">2023 </w:t>
      </w:r>
      <w:r>
        <w:rPr>
          <w:spacing w:val="-2"/>
          <w:sz w:val="21"/>
          <w:szCs w:val="21"/>
        </w:rPr>
        <w:t>全年沪深</w:t>
      </w:r>
      <w:r>
        <w:rPr>
          <w:spacing w:val="-36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 xml:space="preserve">300 </w:t>
      </w:r>
      <w:r>
        <w:rPr>
          <w:spacing w:val="-2"/>
          <w:sz w:val="21"/>
          <w:szCs w:val="21"/>
        </w:rPr>
        <w:t>指数跌</w:t>
      </w:r>
      <w:r>
        <w:rPr>
          <w:spacing w:val="-2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11.4%</w:t>
      </w:r>
      <w:r>
        <w:rPr>
          <w:spacing w:val="-2"/>
          <w:sz w:val="21"/>
          <w:szCs w:val="21"/>
        </w:rPr>
        <w:t>，汽车</w:t>
      </w:r>
      <w:r>
        <w:rPr>
          <w:spacing w:val="-3"/>
          <w:sz w:val="21"/>
          <w:szCs w:val="21"/>
        </w:rPr>
        <w:t>（申万）涨</w:t>
      </w:r>
      <w:r>
        <w:rPr>
          <w:spacing w:val="-2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3"/>
          <w:sz w:val="21"/>
          <w:szCs w:val="21"/>
        </w:rPr>
        <w:t>3.3%</w:t>
      </w:r>
      <w:r>
        <w:rPr>
          <w:spacing w:val="-3"/>
          <w:sz w:val="21"/>
          <w:szCs w:val="21"/>
        </w:rPr>
        <w:t>。结合乘用车批零数据看：</w:t>
      </w:r>
    </w:p>
    <w:p>
      <w:pPr>
        <w:pStyle w:val="BodyText"/>
        <w:spacing w:before="236" w:line="241" w:lineRule="auto"/>
        <w:ind w:left="2631" w:right="106" w:firstLine="8"/>
        <w:rPr>
          <w:sz w:val="21"/>
          <w:szCs w:val="21"/>
        </w:rPr>
      </w:pPr>
      <w:r>
        <w:rPr>
          <w:rFonts w:ascii="Tahoma" w:eastAsia="Tahoma" w:hAnsi="Tahoma" w:cs="Tahoma"/>
          <w:spacing w:val="-1"/>
          <w:sz w:val="21"/>
          <w:szCs w:val="21"/>
        </w:rPr>
        <w:t>1</w:t>
      </w:r>
      <w:r>
        <w:rPr>
          <w:spacing w:val="-1"/>
          <w:sz w:val="21"/>
          <w:szCs w:val="21"/>
        </w:rPr>
        <w:t>）年初受部分需求提前透支影响（车购税减免政策及新能源国补于</w:t>
      </w:r>
      <w:r>
        <w:rPr>
          <w:spacing w:val="-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sz w:val="21"/>
          <w:szCs w:val="21"/>
        </w:rPr>
        <w:t>2022</w:t>
      </w:r>
      <w:r>
        <w:rPr>
          <w:rFonts w:ascii="Tahoma" w:eastAsia="Tahoma" w:hAnsi="Tahoma" w:cs="Tahoma"/>
          <w:spacing w:val="42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年底退出</w:t>
      </w:r>
      <w:r>
        <w:rPr>
          <w:spacing w:val="-53"/>
          <w:w w:val="90"/>
          <w:sz w:val="21"/>
          <w:szCs w:val="21"/>
        </w:rPr>
        <w:t>），</w:t>
      </w:r>
      <w:r>
        <w:rPr>
          <w:sz w:val="21"/>
          <w:szCs w:val="21"/>
        </w:rPr>
        <w:t xml:space="preserve"> </w:t>
      </w:r>
      <w:r>
        <w:rPr>
          <w:spacing w:val="-7"/>
          <w:sz w:val="21"/>
          <w:szCs w:val="21"/>
        </w:rPr>
        <w:t>批零同比表现不佳；</w:t>
      </w:r>
    </w:p>
    <w:p>
      <w:pPr>
        <w:pStyle w:val="BodyText"/>
        <w:spacing w:before="233" w:line="242" w:lineRule="auto"/>
        <w:ind w:left="2630" w:right="70" w:hanging="2"/>
        <w:rPr>
          <w:sz w:val="21"/>
          <w:szCs w:val="21"/>
        </w:rPr>
      </w:pPr>
      <w:r>
        <w:rPr>
          <w:rFonts w:ascii="Tahoma" w:eastAsia="Tahoma" w:hAnsi="Tahoma" w:cs="Tahoma"/>
          <w:spacing w:val="-7"/>
          <w:sz w:val="21"/>
          <w:szCs w:val="21"/>
        </w:rPr>
        <w:t>2</w:t>
      </w:r>
      <w:r>
        <w:rPr>
          <w:spacing w:val="-7"/>
          <w:sz w:val="21"/>
          <w:szCs w:val="21"/>
        </w:rPr>
        <w:t>）</w:t>
      </w:r>
      <w:r>
        <w:rPr>
          <w:rFonts w:ascii="Tahoma" w:eastAsia="Tahoma" w:hAnsi="Tahoma" w:cs="Tahoma"/>
          <w:spacing w:val="-7"/>
          <w:sz w:val="21"/>
          <w:szCs w:val="21"/>
        </w:rPr>
        <w:t>4-5</w:t>
      </w:r>
      <w:r>
        <w:rPr>
          <w:rFonts w:ascii="Tahoma" w:eastAsia="Tahoma" w:hAnsi="Tahoma" w:cs="Tahoma"/>
          <w:spacing w:val="18"/>
          <w:w w:val="101"/>
          <w:sz w:val="21"/>
          <w:szCs w:val="21"/>
        </w:rPr>
        <w:t xml:space="preserve"> </w:t>
      </w:r>
      <w:r>
        <w:rPr>
          <w:spacing w:val="-7"/>
          <w:sz w:val="21"/>
          <w:szCs w:val="21"/>
        </w:rPr>
        <w:t>月，</w:t>
      </w:r>
      <w:r>
        <w:rPr>
          <w:spacing w:val="-35"/>
          <w:sz w:val="21"/>
          <w:szCs w:val="21"/>
        </w:rPr>
        <w:t xml:space="preserve"> </w:t>
      </w:r>
      <w:r>
        <w:rPr>
          <w:spacing w:val="-7"/>
          <w:sz w:val="21"/>
          <w:szCs w:val="21"/>
        </w:rPr>
        <w:t>车市价格战加剧叠加去年同期低基数，批零销量同比高增</w:t>
      </w:r>
      <w:r>
        <w:rPr>
          <w:spacing w:val="-8"/>
          <w:sz w:val="21"/>
          <w:szCs w:val="21"/>
        </w:rPr>
        <w:t>长，</w:t>
      </w:r>
      <w:r>
        <w:rPr>
          <w:spacing w:val="44"/>
          <w:sz w:val="21"/>
          <w:szCs w:val="21"/>
        </w:rPr>
        <w:t xml:space="preserve"> </w:t>
      </w:r>
      <w:r>
        <w:rPr>
          <w:spacing w:val="-8"/>
          <w:sz w:val="21"/>
          <w:szCs w:val="21"/>
        </w:rPr>
        <w:t>乘用车批发销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量同比分别</w:t>
      </w:r>
      <w:r>
        <w:rPr>
          <w:rFonts w:ascii="Tahoma" w:eastAsia="Tahoma" w:hAnsi="Tahoma" w:cs="Tahoma"/>
          <w:sz w:val="21"/>
          <w:szCs w:val="21"/>
        </w:rPr>
        <w:t>+87.7%/+26.4%</w:t>
      </w:r>
      <w:r>
        <w:rPr>
          <w:sz w:val="21"/>
          <w:szCs w:val="21"/>
        </w:rPr>
        <w:t>，零售销量分别同比</w:t>
      </w:r>
      <w:r>
        <w:rPr>
          <w:rFonts w:ascii="Tahoma" w:eastAsia="Tahoma" w:hAnsi="Tahoma" w:cs="Tahoma"/>
          <w:sz w:val="21"/>
          <w:szCs w:val="21"/>
        </w:rPr>
        <w:t>+54.9%/+28.6%</w:t>
      </w:r>
      <w:r>
        <w:rPr>
          <w:sz w:val="21"/>
          <w:szCs w:val="21"/>
        </w:rPr>
        <w:t>；</w:t>
      </w:r>
    </w:p>
    <w:p>
      <w:pPr>
        <w:pStyle w:val="BodyText"/>
        <w:spacing w:before="227" w:line="257" w:lineRule="auto"/>
        <w:ind w:left="2630" w:hanging="4"/>
        <w:jc w:val="both"/>
        <w:rPr>
          <w:sz w:val="21"/>
          <w:szCs w:val="21"/>
        </w:rPr>
      </w:pPr>
      <w:r>
        <w:rPr>
          <w:rFonts w:ascii="Tahoma" w:eastAsia="Tahoma" w:hAnsi="Tahoma" w:cs="Tahoma"/>
          <w:spacing w:val="-2"/>
          <w:sz w:val="21"/>
          <w:szCs w:val="21"/>
        </w:rPr>
        <w:t>3</w:t>
      </w:r>
      <w:r>
        <w:rPr>
          <w:spacing w:val="-2"/>
          <w:sz w:val="21"/>
          <w:szCs w:val="21"/>
        </w:rPr>
        <w:t>）</w:t>
      </w:r>
      <w:r>
        <w:rPr>
          <w:rFonts w:ascii="Tahoma" w:eastAsia="Tahoma" w:hAnsi="Tahoma" w:cs="Tahoma"/>
          <w:spacing w:val="-2"/>
          <w:sz w:val="21"/>
          <w:szCs w:val="21"/>
        </w:rPr>
        <w:t>6</w:t>
      </w:r>
      <w:r>
        <w:rPr>
          <w:rFonts w:ascii="Tahoma" w:eastAsia="Tahoma" w:hAnsi="Tahoma" w:cs="Tahoma"/>
          <w:spacing w:val="28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月以来，新能源汽车购置税优惠延续、新能源汽车下乡和汽车促消费等利好政策陆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续发布，</w:t>
      </w:r>
      <w:r>
        <w:rPr>
          <w:spacing w:val="-37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汽</w:t>
      </w:r>
      <w:r>
        <w:rPr>
          <w:spacing w:val="-58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车板</w:t>
      </w:r>
      <w:r>
        <w:rPr>
          <w:spacing w:val="-48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块趋</w:t>
      </w:r>
      <w:r>
        <w:rPr>
          <w:spacing w:val="-59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势</w:t>
      </w:r>
      <w:r>
        <w:rPr>
          <w:spacing w:val="-4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向</w:t>
      </w:r>
      <w:r>
        <w:rPr>
          <w:spacing w:val="-49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好，</w:t>
      </w:r>
      <w:r>
        <w:rPr>
          <w:spacing w:val="-6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sz w:val="21"/>
          <w:szCs w:val="21"/>
        </w:rPr>
        <w:t xml:space="preserve">6-8  </w:t>
      </w:r>
      <w:r>
        <w:rPr>
          <w:spacing w:val="1"/>
          <w:sz w:val="21"/>
          <w:szCs w:val="21"/>
        </w:rPr>
        <w:t>月</w:t>
      </w:r>
      <w:r>
        <w:rPr>
          <w:spacing w:val="-60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批</w:t>
      </w:r>
      <w:r>
        <w:rPr>
          <w:spacing w:val="-53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零在</w:t>
      </w:r>
      <w:r>
        <w:rPr>
          <w:spacing w:val="-57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去</w:t>
      </w:r>
      <w:r>
        <w:rPr>
          <w:spacing w:val="-49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年</w:t>
      </w:r>
      <w:r>
        <w:rPr>
          <w:spacing w:val="-45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同</w:t>
      </w:r>
      <w:r>
        <w:rPr>
          <w:sz w:val="21"/>
          <w:szCs w:val="21"/>
        </w:rPr>
        <w:t>期</w:t>
      </w:r>
      <w:r>
        <w:rPr>
          <w:spacing w:val="-43"/>
          <w:sz w:val="21"/>
          <w:szCs w:val="21"/>
        </w:rPr>
        <w:t xml:space="preserve"> </w:t>
      </w:r>
      <w:r>
        <w:rPr>
          <w:sz w:val="21"/>
          <w:szCs w:val="21"/>
        </w:rPr>
        <w:t>高基</w:t>
      </w:r>
      <w:r>
        <w:rPr>
          <w:spacing w:val="-61"/>
          <w:sz w:val="21"/>
          <w:szCs w:val="21"/>
        </w:rPr>
        <w:t xml:space="preserve"> </w:t>
      </w:r>
      <w:r>
        <w:rPr>
          <w:sz w:val="21"/>
          <w:szCs w:val="21"/>
        </w:rPr>
        <w:t>数</w:t>
      </w:r>
      <w:r>
        <w:rPr>
          <w:spacing w:val="-42"/>
          <w:sz w:val="21"/>
          <w:szCs w:val="21"/>
        </w:rPr>
        <w:t xml:space="preserve"> </w:t>
      </w:r>
      <w:r>
        <w:rPr>
          <w:sz w:val="21"/>
          <w:szCs w:val="21"/>
        </w:rPr>
        <w:t>下</w:t>
      </w:r>
      <w:r>
        <w:rPr>
          <w:spacing w:val="-60"/>
          <w:sz w:val="21"/>
          <w:szCs w:val="21"/>
        </w:rPr>
        <w:t xml:space="preserve"> </w:t>
      </w:r>
      <w:r>
        <w:rPr>
          <w:sz w:val="21"/>
          <w:szCs w:val="21"/>
        </w:rPr>
        <w:t>批售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同</w:t>
      </w:r>
      <w:r>
        <w:rPr>
          <w:spacing w:val="-35"/>
          <w:sz w:val="21"/>
          <w:szCs w:val="21"/>
        </w:rPr>
        <w:t xml:space="preserve"> </w:t>
      </w:r>
      <w:r>
        <w:rPr>
          <w:sz w:val="21"/>
          <w:szCs w:val="21"/>
        </w:rPr>
        <w:t>比分别</w:t>
      </w:r>
      <w:r>
        <w:rPr>
          <w:sz w:val="21"/>
          <w:szCs w:val="21"/>
        </w:rPr>
        <w:t xml:space="preserve">  </w:t>
      </w:r>
      <w:r>
        <w:rPr>
          <w:rFonts w:ascii="Tahoma" w:eastAsia="Tahoma" w:hAnsi="Tahoma" w:cs="Tahoma"/>
          <w:spacing w:val="-2"/>
          <w:sz w:val="21"/>
          <w:szCs w:val="21"/>
        </w:rPr>
        <w:t>+2.1%/-3.4%/+6.9%</w:t>
      </w:r>
      <w:r>
        <w:rPr>
          <w:spacing w:val="-2"/>
          <w:sz w:val="21"/>
          <w:szCs w:val="21"/>
        </w:rPr>
        <w:t>，零售同比分别</w:t>
      </w:r>
      <w:r>
        <w:rPr>
          <w:spacing w:val="-6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-2.6%/-2.7%/+2.6%</w:t>
      </w:r>
      <w:r>
        <w:rPr>
          <w:rFonts w:ascii="Tahoma" w:eastAsia="Tahoma" w:hAnsi="Tahoma" w:cs="Tahoma"/>
          <w:spacing w:val="-36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。</w:t>
      </w:r>
      <w:r>
        <w:rPr>
          <w:rFonts w:ascii="Tahoma" w:eastAsia="Tahoma" w:hAnsi="Tahoma" w:cs="Tahoma"/>
          <w:spacing w:val="-2"/>
          <w:sz w:val="21"/>
          <w:szCs w:val="21"/>
        </w:rPr>
        <w:t>9</w:t>
      </w:r>
      <w:r>
        <w:rPr>
          <w:rFonts w:ascii="Tahoma" w:eastAsia="Tahoma" w:hAnsi="Tahoma" w:cs="Tahoma"/>
          <w:spacing w:val="-3"/>
          <w:sz w:val="21"/>
          <w:szCs w:val="21"/>
        </w:rPr>
        <w:t xml:space="preserve">-11  </w:t>
      </w:r>
      <w:r>
        <w:rPr>
          <w:spacing w:val="-3"/>
          <w:sz w:val="21"/>
          <w:szCs w:val="21"/>
        </w:rPr>
        <w:t>月为汽车传统旺季，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批售同比分别</w:t>
      </w:r>
      <w:r>
        <w:rPr>
          <w:rFonts w:ascii="Tahoma" w:eastAsia="Tahoma" w:hAnsi="Tahoma" w:cs="Tahoma"/>
          <w:spacing w:val="1"/>
          <w:sz w:val="21"/>
          <w:szCs w:val="21"/>
        </w:rPr>
        <w:t>+6.6%/+11.4%/+25.3%</w:t>
      </w:r>
      <w:r>
        <w:rPr>
          <w:spacing w:val="1"/>
          <w:sz w:val="21"/>
          <w:szCs w:val="21"/>
        </w:rPr>
        <w:t>，零售同比分别</w:t>
      </w:r>
      <w:r>
        <w:rPr>
          <w:rFonts w:ascii="Tahoma" w:eastAsia="Tahoma" w:hAnsi="Tahoma" w:cs="Tahoma"/>
          <w:spacing w:val="1"/>
          <w:sz w:val="21"/>
          <w:szCs w:val="21"/>
        </w:rPr>
        <w:t>+5.0%/+1</w:t>
      </w:r>
      <w:r>
        <w:rPr>
          <w:rFonts w:ascii="Tahoma" w:eastAsia="Tahoma" w:hAnsi="Tahoma" w:cs="Tahoma"/>
          <w:sz w:val="21"/>
          <w:szCs w:val="21"/>
        </w:rPr>
        <w:t>0.2%/+25.9%</w:t>
      </w:r>
      <w:r>
        <w:rPr>
          <w:sz w:val="21"/>
          <w:szCs w:val="21"/>
        </w:rPr>
        <w:t>。</w:t>
      </w:r>
    </w:p>
    <w:p>
      <w:pPr>
        <w:pStyle w:val="BodyText"/>
        <w:spacing w:before="226" w:line="211" w:lineRule="auto"/>
        <w:ind w:left="2638"/>
        <w:rPr>
          <w:sz w:val="20"/>
          <w:szCs w:val="20"/>
        </w:rPr>
      </w:pPr>
      <w:r>
        <w:rPr>
          <w:i/>
          <w:iCs/>
          <w:color w:val="004098"/>
          <w:spacing w:val="5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1</w:t>
      </w:r>
      <w:r>
        <w:rPr>
          <w:i/>
          <w:iCs/>
          <w:color w:val="004098"/>
          <w:spacing w:val="5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2023</w:t>
      </w:r>
      <w:r>
        <w:rPr>
          <w:i/>
          <w:iCs/>
          <w:color w:val="004098"/>
          <w:spacing w:val="5"/>
          <w:sz w:val="20"/>
          <w:szCs w:val="20"/>
        </w:rPr>
        <w:t>年至今汽车板块行情及乘用车批零走势</w:t>
      </w:r>
    </w:p>
    <w:p>
      <w:pPr>
        <w:spacing w:line="239" w:lineRule="exact"/>
      </w:pPr>
    </w:p>
    <w:p>
      <w:pPr>
        <w:spacing w:line="239" w:lineRule="exact"/>
        <w:sectPr>
          <w:headerReference w:type="default" r:id="rId23"/>
          <w:footerReference w:type="default" r:id="rId24"/>
          <w:pgSz w:w="11910" w:h="16845"/>
          <w:pgMar w:top="885" w:right="601" w:bottom="840" w:left="612" w:header="386" w:footer="542" w:gutter="0"/>
          <w:pgNumType w:start="9"/>
          <w:cols w:num="1" w:space="708" w:equalWidth="0">
            <w:col w:w="10697" w:space="0"/>
          </w:cols>
        </w:sectPr>
      </w:pPr>
    </w:p>
    <w:p>
      <w:pPr>
        <w:pStyle w:val="BodyText"/>
        <w:spacing w:before="33" w:line="221" w:lineRule="auto"/>
        <w:jc w:val="right"/>
        <w:rPr>
          <w:sz w:val="16"/>
          <w:szCs w:val="16"/>
        </w:rPr>
      </w:pPr>
      <w:r>
        <w:rPr>
          <w:position w:val="4"/>
          <w:sz w:val="16"/>
          <w:szCs w:val="16"/>
        </w:rPr>
        <w:drawing>
          <wp:inline distT="0" distB="0" distL="0" distR="0">
            <wp:extent cx="266064" cy="222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6064" cy="2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sz w:val="16"/>
          <w:szCs w:val="16"/>
        </w:rPr>
        <w:t xml:space="preserve"> </w:t>
      </w:r>
      <w:r>
        <w:rPr>
          <w:sz w:val="16"/>
          <w:szCs w:val="16"/>
        </w:rPr>
        <w:t>汽车（申万）</w:t>
      </w:r>
      <w:r>
        <w:rPr>
          <w:spacing w:val="14"/>
          <w:sz w:val="16"/>
          <w:szCs w:val="16"/>
        </w:rPr>
        <w:t xml:space="preserve">   </w:t>
      </w:r>
      <w:r>
        <w:rPr>
          <w:position w:val="4"/>
          <w:sz w:val="16"/>
          <w:szCs w:val="16"/>
        </w:rPr>
        <w:drawing>
          <wp:inline distT="0" distB="0" distL="0" distR="0">
            <wp:extent cx="266064" cy="222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6064" cy="2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1"/>
          <w:sz w:val="16"/>
          <w:szCs w:val="16"/>
        </w:rPr>
        <w:t xml:space="preserve"> </w:t>
      </w:r>
      <w:r>
        <w:rPr>
          <w:sz w:val="16"/>
          <w:szCs w:val="16"/>
        </w:rPr>
        <w:t>沪深</w:t>
      </w:r>
      <w:r>
        <w:rPr>
          <w:rFonts w:ascii="Tahoma" w:eastAsia="Tahoma" w:hAnsi="Tahoma" w:cs="Tahoma"/>
          <w:sz w:val="16"/>
          <w:szCs w:val="16"/>
        </w:rPr>
        <w:t xml:space="preserve">300    </w:t>
      </w:r>
      <w:r>
        <w:rPr>
          <w:position w:val="4"/>
          <w:sz w:val="16"/>
          <w:szCs w:val="16"/>
        </w:rPr>
        <w:drawing>
          <wp:inline distT="0" distB="0" distL="0" distR="0">
            <wp:extent cx="266064" cy="222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064" cy="2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批发同比（右）</w:t>
      </w:r>
      <w:r>
        <w:rPr>
          <w:sz w:val="16"/>
          <w:szCs w:val="16"/>
        </w:rPr>
        <w:t xml:space="preserve">   </w:t>
      </w:r>
      <w:r>
        <w:rPr>
          <w:position w:val="4"/>
          <w:sz w:val="16"/>
          <w:szCs w:val="16"/>
        </w:rPr>
        <w:drawing>
          <wp:inline distT="0" distB="0" distL="0" distR="0">
            <wp:extent cx="266064" cy="222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064" cy="2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9"/>
          <w:sz w:val="16"/>
          <w:szCs w:val="16"/>
        </w:rPr>
        <w:t xml:space="preserve"> </w:t>
      </w:r>
      <w:r>
        <w:rPr>
          <w:sz w:val="16"/>
          <w:szCs w:val="16"/>
        </w:rPr>
        <w:t>零售同比（右）</w:t>
      </w:r>
    </w:p>
    <w:p>
      <w:pPr>
        <w:spacing w:before="212" w:line="357" w:lineRule="exact"/>
        <w:ind w:left="2966"/>
        <w:rPr>
          <w:sz w:val="16"/>
          <w:szCs w:val="16"/>
        </w:rPr>
      </w:pPr>
      <w:r>
        <w:pict>
          <v:shape id="_x0000_s1041" style="width:316.85pt;height:143.75pt;margin-top:12.97pt;margin-left:171.32pt;position:absolute;z-index:-251639808" coordorigin="0,0" coordsize="6337,2875" path="m6283,2867l6283,7m6283,2867l6336,2867m6283,2584l6336,2584m6283,2299l6336,2299m6283,2014l6336,2014m6283,1729l6336,1729m6283,1444l6336,1444m6283,1144l6336,1144m6283,859l6336,859m6283,574l6336,574m6283,289l6336,289m6283,7l6336,7m7,2867l7,7e" filled="f" strokecolor="black" strokeweight="0.75pt"/>
        </w:pict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2174938</wp:posOffset>
            </wp:positionH>
            <wp:positionV relativeFrom="paragraph">
              <wp:posOffset>490051</wp:posOffset>
            </wp:positionV>
            <wp:extent cx="3996435" cy="1271778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96435" cy="1271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position w:val="17"/>
          <w:sz w:val="16"/>
          <w:szCs w:val="16"/>
        </w:rPr>
        <w:t>20%</w:t>
      </w:r>
      <w:r>
        <w:rPr>
          <w:rFonts w:ascii="Tahoma" w:eastAsia="Tahoma" w:hAnsi="Tahoma" w:cs="Tahoma"/>
          <w:spacing w:val="32"/>
          <w:w w:val="101"/>
          <w:position w:val="17"/>
          <w:sz w:val="16"/>
          <w:szCs w:val="16"/>
        </w:rPr>
        <w:t xml:space="preserve"> </w:t>
      </w:r>
      <w:r>
        <w:rPr>
          <w:position w:val="22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93" w:lineRule="auto"/>
        <w:ind w:left="2975"/>
        <w:rPr>
          <w:sz w:val="16"/>
          <w:szCs w:val="16"/>
        </w:rPr>
      </w:pPr>
      <w:r>
        <w:rPr>
          <w:rFonts w:ascii="Tahoma" w:eastAsia="Tahoma" w:hAnsi="Tahoma" w:cs="Tahoma"/>
          <w:spacing w:val="-3"/>
          <w:sz w:val="16"/>
          <w:szCs w:val="16"/>
        </w:rPr>
        <w:t>15%</w:t>
      </w:r>
      <w:r>
        <w:rPr>
          <w:rFonts w:ascii="Tahoma" w:eastAsia="Tahoma" w:hAnsi="Tahoma" w:cs="Tahoma"/>
          <w:spacing w:val="32"/>
          <w:sz w:val="16"/>
          <w:szCs w:val="16"/>
        </w:rPr>
        <w:t xml:space="preserve"> </w:t>
      </w:r>
      <w:r>
        <w:rPr>
          <w:position w:val="5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3" w:line="193" w:lineRule="auto"/>
        <w:ind w:left="2975"/>
        <w:rPr>
          <w:sz w:val="16"/>
          <w:szCs w:val="16"/>
        </w:rPr>
      </w:pPr>
      <w:r>
        <w:rPr>
          <w:rFonts w:ascii="Tahoma" w:eastAsia="Tahoma" w:hAnsi="Tahoma" w:cs="Tahoma"/>
          <w:spacing w:val="-3"/>
          <w:sz w:val="16"/>
          <w:szCs w:val="16"/>
        </w:rPr>
        <w:t>10%</w:t>
      </w:r>
      <w:r>
        <w:rPr>
          <w:rFonts w:ascii="Tahoma" w:eastAsia="Tahoma" w:hAnsi="Tahoma" w:cs="Tahoma"/>
          <w:spacing w:val="32"/>
          <w:sz w:val="16"/>
          <w:szCs w:val="16"/>
        </w:rPr>
        <w:t xml:space="preserve"> </w:t>
      </w:r>
      <w:r>
        <w:rPr>
          <w:position w:val="5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3" w:line="193" w:lineRule="auto"/>
        <w:ind w:left="3055"/>
        <w:rPr>
          <w:sz w:val="16"/>
          <w:szCs w:val="16"/>
        </w:rPr>
      </w:pPr>
      <w:r>
        <w:rPr>
          <w:rFonts w:ascii="Tahoma" w:eastAsia="Tahoma" w:hAnsi="Tahoma" w:cs="Tahoma"/>
          <w:spacing w:val="-2"/>
          <w:sz w:val="16"/>
          <w:szCs w:val="16"/>
        </w:rPr>
        <w:t>5%</w:t>
      </w:r>
      <w:r>
        <w:rPr>
          <w:rFonts w:ascii="Tahoma" w:eastAsia="Tahoma" w:hAnsi="Tahoma" w:cs="Tahoma"/>
          <w:spacing w:val="34"/>
          <w:w w:val="101"/>
          <w:sz w:val="16"/>
          <w:szCs w:val="16"/>
        </w:rPr>
        <w:t xml:space="preserve"> </w:t>
      </w:r>
      <w:r>
        <w:rPr>
          <w:position w:val="5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2" w:line="193" w:lineRule="auto"/>
        <w:ind w:left="3051"/>
        <w:rPr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0%</w:t>
      </w:r>
      <w:r>
        <w:rPr>
          <w:rFonts w:ascii="Tahoma" w:eastAsia="Tahoma" w:hAnsi="Tahoma" w:cs="Tahoma"/>
          <w:spacing w:val="34"/>
          <w:sz w:val="16"/>
          <w:szCs w:val="16"/>
        </w:rPr>
        <w:t xml:space="preserve"> </w:t>
      </w:r>
      <w:r>
        <w:rPr>
          <w:position w:val="5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48" w:line="359" w:lineRule="exact"/>
        <w:ind w:left="2906"/>
        <w:rPr>
          <w:sz w:val="16"/>
          <w:szCs w:val="16"/>
        </w:rPr>
      </w:pPr>
      <w:r>
        <w:pict>
          <v:shape id="_x0000_s1042" type="#_x0000_t202" style="width:24pt;height:9.8pt;margin-top:-16.42pt;margin-left:148.71pt;position:absolute;z-index:251677696" filled="f" stroked="f">
            <o:lock v:ext="edit" aspectratio="f"/>
            <v:textbox inset="0,0,0,0">
              <w:txbxContent>
                <w:p>
                  <w:pPr>
                    <w:spacing w:before="19" w:line="193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z w:val="16"/>
                      <w:szCs w:val="16"/>
                    </w:rPr>
                    <w:t>-5%</w:t>
                  </w:r>
                  <w:r>
                    <w:rPr>
                      <w:rFonts w:ascii="Tahoma" w:eastAsia="Tahoma" w:hAnsi="Tahoma" w:cs="Tahoma"/>
                      <w:spacing w:val="33"/>
                      <w:w w:val="101"/>
                      <w:sz w:val="16"/>
                      <w:szCs w:val="16"/>
                    </w:rPr>
                    <w:t xml:space="preserve"> </w:t>
                  </w:r>
                  <w:r>
                    <w:rPr>
                      <w:position w:val="6"/>
                      <w:sz w:val="16"/>
                      <w:szCs w:val="16"/>
                    </w:rPr>
                    <w:drawing>
                      <wp:inline distT="0" distB="0" distL="0" distR="0">
                        <wp:extent cx="33908" cy="9534"/>
                        <wp:effectExtent l="0" t="0" r="0" b="0"/>
                        <wp:docPr id="44" name="IM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IM 44"/>
                                <pic:cNvPicPr/>
                              </pic:nvPicPr>
                              <pic:blipFill>
                                <a:blip xmlns:r="http://schemas.openxmlformats.org/officeDocument/2006/relationships"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8" cy="9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ahoma" w:eastAsia="Tahoma" w:hAnsi="Tahoma" w:cs="Tahoma"/>
          <w:spacing w:val="1"/>
          <w:position w:val="17"/>
          <w:sz w:val="16"/>
          <w:szCs w:val="16"/>
        </w:rPr>
        <w:t>-10%</w:t>
      </w:r>
      <w:r>
        <w:rPr>
          <w:rFonts w:ascii="Tahoma" w:eastAsia="Tahoma" w:hAnsi="Tahoma" w:cs="Tahoma"/>
          <w:spacing w:val="29"/>
          <w:w w:val="101"/>
          <w:position w:val="17"/>
          <w:sz w:val="16"/>
          <w:szCs w:val="16"/>
        </w:rPr>
        <w:t xml:space="preserve"> </w:t>
      </w:r>
      <w:r>
        <w:rPr>
          <w:position w:val="23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" w:line="192" w:lineRule="auto"/>
        <w:ind w:left="2906"/>
        <w:rPr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-15%</w:t>
      </w:r>
      <w:r>
        <w:rPr>
          <w:rFonts w:ascii="Tahoma" w:eastAsia="Tahoma" w:hAnsi="Tahoma" w:cs="Tahoma"/>
          <w:spacing w:val="29"/>
          <w:w w:val="101"/>
          <w:sz w:val="16"/>
          <w:szCs w:val="16"/>
        </w:rPr>
        <w:t xml:space="preserve"> </w:t>
      </w:r>
      <w:r>
        <w:rPr>
          <w:position w:val="6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2" w:line="125" w:lineRule="exact"/>
        <w:ind w:left="2906"/>
        <w:rPr>
          <w:sz w:val="16"/>
          <w:szCs w:val="16"/>
        </w:rPr>
      </w:pPr>
      <w:r>
        <w:rPr>
          <w:rFonts w:ascii="Tahoma" w:eastAsia="Tahoma" w:hAnsi="Tahoma" w:cs="Tahoma"/>
          <w:spacing w:val="1"/>
          <w:position w:val="-2"/>
          <w:sz w:val="16"/>
          <w:szCs w:val="16"/>
        </w:rPr>
        <w:t>-20%</w:t>
      </w:r>
      <w:r>
        <w:rPr>
          <w:rFonts w:ascii="Tahoma" w:eastAsia="Tahoma" w:hAnsi="Tahoma" w:cs="Tahoma"/>
          <w:spacing w:val="29"/>
          <w:w w:val="101"/>
          <w:position w:val="-2"/>
          <w:sz w:val="16"/>
          <w:szCs w:val="16"/>
        </w:rPr>
        <w:t xml:space="preserve"> </w:t>
      </w:r>
      <w:r>
        <w:rPr>
          <w:position w:val="4"/>
          <w:sz w:val="16"/>
          <w:szCs w:val="16"/>
        </w:rPr>
        <w:drawing>
          <wp:inline distT="0" distB="0" distL="0" distR="0">
            <wp:extent cx="33908" cy="9534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908" cy="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83" w:lineRule="auto"/>
        <w:rPr>
          <w:rFonts w:ascii="Arial"/>
          <w:sz w:val="21"/>
        </w:rPr>
      </w:pPr>
    </w:p>
    <w:p>
      <w:pPr>
        <w:spacing w:before="49" w:line="286" w:lineRule="exact"/>
        <w:ind w:left="14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3"/>
          <w:position w:val="11"/>
          <w:sz w:val="16"/>
          <w:szCs w:val="16"/>
        </w:rPr>
        <w:t>100%</w:t>
      </w:r>
    </w:p>
    <w:p>
      <w:pPr>
        <w:spacing w:line="194" w:lineRule="auto"/>
        <w:ind w:left="2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80%</w:t>
      </w:r>
    </w:p>
    <w:p>
      <w:pPr>
        <w:spacing w:before="131" w:line="193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60%</w:t>
      </w:r>
    </w:p>
    <w:p>
      <w:pPr>
        <w:spacing w:before="130" w:line="194" w:lineRule="auto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2"/>
          <w:sz w:val="16"/>
          <w:szCs w:val="16"/>
        </w:rPr>
        <w:t>40%</w:t>
      </w:r>
    </w:p>
    <w:p>
      <w:pPr>
        <w:spacing w:before="131" w:line="193" w:lineRule="auto"/>
        <w:ind w:left="5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20%</w:t>
      </w:r>
    </w:p>
    <w:p>
      <w:pPr>
        <w:spacing w:before="131" w:line="193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0%</w:t>
      </w:r>
    </w:p>
    <w:p>
      <w:pPr>
        <w:spacing w:before="131" w:line="286" w:lineRule="exact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position w:val="11"/>
          <w:sz w:val="16"/>
          <w:szCs w:val="16"/>
        </w:rPr>
        <w:t>-20%</w:t>
      </w:r>
    </w:p>
    <w:p>
      <w:pPr>
        <w:spacing w:line="193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-40%</w:t>
      </w:r>
    </w:p>
    <w:p>
      <w:pPr>
        <w:spacing w:before="131" w:line="193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-60%</w:t>
      </w:r>
    </w:p>
    <w:p>
      <w:pPr>
        <w:spacing w:before="130" w:line="194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-80%</w:t>
      </w:r>
    </w:p>
    <w:p>
      <w:pPr>
        <w:spacing w:before="131" w:line="125" w:lineRule="exact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position w:val="-2"/>
          <w:sz w:val="16"/>
          <w:szCs w:val="16"/>
        </w:rPr>
        <w:t>-100%</w:t>
      </w:r>
    </w:p>
    <w:p>
      <w:pPr>
        <w:spacing w:line="125" w:lineRule="exact"/>
        <w:rPr>
          <w:rFonts w:ascii="Tahoma" w:eastAsia="Tahoma" w:hAnsi="Tahoma" w:cs="Tahoma"/>
          <w:sz w:val="16"/>
          <w:szCs w:val="16"/>
        </w:rPr>
        <w:sectPr>
          <w:headerReference w:type="default" r:id="rId33"/>
          <w:footerReference w:type="default" r:id="rId34"/>
          <w:type w:val="continuous"/>
          <w:pgSz w:w="11910" w:h="16845"/>
          <w:pgMar w:top="885" w:right="601" w:bottom="840" w:left="612" w:header="386" w:footer="542" w:gutter="0"/>
          <w:pgNumType w:start="10"/>
          <w:cols w:num="2" w:space="708" w:equalWidth="0">
            <w:col w:w="9846" w:space="30"/>
            <w:col w:w="821" w:space="0"/>
          </w:cols>
        </w:sectPr>
      </w:pPr>
    </w:p>
    <w:p>
      <w:pPr>
        <w:pStyle w:val="BodyText"/>
        <w:spacing w:before="234" w:line="210" w:lineRule="auto"/>
        <w:ind w:left="2622"/>
        <w:rPr>
          <w:sz w:val="17"/>
          <w:szCs w:val="17"/>
        </w:rPr>
      </w:pPr>
      <w:r>
        <w:rPr>
          <w:i/>
          <w:iCs/>
          <w:color w:val="004098"/>
          <w:spacing w:val="-6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6"/>
          <w:sz w:val="17"/>
          <w:szCs w:val="17"/>
        </w:rPr>
        <w:t>Wind</w:t>
      </w:r>
      <w:r>
        <w:rPr>
          <w:i/>
          <w:iCs/>
          <w:color w:val="004098"/>
          <w:spacing w:val="-6"/>
          <w:sz w:val="17"/>
          <w:szCs w:val="17"/>
        </w:rPr>
        <w:t>、中汽协、乘联会、长城证券产业金融研究院</w:t>
      </w:r>
    </w:p>
    <w:p>
      <w:pPr>
        <w:pStyle w:val="BodyText"/>
        <w:spacing w:before="202" w:line="248" w:lineRule="auto"/>
        <w:ind w:left="2626" w:right="53" w:hanging="5"/>
        <w:jc w:val="both"/>
        <w:rPr>
          <w:sz w:val="21"/>
          <w:szCs w:val="21"/>
        </w:rPr>
      </w:pPr>
      <w:r>
        <w:rPr>
          <w:color w:val="004098"/>
          <w:spacing w:val="-2"/>
          <w:sz w:val="21"/>
          <w:szCs w:val="21"/>
          <w14:textOutline w14:w="3810">
            <w14:solidFill>
              <w14:srgbClr w14:val="004098"/>
            </w14:solidFill>
            <w14:prstDash w14:val="solid"/>
            <w14:miter w14:lim="10"/>
          </w14:textOutline>
        </w:rPr>
        <w:t>基金持仓比例仍有提升空间。</w:t>
      </w:r>
      <w:r>
        <w:rPr>
          <w:color w:val="004098"/>
          <w:spacing w:val="-2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结合年度数据及季度数据看基金持仓趋势，基金汽车板块</w:t>
      </w:r>
      <w:r>
        <w:rPr>
          <w:spacing w:val="12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持仓比例</w:t>
      </w:r>
      <w:r>
        <w:rPr>
          <w:rFonts w:ascii="Tahoma" w:eastAsia="Tahoma" w:hAnsi="Tahoma" w:cs="Tahoma"/>
          <w:spacing w:val="-9"/>
          <w:sz w:val="21"/>
          <w:szCs w:val="21"/>
        </w:rPr>
        <w:t>&amp;</w:t>
      </w:r>
      <w:r>
        <w:rPr>
          <w:spacing w:val="-9"/>
          <w:sz w:val="21"/>
          <w:szCs w:val="21"/>
        </w:rPr>
        <w:t>占流通</w:t>
      </w:r>
      <w:r>
        <w:rPr>
          <w:spacing w:val="-9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A</w:t>
      </w:r>
      <w:r>
        <w:rPr>
          <w:rFonts w:ascii="Tahoma" w:eastAsia="Tahoma" w:hAnsi="Tahoma" w:cs="Tahoma"/>
          <w:spacing w:val="27"/>
          <w:w w:val="101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股比例均于</w:t>
      </w:r>
      <w:r>
        <w:rPr>
          <w:spacing w:val="-9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2018</w:t>
      </w:r>
      <w:r>
        <w:rPr>
          <w:rFonts w:ascii="Tahoma" w:eastAsia="Tahoma" w:hAnsi="Tahoma" w:cs="Tahoma"/>
          <w:spacing w:val="41"/>
          <w:w w:val="101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年以来缓慢抬升，</w:t>
      </w:r>
      <w:r>
        <w:rPr>
          <w:spacing w:val="57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2020</w:t>
      </w:r>
      <w:r>
        <w:rPr>
          <w:rFonts w:ascii="Tahoma" w:eastAsia="Tahoma" w:hAnsi="Tahoma" w:cs="Tahoma"/>
          <w:spacing w:val="41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年以后趋于平稳，</w:t>
      </w:r>
      <w:r>
        <w:rPr>
          <w:spacing w:val="57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3Q23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汽车板块基金重仓持仓为</w:t>
      </w:r>
      <w:r>
        <w:rPr>
          <w:spacing w:val="-2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1.5%</w:t>
      </w:r>
      <w:r>
        <w:rPr>
          <w:spacing w:val="-2"/>
          <w:sz w:val="21"/>
          <w:szCs w:val="21"/>
        </w:rPr>
        <w:t>，相较当前板块市值占比</w:t>
      </w:r>
      <w:r>
        <w:rPr>
          <w:spacing w:val="-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3.2%</w:t>
      </w:r>
      <w:r>
        <w:rPr>
          <w:spacing w:val="-2"/>
          <w:sz w:val="21"/>
          <w:szCs w:val="21"/>
        </w:rPr>
        <w:t>仍有</w:t>
      </w:r>
      <w:r>
        <w:rPr>
          <w:spacing w:val="-3"/>
          <w:sz w:val="21"/>
          <w:szCs w:val="21"/>
        </w:rPr>
        <w:t>提升空间。</w:t>
      </w:r>
    </w:p>
    <w:p>
      <w:pPr>
        <w:pStyle w:val="BodyText"/>
        <w:spacing w:before="248" w:line="211" w:lineRule="auto"/>
        <w:ind w:left="160"/>
        <w:rPr>
          <w:sz w:val="20"/>
          <w:szCs w:val="20"/>
        </w:rPr>
      </w:pPr>
      <w:r>
        <w:rPr>
          <w:i/>
          <w:iCs/>
          <w:color w:val="004098"/>
          <w:spacing w:val="4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4"/>
          <w:sz w:val="20"/>
          <w:szCs w:val="20"/>
        </w:rPr>
        <w:t>2</w:t>
      </w:r>
      <w:r>
        <w:rPr>
          <w:i/>
          <w:iCs/>
          <w:color w:val="004098"/>
          <w:spacing w:val="4"/>
          <w:sz w:val="20"/>
          <w:szCs w:val="20"/>
        </w:rPr>
        <w:t>：基金持仓占汽车流通市值比例</w:t>
      </w:r>
      <w:r>
        <w:rPr>
          <w:color w:val="004098"/>
          <w:spacing w:val="4"/>
          <w:sz w:val="20"/>
          <w:szCs w:val="20"/>
        </w:rPr>
        <w:t xml:space="preserve">                </w:t>
      </w:r>
      <w:r>
        <w:rPr>
          <w:color w:val="004098"/>
          <w:spacing w:val="3"/>
          <w:sz w:val="20"/>
          <w:szCs w:val="20"/>
        </w:rPr>
        <w:t xml:space="preserve">   </w:t>
      </w:r>
      <w:r>
        <w:rPr>
          <w:i/>
          <w:iCs/>
          <w:color w:val="004098"/>
          <w:spacing w:val="3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3"/>
          <w:sz w:val="20"/>
          <w:szCs w:val="20"/>
        </w:rPr>
        <w:t>3</w:t>
      </w:r>
      <w:r>
        <w:rPr>
          <w:i/>
          <w:iCs/>
          <w:color w:val="004098"/>
          <w:spacing w:val="3"/>
          <w:sz w:val="20"/>
          <w:szCs w:val="20"/>
        </w:rPr>
        <w:t>：汽车持仓占基金股票总仓位比例</w:t>
      </w:r>
    </w:p>
    <w:p>
      <w:pPr>
        <w:spacing w:before="57"/>
      </w:pPr>
    </w:p>
    <w:p>
      <w:pPr>
        <w:sectPr>
          <w:headerReference w:type="default" r:id="rId35"/>
          <w:footerReference w:type="default" r:id="rId36"/>
          <w:type w:val="continuous"/>
          <w:pgSz w:w="11910" w:h="16845"/>
          <w:pgMar w:top="885" w:right="601" w:bottom="840" w:left="612" w:header="386" w:footer="542" w:gutter="0"/>
          <w:pgNumType w:start="11"/>
          <w:cols w:num="1" w:space="708" w:equalWidth="0">
            <w:col w:w="10697" w:space="0"/>
          </w:cols>
        </w:sectPr>
      </w:pPr>
    </w:p>
    <w:p>
      <w:pPr>
        <w:pStyle w:val="BodyText"/>
        <w:spacing w:before="35" w:line="224" w:lineRule="auto"/>
        <w:jc w:val="right"/>
        <w:rPr>
          <w:sz w:val="16"/>
          <w:szCs w:val="16"/>
        </w:rPr>
      </w:pPr>
      <w:r>
        <w:rPr>
          <w:position w:val="2"/>
          <w:sz w:val="16"/>
          <w:szCs w:val="16"/>
        </w:rPr>
        <w:drawing>
          <wp:inline distT="0" distB="0" distL="0" distR="0">
            <wp:extent cx="243840" cy="55177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5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6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每期持股市值（亿）</w:t>
      </w:r>
      <w:r>
        <w:rPr>
          <w:spacing w:val="32"/>
          <w:sz w:val="16"/>
          <w:szCs w:val="16"/>
        </w:rPr>
        <w:t xml:space="preserve">  </w:t>
      </w:r>
      <w:r>
        <w:rPr>
          <w:position w:val="4"/>
          <w:sz w:val="16"/>
          <w:szCs w:val="16"/>
        </w:rPr>
        <w:drawing>
          <wp:inline distT="0" distB="0" distL="0" distR="0">
            <wp:extent cx="269239" cy="2540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9239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占流通</w:t>
      </w:r>
      <w:r>
        <w:rPr>
          <w:rFonts w:ascii="Tahoma" w:eastAsia="Tahoma" w:hAnsi="Tahoma" w:cs="Tahoma"/>
          <w:spacing w:val="1"/>
          <w:sz w:val="16"/>
          <w:szCs w:val="16"/>
        </w:rPr>
        <w:t>A</w:t>
      </w:r>
      <w:r>
        <w:rPr>
          <w:spacing w:val="1"/>
          <w:sz w:val="16"/>
          <w:szCs w:val="16"/>
        </w:rPr>
        <w:t>股比例（右）</w:t>
      </w:r>
    </w:p>
    <w:p>
      <w:pPr>
        <w:spacing w:line="205" w:lineRule="exact"/>
        <w:sectPr>
          <w:headerReference w:type="default" r:id="rId39"/>
          <w:footerReference w:type="default" r:id="rId40"/>
          <w:type w:val="continuous"/>
          <w:pgSz w:w="11910" w:h="16845"/>
          <w:pgMar w:top="885" w:right="601" w:bottom="840" w:left="612" w:header="386" w:footer="542" w:gutter="0"/>
          <w:pgNumType w:start="12"/>
          <w:cols w:num="3" w:space="708" w:equalWidth="0">
            <w:col w:w="4899" w:space="27"/>
            <w:col w:w="720" w:space="63"/>
            <w:col w:w="4987" w:space="0"/>
          </w:cols>
        </w:sectPr>
      </w:pPr>
    </w:p>
    <w:tbl>
      <w:tblPr>
        <w:tblStyle w:val="TableNormal1"/>
        <w:tblW w:w="4443" w:type="dxa"/>
        <w:tblInd w:w="3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6"/>
        <w:gridCol w:w="3987"/>
      </w:tblGrid>
      <w:tr>
        <w:tblPrEx>
          <w:tblW w:w="4443" w:type="dxa"/>
          <w:tblInd w:w="38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918"/>
        </w:trPr>
        <w:tc>
          <w:tcPr>
            <w:tcW w:w="456" w:type="dxa"/>
            <w:vAlign w:val="top"/>
          </w:tcPr>
          <w:p>
            <w:pPr>
              <w:pStyle w:val="TableText"/>
              <w:spacing w:line="204" w:lineRule="auto"/>
            </w:pPr>
            <w:r>
              <w:rPr>
                <w:spacing w:val="-3"/>
              </w:rPr>
              <w:t>1,400</w:t>
            </w:r>
          </w:p>
          <w:p>
            <w:pPr>
              <w:pStyle w:val="TableText"/>
              <w:spacing w:before="32" w:line="204" w:lineRule="auto"/>
            </w:pPr>
            <w:r>
              <w:rPr>
                <w:spacing w:val="-3"/>
              </w:rPr>
              <w:t>1,200</w:t>
            </w:r>
          </w:p>
          <w:p>
            <w:pPr>
              <w:pStyle w:val="TableText"/>
              <w:spacing w:before="31" w:line="205" w:lineRule="auto"/>
            </w:pPr>
            <w:r>
              <w:rPr>
                <w:spacing w:val="-3"/>
              </w:rPr>
              <w:t>1,000</w:t>
            </w:r>
          </w:p>
          <w:p>
            <w:pPr>
              <w:pStyle w:val="TableText"/>
              <w:spacing w:before="35" w:line="194" w:lineRule="auto"/>
              <w:ind w:left="123"/>
            </w:pPr>
            <w:r>
              <w:t>800</w:t>
            </w:r>
          </w:p>
          <w:p>
            <w:pPr>
              <w:pStyle w:val="TableText"/>
              <w:spacing w:before="41" w:line="193" w:lineRule="auto"/>
              <w:ind w:left="124"/>
            </w:pPr>
            <w:r>
              <w:t>600</w:t>
            </w:r>
          </w:p>
          <w:p>
            <w:pPr>
              <w:pStyle w:val="TableText"/>
              <w:spacing w:before="40" w:line="193" w:lineRule="auto"/>
              <w:ind w:left="120"/>
            </w:pPr>
            <w:r>
              <w:rPr>
                <w:spacing w:val="1"/>
              </w:rPr>
              <w:t>400</w:t>
            </w:r>
          </w:p>
          <w:p>
            <w:pPr>
              <w:pStyle w:val="TableText"/>
              <w:spacing w:before="41" w:line="193" w:lineRule="auto"/>
              <w:ind w:left="126"/>
            </w:pPr>
            <w:r>
              <w:rPr>
                <w:spacing w:val="-1"/>
              </w:rPr>
              <w:t>200</w:t>
            </w:r>
          </w:p>
          <w:p>
            <w:pPr>
              <w:pStyle w:val="TableText"/>
              <w:spacing w:before="39" w:line="194" w:lineRule="auto"/>
              <w:ind w:left="299"/>
            </w:pPr>
            <w:r>
              <w:t>0</w:t>
            </w:r>
          </w:p>
        </w:tc>
        <w:tc>
          <w:tcPr>
            <w:tcW w:w="3987" w:type="dxa"/>
            <w:vAlign w:val="top"/>
          </w:tcPr>
          <w:p>
            <w:pPr>
              <w:spacing w:before="46" w:line="1434" w:lineRule="exact"/>
              <w:ind w:firstLine="68"/>
            </w:pPr>
            <w:r>
              <mc:AlternateContent>
                <mc:Choice Requires="wps">
                  <w:drawing>
                    <wp:anchor distT="0" distB="0" distL="0" distR="0" simplePos="0" relativeHeight="251680768" behindDoc="0" locked="0" layoutInCell="1" allowOverlap="1">
                      <wp:simplePos x="0" y="0"/>
                      <wp:positionH relativeFrom="rightMargin">
                        <wp:posOffset>-1361930</wp:posOffset>
                      </wp:positionH>
                      <wp:positionV relativeFrom="topMargin">
                        <wp:posOffset>-144702</wp:posOffset>
                      </wp:positionV>
                      <wp:extent cx="262890" cy="2490470"/>
                      <wp:effectExtent l="0" t="0" r="0" b="0"/>
                      <wp:wrapNone/>
                      <wp:docPr id="56" name="Text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361930" y="-144702"/>
                                <a:ext cx="262890" cy="249047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20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1Q13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2" w:line="202" w:lineRule="auto"/>
                                    <w:ind w:left="20"/>
                                  </w:pPr>
                                  <w:r>
                                    <w:t>4Q13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1" w:line="203" w:lineRule="auto"/>
                                    <w:ind w:left="24"/>
                                  </w:pPr>
                                  <w:r>
                                    <w:rPr>
                                      <w:spacing w:val="-1"/>
                                    </w:rPr>
                                    <w:t>3Q14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2" w:line="203" w:lineRule="auto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2Q15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2" w:line="203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1Q16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2" w:line="203" w:lineRule="auto"/>
                                    <w:ind w:left="20"/>
                                  </w:pPr>
                                  <w:r>
                                    <w:t>4Q16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3" w:line="202" w:lineRule="auto"/>
                                    <w:ind w:left="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3Q17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3" w:line="202" w:lineRule="auto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2Q18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3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1Q19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3" w:line="202" w:lineRule="auto"/>
                                    <w:ind w:left="20"/>
                                  </w:pPr>
                                  <w:r>
                                    <w:t>4Q19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3" w:line="202" w:lineRule="auto"/>
                                    <w:ind w:left="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3Q20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3" w:line="202" w:lineRule="auto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2Q21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2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1Q22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2" w:line="203" w:lineRule="auto"/>
                                    <w:ind w:left="20"/>
                                  </w:pPr>
                                  <w:r>
                                    <w:t>4Q22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105" w:line="203" w:lineRule="auto"/>
                                    <w:ind w:left="24"/>
                                  </w:pPr>
                                  <w:r>
                                    <w:rPr>
                                      <w:spacing w:val="-1"/>
                                    </w:rPr>
                                    <w:t>3Q23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6" o:spid="_x0000_s1043" type="#_x0000_t202" style="width:20.7pt;height:196.1pt;margin-top:-11.39pt;margin-left:-107.24pt;mso-position-horizontal-relative:right-margin-area;mso-position-vertical-relative:top-margin-area;mso-wrap-distance-bottom:0;mso-wrap-distance-left:0;mso-wrap-distance-right:0;mso-wrap-distance-top:0;position:absolute;rotation:270;v-text-anchor:top;z-index:25167974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20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1Q13</w:t>
                            </w:r>
                          </w:p>
                          <w:p>
                            <w:pPr>
                              <w:pStyle w:val="TableText"/>
                              <w:spacing w:before="102" w:line="202" w:lineRule="auto"/>
                              <w:ind w:left="20"/>
                            </w:pPr>
                            <w:r>
                              <w:t>4Q13</w:t>
                            </w:r>
                          </w:p>
                          <w:p>
                            <w:pPr>
                              <w:pStyle w:val="TableText"/>
                              <w:spacing w:before="101" w:line="203" w:lineRule="auto"/>
                              <w:ind w:left="24"/>
                            </w:pPr>
                            <w:r>
                              <w:rPr>
                                <w:spacing w:val="-1"/>
                              </w:rPr>
                              <w:t>3Q14</w:t>
                            </w:r>
                          </w:p>
                          <w:p>
                            <w:pPr>
                              <w:pStyle w:val="TableText"/>
                              <w:spacing w:before="102" w:line="203" w:lineRule="auto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2Q15</w:t>
                            </w:r>
                          </w:p>
                          <w:p>
                            <w:pPr>
                              <w:pStyle w:val="TableText"/>
                              <w:spacing w:before="102" w:line="203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1Q16</w:t>
                            </w:r>
                          </w:p>
                          <w:p>
                            <w:pPr>
                              <w:pStyle w:val="TableText"/>
                              <w:spacing w:before="102" w:line="203" w:lineRule="auto"/>
                              <w:ind w:left="20"/>
                            </w:pPr>
                            <w:r>
                              <w:t>4Q16</w:t>
                            </w:r>
                          </w:p>
                          <w:p>
                            <w:pPr>
                              <w:pStyle w:val="TableText"/>
                              <w:spacing w:before="103" w:line="202" w:lineRule="auto"/>
                              <w:ind w:left="24"/>
                            </w:pPr>
                            <w:r>
                              <w:rPr>
                                <w:spacing w:val="-2"/>
                              </w:rPr>
                              <w:t>3Q17</w:t>
                            </w:r>
                          </w:p>
                          <w:p>
                            <w:pPr>
                              <w:pStyle w:val="TableText"/>
                              <w:spacing w:before="103" w:line="202" w:lineRule="auto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2Q18</w:t>
                            </w:r>
                          </w:p>
                          <w:p>
                            <w:pPr>
                              <w:pStyle w:val="TableText"/>
                              <w:spacing w:before="103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1Q19</w:t>
                            </w:r>
                          </w:p>
                          <w:p>
                            <w:pPr>
                              <w:pStyle w:val="TableText"/>
                              <w:spacing w:before="103" w:line="202" w:lineRule="auto"/>
                              <w:ind w:left="20"/>
                            </w:pPr>
                            <w:r>
                              <w:t>4Q19</w:t>
                            </w:r>
                          </w:p>
                          <w:p>
                            <w:pPr>
                              <w:pStyle w:val="TableText"/>
                              <w:spacing w:before="103" w:line="202" w:lineRule="auto"/>
                              <w:ind w:left="24"/>
                            </w:pPr>
                            <w:r>
                              <w:rPr>
                                <w:spacing w:val="-2"/>
                              </w:rPr>
                              <w:t>3Q20</w:t>
                            </w:r>
                          </w:p>
                          <w:p>
                            <w:pPr>
                              <w:pStyle w:val="TableText"/>
                              <w:spacing w:before="103" w:line="202" w:lineRule="auto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2Q21</w:t>
                            </w:r>
                          </w:p>
                          <w:p>
                            <w:pPr>
                              <w:pStyle w:val="TableText"/>
                              <w:spacing w:before="102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1Q22</w:t>
                            </w:r>
                          </w:p>
                          <w:p>
                            <w:pPr>
                              <w:pStyle w:val="TableText"/>
                              <w:spacing w:before="102" w:line="203" w:lineRule="auto"/>
                              <w:ind w:left="20"/>
                            </w:pPr>
                            <w:r>
                              <w:t>4Q22</w:t>
                            </w:r>
                          </w:p>
                          <w:p>
                            <w:pPr>
                              <w:pStyle w:val="TableText"/>
                              <w:spacing w:before="105" w:line="203" w:lineRule="auto"/>
                              <w:ind w:left="24"/>
                            </w:pPr>
                            <w:r>
                              <w:rPr>
                                <w:spacing w:val="-1"/>
                              </w:rPr>
                              <w:t>3Q23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position w:val="-28"/>
              </w:rPr>
              <w:drawing>
                <wp:inline distT="0" distB="0" distL="0" distR="0">
                  <wp:extent cx="2480729" cy="910404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729" cy="910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49" w:line="344" w:lineRule="exact"/>
        <w:ind w:left="2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position w:val="15"/>
          <w:sz w:val="16"/>
          <w:szCs w:val="16"/>
        </w:rPr>
        <w:t>8%</w:t>
      </w:r>
    </w:p>
    <w:p>
      <w:pPr>
        <w:spacing w:before="1" w:line="192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6%</w:t>
      </w:r>
    </w:p>
    <w:p>
      <w:pPr>
        <w:spacing w:before="188" w:line="193" w:lineRule="auto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2"/>
          <w:sz w:val="16"/>
          <w:szCs w:val="16"/>
        </w:rPr>
        <w:t>4%</w:t>
      </w:r>
    </w:p>
    <w:p>
      <w:pPr>
        <w:spacing w:before="188" w:line="194" w:lineRule="auto"/>
        <w:ind w:left="5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2%</w:t>
      </w:r>
    </w:p>
    <w:p>
      <w:pPr>
        <w:spacing w:before="187" w:line="194" w:lineRule="auto"/>
        <w:ind w:left="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2" w:line="223" w:lineRule="auto"/>
        <w:ind w:left="33"/>
        <w:rPr>
          <w:sz w:val="16"/>
          <w:szCs w:val="16"/>
        </w:rPr>
      </w:pPr>
      <w:r>
        <w:rPr>
          <w:position w:val="2"/>
          <w:sz w:val="16"/>
          <w:szCs w:val="16"/>
        </w:rPr>
        <w:drawing>
          <wp:inline distT="0" distB="0" distL="0" distR="0">
            <wp:extent cx="243840" cy="55177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5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sz w:val="16"/>
          <w:szCs w:val="16"/>
        </w:rPr>
        <w:t xml:space="preserve"> </w:t>
      </w:r>
      <w:r>
        <w:rPr>
          <w:sz w:val="16"/>
          <w:szCs w:val="16"/>
        </w:rPr>
        <w:t>基金持股总市值（亿）</w:t>
      </w:r>
      <w:r>
        <w:rPr>
          <w:sz w:val="16"/>
          <w:szCs w:val="16"/>
        </w:rPr>
        <w:t xml:space="preserve"> </w:t>
      </w:r>
      <w:r>
        <w:rPr>
          <w:position w:val="4"/>
          <w:sz w:val="16"/>
          <w:szCs w:val="16"/>
        </w:rPr>
        <w:drawing>
          <wp:inline distT="0" distB="0" distL="0" distR="0">
            <wp:extent cx="269240" cy="2540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924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9"/>
          <w:sz w:val="16"/>
          <w:szCs w:val="16"/>
        </w:rPr>
        <w:t xml:space="preserve"> </w:t>
      </w:r>
      <w:r>
        <w:rPr>
          <w:sz w:val="16"/>
          <w:szCs w:val="16"/>
        </w:rPr>
        <w:t>持股占基金总仓位比例（右）</w:t>
      </w:r>
    </w:p>
    <w:p>
      <w:pPr>
        <w:spacing w:before="26"/>
      </w:pPr>
    </w:p>
    <w:p>
      <w:pPr>
        <w:spacing w:before="25"/>
      </w:pPr>
    </w:p>
    <w:tbl>
      <w:tblPr>
        <w:tblStyle w:val="TableNormal1"/>
        <w:tblW w:w="462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6"/>
        <w:gridCol w:w="3774"/>
        <w:gridCol w:w="294"/>
      </w:tblGrid>
      <w:tr>
        <w:tblPrEx>
          <w:tblW w:w="462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548"/>
        </w:trPr>
        <w:tc>
          <w:tcPr>
            <w:tcW w:w="556" w:type="dxa"/>
            <w:vAlign w:val="top"/>
          </w:tcPr>
          <w:p>
            <w:pPr>
              <w:pStyle w:val="TableText"/>
              <w:spacing w:line="204" w:lineRule="auto"/>
              <w:ind w:left="2"/>
            </w:pPr>
            <w:r>
              <w:t>80,000</w:t>
            </w:r>
          </w:p>
          <w:p>
            <w:pPr>
              <w:pStyle w:val="TableText"/>
              <w:spacing w:before="86" w:line="204" w:lineRule="auto"/>
              <w:ind w:left="3"/>
            </w:pPr>
            <w:r>
              <w:t>60,000</w:t>
            </w:r>
          </w:p>
          <w:p>
            <w:pPr>
              <w:pStyle w:val="TableText"/>
              <w:spacing w:before="86" w:line="204" w:lineRule="auto"/>
            </w:pPr>
            <w:r>
              <w:rPr>
                <w:spacing w:val="1"/>
              </w:rPr>
              <w:t>40,000</w:t>
            </w:r>
          </w:p>
          <w:p>
            <w:pPr>
              <w:pStyle w:val="TableText"/>
              <w:spacing w:before="86" w:line="204" w:lineRule="auto"/>
              <w:ind w:left="5"/>
            </w:pPr>
            <w:r>
              <w:t>20,000</w:t>
            </w:r>
          </w:p>
          <w:p>
            <w:pPr>
              <w:pStyle w:val="TableText"/>
              <w:spacing w:before="90" w:line="194" w:lineRule="auto"/>
              <w:ind w:left="401"/>
            </w:pPr>
            <w:r>
              <w:t>0</w:t>
            </w:r>
          </w:p>
        </w:tc>
        <w:tc>
          <w:tcPr>
            <w:tcW w:w="3774" w:type="dxa"/>
            <w:vAlign w:val="top"/>
          </w:tcPr>
          <w:p>
            <w:pPr>
              <w:spacing w:before="46" w:line="1064" w:lineRule="exact"/>
              <w:ind w:firstLine="64"/>
            </w:pPr>
            <w:r>
              <mc:AlternateContent>
                <mc:Choice Requires="wps">
                  <w:drawing>
                    <wp:anchor distT="0" distB="0" distL="0" distR="0" simplePos="0" relativeHeight="251682816" behindDoc="0" locked="0" layoutInCell="1" allowOverlap="1">
                      <wp:simplePos x="0" y="0"/>
                      <wp:positionH relativeFrom="rightMargin">
                        <wp:posOffset>-1308537</wp:posOffset>
                      </wp:positionH>
                      <wp:positionV relativeFrom="topMargin">
                        <wp:posOffset>-297841</wp:posOffset>
                      </wp:positionV>
                      <wp:extent cx="261620" cy="2326639"/>
                      <wp:effectExtent l="0" t="0" r="0" b="0"/>
                      <wp:wrapNone/>
                      <wp:docPr id="64" name="Text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308537" y="-297841"/>
                                <a:ext cx="261620" cy="2326639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20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1Q13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0"/>
                                  </w:pPr>
                                  <w:r>
                                    <w:rPr>
                                      <w:spacing w:val="-1"/>
                                    </w:rPr>
                                    <w:t>4Q13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3Q14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2Q15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1Q16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0"/>
                                  </w:pPr>
                                  <w:r>
                                    <w:rPr>
                                      <w:spacing w:val="-1"/>
                                    </w:rPr>
                                    <w:t>4Q16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3Q17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5" w:line="202" w:lineRule="auto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2Q18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1Q19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5" w:line="202" w:lineRule="auto"/>
                                    <w:ind w:left="20"/>
                                  </w:pPr>
                                  <w:r>
                                    <w:rPr>
                                      <w:spacing w:val="-1"/>
                                    </w:rPr>
                                    <w:t>4Q19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3Q20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5" w:line="202" w:lineRule="auto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2Q21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3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1Q22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4" w:line="202" w:lineRule="auto"/>
                                    <w:ind w:left="20"/>
                                  </w:pPr>
                                  <w:r>
                                    <w:rPr>
                                      <w:spacing w:val="-1"/>
                                    </w:rPr>
                                    <w:t>4Q22</w:t>
                                  </w:r>
                                </w:p>
                                <w:p>
                                  <w:pPr>
                                    <w:pStyle w:val="TableText"/>
                                    <w:spacing w:before="88" w:line="202" w:lineRule="auto"/>
                                    <w:ind w:left="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3Q23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4" o:spid="_x0000_s1044" type="#_x0000_t202" style="width:20.6pt;height:183.2pt;margin-top:-23.45pt;margin-left:-103.03pt;mso-position-horizontal-relative:right-margin-area;mso-position-vertical-relative:top-margin-area;mso-wrap-distance-bottom:0;mso-wrap-distance-left:0;mso-wrap-distance-right:0;mso-wrap-distance-top:0;position:absolute;rotation:270;v-text-anchor:top;z-index:25168179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20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1Q13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0"/>
                            </w:pPr>
                            <w:r>
                              <w:rPr>
                                <w:spacing w:val="-1"/>
                              </w:rPr>
                              <w:t>4Q13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4"/>
                            </w:pPr>
                            <w:r>
                              <w:rPr>
                                <w:spacing w:val="-2"/>
                              </w:rPr>
                              <w:t>3Q14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2Q15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1Q16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0"/>
                            </w:pPr>
                            <w:r>
                              <w:rPr>
                                <w:spacing w:val="-1"/>
                              </w:rPr>
                              <w:t>4Q16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4"/>
                            </w:pPr>
                            <w:r>
                              <w:rPr>
                                <w:spacing w:val="-2"/>
                              </w:rPr>
                              <w:t>3Q17</w:t>
                            </w:r>
                          </w:p>
                          <w:p>
                            <w:pPr>
                              <w:pStyle w:val="TableText"/>
                              <w:spacing w:before="85" w:line="202" w:lineRule="auto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2Q18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1Q19</w:t>
                            </w:r>
                          </w:p>
                          <w:p>
                            <w:pPr>
                              <w:pStyle w:val="TableText"/>
                              <w:spacing w:before="85" w:line="202" w:lineRule="auto"/>
                              <w:ind w:left="20"/>
                            </w:pPr>
                            <w:r>
                              <w:rPr>
                                <w:spacing w:val="-1"/>
                              </w:rPr>
                              <w:t>4Q19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4"/>
                            </w:pPr>
                            <w:r>
                              <w:rPr>
                                <w:spacing w:val="-2"/>
                              </w:rPr>
                              <w:t>3Q20</w:t>
                            </w:r>
                          </w:p>
                          <w:p>
                            <w:pPr>
                              <w:pStyle w:val="TableText"/>
                              <w:spacing w:before="85" w:line="202" w:lineRule="auto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2Q21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34"/>
                            </w:pPr>
                            <w:r>
                              <w:rPr>
                                <w:spacing w:val="-4"/>
                              </w:rPr>
                              <w:t>1Q22</w:t>
                            </w:r>
                          </w:p>
                          <w:p>
                            <w:pPr>
                              <w:pStyle w:val="TableText"/>
                              <w:spacing w:before="84" w:line="202" w:lineRule="auto"/>
                              <w:ind w:left="20"/>
                            </w:pPr>
                            <w:r>
                              <w:rPr>
                                <w:spacing w:val="-1"/>
                              </w:rPr>
                              <w:t>4Q22</w:t>
                            </w:r>
                          </w:p>
                          <w:p>
                            <w:pPr>
                              <w:pStyle w:val="TableText"/>
                              <w:spacing w:before="88" w:line="202" w:lineRule="auto"/>
                              <w:ind w:left="24"/>
                            </w:pPr>
                            <w:r>
                              <w:rPr>
                                <w:spacing w:val="-2"/>
                              </w:rPr>
                              <w:t>3Q23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position w:val="-21"/>
              </w:rPr>
              <w:drawing>
                <wp:inline distT="0" distB="0" distL="0" distR="0">
                  <wp:extent cx="2312923" cy="675454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xmlns:r="http://schemas.openxmlformats.org/officeDocument/2006/relationships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923" cy="675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vAlign w:val="top"/>
          </w:tcPr>
          <w:p>
            <w:pPr>
              <w:pStyle w:val="TableText"/>
              <w:spacing w:before="2" w:line="312" w:lineRule="auto"/>
              <w:ind w:left="49" w:hanging="4"/>
              <w:jc w:val="both"/>
            </w:pPr>
            <w:r>
              <w:rPr>
                <w:spacing w:val="1"/>
              </w:rPr>
              <w:t>4%</w:t>
            </w:r>
            <w:r>
              <w:t xml:space="preserve"> </w:t>
            </w:r>
            <w:r>
              <w:rPr>
                <w:spacing w:val="-1"/>
              </w:rPr>
              <w:t>3%</w:t>
            </w:r>
            <w:r>
              <w:t xml:space="preserve"> </w:t>
            </w:r>
            <w:r>
              <w:rPr>
                <w:spacing w:val="-1"/>
              </w:rPr>
              <w:t>2%</w:t>
            </w:r>
            <w:r>
              <w:t xml:space="preserve"> </w:t>
            </w:r>
            <w:r>
              <w:rPr>
                <w:spacing w:val="-1"/>
              </w:rPr>
              <w:t>1%</w:t>
            </w:r>
          </w:p>
          <w:p>
            <w:pPr>
              <w:pStyle w:val="TableText"/>
              <w:spacing w:line="193" w:lineRule="auto"/>
              <w:jc w:val="right"/>
            </w:pPr>
            <w:r>
              <w:t>0%</w:t>
            </w:r>
          </w:p>
        </w:tc>
      </w:tr>
    </w:tbl>
    <w:p>
      <w:pPr>
        <w:spacing w:line="45" w:lineRule="exact"/>
        <w:rPr>
          <w:rFonts w:ascii="Arial"/>
          <w:sz w:val="3"/>
        </w:rPr>
      </w:pPr>
    </w:p>
    <w:p>
      <w:pPr>
        <w:spacing w:line="45" w:lineRule="exact"/>
        <w:rPr>
          <w:rFonts w:ascii="Arial" w:eastAsia="Arial" w:hAnsi="Arial" w:cs="Arial"/>
          <w:sz w:val="3"/>
          <w:szCs w:val="3"/>
        </w:rPr>
        <w:sectPr>
          <w:headerReference w:type="default" r:id="rId45"/>
          <w:footerReference w:type="default" r:id="rId46"/>
          <w:type w:val="nextPage"/>
          <w:pgSz w:w="11910" w:h="16845"/>
          <w:pgMar w:top="885" w:right="601" w:bottom="840" w:left="612" w:header="386" w:footer="542" w:gutter="0"/>
          <w:pgNumType w:start="13"/>
          <w:cols w:num="3" w:space="708" w:equalWidth="0">
            <w:col w:w="4899" w:space="27"/>
            <w:col w:w="720" w:space="63"/>
            <w:col w:w="4987" w:space="0"/>
          </w:cols>
          <w:titlePg w:val="0"/>
        </w:sectPr>
      </w:pPr>
    </w:p>
    <w:p>
      <w:pPr>
        <w:pStyle w:val="BodyText"/>
        <w:spacing w:before="282" w:line="179" w:lineRule="auto"/>
        <w:ind w:left="144"/>
        <w:rPr>
          <w:sz w:val="17"/>
          <w:szCs w:val="17"/>
        </w:rPr>
      </w:pPr>
      <w:r>
        <w:rPr>
          <w:i/>
          <w:iCs/>
          <w:color w:val="004098"/>
          <w:spacing w:val="-3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3"/>
          <w:sz w:val="17"/>
          <w:szCs w:val="17"/>
        </w:rPr>
        <w:t>Wind</w:t>
      </w:r>
      <w:r>
        <w:rPr>
          <w:i/>
          <w:iCs/>
          <w:color w:val="004098"/>
          <w:spacing w:val="-3"/>
          <w:sz w:val="17"/>
          <w:szCs w:val="17"/>
        </w:rPr>
        <w:t>、长城证券产业金融研究院</w:t>
      </w:r>
      <w:r>
        <w:rPr>
          <w:color w:val="004098"/>
          <w:spacing w:val="-3"/>
          <w:sz w:val="17"/>
          <w:szCs w:val="17"/>
        </w:rPr>
        <w:t xml:space="preserve">      </w:t>
      </w:r>
      <w:r>
        <w:rPr>
          <w:color w:val="004098"/>
          <w:spacing w:val="-4"/>
          <w:sz w:val="17"/>
          <w:szCs w:val="17"/>
        </w:rPr>
        <w:t xml:space="preserve">                    </w:t>
      </w:r>
      <w:r>
        <w:rPr>
          <w:i/>
          <w:iCs/>
          <w:color w:val="004098"/>
          <w:spacing w:val="-4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4"/>
          <w:sz w:val="17"/>
          <w:szCs w:val="17"/>
        </w:rPr>
        <w:t>Wind</w:t>
      </w:r>
      <w:r>
        <w:rPr>
          <w:i/>
          <w:iCs/>
          <w:color w:val="004098"/>
          <w:spacing w:val="-4"/>
          <w:sz w:val="17"/>
          <w:szCs w:val="17"/>
        </w:rPr>
        <w:t>、长城证券产业金融研究院</w:t>
      </w:r>
    </w:p>
    <w:p>
      <w:pPr>
        <w:spacing w:line="179" w:lineRule="auto"/>
        <w:rPr>
          <w:sz w:val="17"/>
          <w:szCs w:val="17"/>
        </w:rPr>
        <w:sectPr>
          <w:headerReference w:type="default" r:id="rId47"/>
          <w:footerReference w:type="default" r:id="rId48"/>
          <w:type w:val="continuous"/>
          <w:pgSz w:w="11910" w:h="16845"/>
          <w:pgMar w:top="885" w:right="601" w:bottom="840" w:left="612" w:header="386" w:footer="542" w:gutter="0"/>
          <w:pgNumType w:start="14"/>
          <w:cols w:num="1" w:space="708" w:equalWidth="0">
            <w:col w:w="10697" w:space="0"/>
          </w:cols>
        </w:sectPr>
      </w:pPr>
    </w:p>
    <w:p>
      <w:pPr>
        <w:pStyle w:val="BodyText"/>
        <w:spacing w:before="193" w:line="255" w:lineRule="auto"/>
        <w:ind w:left="2627" w:right="13" w:firstLine="5"/>
        <w:jc w:val="both"/>
        <w:rPr>
          <w:sz w:val="21"/>
          <w:szCs w:val="21"/>
        </w:rPr>
      </w:pPr>
      <w:r>
        <w:rPr>
          <w:rFonts w:ascii="Tahoma" w:eastAsia="Tahoma" w:hAnsi="Tahoma" w:cs="Tahoma"/>
          <w:b/>
          <w:bCs/>
          <w:color w:val="004098"/>
          <w:spacing w:val="-4"/>
          <w:sz w:val="21"/>
          <w:szCs w:val="21"/>
        </w:rPr>
        <w:t>2023</w:t>
      </w:r>
      <w:r>
        <w:rPr>
          <w:rFonts w:ascii="Tahoma" w:eastAsia="Tahoma" w:hAnsi="Tahoma" w:cs="Tahoma"/>
          <w:b/>
          <w:bCs/>
          <w:color w:val="004098"/>
          <w:spacing w:val="27"/>
          <w:sz w:val="21"/>
          <w:szCs w:val="21"/>
        </w:rPr>
        <w:t xml:space="preserve"> </w:t>
      </w:r>
      <w:r>
        <w:rPr>
          <w:color w:val="004098"/>
          <w:spacing w:val="-4"/>
          <w:sz w:val="21"/>
          <w:szCs w:val="21"/>
          <w14:textOutline w14:w="3810">
            <w14:solidFill>
              <w14:srgbClr w14:val="004098"/>
            </w14:solidFill>
            <w14:prstDash w14:val="solid"/>
            <w14:miter w14:lim="10"/>
          </w14:textOutline>
        </w:rPr>
        <w:t>年北上资金积极增配商用车企业。</w:t>
      </w:r>
      <w:r>
        <w:rPr>
          <w:spacing w:val="-4"/>
          <w:sz w:val="21"/>
          <w:szCs w:val="21"/>
        </w:rPr>
        <w:t>截至</w:t>
      </w:r>
      <w:r>
        <w:rPr>
          <w:spacing w:val="-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4"/>
          <w:sz w:val="21"/>
          <w:szCs w:val="21"/>
        </w:rPr>
        <w:t>12</w:t>
      </w:r>
      <w:r>
        <w:rPr>
          <w:rFonts w:ascii="Tahoma" w:eastAsia="Tahoma" w:hAnsi="Tahoma" w:cs="Tahoma"/>
          <w:spacing w:val="19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月</w:t>
      </w:r>
      <w:r>
        <w:rPr>
          <w:spacing w:val="-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4"/>
          <w:sz w:val="21"/>
          <w:szCs w:val="21"/>
        </w:rPr>
        <w:t xml:space="preserve">29  </w:t>
      </w:r>
      <w:r>
        <w:rPr>
          <w:spacing w:val="-4"/>
          <w:sz w:val="21"/>
          <w:szCs w:val="21"/>
        </w:rPr>
        <w:t>日，</w:t>
      </w:r>
      <w:r>
        <w:rPr>
          <w:spacing w:val="-56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4"/>
          <w:sz w:val="21"/>
          <w:szCs w:val="21"/>
        </w:rPr>
        <w:t>2</w:t>
      </w:r>
      <w:r>
        <w:rPr>
          <w:rFonts w:ascii="Tahoma" w:eastAsia="Tahoma" w:hAnsi="Tahoma" w:cs="Tahoma"/>
          <w:spacing w:val="-5"/>
          <w:sz w:val="21"/>
          <w:szCs w:val="21"/>
        </w:rPr>
        <w:t>023</w:t>
      </w:r>
      <w:r>
        <w:rPr>
          <w:rFonts w:ascii="Tahoma" w:eastAsia="Tahoma" w:hAnsi="Tahoma" w:cs="Tahoma"/>
          <w:spacing w:val="26"/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年陆股通汽车标的中</w:t>
      </w:r>
      <w:r>
        <w:rPr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76%</w:t>
      </w:r>
      <w:r>
        <w:rPr>
          <w:sz w:val="21"/>
          <w:szCs w:val="21"/>
        </w:rPr>
        <w:t>（</w:t>
      </w:r>
      <w:r>
        <w:rPr>
          <w:rFonts w:ascii="Tahoma" w:eastAsia="Tahoma" w:hAnsi="Tahoma" w:cs="Tahoma"/>
          <w:sz w:val="21"/>
          <w:szCs w:val="21"/>
        </w:rPr>
        <w:t>97/128</w:t>
      </w:r>
      <w:r>
        <w:rPr>
          <w:sz w:val="21"/>
          <w:szCs w:val="21"/>
        </w:rPr>
        <w:t>）获得北上资金增持。从增持比例来看：</w:t>
      </w:r>
      <w:r>
        <w:rPr>
          <w:spacing w:val="-48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1</w:t>
      </w:r>
      <w:r>
        <w:rPr>
          <w:sz w:val="21"/>
          <w:szCs w:val="21"/>
        </w:rPr>
        <w:t>）商用车整车企业获得较大增</w:t>
      </w:r>
      <w:r>
        <w:rPr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持：</w:t>
      </w:r>
      <w:r>
        <w:rPr>
          <w:spacing w:val="-53"/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宇通客</w:t>
      </w:r>
      <w:r>
        <w:rPr>
          <w:spacing w:val="-58"/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车、中集</w:t>
      </w:r>
      <w:r>
        <w:rPr>
          <w:spacing w:val="-57"/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车辆、</w:t>
      </w:r>
      <w:r>
        <w:rPr>
          <w:spacing w:val="-41"/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江铃汽车、中国</w:t>
      </w:r>
      <w:r>
        <w:rPr>
          <w:spacing w:val="10"/>
          <w:sz w:val="21"/>
          <w:szCs w:val="21"/>
        </w:rPr>
        <w:t>重</w:t>
      </w:r>
      <w:r>
        <w:rPr>
          <w:spacing w:val="-56"/>
          <w:sz w:val="21"/>
          <w:szCs w:val="21"/>
        </w:rPr>
        <w:t xml:space="preserve"> </w:t>
      </w:r>
      <w:r>
        <w:rPr>
          <w:spacing w:val="10"/>
          <w:sz w:val="21"/>
          <w:szCs w:val="21"/>
        </w:rPr>
        <w:t>汽增持幅度靠前（增持幅度分别为</w:t>
      </w:r>
      <w:r>
        <w:rPr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sz w:val="21"/>
          <w:szCs w:val="21"/>
        </w:rPr>
        <w:t>17.8pct/5.7pct/5.4pct/3.8pct</w:t>
      </w:r>
      <w:r>
        <w:rPr>
          <w:spacing w:val="-33"/>
          <w:sz w:val="21"/>
          <w:szCs w:val="21"/>
        </w:rPr>
        <w:t>）；</w:t>
      </w:r>
      <w:r>
        <w:rPr>
          <w:rFonts w:ascii="Tahoma" w:eastAsia="Tahoma" w:hAnsi="Tahoma" w:cs="Tahoma"/>
          <w:spacing w:val="-1"/>
          <w:sz w:val="21"/>
          <w:szCs w:val="21"/>
        </w:rPr>
        <w:t>2</w:t>
      </w:r>
      <w:r>
        <w:rPr>
          <w:spacing w:val="-1"/>
          <w:sz w:val="21"/>
          <w:szCs w:val="21"/>
        </w:rPr>
        <w:t>）宁波华翔、爱玛科技等被北向资金减持。</w:t>
      </w:r>
    </w:p>
    <w:p>
      <w:pPr>
        <w:pStyle w:val="BodyText"/>
        <w:spacing w:before="251" w:line="213" w:lineRule="auto"/>
        <w:ind w:left="2638"/>
        <w:rPr>
          <w:sz w:val="20"/>
          <w:szCs w:val="20"/>
        </w:rPr>
      </w:pPr>
      <w:r>
        <w:rPr>
          <w:i/>
          <w:iCs/>
          <w:color w:val="004098"/>
          <w:spacing w:val="4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4"/>
          <w:sz w:val="20"/>
          <w:szCs w:val="20"/>
        </w:rPr>
        <w:t>4</w:t>
      </w:r>
      <w:r>
        <w:rPr>
          <w:i/>
          <w:iCs/>
          <w:color w:val="004098"/>
          <w:spacing w:val="4"/>
          <w:sz w:val="20"/>
          <w:szCs w:val="20"/>
        </w:rPr>
        <w:t>：陆股通标的北上资金持股情况</w:t>
      </w:r>
    </w:p>
    <w:p>
      <w:pPr>
        <w:spacing w:line="117" w:lineRule="auto"/>
        <w:rPr>
          <w:rFonts w:ascii="Arial"/>
          <w:sz w:val="2"/>
        </w:rPr>
      </w:pPr>
    </w:p>
    <w:tbl>
      <w:tblPr>
        <w:tblStyle w:val="TableNormal2"/>
        <w:tblW w:w="8020" w:type="dxa"/>
        <w:tblInd w:w="260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51"/>
        <w:gridCol w:w="1562"/>
        <w:gridCol w:w="1412"/>
        <w:gridCol w:w="1622"/>
        <w:gridCol w:w="1346"/>
        <w:gridCol w:w="1327"/>
      </w:tblGrid>
      <w:tr>
        <w:tblPrEx>
          <w:tblW w:w="8020" w:type="dxa"/>
          <w:tblInd w:w="260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37"/>
        </w:trPr>
        <w:tc>
          <w:tcPr>
            <w:tcW w:w="751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spacing w:before="223" w:line="223" w:lineRule="auto"/>
              <w:ind w:left="81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7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序号</w:t>
            </w:r>
          </w:p>
        </w:tc>
        <w:tc>
          <w:tcPr>
            <w:tcW w:w="1562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spacing w:before="222" w:line="224" w:lineRule="auto"/>
              <w:ind w:left="68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股</w:t>
            </w:r>
            <w:r>
              <w:rPr>
                <w:rFonts w:ascii="FangSong" w:eastAsia="FangSong" w:hAnsi="FangSong" w:cs="FangSong"/>
                <w:spacing w:val="-44"/>
                <w:sz w:val="19"/>
                <w:szCs w:val="19"/>
              </w:rPr>
              <w:t xml:space="preserve"> </w:t>
            </w:r>
            <w:r>
              <w:rPr>
                <w:rFonts w:ascii="FangSong" w:eastAsia="FangSong" w:hAnsi="FangSong" w:cs="FangSong"/>
                <w:spacing w:val="5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票代码</w:t>
            </w:r>
          </w:p>
        </w:tc>
        <w:tc>
          <w:tcPr>
            <w:tcW w:w="1412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spacing w:before="223" w:line="221" w:lineRule="auto"/>
              <w:ind w:left="64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8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名称</w:t>
            </w:r>
          </w:p>
        </w:tc>
        <w:tc>
          <w:tcPr>
            <w:tcW w:w="1622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57" w:line="274" w:lineRule="auto"/>
              <w:ind w:left="97" w:right="120" w:hanging="6"/>
              <w:rPr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当</w:t>
            </w:r>
            <w:r>
              <w:rPr>
                <w:rFonts w:ascii="FangSong" w:eastAsia="FangSong" w:hAnsi="FangSong" w:cs="FangSong"/>
                <w:spacing w:val="-52"/>
                <w:sz w:val="19"/>
                <w:szCs w:val="19"/>
              </w:rPr>
              <w:t xml:space="preserve"> </w:t>
            </w:r>
            <w:r>
              <w:rPr>
                <w:rFonts w:ascii="FangSong" w:eastAsia="FangSong" w:hAnsi="FangSong" w:cs="FangSong"/>
                <w:spacing w:val="5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前陆股通持股</w:t>
            </w:r>
            <w:r>
              <w:rPr>
                <w:rFonts w:ascii="FangSong" w:eastAsia="FangSong" w:hAnsi="FangSong" w:cs="FangSong"/>
                <w:sz w:val="19"/>
                <w:szCs w:val="19"/>
              </w:rPr>
              <w:t xml:space="preserve"> </w:t>
            </w:r>
            <w:r>
              <w:rPr>
                <w:rFonts w:ascii="FangSong" w:eastAsia="FangSong" w:hAnsi="FangSong" w:cs="FangSong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占比</w:t>
            </w:r>
            <w:r>
              <w:rPr>
                <w:rFonts w:ascii="FangSong" w:eastAsia="FangSong" w:hAnsi="FangSong" w:cs="FangSong"/>
                <w:spacing w:val="-55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%</w:t>
            </w:r>
          </w:p>
        </w:tc>
        <w:tc>
          <w:tcPr>
            <w:tcW w:w="1346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58" w:line="271" w:lineRule="auto"/>
              <w:ind w:left="68" w:right="55" w:firstLine="1"/>
              <w:rPr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3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年初陆股通持</w:t>
            </w:r>
            <w:r>
              <w:rPr>
                <w:rFonts w:ascii="FangSong" w:eastAsia="FangSong" w:hAnsi="FangSong" w:cs="FangSong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FangSong" w:eastAsia="FangSong" w:hAnsi="FangSong" w:cs="FangSong"/>
                <w:spacing w:val="1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股</w:t>
            </w:r>
            <w:r>
              <w:rPr>
                <w:rFonts w:ascii="FangSong" w:eastAsia="FangSong" w:hAnsi="FangSong" w:cs="FangSong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FangSong" w:eastAsia="FangSong" w:hAnsi="FangSong" w:cs="FangSong"/>
                <w:spacing w:val="1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占比</w:t>
            </w:r>
            <w:r>
              <w:rPr>
                <w:b/>
                <w:bCs/>
                <w:spacing w:val="1"/>
                <w:sz w:val="19"/>
                <w:szCs w:val="19"/>
              </w:rPr>
              <w:t>%</w:t>
            </w:r>
          </w:p>
        </w:tc>
        <w:tc>
          <w:tcPr>
            <w:tcW w:w="1327" w:type="dxa"/>
            <w:tcBorders>
              <w:top w:val="single" w:sz="6" w:space="0" w:color="004098"/>
              <w:bottom w:val="single" w:sz="6" w:space="0" w:color="004098"/>
            </w:tcBorders>
            <w:vAlign w:val="top"/>
          </w:tcPr>
          <w:p>
            <w:pPr>
              <w:pStyle w:val="TableText"/>
              <w:spacing w:before="223" w:line="235" w:lineRule="auto"/>
              <w:ind w:left="56"/>
              <w:rPr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1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增</w:t>
            </w:r>
            <w:r>
              <w:rPr>
                <w:rFonts w:ascii="FangSong" w:eastAsia="FangSong" w:hAnsi="FangSong" w:cs="FangSong"/>
                <w:spacing w:val="-55"/>
                <w:sz w:val="19"/>
                <w:szCs w:val="19"/>
              </w:rPr>
              <w:t xml:space="preserve"> </w:t>
            </w:r>
            <w:r>
              <w:rPr>
                <w:rFonts w:ascii="FangSong" w:eastAsia="FangSong" w:hAnsi="FangSong" w:cs="FangSong"/>
                <w:spacing w:val="11"/>
                <w:sz w:val="19"/>
                <w:szCs w:val="19"/>
                <w14:textOutline w14:w="3537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持幅度</w:t>
            </w:r>
            <w:r>
              <w:rPr>
                <w:b/>
                <w:bCs/>
                <w:spacing w:val="11"/>
                <w:sz w:val="19"/>
                <w:szCs w:val="19"/>
              </w:rPr>
              <w:t>%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293"/>
        </w:trPr>
        <w:tc>
          <w:tcPr>
            <w:tcW w:w="751" w:type="dxa"/>
            <w:tcBorders>
              <w:top w:val="single" w:sz="6" w:space="0" w:color="004098"/>
            </w:tcBorders>
            <w:shd w:val="clear" w:color="auto" w:fill="F2F2F2"/>
            <w:vAlign w:val="top"/>
          </w:tcPr>
          <w:p>
            <w:pPr>
              <w:pStyle w:val="TableText"/>
              <w:spacing w:before="76" w:line="190" w:lineRule="auto"/>
              <w:ind w:left="9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6" w:space="0" w:color="004098"/>
            </w:tcBorders>
            <w:shd w:val="clear" w:color="auto" w:fill="F2F2F2"/>
            <w:vAlign w:val="top"/>
          </w:tcPr>
          <w:p>
            <w:pPr>
              <w:pStyle w:val="TableText"/>
              <w:spacing w:before="74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600660.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tcBorders>
              <w:top w:val="single" w:sz="6" w:space="0" w:color="004098"/>
            </w:tcBorders>
            <w:shd w:val="clear" w:color="auto" w:fill="F2F2F2"/>
            <w:vAlign w:val="top"/>
          </w:tcPr>
          <w:p>
            <w:pPr>
              <w:spacing w:before="35" w:line="224" w:lineRule="auto"/>
              <w:ind w:left="70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3"/>
                <w:sz w:val="19"/>
                <w:szCs w:val="19"/>
              </w:rPr>
              <w:t>福耀玻璃</w:t>
            </w:r>
          </w:p>
        </w:tc>
        <w:tc>
          <w:tcPr>
            <w:tcW w:w="1622" w:type="dxa"/>
            <w:tcBorders>
              <w:top w:val="single" w:sz="6" w:space="0" w:color="004098"/>
            </w:tcBorders>
            <w:shd w:val="clear" w:color="auto" w:fill="F2F2F2"/>
            <w:vAlign w:val="top"/>
          </w:tcPr>
          <w:p>
            <w:pPr>
              <w:pStyle w:val="TableText"/>
              <w:spacing w:before="74" w:line="192" w:lineRule="auto"/>
              <w:ind w:left="7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22.66</w:t>
            </w:r>
          </w:p>
        </w:tc>
        <w:tc>
          <w:tcPr>
            <w:tcW w:w="2673" w:type="dxa"/>
            <w:gridSpan w:val="2"/>
            <w:tcBorders>
              <w:top w:val="single" w:sz="6" w:space="0" w:color="004098"/>
            </w:tcBorders>
            <w:shd w:val="clear" w:color="auto" w:fill="F2F2F2"/>
            <w:vAlign w:val="top"/>
          </w:tcPr>
          <w:p>
            <w:pPr>
              <w:pStyle w:val="TableText"/>
              <w:spacing w:before="74" w:line="192" w:lineRule="auto"/>
              <w:ind w:left="81"/>
              <w:rPr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17.09</w:t>
            </w:r>
            <w:r>
              <w:rPr>
                <w:spacing w:val="3"/>
                <w:sz w:val="19"/>
                <w:szCs w:val="19"/>
              </w:rPr>
              <w:t xml:space="preserve">              </w:t>
            </w:r>
            <w:r>
              <w:rPr>
                <w:spacing w:val="-4"/>
                <w:sz w:val="19"/>
                <w:szCs w:val="19"/>
              </w:rPr>
              <w:t>5.57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vAlign w:val="top"/>
          </w:tcPr>
          <w:p>
            <w:pPr>
              <w:pStyle w:val="TableText"/>
              <w:spacing w:before="96" w:line="192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96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600066.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vAlign w:val="top"/>
          </w:tcPr>
          <w:p>
            <w:pPr>
              <w:spacing w:before="58" w:line="220" w:lineRule="auto"/>
              <w:ind w:left="79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1"/>
                <w:sz w:val="19"/>
                <w:szCs w:val="19"/>
              </w:rPr>
              <w:t>宇通客车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95" w:line="193" w:lineRule="auto"/>
              <w:ind w:left="8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18.95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95" w:line="193" w:lineRule="auto"/>
              <w:ind w:left="81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1.12</w:t>
            </w:r>
            <w:r>
              <w:rPr>
                <w:spacing w:val="2"/>
                <w:sz w:val="19"/>
                <w:szCs w:val="19"/>
              </w:rPr>
              <w:t xml:space="preserve">                </w:t>
            </w:r>
            <w:r>
              <w:rPr>
                <w:spacing w:val="-5"/>
                <w:sz w:val="19"/>
                <w:szCs w:val="19"/>
              </w:rPr>
              <w:t>17.84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98" w:line="192" w:lineRule="auto"/>
              <w:ind w:left="8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97" w:line="193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000338.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59" w:line="221" w:lineRule="auto"/>
              <w:ind w:left="72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3"/>
                <w:sz w:val="19"/>
                <w:szCs w:val="19"/>
              </w:rPr>
              <w:t>潍柴动力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0" w:line="190" w:lineRule="auto"/>
              <w:ind w:left="8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11.77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97" w:line="193" w:lineRule="auto"/>
              <w:ind w:left="6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8.26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1"/>
                <w:sz w:val="19"/>
                <w:szCs w:val="19"/>
              </w:rPr>
              <w:t>3.51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vAlign w:val="top"/>
          </w:tcPr>
          <w:p>
            <w:pPr>
              <w:pStyle w:val="TableText"/>
              <w:spacing w:before="101" w:line="189" w:lineRule="auto"/>
              <w:ind w:left="7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98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002472.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vAlign w:val="top"/>
          </w:tcPr>
          <w:p>
            <w:pPr>
              <w:spacing w:before="60" w:line="223" w:lineRule="auto"/>
              <w:ind w:left="69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4"/>
                <w:sz w:val="19"/>
                <w:szCs w:val="19"/>
              </w:rPr>
              <w:t>双环传动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98" w:line="192" w:lineRule="auto"/>
              <w:ind w:left="8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10.31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98" w:line="192" w:lineRule="auto"/>
              <w:ind w:left="7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5.37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1"/>
                <w:sz w:val="19"/>
                <w:szCs w:val="19"/>
              </w:rPr>
              <w:t>4.94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00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2" w:line="189" w:lineRule="auto"/>
              <w:ind w:left="8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99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002594.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1" w:line="222" w:lineRule="auto"/>
              <w:ind w:left="96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3"/>
                <w:sz w:val="19"/>
                <w:szCs w:val="19"/>
              </w:rPr>
              <w:t>比亚迪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98" w:line="193" w:lineRule="auto"/>
              <w:ind w:left="6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8.91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98" w:line="193" w:lineRule="auto"/>
              <w:ind w:left="68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6.07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1"/>
                <w:sz w:val="19"/>
                <w:szCs w:val="19"/>
              </w:rPr>
              <w:t>2.84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vAlign w:val="top"/>
          </w:tcPr>
          <w:p>
            <w:pPr>
              <w:pStyle w:val="TableText"/>
              <w:spacing w:before="99" w:line="192" w:lineRule="auto"/>
              <w:ind w:left="8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99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000550.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vAlign w:val="top"/>
          </w:tcPr>
          <w:p>
            <w:pPr>
              <w:spacing w:before="61" w:line="220" w:lineRule="auto"/>
              <w:ind w:left="77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2"/>
                <w:sz w:val="19"/>
                <w:szCs w:val="19"/>
              </w:rPr>
              <w:t>江铃汽车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99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6.60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99" w:line="192" w:lineRule="auto"/>
              <w:ind w:left="8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1.16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3"/>
                <w:sz w:val="19"/>
                <w:szCs w:val="19"/>
              </w:rPr>
              <w:t>5.44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4" w:line="189" w:lineRule="auto"/>
              <w:ind w:left="8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600741.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3" w:line="220" w:lineRule="auto"/>
              <w:ind w:left="75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2"/>
                <w:sz w:val="19"/>
                <w:szCs w:val="19"/>
              </w:rPr>
              <w:t>华域汽车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6.50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6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7.12</w:t>
            </w:r>
            <w:r>
              <w:rPr>
                <w:spacing w:val="2"/>
                <w:sz w:val="19"/>
                <w:szCs w:val="19"/>
              </w:rPr>
              <w:t xml:space="preserve">                </w:t>
            </w:r>
            <w:r>
              <w:rPr>
                <w:color w:val="FF0000"/>
                <w:spacing w:val="-2"/>
                <w:sz w:val="19"/>
                <w:szCs w:val="19"/>
              </w:rPr>
              <w:t>-0.62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vAlign w:val="top"/>
          </w:tcPr>
          <w:p>
            <w:pPr>
              <w:pStyle w:val="TableText"/>
              <w:spacing w:before="100" w:line="193" w:lineRule="auto"/>
              <w:ind w:left="8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101" w:line="192" w:lineRule="auto"/>
              <w:ind w:left="6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301039.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vAlign w:val="top"/>
          </w:tcPr>
          <w:p>
            <w:pPr>
              <w:spacing w:before="63" w:line="220" w:lineRule="auto"/>
              <w:ind w:left="90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9"/>
                <w:sz w:val="19"/>
                <w:szCs w:val="19"/>
              </w:rPr>
              <w:t>中集车辆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101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6.00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100" w:line="193" w:lineRule="auto"/>
              <w:ind w:left="6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0.28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1"/>
                <w:sz w:val="19"/>
                <w:szCs w:val="19"/>
              </w:rPr>
              <w:t>5.72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8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603766.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4" w:line="224" w:lineRule="auto"/>
              <w:ind w:left="81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1"/>
                <w:sz w:val="19"/>
                <w:szCs w:val="19"/>
              </w:rPr>
              <w:t>隆鑫通用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71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5.00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1" w:line="192" w:lineRule="auto"/>
              <w:ind w:left="6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0.36                4.64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00"/>
        </w:trPr>
        <w:tc>
          <w:tcPr>
            <w:tcW w:w="751" w:type="dxa"/>
            <w:vAlign w:val="top"/>
          </w:tcPr>
          <w:p>
            <w:pPr>
              <w:pStyle w:val="TableText"/>
              <w:spacing w:before="103" w:line="192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10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103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000951.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vAlign w:val="top"/>
          </w:tcPr>
          <w:p>
            <w:pPr>
              <w:spacing w:before="64" w:line="219" w:lineRule="auto"/>
              <w:ind w:left="90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9"/>
                <w:sz w:val="19"/>
                <w:szCs w:val="19"/>
              </w:rPr>
              <w:t>中国重汽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103" w:line="192" w:lineRule="auto"/>
              <w:ind w:left="6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4.90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102" w:line="193" w:lineRule="auto"/>
              <w:ind w:left="81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1.05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2"/>
                <w:sz w:val="19"/>
                <w:szCs w:val="19"/>
              </w:rPr>
              <w:t>3.85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5" w:line="190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11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3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603529.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5" w:line="223" w:lineRule="auto"/>
              <w:ind w:left="75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2"/>
                <w:sz w:val="19"/>
                <w:szCs w:val="19"/>
              </w:rPr>
              <w:t>爱玛科技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2" w:line="193" w:lineRule="auto"/>
              <w:ind w:left="6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4.82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2" w:line="193" w:lineRule="auto"/>
              <w:ind w:left="6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 xml:space="preserve">8.53                </w:t>
            </w:r>
            <w:r>
              <w:rPr>
                <w:color w:val="FF0000"/>
                <w:spacing w:val="1"/>
                <w:sz w:val="19"/>
                <w:szCs w:val="19"/>
              </w:rPr>
              <w:t>-3.</w:t>
            </w:r>
            <w:r>
              <w:rPr>
                <w:color w:val="FF0000"/>
                <w:sz w:val="19"/>
                <w:szCs w:val="19"/>
              </w:rPr>
              <w:t>70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vAlign w:val="top"/>
          </w:tcPr>
          <w:p>
            <w:pPr>
              <w:pStyle w:val="TableText"/>
              <w:spacing w:before="104" w:line="192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12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104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601966.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vAlign w:val="top"/>
          </w:tcPr>
          <w:p>
            <w:pPr>
              <w:spacing w:before="66" w:line="220" w:lineRule="auto"/>
              <w:ind w:left="69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4"/>
                <w:sz w:val="19"/>
                <w:szCs w:val="19"/>
              </w:rPr>
              <w:t>玲珑轮胎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106" w:line="190" w:lineRule="auto"/>
              <w:ind w:left="6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4.15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103" w:line="193" w:lineRule="auto"/>
              <w:ind w:left="63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 xml:space="preserve">4.95                </w:t>
            </w:r>
            <w:r>
              <w:rPr>
                <w:color w:val="FF0000"/>
                <w:spacing w:val="1"/>
                <w:sz w:val="19"/>
                <w:szCs w:val="19"/>
              </w:rPr>
              <w:t>-0.80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4" w:line="192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13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3" w:line="193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601689.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6" w:line="222" w:lineRule="auto"/>
              <w:ind w:left="69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4"/>
                <w:sz w:val="19"/>
                <w:szCs w:val="19"/>
              </w:rPr>
              <w:t>拓普集团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3" w:line="193" w:lineRule="auto"/>
              <w:ind w:left="6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3.85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4" w:line="192" w:lineRule="auto"/>
              <w:ind w:left="70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2.73</w:t>
            </w:r>
            <w:r>
              <w:rPr>
                <w:spacing w:val="2"/>
                <w:sz w:val="19"/>
                <w:szCs w:val="19"/>
              </w:rPr>
              <w:t xml:space="preserve">                </w:t>
            </w:r>
            <w:r>
              <w:rPr>
                <w:spacing w:val="-3"/>
                <w:sz w:val="19"/>
                <w:szCs w:val="19"/>
              </w:rPr>
              <w:t>1.12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vAlign w:val="top"/>
          </w:tcPr>
          <w:p>
            <w:pPr>
              <w:pStyle w:val="TableText"/>
              <w:spacing w:before="108" w:line="190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14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106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601163.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vAlign w:val="top"/>
          </w:tcPr>
          <w:p>
            <w:pPr>
              <w:spacing w:before="68" w:line="220" w:lineRule="auto"/>
              <w:ind w:left="82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1"/>
                <w:sz w:val="19"/>
                <w:szCs w:val="19"/>
              </w:rPr>
              <w:t>三角轮胎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106" w:line="192" w:lineRule="auto"/>
              <w:ind w:left="6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3.53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106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0.00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1"/>
                <w:sz w:val="19"/>
                <w:szCs w:val="19"/>
              </w:rPr>
              <w:t>3.53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00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8" w:line="190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15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6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603596.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7" w:line="216" w:lineRule="auto"/>
              <w:ind w:left="63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4"/>
                <w:sz w:val="19"/>
                <w:szCs w:val="19"/>
              </w:rPr>
              <w:t>伯特利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6" w:line="192" w:lineRule="auto"/>
              <w:ind w:left="6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3.39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6" w:line="192" w:lineRule="auto"/>
              <w:ind w:left="8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1.66                 1.72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vAlign w:val="top"/>
          </w:tcPr>
          <w:p>
            <w:pPr>
              <w:pStyle w:val="TableText"/>
              <w:spacing w:before="106" w:line="192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16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105" w:line="193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002048.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vAlign w:val="top"/>
          </w:tcPr>
          <w:p>
            <w:pPr>
              <w:spacing w:before="68" w:line="222" w:lineRule="auto"/>
              <w:ind w:left="79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1"/>
                <w:sz w:val="19"/>
                <w:szCs w:val="19"/>
              </w:rPr>
              <w:t>宁波华翔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106" w:line="192" w:lineRule="auto"/>
              <w:ind w:left="6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3.15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105" w:line="193" w:lineRule="auto"/>
              <w:ind w:left="6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7.98</w:t>
            </w:r>
            <w:r>
              <w:rPr>
                <w:spacing w:val="2"/>
                <w:sz w:val="19"/>
                <w:szCs w:val="19"/>
              </w:rPr>
              <w:t xml:space="preserve">                </w:t>
            </w:r>
            <w:r>
              <w:rPr>
                <w:color w:val="FF0000"/>
                <w:spacing w:val="-2"/>
                <w:sz w:val="19"/>
                <w:szCs w:val="19"/>
              </w:rPr>
              <w:t>-4.82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10" w:line="190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17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8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600699.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69" w:line="224" w:lineRule="auto"/>
              <w:ind w:left="70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3"/>
                <w:sz w:val="19"/>
                <w:szCs w:val="19"/>
              </w:rPr>
              <w:t>均胜电子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8" w:line="192" w:lineRule="auto"/>
              <w:ind w:left="6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3.00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8" w:line="192" w:lineRule="auto"/>
              <w:ind w:left="63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 xml:space="preserve">4.00                </w:t>
            </w:r>
            <w:r>
              <w:rPr>
                <w:color w:val="FF0000"/>
                <w:spacing w:val="1"/>
                <w:sz w:val="19"/>
                <w:szCs w:val="19"/>
              </w:rPr>
              <w:t>-0.99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vAlign w:val="top"/>
          </w:tcPr>
          <w:p>
            <w:pPr>
              <w:pStyle w:val="TableText"/>
              <w:spacing w:before="107" w:line="193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18</w:t>
            </w:r>
          </w:p>
        </w:tc>
        <w:tc>
          <w:tcPr>
            <w:tcW w:w="1562" w:type="dxa"/>
            <w:vAlign w:val="top"/>
          </w:tcPr>
          <w:p>
            <w:pPr>
              <w:pStyle w:val="TableText"/>
              <w:spacing w:before="108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000572.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vAlign w:val="top"/>
          </w:tcPr>
          <w:p>
            <w:pPr>
              <w:spacing w:before="70" w:line="220" w:lineRule="auto"/>
              <w:ind w:left="72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3"/>
                <w:sz w:val="19"/>
                <w:szCs w:val="19"/>
              </w:rPr>
              <w:t>海马汽车</w:t>
            </w:r>
          </w:p>
        </w:tc>
        <w:tc>
          <w:tcPr>
            <w:tcW w:w="1622" w:type="dxa"/>
            <w:vAlign w:val="top"/>
          </w:tcPr>
          <w:p>
            <w:pPr>
              <w:pStyle w:val="TableText"/>
              <w:spacing w:before="107" w:line="193" w:lineRule="auto"/>
              <w:ind w:left="7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2.88</w:t>
            </w:r>
          </w:p>
        </w:tc>
        <w:tc>
          <w:tcPr>
            <w:tcW w:w="2673" w:type="dxa"/>
            <w:gridSpan w:val="2"/>
            <w:vAlign w:val="top"/>
          </w:tcPr>
          <w:p>
            <w:pPr>
              <w:pStyle w:val="TableText"/>
              <w:spacing w:before="107" w:line="193" w:lineRule="auto"/>
              <w:ind w:left="6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0.81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1"/>
                <w:sz w:val="19"/>
                <w:szCs w:val="19"/>
              </w:rPr>
              <w:t>2.08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5"/>
        </w:trPr>
        <w:tc>
          <w:tcPr>
            <w:tcW w:w="751" w:type="dxa"/>
            <w:shd w:val="clear" w:color="auto" w:fill="F2F2F2"/>
            <w:vAlign w:val="top"/>
          </w:tcPr>
          <w:p>
            <w:pPr>
              <w:pStyle w:val="TableText"/>
              <w:spacing w:before="109" w:line="192" w:lineRule="auto"/>
              <w:ind w:left="96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</w:t>
            </w:r>
          </w:p>
        </w:tc>
        <w:tc>
          <w:tcPr>
            <w:tcW w:w="1562" w:type="dxa"/>
            <w:shd w:val="clear" w:color="auto" w:fill="F2F2F2"/>
            <w:vAlign w:val="top"/>
          </w:tcPr>
          <w:p>
            <w:pPr>
              <w:pStyle w:val="TableText"/>
              <w:spacing w:before="109" w:line="192" w:lineRule="auto"/>
              <w:ind w:left="6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000625.</w:t>
            </w:r>
            <w:r>
              <w:rPr>
                <w:sz w:val="19"/>
                <w:szCs w:val="19"/>
              </w:rPr>
              <w:t>SZ</w:t>
            </w:r>
          </w:p>
        </w:tc>
        <w:tc>
          <w:tcPr>
            <w:tcW w:w="1412" w:type="dxa"/>
            <w:shd w:val="clear" w:color="auto" w:fill="F2F2F2"/>
            <w:vAlign w:val="top"/>
          </w:tcPr>
          <w:p>
            <w:pPr>
              <w:spacing w:before="71" w:line="220" w:lineRule="auto"/>
              <w:ind w:left="69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4"/>
                <w:sz w:val="19"/>
                <w:szCs w:val="19"/>
              </w:rPr>
              <w:t>长安汽车</w:t>
            </w:r>
          </w:p>
        </w:tc>
        <w:tc>
          <w:tcPr>
            <w:tcW w:w="1622" w:type="dxa"/>
            <w:shd w:val="clear" w:color="auto" w:fill="F2F2F2"/>
            <w:vAlign w:val="top"/>
          </w:tcPr>
          <w:p>
            <w:pPr>
              <w:pStyle w:val="TableText"/>
              <w:spacing w:before="108" w:line="193" w:lineRule="auto"/>
              <w:ind w:left="7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2.88</w:t>
            </w:r>
          </w:p>
        </w:tc>
        <w:tc>
          <w:tcPr>
            <w:tcW w:w="2673" w:type="dxa"/>
            <w:gridSpan w:val="2"/>
            <w:shd w:val="clear" w:color="auto" w:fill="F2F2F2"/>
            <w:vAlign w:val="top"/>
          </w:tcPr>
          <w:p>
            <w:pPr>
              <w:pStyle w:val="TableText"/>
              <w:spacing w:before="109" w:line="192" w:lineRule="auto"/>
              <w:ind w:left="81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1.92</w:t>
            </w:r>
            <w:r>
              <w:rPr>
                <w:spacing w:val="1"/>
                <w:sz w:val="19"/>
                <w:szCs w:val="19"/>
              </w:rPr>
              <w:t xml:space="preserve">                </w:t>
            </w:r>
            <w:r>
              <w:rPr>
                <w:spacing w:val="-2"/>
                <w:sz w:val="19"/>
                <w:szCs w:val="19"/>
              </w:rPr>
              <w:t>0.96</w:t>
            </w:r>
          </w:p>
        </w:tc>
      </w:tr>
      <w:tr>
        <w:tblPrEx>
          <w:tblW w:w="8020" w:type="dxa"/>
          <w:tblInd w:w="2601" w:type="dxa"/>
          <w:tblLayout w:type="fixed"/>
        </w:tblPrEx>
        <w:trPr>
          <w:trHeight w:val="314"/>
        </w:trPr>
        <w:tc>
          <w:tcPr>
            <w:tcW w:w="751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109" w:line="192" w:lineRule="auto"/>
              <w:ind w:left="8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</w:t>
            </w:r>
          </w:p>
        </w:tc>
        <w:tc>
          <w:tcPr>
            <w:tcW w:w="1562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109" w:line="192" w:lineRule="auto"/>
              <w:ind w:left="6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603129.</w:t>
            </w:r>
            <w:r>
              <w:rPr>
                <w:sz w:val="19"/>
                <w:szCs w:val="19"/>
              </w:rPr>
              <w:t>SH</w:t>
            </w:r>
          </w:p>
        </w:tc>
        <w:tc>
          <w:tcPr>
            <w:tcW w:w="1412" w:type="dxa"/>
            <w:tcBorders>
              <w:bottom w:val="single" w:sz="6" w:space="0" w:color="004098"/>
            </w:tcBorders>
            <w:vAlign w:val="top"/>
          </w:tcPr>
          <w:p>
            <w:pPr>
              <w:spacing w:before="71" w:line="224" w:lineRule="auto"/>
              <w:ind w:left="72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3"/>
                <w:sz w:val="19"/>
                <w:szCs w:val="19"/>
              </w:rPr>
              <w:t>春风动力</w:t>
            </w:r>
          </w:p>
        </w:tc>
        <w:tc>
          <w:tcPr>
            <w:tcW w:w="1622" w:type="dxa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108" w:line="193" w:lineRule="auto"/>
              <w:ind w:left="7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2.86</w:t>
            </w:r>
          </w:p>
        </w:tc>
        <w:tc>
          <w:tcPr>
            <w:tcW w:w="2673" w:type="dxa"/>
            <w:gridSpan w:val="2"/>
            <w:tcBorders>
              <w:bottom w:val="single" w:sz="6" w:space="0" w:color="004098"/>
            </w:tcBorders>
            <w:vAlign w:val="top"/>
          </w:tcPr>
          <w:p>
            <w:pPr>
              <w:pStyle w:val="TableText"/>
              <w:spacing w:before="108" w:line="193" w:lineRule="auto"/>
              <w:ind w:left="8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1.18                 1.68</w:t>
            </w:r>
          </w:p>
        </w:tc>
      </w:tr>
    </w:tbl>
    <w:p>
      <w:pPr>
        <w:pStyle w:val="BodyText"/>
        <w:spacing w:before="24" w:line="210" w:lineRule="auto"/>
        <w:ind w:left="2622"/>
        <w:rPr>
          <w:sz w:val="17"/>
          <w:szCs w:val="17"/>
        </w:rPr>
      </w:pPr>
      <w:r>
        <w:rPr>
          <w:i/>
          <w:iCs/>
          <w:color w:val="004098"/>
          <w:spacing w:val="-5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5"/>
          <w:sz w:val="17"/>
          <w:szCs w:val="17"/>
        </w:rPr>
        <w:t>Wind</w:t>
      </w:r>
      <w:r>
        <w:rPr>
          <w:i/>
          <w:iCs/>
          <w:color w:val="004098"/>
          <w:spacing w:val="-5"/>
          <w:sz w:val="17"/>
          <w:szCs w:val="17"/>
        </w:rPr>
        <w:t>、长城证券产业金融研究院</w:t>
      </w:r>
    </w:p>
    <w:p>
      <w:pPr>
        <w:spacing w:line="371" w:lineRule="auto"/>
        <w:rPr>
          <w:rFonts w:ascii="Arial"/>
          <w:sz w:val="21"/>
        </w:rPr>
      </w:pPr>
    </w:p>
    <w:p>
      <w:pPr>
        <w:pStyle w:val="BodyText"/>
        <w:spacing w:before="97" w:line="215" w:lineRule="auto"/>
        <w:ind w:left="2639"/>
        <w:outlineLvl w:val="0"/>
        <w:rPr>
          <w:sz w:val="30"/>
          <w:szCs w:val="30"/>
        </w:rPr>
      </w:pPr>
      <w:r>
        <w:rPr>
          <w:rFonts w:ascii="Tahoma" w:eastAsia="Tahoma" w:hAnsi="Tahoma" w:cs="Tahoma"/>
          <w:b/>
          <w:bCs/>
          <w:color w:val="002F7B"/>
          <w:spacing w:val="2"/>
          <w:sz w:val="30"/>
          <w:szCs w:val="30"/>
        </w:rPr>
        <w:t>2.</w:t>
      </w:r>
      <w:r>
        <w:rPr>
          <w:rFonts w:ascii="Tahoma" w:eastAsia="Tahoma" w:hAnsi="Tahoma" w:cs="Tahoma"/>
          <w:b/>
          <w:bCs/>
          <w:color w:val="002F7B"/>
          <w:spacing w:val="-15"/>
          <w:sz w:val="30"/>
          <w:szCs w:val="30"/>
        </w:rPr>
        <w:t xml:space="preserve"> </w:t>
      </w:r>
      <w:r>
        <w:rPr>
          <w:color w:val="002F7B"/>
          <w:spacing w:val="2"/>
          <w:sz w:val="30"/>
          <w:szCs w:val="30"/>
          <w14:textOutline w14:w="5451">
            <w14:solidFill>
              <w14:srgbClr w14:val="002F7B"/>
            </w14:solidFill>
            <w14:prstDash w14:val="solid"/>
            <w14:miter w14:lim="10"/>
          </w14:textOutline>
        </w:rPr>
        <w:t>乘用车：预计车市增长稳健，关注出海增量及新车</w:t>
      </w:r>
      <w:r>
        <w:rPr>
          <w:color w:val="002F7B"/>
          <w:spacing w:val="1"/>
          <w:sz w:val="30"/>
          <w:szCs w:val="30"/>
          <w14:textOutline w14:w="5451">
            <w14:solidFill>
              <w14:srgbClr w14:val="002F7B"/>
            </w14:solidFill>
            <w14:prstDash w14:val="solid"/>
            <w14:miter w14:lim="10"/>
          </w14:textOutline>
        </w:rPr>
        <w:t>投放</w:t>
      </w:r>
    </w:p>
    <w:p>
      <w:pPr>
        <w:spacing w:line="335" w:lineRule="auto"/>
        <w:rPr>
          <w:rFonts w:ascii="Arial"/>
          <w:sz w:val="21"/>
        </w:rPr>
      </w:pPr>
    </w:p>
    <w:p>
      <w:pPr>
        <w:spacing w:line="335" w:lineRule="auto"/>
        <w:rPr>
          <w:rFonts w:ascii="Arial"/>
          <w:sz w:val="21"/>
        </w:rPr>
      </w:pPr>
    </w:p>
    <w:p>
      <w:pPr>
        <w:pStyle w:val="BodyText"/>
        <w:spacing w:before="78" w:line="216" w:lineRule="auto"/>
        <w:ind w:left="2634"/>
        <w:outlineLvl w:val="1"/>
        <w:rPr>
          <w:sz w:val="24"/>
          <w:szCs w:val="24"/>
        </w:rPr>
        <w:sectPr>
          <w:headerReference w:type="default" r:id="rId49"/>
          <w:footerReference w:type="default" r:id="rId50"/>
          <w:pgSz w:w="11910" w:h="16845"/>
          <w:pgMar w:top="885" w:right="645" w:bottom="840" w:left="612" w:header="386" w:footer="542" w:gutter="0"/>
          <w:pgNumType w:start="15"/>
          <w:cols w:space="708"/>
        </w:sectPr>
      </w:pPr>
      <w:r>
        <w:rPr>
          <w:rFonts w:ascii="Tahoma" w:eastAsia="Tahoma" w:hAnsi="Tahoma" w:cs="Tahoma"/>
          <w:b/>
          <w:bCs/>
          <w:color w:val="002F7B"/>
          <w:spacing w:val="-3"/>
          <w:sz w:val="24"/>
          <w:szCs w:val="24"/>
        </w:rPr>
        <w:t xml:space="preserve">2.1   </w:t>
      </w:r>
      <w:r>
        <w:rPr>
          <w:color w:val="002F7B"/>
          <w:spacing w:val="-3"/>
          <w:sz w:val="24"/>
          <w:szCs w:val="24"/>
          <w14:textOutline w14:w="4354">
            <w14:solidFill>
              <w14:srgbClr w14:val="002F7B"/>
            </w14:solidFill>
            <w14:prstDash w14:val="solid"/>
            <w14:miter w14:lim="10"/>
          </w14:textOutline>
        </w:rPr>
        <w:t>市场格局：</w:t>
      </w:r>
      <w:r>
        <w:rPr>
          <w:color w:val="002F7B"/>
          <w:spacing w:val="-3"/>
          <w:sz w:val="24"/>
          <w:szCs w:val="24"/>
        </w:rPr>
        <w:t xml:space="preserve"> </w:t>
      </w:r>
      <w:r>
        <w:rPr>
          <w:color w:val="002F7B"/>
          <w:spacing w:val="-3"/>
          <w:sz w:val="24"/>
          <w:szCs w:val="24"/>
          <w14:textOutline w14:w="4354">
            <w14:solidFill>
              <w14:srgbClr w14:val="002F7B"/>
            </w14:solidFill>
            <w14:prstDash w14:val="solid"/>
            <w14:miter w14:lim="10"/>
          </w14:textOutline>
        </w:rPr>
        <w:t>需求有韧性，自主电动智能化重塑行业格局</w:t>
      </w: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68" w:line="215" w:lineRule="auto"/>
        <w:ind w:left="2632"/>
        <w:outlineLvl w:val="2"/>
        <w:rPr>
          <w:sz w:val="21"/>
          <w:szCs w:val="21"/>
        </w:rPr>
      </w:pPr>
      <w:r>
        <w:rPr>
          <w:rFonts w:ascii="Tahoma" w:eastAsia="Tahoma" w:hAnsi="Tahoma" w:cs="Tahoma"/>
          <w:b/>
          <w:bCs/>
          <w:color w:val="002F7B"/>
          <w:spacing w:val="-5"/>
          <w:sz w:val="21"/>
          <w:szCs w:val="21"/>
        </w:rPr>
        <w:t>2.1.1</w:t>
      </w:r>
      <w:r>
        <w:rPr>
          <w:rFonts w:ascii="Tahoma" w:eastAsia="Tahoma" w:hAnsi="Tahoma" w:cs="Tahoma"/>
          <w:b/>
          <w:bCs/>
          <w:color w:val="002F7B"/>
          <w:spacing w:val="45"/>
          <w:sz w:val="21"/>
          <w:szCs w:val="21"/>
        </w:rPr>
        <w:t xml:space="preserve"> </w:t>
      </w:r>
      <w:r>
        <w:rPr>
          <w:color w:val="002F7B"/>
          <w:spacing w:val="-5"/>
          <w:sz w:val="21"/>
          <w:szCs w:val="21"/>
          <w14:textOutline w14:w="3810">
            <w14:solidFill>
              <w14:srgbClr w14:val="002F7B"/>
            </w14:solidFill>
            <w14:prstDash w14:val="solid"/>
            <w14:miter w14:lim="10"/>
          </w14:textOutline>
        </w:rPr>
        <w:t>总量：</w:t>
      </w:r>
      <w:r>
        <w:rPr>
          <w:color w:val="002F7B"/>
          <w:spacing w:val="36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color w:val="002F7B"/>
          <w:spacing w:val="-5"/>
          <w:sz w:val="21"/>
          <w:szCs w:val="21"/>
        </w:rPr>
        <w:t xml:space="preserve">2023 </w:t>
      </w:r>
      <w:r>
        <w:rPr>
          <w:color w:val="002F7B"/>
          <w:spacing w:val="-5"/>
          <w:sz w:val="21"/>
          <w:szCs w:val="21"/>
          <w14:textOutline w14:w="3810">
            <w14:solidFill>
              <w14:srgbClr w14:val="002F7B"/>
            </w14:solidFill>
            <w14:prstDash w14:val="solid"/>
            <w14:miter w14:lim="10"/>
          </w14:textOutline>
        </w:rPr>
        <w:t>年需求复苏，乘用车回归内生驱动</w:t>
      </w:r>
    </w:p>
    <w:p>
      <w:pPr>
        <w:pStyle w:val="BodyText"/>
        <w:spacing w:before="298" w:line="258" w:lineRule="auto"/>
        <w:ind w:left="2621" w:right="13" w:firstLine="5"/>
        <w:jc w:val="both"/>
        <w:rPr>
          <w:sz w:val="21"/>
          <w:szCs w:val="21"/>
        </w:rPr>
      </w:pPr>
      <w:r>
        <w:rPr>
          <w:color w:val="004098"/>
          <w:spacing w:val="-5"/>
          <w:sz w:val="21"/>
          <w:szCs w:val="21"/>
          <w14:textOutline w14:w="3810">
            <w14:solidFill>
              <w14:srgbClr w14:val="004098"/>
            </w14:solidFill>
            <w14:prstDash w14:val="solid"/>
            <w14:miter w14:lim="10"/>
          </w14:textOutline>
        </w:rPr>
        <w:t>宏观因素扰动散去，汽车销量回归内生增长中枢。</w:t>
      </w:r>
      <w:r>
        <w:rPr>
          <w:color w:val="004098"/>
          <w:spacing w:val="73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5"/>
          <w:sz w:val="21"/>
          <w:szCs w:val="21"/>
        </w:rPr>
        <w:t xml:space="preserve">2023 </w:t>
      </w:r>
      <w:r>
        <w:rPr>
          <w:spacing w:val="-5"/>
          <w:sz w:val="21"/>
          <w:szCs w:val="21"/>
        </w:rPr>
        <w:t>年</w:t>
      </w:r>
      <w:r>
        <w:rPr>
          <w:spacing w:val="-2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5"/>
          <w:sz w:val="21"/>
          <w:szCs w:val="21"/>
        </w:rPr>
        <w:t>1-12</w:t>
      </w:r>
      <w:r>
        <w:rPr>
          <w:rFonts w:ascii="Tahoma" w:eastAsia="Tahoma" w:hAnsi="Tahoma" w:cs="Tahoma"/>
          <w:spacing w:val="19"/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月我国乘用车实现批发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销量</w:t>
      </w:r>
      <w:r>
        <w:rPr>
          <w:spacing w:val="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sz w:val="21"/>
          <w:szCs w:val="21"/>
        </w:rPr>
        <w:t xml:space="preserve">2601  </w:t>
      </w:r>
      <w:r>
        <w:rPr>
          <w:spacing w:val="1"/>
          <w:sz w:val="21"/>
          <w:szCs w:val="21"/>
        </w:rPr>
        <w:t>万辆，</w:t>
      </w:r>
      <w:r>
        <w:rPr>
          <w:spacing w:val="-37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同</w:t>
      </w:r>
      <w:r>
        <w:rPr>
          <w:spacing w:val="-35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比</w:t>
      </w:r>
      <w:r>
        <w:rPr>
          <w:rFonts w:ascii="Tahoma" w:eastAsia="Tahoma" w:hAnsi="Tahoma" w:cs="Tahoma"/>
          <w:spacing w:val="1"/>
          <w:sz w:val="21"/>
          <w:szCs w:val="21"/>
        </w:rPr>
        <w:t>+10.5%</w:t>
      </w:r>
      <w:r>
        <w:rPr>
          <w:spacing w:val="1"/>
          <w:sz w:val="21"/>
          <w:szCs w:val="21"/>
        </w:rPr>
        <w:t>，</w:t>
      </w:r>
      <w:r>
        <w:rPr>
          <w:rFonts w:ascii="Tahoma" w:eastAsia="Tahoma" w:hAnsi="Tahoma" w:cs="Tahoma"/>
          <w:spacing w:val="1"/>
          <w:sz w:val="21"/>
          <w:szCs w:val="21"/>
        </w:rPr>
        <w:t xml:space="preserve">6M23/7M23/8M23/9M23  </w:t>
      </w:r>
      <w:r>
        <w:rPr>
          <w:spacing w:val="1"/>
          <w:sz w:val="21"/>
          <w:szCs w:val="21"/>
        </w:rPr>
        <w:t>在</w:t>
      </w:r>
      <w:r>
        <w:rPr>
          <w:spacing w:val="-60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较高基</w:t>
      </w:r>
      <w:r>
        <w:rPr>
          <w:spacing w:val="-6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数下同</w:t>
      </w:r>
      <w:r>
        <w:rPr>
          <w:spacing w:val="-35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比分别</w:t>
      </w:r>
      <w:r>
        <w:rPr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+2.1%/-3.4%/+6.9%/+6.7%</w:t>
      </w:r>
      <w:r>
        <w:rPr>
          <w:sz w:val="21"/>
          <w:szCs w:val="21"/>
        </w:rPr>
        <w:t>。剔除出口因素关注内</w:t>
      </w:r>
      <w:r>
        <w:rPr>
          <w:spacing w:val="-1"/>
          <w:sz w:val="21"/>
          <w:szCs w:val="21"/>
        </w:rPr>
        <w:t>需，终端上险数也同样反映了国内</w:t>
      </w:r>
      <w:r>
        <w:rPr>
          <w:sz w:val="21"/>
          <w:szCs w:val="21"/>
        </w:rPr>
        <w:t xml:space="preserve"> </w:t>
      </w:r>
      <w:r>
        <w:rPr>
          <w:spacing w:val="-8"/>
          <w:sz w:val="21"/>
          <w:szCs w:val="21"/>
        </w:rPr>
        <w:t>车市需求的强大韧性，</w:t>
      </w:r>
      <w:r>
        <w:rPr>
          <w:spacing w:val="65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8"/>
          <w:sz w:val="21"/>
          <w:szCs w:val="21"/>
        </w:rPr>
        <w:t>3</w:t>
      </w:r>
      <w:r>
        <w:rPr>
          <w:rFonts w:ascii="Tahoma" w:eastAsia="Tahoma" w:hAnsi="Tahoma" w:cs="Tahoma"/>
          <w:spacing w:val="19"/>
          <w:sz w:val="21"/>
          <w:szCs w:val="21"/>
        </w:rPr>
        <w:t xml:space="preserve"> </w:t>
      </w:r>
      <w:r>
        <w:rPr>
          <w:spacing w:val="-8"/>
          <w:sz w:val="21"/>
          <w:szCs w:val="21"/>
        </w:rPr>
        <w:t>月以来月度上险数基本处于近年高位。</w:t>
      </w:r>
    </w:p>
    <w:p>
      <w:pPr>
        <w:spacing w:line="258" w:lineRule="auto"/>
        <w:rPr>
          <w:sz w:val="21"/>
          <w:szCs w:val="21"/>
        </w:rPr>
        <w:sectPr>
          <w:headerReference w:type="default" r:id="rId51"/>
          <w:footerReference w:type="default" r:id="rId52"/>
          <w:type w:val="nextPage"/>
          <w:pgSz w:w="11910" w:h="16845"/>
          <w:pgMar w:top="885" w:right="645" w:bottom="840" w:left="612" w:header="386" w:footer="542" w:gutter="0"/>
          <w:pgNumType w:start="16"/>
          <w:cols w:space="708"/>
          <w:titlePg w:val="0"/>
        </w:sectPr>
      </w:pPr>
    </w:p>
    <w:p>
      <w:pPr>
        <w:pStyle w:val="BodyText"/>
        <w:spacing w:before="192" w:line="211" w:lineRule="auto"/>
        <w:ind w:left="226"/>
        <w:rPr>
          <w:sz w:val="20"/>
          <w:szCs w:val="20"/>
        </w:rPr>
      </w:pPr>
      <w:r>
        <w:pict>
          <v:rect id="_x0000_s1045" style="width:2.5pt;height:2.5pt;margin-top:193pt;margin-left:118.75pt;mso-position-horizontal-relative:page;mso-position-vertical-relative:page;position:absolute;z-index:251724800" o:allowincell="f" filled="t" fillcolor="red" stroked="f"/>
        </w:pict>
      </w:r>
      <w:r>
        <w:pict>
          <v:rect id="_x0000_s1046" style="width:2.5pt;height:1pt;margin-top:215.5pt;margin-left:124.75pt;mso-position-horizontal-relative:page;mso-position-vertical-relative:page;position:absolute;z-index:251723776" o:allowincell="f" filled="t" fillcolor="red" stroked="f"/>
        </w:pict>
      </w:r>
      <w:r>
        <w:pict>
          <v:shape id="_x0000_s1047" style="width:527.95pt;height:0.75pt;margin-top:66.8pt;margin-left:33.8pt;mso-position-horizontal-relative:page;mso-position-vertical-relative:page;position:absolute;z-index:251709440" coordorigin="0,0" coordsize="10559,15" o:allowincell="f" path="m,15l10558,15l10558,l,l,15xe" filled="t" fillcolor="#004098" stroked="f"/>
        </w:pict>
      </w:r>
      <w:r>
        <w:drawing>
          <wp:anchor distT="0" distB="0" distL="0" distR="0" simplePos="0" relativeHeight="251692032" behindDoc="1" locked="0" layoutInCell="0" allowOverlap="1">
            <wp:simplePos x="0" y="0"/>
            <wp:positionH relativeFrom="page">
              <wp:posOffset>1126147</wp:posOffset>
            </wp:positionH>
            <wp:positionV relativeFrom="page">
              <wp:posOffset>1489388</wp:posOffset>
            </wp:positionV>
            <wp:extent cx="5631649" cy="219767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31649" cy="219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8" style="width:22.85pt;height:142.7pt;margin-top:134.2pt;margin-left:368.6pt;mso-position-horizontal-relative:page;mso-position-vertical-relative:page;position:absolute;z-index:251704320" coordorigin="0,0" coordsize="457,2853" o:allowincell="f" filled="f" stroked="f">
            <v:shape id="_x0000_s1049" type="#_x0000_t202" style="width:497;height:2893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3"/>
                      <w:tblW w:w="441" w:type="dxa"/>
                      <w:tblInd w:w="27" w:type="dxa"/>
                      <w:tblBorders>
                        <w:top w:val="dotted" w:sz="6" w:space="0" w:color="F79646"/>
                        <w:left w:val="dotted" w:sz="6" w:space="0" w:color="F79646"/>
                        <w:bottom w:val="dotted" w:sz="6" w:space="0" w:color="F79646"/>
                        <w:right w:val="dotted" w:sz="6" w:space="0" w:color="F79646"/>
                      </w:tblBorders>
                      <w:tblLayout w:type="fixed"/>
                    </w:tblPr>
                    <w:tblGrid>
                      <w:gridCol w:w="441"/>
                    </w:tblGrid>
                    <w:tr>
                      <w:tblPrEx>
                        <w:tblW w:w="441" w:type="dxa"/>
                        <w:tblInd w:w="27" w:type="dxa"/>
                        <w:tblBorders>
                          <w:top w:val="dotted" w:sz="6" w:space="0" w:color="F79646"/>
                          <w:left w:val="dotted" w:sz="6" w:space="0" w:color="F79646"/>
                          <w:bottom w:val="dotted" w:sz="6" w:space="0" w:color="F79646"/>
                          <w:right w:val="dotted" w:sz="6" w:space="0" w:color="F79646"/>
                        </w:tblBorders>
                        <w:tblLayout w:type="fixed"/>
                      </w:tblPrEx>
                      <w:trPr>
                        <w:trHeight w:val="2823"/>
                      </w:trPr>
                      <w:tc>
                        <w:tcPr>
                          <w:tcW w:w="441" w:type="dxa"/>
                          <w:shd w:val="clear" w:color="auto" w:fill="F9F8F5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</v:group>
        </w:pict>
      </w:r>
      <w:r>
        <w:pict>
          <v:group id="_x0000_s1050" style="width:81.25pt;height:86.45pt;margin-top:140.59pt;margin-left:159.25pt;mso-position-horizontal-relative:page;mso-position-vertical-relative:page;position:absolute;z-index:251698176" coordorigin="0,0" coordsize="1625,1728" o:allowincell="f" filled="f" stroked="f">
            <v:shape id="_x0000_s1051" style="width:635;height:890;left:990;position:absolute;top:703" coordorigin="0,0" coordsize="635,890" path="m10,130l55,10m85,415l130,520l175,610m280,610l325,505m355,475l400,625m445,655l475,850m595,880l625,790e" filled="f" strokecolor="red" strokeweight="1pt">
              <v:stroke endcap="round"/>
            </v:shape>
            <v:shape id="_x0000_s1052" style="width:665;height:800;position:absolute;top:928" coordorigin="0,0" coordsize="665,800" path="m10,490l40,385m115,340l160,505m235,445l280,565l310,745m355,670l385,535l430,790m550,325l580,520m625,145l655,10e" filled="f" strokecolor="red" strokeweight="1pt">
              <v:stroke endcap="round"/>
            </v:shape>
            <v:shape id="_x0000_s1053" style="width:260;height:634;left:720;position:absolute" coordorigin="0,0" coordsize="260,634" path="m10,623l55,353l100,443l130,548l175,248l205,368l250,10e" filled="f" strokecolor="red" strokeweight="1pt">
              <v:stroke endcap="round"/>
            </v:shape>
          </v:group>
        </w:pict>
      </w:r>
      <w:r>
        <w:pict>
          <v:group id="_x0000_s1054" style="width:37.75pt;height:141.95pt;margin-top:134.57pt;margin-left:335.5pt;mso-position-horizontal-relative:page;mso-position-vertical-relative:page;position:absolute;z-index:251701248" coordorigin="0,0" coordsize="755,2838" o:allowincell="f" filled="f" stroked="f">
            <v:shape id="_x0000_s1055" style="width:755;height:470;position:absolute;top:1288" coordorigin="0,0" coordsize="755,470" path="m10,460l55,370l100,235l130,85m175,160l205,280l250,430l280,280m355,265l400,175l445,55m520,10l550,130m595,175l625,280l670,415l715,160l745,385e" filled="f" strokecolor="red" strokeweight="1pt">
              <v:stroke endcap="round"/>
            </v:shape>
            <v:shape id="_x0000_s1056" style="width:560;height:2838;left:77;position:absolute" coordorigin="0,0" coordsize="560,2838" path="m,2838l560,2838l560,l,l,2838xe" filled="t" fillcolor="#eeece1" stroked="f">
              <v:fill opacity="21074f"/>
            </v:shape>
          </v:group>
        </w:pict>
      </w:r>
      <w:r>
        <w:pict>
          <v:group id="_x0000_s1057" style="width:44pt;height:142.95pt;margin-top:134.03pt;margin-left:184pt;mso-position-horizontal-relative:page;mso-position-vertical-relative:page;position:absolute;z-index:251697152" coordorigin="0,0" coordsize="880,2858" o:allowincell="f" filled="f" stroked="f">
            <v:shape id="_x0000_s1058" style="width:140;height:635;position:absolute;top:1194" coordorigin="0,0" coordsize="140,635" path="m10,625l55,190m85,385l130,10e" filled="f" strokecolor="red" strokeweight="1pt">
              <v:stroke endcap="round"/>
            </v:shape>
            <v:shape id="_x0000_s1059" style="width:875;height:2858;left:4;position:absolute" coordorigin="0,0" coordsize="875,2858" path="m,2858l395,2858l395,6l,6l,2858xem419,2855l874,2855l874,l419,l419,2855xe" filled="t" fillcolor="#eeece1" stroked="f">
              <v:fill opacity="21074f"/>
            </v:shape>
          </v:group>
        </w:pict>
      </w:r>
      <w:r>
        <w:pict>
          <v:shape id="_x0000_s1060" style="width:6.25pt;height:56.45pt;margin-top:140.59pt;margin-left:207.25pt;mso-position-horizontal-relative:page;mso-position-vertical-relative:page;position:absolute;z-index:251695104" coordorigin="0,0" coordsize="125,1129" o:allowincell="f" path="m10,10l40,833m85,713l115,1118e" filled="f" strokecolor="red" strokeweight="1pt">
            <v:stroke endcap="round"/>
          </v:shape>
        </w:pict>
      </w:r>
      <w:r>
        <w:pict>
          <v:shape id="_x0000_s1061" style="width:20.55pt;height:143.4pt;margin-top:133.96pt;margin-left:183.86pt;mso-position-horizontal-relative:page;mso-position-vertical-relative:page;position:absolute;z-index:251699200" coordorigin="0,0" coordsize="410,2867" o:allowincell="f" path="m7,2859l402,2859l402,7l7,7l7,2859xe" filled="f" strokecolor="#f79646" strokeweight="0.75pt">
            <v:stroke dashstyle="dash"/>
          </v:shape>
        </w:pict>
      </w:r>
      <w:r>
        <w:pict>
          <v:shape id="_x0000_s1062" style="width:23.55pt;height:143.6pt;margin-top:133.66pt;margin-left:204.82pt;mso-position-horizontal-relative:page;mso-position-vertical-relative:page;position:absolute;z-index:251700224" coordorigin="0,0" coordsize="470,2872" o:allowincell="f" path="m7,2863l462,2863l462,7l7,7l7,2863xe" filled="f" strokecolor="#f79646" strokeweight="0.75pt">
            <v:stroke dashstyle="dash"/>
          </v:shape>
        </w:pict>
      </w:r>
      <w:r>
        <w:pict>
          <v:shape id="_x0000_s1063" style="width:28.8pt;height:142.7pt;margin-top:134.2pt;margin-left:339pt;mso-position-horizontal-relative:page;mso-position-vertical-relative:page;position:absolute;z-index:251702272" coordorigin="0,0" coordsize="575,2853" o:allowincell="f" path="m7,2845l567,2845l567,7l7,7l7,2845xe" filled="f" strokecolor="#f79646" strokeweight="0.75pt">
            <v:stroke dashstyle="dash"/>
          </v:shape>
        </w:pict>
      </w:r>
      <w:r>
        <w:pict>
          <v:group id="_x0000_s1064" style="width:18.95pt;height:141.1pt;margin-top:135.51pt;margin-left:492.36pt;mso-position-horizontal-relative:page;mso-position-vertical-relative:page;position:absolute;z-index:251706368" coordorigin="0,0" coordsize="379,2822" o:allowincell="f" filled="f" stroked="f">
            <v:shape id="_x0000_s1065" style="width:215;height:920;left:132;position:absolute;top:1224" coordorigin="0,0" coordsize="215,920" path="m10,10l55,310l85,535m160,910l205,310e" filled="f" strokecolor="red" strokeweight="1pt">
              <v:stroke endcap="round"/>
            </v:shape>
            <v:shape id="_x0000_s1066" style="width:364;height:2807;left:7;position:absolute;top:7" coordorigin="0,0" coordsize="364,2807" path="m,2806l363,2806l363,l,l,2806xe" filled="t" fillcolor="#eeece1" stroked="f">
              <v:fill opacity="21074f"/>
            </v:shape>
            <v:shape id="_x0000_s1067" style="width:379;height:2822;position:absolute" coordorigin="0,0" coordsize="379,2822" path="m7,2813l370,2813l370,7l7,7l7,2813xe" filled="f" strokecolor="#f79646" strokeweight="0.75pt">
              <v:stroke dashstyle="dash"/>
            </v:shape>
          </v:group>
        </w:pict>
      </w:r>
      <w:r>
        <w:pict>
          <v:shape id="_x0000_s1068" style="width:2.5pt;height:10pt;margin-top:202pt;margin-left:524.5pt;mso-position-horizontal-relative:page;mso-position-vertical-relative:page;position:absolute;z-index:251720704" coordorigin="0,0" coordsize="50,200" o:allowincell="f" path="m10,190l40,10e" filled="f" strokecolor="red" strokeweight="1pt">
            <v:stroke endcap="round"/>
          </v:shape>
        </w:pict>
      </w:r>
      <w:r>
        <w:pict>
          <v:shape id="_x0000_s1069" style="width:3.25pt;height:14.5pt;margin-top:200.5pt;margin-left:458.5pt;mso-position-horizontal-relative:page;mso-position-vertical-relative:page;position:absolute;z-index:251717632" coordorigin="0,0" coordsize="65,290" o:allowincell="f" path="m10,280l55,10e" filled="f" strokecolor="red" strokeweight="1pt">
            <v:stroke endcap="round"/>
          </v:shape>
        </w:pict>
      </w:r>
      <w:r>
        <w:pict>
          <v:shape id="_x0000_s1070" style="width:10.75pt;height:34pt;margin-top:186.25pt;margin-left:266.5pt;mso-position-horizontal-relative:page;mso-position-vertical-relative:page;position:absolute;z-index:251712512" coordorigin="0,0" coordsize="215,680" o:allowincell="f" path="m10,520l55,670l85,580m160,580l205,10e" filled="f" strokecolor="red" strokeweight="1pt">
            <v:stroke endcap="round"/>
          </v:shape>
        </w:pict>
      </w:r>
      <w:r>
        <w:pict>
          <v:shape id="_x0000_s1071" style="width:18.25pt;height:34.75pt;margin-top:202pt;margin-left:245.5pt;mso-position-horizontal-relative:page;mso-position-vertical-relative:page;position:absolute;z-index:251707392" coordorigin="0,0" coordsize="365,695" o:allowincell="f" path="m10,235l55,340m160,685l205,10m235,295l280,190l325,40l355,145e" filled="f" strokecolor="red" strokeweight="1pt">
            <v:stroke endcap="round"/>
          </v:shape>
        </w:pict>
      </w:r>
      <w:r>
        <w:pict>
          <v:shape id="_x0000_s1072" style="width:28pt;height:58.75pt;margin-top:190.75pt;margin-left:466.75pt;mso-position-horizontal-relative:page;mso-position-vertical-relative:page;position:absolute;z-index:251705344" coordorigin="0,0" coordsize="560,1175" o:allowincell="f" path="m10,430l40,595l85,730m190,805l235,640m280,640l310,550m385,190l430,580m460,1165l505,595l550,10e" filled="f" strokecolor="red" strokeweight="1pt">
            <v:stroke endcap="round"/>
          </v:shape>
        </w:pict>
      </w:r>
      <w:r>
        <w:pict>
          <v:shape id="_x0000_s1073" style="width:16pt;height:15.25pt;margin-top:193.75pt;margin-left:136pt;mso-position-horizontal-relative:page;mso-position-vertical-relative:page;position:absolute;z-index:251714560" coordorigin="0,0" coordsize="320,305" o:allowincell="f" path="m10,190l55,85l85,235m160,295l205,190m235,115l280,10l310,145e" filled="f" strokecolor="red" strokeweight="1pt">
            <v:stroke endcap="round"/>
          </v:shape>
        </w:pict>
      </w:r>
      <w:r>
        <w:pict>
          <v:shape id="_x0000_s1074" style="width:3.25pt;height:9.25pt;margin-top:208pt;margin-left:318.25pt;mso-position-horizontal-relative:page;mso-position-vertical-relative:page;position:absolute;z-index:251719680" coordorigin="0,0" coordsize="65,185" o:allowincell="f" path="m10,175l55,10e" filled="f" strokecolor="red" strokeweight="1pt">
            <v:stroke endcap="round"/>
          </v:shape>
        </w:pict>
      </w:r>
      <w:r>
        <w:pict>
          <v:shape id="_x0000_s1075" style="width:18.25pt;height:16.75pt;margin-top:211.75pt;margin-left:389.5pt;mso-position-horizontal-relative:page;mso-position-vertical-relative:page;position:absolute;z-index:251703296" coordorigin="0,0" coordsize="365,335" o:allowincell="f" path="m10,175l55,10m85,295l130,115l160,10m250,130l280,235m325,220l355,325e" filled="f" strokecolor="red" strokeweight="1pt">
            <v:stroke endcap="round"/>
          </v:shape>
        </w:pict>
      </w:r>
      <w:r>
        <w:pict>
          <v:shape id="_x0000_s1076" style="width:8.5pt;height:8.5pt;margin-top:223.75pt;margin-left:416.5pt;mso-position-horizontal-relative:page;mso-position-vertical-relative:page;position:absolute;z-index:251716608" coordorigin="0,0" coordsize="170,170" o:allowincell="f" path="m10,160l55,10l85,160m130,160l160,25e" filled="f" strokecolor="red" strokeweight="1pt">
            <v:stroke endcap="round"/>
          </v:shape>
        </w:pict>
      </w:r>
      <w:r>
        <w:pict>
          <v:shape id="_x0000_s1077" style="width:2.5pt;height:7.75pt;margin-top:214.75pt;margin-left:518.5pt;mso-position-horizontal-relative:page;mso-position-vertical-relative:page;position:absolute;z-index:251721728" coordorigin="0,0" coordsize="50,155" o:allowincell="f" path="m10,145l40,10e" filled="f" strokecolor="red" strokeweight="1pt">
            <v:stroke endcap="round"/>
          </v:shape>
        </w:pict>
      </w:r>
      <w:r>
        <w:pict>
          <v:shape id="_x0000_s1078" style="width:10.75pt;height:7pt;margin-top:220pt;margin-left:174.25pt;mso-position-horizontal-relative:page;mso-position-vertical-relative:page;position:absolute;z-index:251694080" coordorigin="0,0" coordsize="215,140" o:allowincell="f" path="m10,85l55,10m130,130l160,100l205,100e" filled="f" strokecolor="red" strokeweight="1pt">
            <v:stroke endcap="round"/>
          </v:shape>
        </w:pict>
      </w:r>
      <w:r>
        <w:pict>
          <v:shape id="_x0000_s1079" style="width:14.5pt;height:12.25pt;margin-top:202.75pt;margin-left:289.75pt;mso-position-horizontal-relative:page;mso-position-vertical-relative:page;position:absolute;z-index:251715584" coordorigin="0,0" coordsize="290,245" o:allowincell="f" path="m10,190l55,55m85,10l130,115m160,40l205,235l235,100l280,235e" filled="f" strokecolor="red" strokeweight="1pt">
            <v:stroke endcap="round"/>
          </v:shape>
        </w:pict>
      </w:r>
      <w:r>
        <w:pict>
          <v:shape id="_x0000_s1080" style="width:25.75pt;height:13.75pt;margin-top:199pt;margin-left:145.75pt;mso-position-horizontal-relative:page;mso-position-vertical-relative:page;position:absolute;z-index:251713536" coordorigin="0,0" coordsize="515,275" o:allowincell="f" path="m10,85l40,10m115,40l160,100l205,130l235,190l280,250m310,145l355,175l385,100m430,265l475,205l505,205e" filled="f" strokecolor="red" strokeweight="1pt">
            <v:stroke endcap="round"/>
          </v:shape>
        </w:pict>
      </w:r>
      <w:r>
        <w:pict>
          <v:shape id="_x0000_s1081" style="width:4.75pt;height:16.75pt;margin-top:171.25pt;margin-left:191.5pt;mso-position-horizontal-relative:page;mso-position-vertical-relative:page;position:absolute;z-index:251693056" coordorigin="0,0" coordsize="95,335" o:allowincell="f" path="m10,325l55,310l85,10e" filled="f" strokecolor="red" strokeweight="1pt">
            <v:stroke endcap="round"/>
          </v:shape>
        </w:pict>
      </w:r>
      <w:r>
        <w:pict>
          <v:shape id="_x0000_s1082" style="width:8.5pt;height:4.75pt;margin-top:199pt;margin-left:128.5pt;mso-position-horizontal-relative:page;mso-position-vertical-relative:page;position:absolute;z-index:251718656" coordorigin="0,0" coordsize="170,95" o:allowincell="f" path="m10,10l40,25l85,25l115,40l160,85e" filled="f" strokecolor="red" strokeweight="1pt">
            <v:stroke endcap="round"/>
          </v:shape>
        </w:pict>
      </w:r>
      <w:r>
        <w:pict>
          <v:shape id="_x0000_s1083" style="width:6.25pt;height:4.75pt;margin-top:205.75pt;margin-left:217pt;mso-position-horizontal-relative:page;mso-position-vertical-relative:page;position:absolute;z-index:251696128" coordorigin="0,0" coordsize="125,95" o:allowincell="f" path="m10,10l40,85l85,25l115,10e" filled="f" strokecolor="red" strokeweight="1pt">
            <v:stroke endcap="round"/>
          </v:shape>
        </w:pict>
      </w:r>
      <w:r>
        <w:pict>
          <v:shape id="_x0000_s1084" style="width:4.75pt;height:4pt;margin-top:205pt;margin-left:139.75pt;mso-position-horizontal-relative:page;mso-position-vertical-relative:page;position:absolute;z-index:251722752" coordorigin="0,0" coordsize="95,80" o:allowincell="f" path="m10,10l55,70l85,70e" filled="f" strokecolor="red" strokeweight="1pt">
            <v:stroke endcap="round"/>
          </v:shape>
        </w:pict>
      </w:r>
      <w:r>
        <w:pict>
          <v:shape id="_x0000_s1085" style="width:527.95pt;height:0.75pt;margin-top:335.55pt;margin-left:33.8pt;mso-position-horizontal-relative:page;mso-position-vertical-relative:page;position:absolute;z-index:251708416" coordorigin="0,0" coordsize="10559,15" o:allowincell="f" path="m,15l10558,15l10558,l,l,15xe" filled="t" fillcolor="#004098" stroked="f"/>
        </w:pict>
      </w:r>
      <w:r>
        <w:pict>
          <v:group id="_x0000_s1086" style="width:527.95pt;height:0.75pt;margin-top:393.35pt;margin-left:33.8pt;mso-position-horizontal-relative:page;mso-position-vertical-relative:page;position:absolute;z-index:251710464" coordorigin="0,0" coordsize="10559,15" o:allowincell="f" filled="f" stroked="f">
            <v:shape id="_x0000_s1087" style="width:5137;height:15;position:absolute" coordorigin="0,0" coordsize="5137,15" path="m,15l5136,15l5136,l,l,15xe" filled="t" fillcolor="#004098" stroked="f"/>
            <v:shape id="_x0000_s1088" style="width:286;height:15;left:5136;position:absolute" coordorigin="0,0" coordsize="286,15" path="m,15l15,15l15,l,l,15xem14,15l285,15l285,l14,l14,15xe" filled="t" fillcolor="black" stroked="f"/>
            <v:shape id="_x0000_s1089" style="width:5137;height:15;left:5422;position:absolute" coordorigin="0,0" coordsize="5137,15" path="m,15l15,15l15,l,l,15xem15,15l5136,15l5136,l15,l15,15xe" filled="t" fillcolor="#004098" stroked="f"/>
          </v:group>
        </w:pict>
      </w:r>
      <w:r>
        <w:pict>
          <v:group id="_x0000_s1090" style="width:20.7pt;height:13.35pt;margin-top:410.33pt;margin-left:75.81pt;mso-position-horizontal-relative:page;mso-position-vertical-relative:page;position:absolute;z-index:-251627520" coordorigin="0,0" coordsize="414,267" o:allowincell="f" filled="f" stroked="f">
            <v:shape id="_x0000_s1091" style="width:414;height:30;position:absolute" coordorigin="0,0" coordsize="414,30" path="m15,15l398,15e" filled="f" strokecolor="#0070c0" strokeweight="1.5pt">
              <v:stroke endcap="round"/>
            </v:shape>
            <v:shape id="_x0000_s1092" style="width:414;height:30;position:absolute;top:236" coordorigin="0,0" coordsize="414,30" path="m15,15l398,15e" filled="f" strokecolor="#3d96ae" strokeweight="1.5pt">
              <v:stroke endcap="round"/>
            </v:shape>
          </v:group>
        </w:pict>
      </w:r>
      <w:r>
        <w:pict>
          <v:group id="_x0000_s1093" style="width:20.7pt;height:13.35pt;margin-top:410.33pt;margin-left:123.76pt;mso-position-horizontal-relative:page;mso-position-vertical-relative:page;position:absolute;z-index:-251628544" coordorigin="0,0" coordsize="414,267" o:allowincell="f" filled="f" stroked="f">
            <v:shape id="_x0000_s1094" style="width:414;height:30;position:absolute" coordorigin="0,0" coordsize="414,30" path="m15,15l398,15e" filled="f" strokecolor="#003686" strokeweight="1.5pt">
              <v:stroke endcap="round"/>
            </v:shape>
            <v:shape id="_x0000_s1095" style="width:414;height:30;position:absolute;top:236" coordorigin="0,0" coordsize="414,30" path="m15,15l398,15e" filled="f" strokecolor="#da8137" strokeweight="1.5pt">
              <v:stroke endcap="round"/>
            </v:shape>
          </v:group>
        </w:pict>
      </w:r>
      <w:r>
        <w:pict>
          <v:group id="_x0000_s1096" style="width:20.75pt;height:13.35pt;margin-top:410.33pt;margin-left:171.72pt;mso-position-horizontal-relative:page;mso-position-vertical-relative:page;position:absolute;z-index:-251625472" coordorigin="0,0" coordsize="415,267" o:allowincell="f" filled="f" stroked="f">
            <v:shape id="_x0000_s1097" style="width:415;height:30;position:absolute" coordorigin="0,0" coordsize="415,30" path="m15,15l399,15e" filled="f" strokecolor="#86a44a" strokeweight="1.5pt">
              <v:stroke endcap="round"/>
            </v:shape>
            <v:shape id="_x0000_s1098" style="width:415;height:30;position:absolute;top:236" coordorigin="0,0" coordsize="415,30" path="m15,15l399,15e" filled="f" strokecolor="#7f8ab4" strokeweight="1.5pt">
              <v:stroke endcap="round"/>
            </v:shape>
          </v:group>
        </w:pict>
      </w:r>
      <w:r>
        <w:pict>
          <v:group id="_x0000_s1099" style="width:20.75pt;height:13.35pt;margin-top:410.33pt;margin-left:219.69pt;mso-position-horizontal-relative:page;mso-position-vertical-relative:page;position:absolute;z-index:-251626496" coordorigin="0,0" coordsize="415,267" o:allowincell="f" filled="f" stroked="f">
            <v:shape id="_x0000_s1100" style="width:415;height:30;position:absolute" coordorigin="0,0" coordsize="415,30" path="m15,15l399,15e" filled="f" strokecolor="#6e548d" strokeweight="1.5pt">
              <v:stroke endcap="round"/>
            </v:shape>
            <v:shape id="_x0000_s1101" style="width:415;height:30;position:absolute;top:236" coordorigin="0,0" coordsize="415,30" path="m15,15l399,15e" filled="f" strokecolor="#ce8e8d" strokeweight="1.5pt">
              <v:stroke endcap="round"/>
            </v:shape>
          </v:group>
        </w:pict>
      </w:r>
      <w:r>
        <w:pict>
          <v:group id="_x0000_s1102" style="width:20.7pt;height:12.85pt;margin-top:409.15pt;margin-left:338.48pt;mso-position-horizontal-relative:page;mso-position-vertical-relative:page;position:absolute;z-index:-251630592" coordorigin="0,0" coordsize="414,257" o:allowincell="f" filled="f" stroked="f">
            <v:shape id="_x0000_s1103" style="width:414;height:30;position:absolute" coordorigin="0,0" coordsize="414,30" path="m15,15l398,15e" filled="f" strokecolor="#0070c0" strokeweight="1.5pt">
              <v:stroke endcap="round"/>
            </v:shape>
            <v:shape id="_x0000_s1104" style="width:414;height:30;position:absolute;top:226" coordorigin="0,0" coordsize="414,30" path="m15,15l398,15e" filled="f" strokecolor="#3d96ae" strokeweight="1.5pt">
              <v:stroke endcap="round"/>
            </v:shape>
          </v:group>
        </w:pict>
      </w:r>
      <w:r>
        <w:pict>
          <v:group id="_x0000_s1105" style="width:20.7pt;height:12.85pt;margin-top:409.15pt;margin-left:389.44pt;mso-position-horizontal-relative:page;mso-position-vertical-relative:page;position:absolute;z-index:-251629568" coordorigin="0,0" coordsize="414,257" o:allowincell="f" filled="f" stroked="f">
            <v:shape id="_x0000_s1106" style="width:414;height:30;position:absolute" coordorigin="0,0" coordsize="414,30" path="m15,15l398,15e" filled="f" strokecolor="#003686" strokeweight="1.5pt">
              <v:stroke endcap="round"/>
            </v:shape>
            <v:shape id="_x0000_s1107" style="width:414;height:30;position:absolute;top:226" coordorigin="0,0" coordsize="414,30" path="m15,15l398,15e" filled="f" strokecolor="#da8137" strokeweight="1.5pt">
              <v:stroke endcap="round"/>
            </v:shape>
          </v:group>
        </w:pict>
      </w:r>
      <w:r>
        <w:pict>
          <v:group id="_x0000_s1108" style="width:20.7pt;height:12.85pt;margin-top:409.15pt;margin-left:440.4pt;mso-position-horizontal-relative:page;mso-position-vertical-relative:page;position:absolute;z-index:-251632640" coordorigin="0,0" coordsize="414,257" o:allowincell="f" filled="f" stroked="f">
            <v:shape id="_x0000_s1109" style="width:414;height:30;position:absolute" coordorigin="0,0" coordsize="414,30" path="m15,15l398,15e" filled="f" strokecolor="#86a44a" strokeweight="1.5pt">
              <v:stroke endcap="round"/>
            </v:shape>
            <v:shape id="_x0000_s1110" style="width:414;height:30;position:absolute;top:226" coordorigin="0,0" coordsize="414,30" path="m15,15l398,15e" filled="f" strokecolor="#7f8ab4" strokeweight="1.5pt">
              <v:stroke endcap="round"/>
            </v:shape>
          </v:group>
        </w:pict>
      </w:r>
      <w:r>
        <w:pict>
          <v:group id="_x0000_s1111" style="width:20.7pt;height:12.85pt;margin-top:409.15pt;margin-left:491.36pt;mso-position-horizontal-relative:page;mso-position-vertical-relative:page;position:absolute;z-index:-251631616" coordorigin="0,0" coordsize="414,257" o:allowincell="f" filled="f" stroked="f">
            <v:shape id="_x0000_s1112" style="width:414;height:30;position:absolute" coordorigin="0,0" coordsize="414,30" path="m15,15l398,15e" filled="f" strokecolor="#6e548d" strokeweight="1.5pt">
              <v:stroke endcap="round"/>
            </v:shape>
            <v:shape id="_x0000_s1113" style="width:414;height:30;position:absolute;top:226" coordorigin="0,0" coordsize="414,30" path="m15,15l398,15e" filled="f" strokecolor="#ce8e8d" strokeweight="1.5pt">
              <v:stroke endcap="round"/>
            </v:shape>
          </v:group>
        </w:pict>
      </w:r>
      <w:r>
        <w:pict>
          <v:group id="_x0000_s1114" style="width:527.95pt;height:0.75pt;margin-top:568.25pt;margin-left:33.8pt;mso-position-horizontal-relative:page;mso-position-vertical-relative:page;position:absolute;z-index:251711488" coordorigin="0,0" coordsize="10559,15" o:allowincell="f" filled="f" stroked="f">
            <v:shape id="_x0000_s1115" style="width:5137;height:15;position:absolute" coordorigin="0,0" coordsize="5137,15" path="m,15l5136,15l5136,l,l,15xe" filled="t" fillcolor="#004098" stroked="f"/>
            <v:shape id="_x0000_s1116" style="width:286;height:15;left:5136;position:absolute" coordorigin="0,0" coordsize="286,15" path="m,15l15,15l15,l,l,15xem14,15l285,15l285,l14,l14,15xe" filled="t" fillcolor="black" stroked="f"/>
            <v:shape id="_x0000_s1117" style="width:5137;height:15;left:5422;position:absolute" coordorigin="0,0" coordsize="5137,15" path="m,15l15,15l15,l,l,15xem15,15l5136,15l5136,l15,l15,15xe" filled="t" fillcolor="#004098" stroked="f"/>
          </v:group>
        </w:pict>
      </w:r>
      <w:bookmarkStart w:id="9" w:name="bookmark21"/>
      <w:bookmarkEnd w:id="9"/>
      <w:bookmarkStart w:id="10" w:name="bookmark22"/>
      <w:bookmarkEnd w:id="10"/>
      <w:bookmarkStart w:id="11" w:name="bookmark23"/>
      <w:bookmarkEnd w:id="11"/>
      <w:r>
        <w:rPr>
          <w:i/>
          <w:iCs/>
          <w:color w:val="004098"/>
          <w:spacing w:val="5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5</w:t>
      </w:r>
      <w:r>
        <w:rPr>
          <w:i/>
          <w:iCs/>
          <w:color w:val="004098"/>
          <w:spacing w:val="5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2005-2023</w:t>
      </w:r>
      <w:r>
        <w:rPr>
          <w:i/>
          <w:iCs/>
          <w:color w:val="004098"/>
          <w:spacing w:val="5"/>
          <w:sz w:val="20"/>
          <w:szCs w:val="20"/>
        </w:rPr>
        <w:t>年乘用车月度批发</w:t>
      </w:r>
      <w:r>
        <w:rPr>
          <w:i/>
          <w:iCs/>
          <w:color w:val="004098"/>
          <w:spacing w:val="4"/>
          <w:sz w:val="20"/>
          <w:szCs w:val="20"/>
        </w:rPr>
        <w:t>量及月度同比趋势</w:t>
      </w:r>
    </w:p>
    <w:p>
      <w:pPr>
        <w:spacing w:before="54"/>
      </w:pPr>
    </w:p>
    <w:p>
      <w:pPr>
        <w:sectPr>
          <w:headerReference w:type="default" r:id="rId54"/>
          <w:footerReference w:type="default" r:id="rId55"/>
          <w:pgSz w:w="11910" w:h="16845"/>
          <w:pgMar w:top="885" w:right="547" w:bottom="840" w:left="471" w:header="386" w:footer="542" w:gutter="0"/>
          <w:pgNumType w:start="17"/>
          <w:cols w:num="1" w:space="708" w:equalWidth="0">
            <w:col w:w="10892" w:space="0"/>
          </w:cols>
        </w:sectPr>
      </w:pP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48" w:line="204" w:lineRule="auto"/>
        <w:ind w:left="45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3,000,000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48" w:line="204" w:lineRule="auto"/>
        <w:ind w:left="45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2,500,000</w:t>
      </w:r>
    </w:p>
    <w:p>
      <w:pPr>
        <w:spacing w:line="351" w:lineRule="auto"/>
        <w:rPr>
          <w:rFonts w:ascii="Arial"/>
          <w:sz w:val="21"/>
        </w:rPr>
      </w:pPr>
    </w:p>
    <w:p>
      <w:pPr>
        <w:spacing w:before="48" w:line="205" w:lineRule="auto"/>
        <w:ind w:left="45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2,000,000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49" w:line="204" w:lineRule="auto"/>
        <w:ind w:left="46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1,500,000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49" w:line="204" w:lineRule="auto"/>
        <w:ind w:left="46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1,000,000</w:t>
      </w:r>
    </w:p>
    <w:p>
      <w:pPr>
        <w:spacing w:line="355" w:lineRule="auto"/>
        <w:rPr>
          <w:rFonts w:ascii="Arial"/>
          <w:sz w:val="21"/>
        </w:rPr>
      </w:pPr>
    </w:p>
    <w:p>
      <w:pPr>
        <w:spacing w:before="48" w:line="195" w:lineRule="auto"/>
        <w:ind w:left="594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500,000</w:t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49" w:line="193" w:lineRule="auto"/>
        <w:ind w:left="107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3"/>
        <w:tblW w:w="6001" w:type="dxa"/>
        <w:tblInd w:w="24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75"/>
        <w:gridCol w:w="601"/>
        <w:gridCol w:w="1540"/>
        <w:gridCol w:w="1885"/>
      </w:tblGrid>
      <w:tr>
        <w:tblPrEx>
          <w:tblW w:w="6001" w:type="dxa"/>
          <w:tblInd w:w="244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38"/>
        </w:trPr>
        <w:tc>
          <w:tcPr>
            <w:tcW w:w="1975" w:type="dxa"/>
            <w:vAlign w:val="top"/>
          </w:tcPr>
          <w:p>
            <w:pPr>
              <w:spacing w:before="30" w:line="221" w:lineRule="auto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position w:val="1"/>
                <w:sz w:val="16"/>
                <w:szCs w:val="16"/>
              </w:rPr>
              <w:drawing>
                <wp:inline distT="0" distB="0" distL="0" distR="0">
                  <wp:extent cx="243839" cy="55178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9" cy="55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angSong" w:eastAsia="FangSong" w:hAnsi="FangSong" w:cs="FangSong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FangSong" w:eastAsia="FangSong" w:hAnsi="FangSong" w:cs="FangSong"/>
                <w:sz w:val="16"/>
                <w:szCs w:val="16"/>
              </w:rPr>
              <w:t>乘用车批发量（辆）</w:t>
            </w:r>
          </w:p>
        </w:tc>
        <w:tc>
          <w:tcPr>
            <w:tcW w:w="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118" style="width:20.25pt;height:1pt;margin-top:5.4pt;margin-left:-21.56pt;mso-position-horizontal-relative:right-margin-area;mso-position-vertical-relative:top-margin-area;position:absolute;z-index:251728896" filled="t" fillcolor="red" stroked="f"/>
              </w:pict>
            </w:r>
          </w:p>
        </w:tc>
        <w:tc>
          <w:tcPr>
            <w:tcW w:w="1540" w:type="dxa"/>
            <w:vAlign w:val="top"/>
          </w:tcPr>
          <w:p>
            <w:pPr>
              <w:spacing w:before="30" w:line="225" w:lineRule="auto"/>
              <w:ind w:left="26"/>
              <w:rPr>
                <w:rFonts w:ascii="FangSong" w:eastAsia="FangSong" w:hAnsi="FangSong" w:cs="FangSong"/>
                <w:sz w:val="16"/>
                <w:szCs w:val="16"/>
              </w:rPr>
            </w:pPr>
            <w:r>
              <w:rPr>
                <w:rFonts w:ascii="FangSong" w:eastAsia="FangSong" w:hAnsi="FangSong" w:cs="FangSong"/>
                <w:sz w:val="16"/>
                <w:szCs w:val="16"/>
              </w:rPr>
              <w:t>月度同比（右）</w:t>
            </w:r>
          </w:p>
        </w:tc>
        <w:tc>
          <w:tcPr>
            <w:tcW w:w="1885" w:type="dxa"/>
            <w:vAlign w:val="top"/>
          </w:tcPr>
          <w:p>
            <w:pPr>
              <w:spacing w:line="226" w:lineRule="auto"/>
              <w:ind w:left="736"/>
              <w:rPr>
                <w:rFonts w:ascii="SimSun" w:eastAsia="SimSun" w:hAnsi="SimSun" w:cs="SimSun"/>
                <w:sz w:val="10"/>
                <w:szCs w:val="10"/>
              </w:rPr>
            </w:pPr>
            <w:r>
              <w:rPr>
                <w:rFonts w:ascii="SimSun" w:eastAsia="SimSun" w:hAnsi="SimSun" w:cs="SimSun"/>
                <w:spacing w:val="4"/>
                <w:sz w:val="10"/>
                <w:szCs w:val="10"/>
              </w:rPr>
              <w:t>缺芯、疫情等因素扰动</w:t>
            </w:r>
          </w:p>
          <w:p>
            <w:pPr>
              <w:spacing w:before="34" w:line="271" w:lineRule="exact"/>
              <w:ind w:firstLine="468"/>
            </w:pPr>
            <w:r>
              <w:rPr>
                <w:position w:val="-6"/>
              </w:rPr>
              <w:pict>
                <v:shape id="_x0000_i1119" style="width:70.9pt;height:14.1pt;mso-position-horizontal-relative:char;mso-position-vertical-relative:line" coordorigin="0,0" coordsize="1418,282" path="m7,273c7,200,17,140,29,140l686,140c698,140,708,81,708,7c708,81,718,140,730,140l1387,140c1399,140,1409,200,1409,273e" filled="f" strokecolor="#c0504d" strokeweight="0.75pt">
                  <w10:wrap type="none"/>
                </v:shape>
              </w:pict>
            </w:r>
          </w:p>
        </w:tc>
      </w:tr>
    </w:tbl>
    <w:p>
      <w:pPr>
        <w:spacing w:before="211" w:line="223" w:lineRule="auto"/>
        <w:ind w:left="5668"/>
        <w:rPr>
          <w:rFonts w:ascii="SimSun" w:eastAsia="SimSun" w:hAnsi="SimSun" w:cs="SimSun"/>
          <w:sz w:val="10"/>
          <w:szCs w:val="10"/>
        </w:rPr>
      </w:pPr>
      <w:r>
        <w:pict>
          <v:shape id="_x0000_s1120" type="#_x0000_t202" style="width:74.7pt;height:27.75pt;margin-top:9.26pt;margin-left:357.92pt;position:absolute;z-index:251725824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2"/>
                    <w:rPr>
                      <w:rFonts w:ascii="SimSun" w:eastAsia="SimSun" w:hAnsi="SimSun" w:cs="SimSun"/>
                      <w:sz w:val="10"/>
                      <w:szCs w:val="10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2022.06.01-2022.12.31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：</w:t>
                  </w:r>
                </w:p>
                <w:p>
                  <w:pPr>
                    <w:spacing w:before="1" w:line="242" w:lineRule="auto"/>
                    <w:ind w:left="20" w:right="20"/>
                    <w:rPr>
                      <w:rFonts w:ascii="Calibri" w:eastAsia="Calibri" w:hAnsi="Calibri" w:cs="Calibri"/>
                      <w:sz w:val="10"/>
                      <w:szCs w:val="10"/>
                    </w:rPr>
                  </w:pP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购置不超过</w:t>
                  </w: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30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万元的</w:t>
                  </w: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2.0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升及以下</w:t>
                  </w:r>
                  <w:r>
                    <w:rPr>
                      <w:rFonts w:ascii="SimSun" w:eastAsia="SimSun" w:hAnsi="SimSun" w:cs="SimSun"/>
                      <w:spacing w:val="7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 xml:space="preserve">排量乘用车，购置税税率减半， </w:t>
                  </w:r>
                  <w:r>
                    <w:rPr>
                      <w:rFonts w:ascii="SimSun" w:eastAsia="SimSun" w:hAnsi="SimSun" w:cs="SimSun"/>
                      <w:spacing w:val="5"/>
                      <w:sz w:val="10"/>
                      <w:szCs w:val="10"/>
                    </w:rPr>
                    <w:t>由</w:t>
                  </w:r>
                  <w:r>
                    <w:rPr>
                      <w:rFonts w:ascii="Calibri" w:eastAsia="Calibri" w:hAnsi="Calibri" w:cs="Calibri"/>
                      <w:spacing w:val="5"/>
                      <w:sz w:val="10"/>
                      <w:szCs w:val="10"/>
                    </w:rPr>
                    <w:t>10%</w:t>
                  </w:r>
                  <w:r>
                    <w:rPr>
                      <w:rFonts w:ascii="SimSun" w:eastAsia="SimSun" w:hAnsi="SimSun" w:cs="SimSun"/>
                      <w:spacing w:val="5"/>
                      <w:sz w:val="10"/>
                      <w:szCs w:val="10"/>
                    </w:rPr>
                    <w:t>降至</w:t>
                  </w:r>
                  <w:r>
                    <w:rPr>
                      <w:rFonts w:ascii="Calibri" w:eastAsia="Calibri" w:hAnsi="Calibri" w:cs="Calibri"/>
                      <w:spacing w:val="5"/>
                      <w:sz w:val="10"/>
                      <w:szCs w:val="10"/>
                    </w:rPr>
                    <w:t>5%</w:t>
                  </w:r>
                </w:p>
              </w:txbxContent>
            </v:textbox>
          </v:shape>
        </w:pict>
      </w:r>
      <w:r>
        <w:pict>
          <v:shape id="_x0000_s1121" type="#_x0000_t202" style="width:72.45pt;height:20.95pt;margin-top:10.19pt;margin-left:207.29pt;position:absolute;z-index:251726848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2"/>
                    <w:rPr>
                      <w:rFonts w:ascii="SimSun" w:eastAsia="SimSun" w:hAnsi="SimSun" w:cs="SimSun"/>
                      <w:sz w:val="10"/>
                      <w:szCs w:val="10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2015.10.01-2016.12.31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：</w:t>
                  </w:r>
                </w:p>
                <w:p>
                  <w:pPr>
                    <w:spacing w:line="228" w:lineRule="auto"/>
                    <w:ind w:left="20"/>
                    <w:rPr>
                      <w:rFonts w:ascii="SimSun" w:eastAsia="SimSun" w:hAnsi="SimSun" w:cs="SimSun"/>
                      <w:sz w:val="10"/>
                      <w:szCs w:val="10"/>
                    </w:rPr>
                  </w:pPr>
                  <w:r>
                    <w:rPr>
                      <w:rFonts w:ascii="SimSun" w:eastAsia="SimSun" w:hAnsi="SimSun" w:cs="SimSun"/>
                      <w:spacing w:val="2"/>
                      <w:sz w:val="10"/>
                      <w:szCs w:val="10"/>
                    </w:rPr>
                    <w:t>购置</w:t>
                  </w:r>
                  <w:r>
                    <w:rPr>
                      <w:rFonts w:ascii="Calibri" w:eastAsia="Calibri" w:hAnsi="Calibri" w:cs="Calibri"/>
                      <w:spacing w:val="2"/>
                      <w:sz w:val="10"/>
                      <w:szCs w:val="10"/>
                    </w:rPr>
                    <w:t>1.6</w:t>
                  </w:r>
                  <w:r>
                    <w:rPr>
                      <w:rFonts w:ascii="SimSun" w:eastAsia="SimSun" w:hAnsi="SimSun" w:cs="SimSun"/>
                      <w:spacing w:val="2"/>
                      <w:sz w:val="10"/>
                      <w:szCs w:val="10"/>
                    </w:rPr>
                    <w:t>升及以下排量乘用车，</w:t>
                  </w:r>
                </w:p>
                <w:p>
                  <w:pPr>
                    <w:spacing w:before="10" w:line="229" w:lineRule="auto"/>
                    <w:ind w:left="20"/>
                    <w:rPr>
                      <w:rFonts w:ascii="Calibri" w:eastAsia="Calibri" w:hAnsi="Calibri" w:cs="Calibri"/>
                      <w:sz w:val="10"/>
                      <w:szCs w:val="10"/>
                    </w:rPr>
                  </w:pP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购置税税率减半，由</w:t>
                  </w: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10%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降至</w:t>
                  </w: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5%</w:t>
                  </w:r>
                </w:p>
              </w:txbxContent>
            </v:textbox>
          </v:shape>
        </w:pict>
      </w:r>
      <w:r>
        <w:rPr>
          <w:rFonts w:ascii="Calibri" w:eastAsia="Calibri" w:hAnsi="Calibri" w:cs="Calibri"/>
          <w:spacing w:val="1"/>
          <w:sz w:val="10"/>
          <w:szCs w:val="10"/>
        </w:rPr>
        <w:t>2017.01.01-2017.12.31</w:t>
      </w:r>
      <w:r>
        <w:rPr>
          <w:rFonts w:ascii="SimSun" w:eastAsia="SimSun" w:hAnsi="SimSun" w:cs="SimSun"/>
          <w:spacing w:val="1"/>
          <w:sz w:val="10"/>
          <w:szCs w:val="10"/>
        </w:rPr>
        <w:t>：</w:t>
      </w:r>
    </w:p>
    <w:p>
      <w:pPr>
        <w:spacing w:line="135" w:lineRule="exact"/>
        <w:ind w:left="5665"/>
        <w:rPr>
          <w:rFonts w:ascii="SimSun" w:eastAsia="SimSun" w:hAnsi="SimSun" w:cs="SimSun"/>
          <w:sz w:val="10"/>
          <w:szCs w:val="10"/>
        </w:rPr>
      </w:pPr>
      <w:r>
        <w:rPr>
          <w:rFonts w:ascii="SimSun" w:eastAsia="SimSun" w:hAnsi="SimSun" w:cs="SimSun"/>
          <w:spacing w:val="2"/>
          <w:position w:val="2"/>
          <w:sz w:val="10"/>
          <w:szCs w:val="10"/>
        </w:rPr>
        <w:t>购置</w:t>
      </w:r>
      <w:r>
        <w:rPr>
          <w:rFonts w:ascii="Calibri" w:eastAsia="Calibri" w:hAnsi="Calibri" w:cs="Calibri"/>
          <w:spacing w:val="2"/>
          <w:position w:val="2"/>
          <w:sz w:val="10"/>
          <w:szCs w:val="10"/>
        </w:rPr>
        <w:t>1.6</w:t>
      </w:r>
      <w:r>
        <w:rPr>
          <w:rFonts w:ascii="SimSun" w:eastAsia="SimSun" w:hAnsi="SimSun" w:cs="SimSun"/>
          <w:spacing w:val="2"/>
          <w:position w:val="2"/>
          <w:sz w:val="10"/>
          <w:szCs w:val="10"/>
        </w:rPr>
        <w:t>升及以下排量乘用车，</w:t>
      </w:r>
    </w:p>
    <w:p>
      <w:pPr>
        <w:spacing w:line="228" w:lineRule="auto"/>
        <w:ind w:left="5665"/>
        <w:rPr>
          <w:rFonts w:ascii="Calibri" w:eastAsia="Calibri" w:hAnsi="Calibri" w:cs="Calibri"/>
          <w:sz w:val="10"/>
          <w:szCs w:val="10"/>
        </w:rPr>
      </w:pPr>
      <w:r>
        <w:rPr>
          <w:rFonts w:ascii="SimSun" w:eastAsia="SimSun" w:hAnsi="SimSun" w:cs="SimSun"/>
          <w:spacing w:val="3"/>
          <w:sz w:val="10"/>
          <w:szCs w:val="10"/>
        </w:rPr>
        <w:t>购置税税率由</w:t>
      </w:r>
      <w:r>
        <w:rPr>
          <w:rFonts w:ascii="Calibri" w:eastAsia="Calibri" w:hAnsi="Calibri" w:cs="Calibri"/>
          <w:spacing w:val="3"/>
          <w:sz w:val="10"/>
          <w:szCs w:val="10"/>
        </w:rPr>
        <w:t>10%</w:t>
      </w:r>
      <w:r>
        <w:rPr>
          <w:rFonts w:ascii="SimSun" w:eastAsia="SimSun" w:hAnsi="SimSun" w:cs="SimSun"/>
          <w:spacing w:val="3"/>
          <w:sz w:val="10"/>
          <w:szCs w:val="10"/>
        </w:rPr>
        <w:t>降至</w:t>
      </w:r>
      <w:r>
        <w:rPr>
          <w:rFonts w:ascii="Calibri" w:eastAsia="Calibri" w:hAnsi="Calibri" w:cs="Calibri"/>
          <w:spacing w:val="3"/>
          <w:sz w:val="10"/>
          <w:szCs w:val="10"/>
        </w:rPr>
        <w:t>7.5%</w:t>
      </w:r>
    </w:p>
    <w:p>
      <w:pPr>
        <w:spacing w:before="170" w:line="223" w:lineRule="auto"/>
        <w:ind w:left="424"/>
        <w:rPr>
          <w:rFonts w:ascii="SimSun" w:eastAsia="SimSun" w:hAnsi="SimSun" w:cs="SimSun"/>
          <w:sz w:val="10"/>
          <w:szCs w:val="10"/>
        </w:rPr>
      </w:pPr>
      <w:r>
        <w:pict>
          <v:shape id="_x0000_s1122" type="#_x0000_t202" style="width:69.6pt;height:21pt;margin-top:8.48pt;margin-left:141.39pt;position:absolute;z-index:251727872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2"/>
                    <w:rPr>
                      <w:rFonts w:ascii="SimSun" w:eastAsia="SimSun" w:hAnsi="SimSun" w:cs="SimSun"/>
                      <w:sz w:val="10"/>
                      <w:szCs w:val="10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2010.01.01-2010.12.31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：</w:t>
                  </w:r>
                </w:p>
                <w:p>
                  <w:pPr>
                    <w:spacing w:line="239" w:lineRule="auto"/>
                    <w:ind w:left="20" w:right="20"/>
                    <w:rPr>
                      <w:rFonts w:ascii="Calibri" w:eastAsia="Calibri" w:hAnsi="Calibri" w:cs="Calibri"/>
                      <w:sz w:val="10"/>
                      <w:szCs w:val="10"/>
                    </w:rPr>
                  </w:pP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购置</w:t>
                  </w:r>
                  <w:r>
                    <w:rPr>
                      <w:rFonts w:ascii="Calibri" w:eastAsia="Calibri" w:hAnsi="Calibri" w:cs="Calibri"/>
                      <w:spacing w:val="1"/>
                      <w:sz w:val="10"/>
                      <w:szCs w:val="10"/>
                    </w:rPr>
                    <w:t>1.6</w:t>
                  </w:r>
                  <w:r>
                    <w:rPr>
                      <w:rFonts w:ascii="SimSun" w:eastAsia="SimSun" w:hAnsi="SimSun" w:cs="SimSun"/>
                      <w:spacing w:val="1"/>
                      <w:sz w:val="10"/>
                      <w:szCs w:val="10"/>
                    </w:rPr>
                    <w:t>升及以下排量乘用车，</w:t>
                  </w:r>
                  <w:r>
                    <w:rPr>
                      <w:rFonts w:ascii="SimSun" w:eastAsia="SimSun" w:hAnsi="SimSun" w:cs="SimSun"/>
                      <w:spacing w:val="8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3"/>
                      <w:sz w:val="10"/>
                      <w:szCs w:val="10"/>
                    </w:rPr>
                    <w:t>购置税税率由</w:t>
                  </w:r>
                  <w:r>
                    <w:rPr>
                      <w:rFonts w:ascii="Calibri" w:eastAsia="Calibri" w:hAnsi="Calibri" w:cs="Calibri"/>
                      <w:spacing w:val="3"/>
                      <w:sz w:val="10"/>
                      <w:szCs w:val="10"/>
                    </w:rPr>
                    <w:t>10%</w:t>
                  </w:r>
                  <w:r>
                    <w:rPr>
                      <w:rFonts w:ascii="SimSun" w:eastAsia="SimSun" w:hAnsi="SimSun" w:cs="SimSun"/>
                      <w:spacing w:val="3"/>
                      <w:sz w:val="10"/>
                      <w:szCs w:val="10"/>
                    </w:rPr>
                    <w:t>降至</w:t>
                  </w:r>
                  <w:r>
                    <w:rPr>
                      <w:rFonts w:ascii="Calibri" w:eastAsia="Calibri" w:hAnsi="Calibri" w:cs="Calibri"/>
                      <w:spacing w:val="3"/>
                      <w:sz w:val="10"/>
                      <w:szCs w:val="10"/>
                    </w:rPr>
                    <w:t>7.5%</w:t>
                  </w:r>
                </w:p>
              </w:txbxContent>
            </v:textbox>
          </v:shape>
        </w:pict>
      </w:r>
      <w:r>
        <w:rPr>
          <w:rFonts w:ascii="Calibri" w:eastAsia="Calibri" w:hAnsi="Calibri" w:cs="Calibri"/>
          <w:spacing w:val="1"/>
          <w:sz w:val="10"/>
          <w:szCs w:val="10"/>
        </w:rPr>
        <w:t>2009.01.20-2009.12.31</w:t>
      </w:r>
      <w:r>
        <w:rPr>
          <w:rFonts w:ascii="SimSun" w:eastAsia="SimSun" w:hAnsi="SimSun" w:cs="SimSun"/>
          <w:spacing w:val="1"/>
          <w:sz w:val="10"/>
          <w:szCs w:val="10"/>
        </w:rPr>
        <w:t>：</w:t>
      </w:r>
    </w:p>
    <w:p>
      <w:pPr>
        <w:spacing w:line="135" w:lineRule="exact"/>
        <w:ind w:left="421"/>
        <w:rPr>
          <w:rFonts w:ascii="SimSun" w:eastAsia="SimSun" w:hAnsi="SimSun" w:cs="SimSun"/>
          <w:sz w:val="10"/>
          <w:szCs w:val="10"/>
        </w:rPr>
      </w:pPr>
      <w:r>
        <w:rPr>
          <w:rFonts w:ascii="SimSun" w:eastAsia="SimSun" w:hAnsi="SimSun" w:cs="SimSun"/>
          <w:position w:val="2"/>
          <w:sz w:val="10"/>
          <w:szCs w:val="10"/>
        </w:rPr>
        <w:t>购置</w:t>
      </w:r>
      <w:r>
        <w:rPr>
          <w:rFonts w:ascii="Calibri" w:eastAsia="Calibri" w:hAnsi="Calibri" w:cs="Calibri"/>
          <w:position w:val="2"/>
          <w:sz w:val="10"/>
          <w:szCs w:val="10"/>
        </w:rPr>
        <w:t>1.6</w:t>
      </w:r>
      <w:r>
        <w:rPr>
          <w:rFonts w:ascii="SimSun" w:eastAsia="SimSun" w:hAnsi="SimSun" w:cs="SimSun"/>
          <w:position w:val="2"/>
          <w:sz w:val="10"/>
          <w:szCs w:val="10"/>
        </w:rPr>
        <w:t>升及以下排量乘用车，</w:t>
      </w:r>
      <w:r>
        <w:rPr>
          <w:rFonts w:ascii="SimSun" w:eastAsia="SimSun" w:hAnsi="SimSun" w:cs="SimSun"/>
          <w:spacing w:val="-11"/>
          <w:position w:val="2"/>
          <w:sz w:val="10"/>
          <w:szCs w:val="10"/>
        </w:rPr>
        <w:t xml:space="preserve"> </w:t>
      </w:r>
      <w:r>
        <w:rPr>
          <w:rFonts w:ascii="SimSun" w:eastAsia="SimSun" w:hAnsi="SimSun" w:cs="SimSun"/>
          <w:position w:val="2"/>
          <w:sz w:val="10"/>
          <w:szCs w:val="10"/>
        </w:rPr>
        <w:t>购</w:t>
      </w:r>
    </w:p>
    <w:p>
      <w:pPr>
        <w:spacing w:line="228" w:lineRule="auto"/>
        <w:ind w:left="421"/>
        <w:rPr>
          <w:rFonts w:ascii="Calibri" w:eastAsia="Calibri" w:hAnsi="Calibri" w:cs="Calibri"/>
          <w:sz w:val="10"/>
          <w:szCs w:val="10"/>
        </w:rPr>
      </w:pPr>
      <w:r>
        <w:rPr>
          <w:rFonts w:ascii="SimSun" w:eastAsia="SimSun" w:hAnsi="SimSun" w:cs="SimSun"/>
          <w:spacing w:val="3"/>
          <w:sz w:val="10"/>
          <w:szCs w:val="10"/>
        </w:rPr>
        <w:t>置税税率减半，由</w:t>
      </w:r>
      <w:r>
        <w:rPr>
          <w:rFonts w:ascii="Calibri" w:eastAsia="Calibri" w:hAnsi="Calibri" w:cs="Calibri"/>
          <w:spacing w:val="3"/>
          <w:sz w:val="10"/>
          <w:szCs w:val="10"/>
        </w:rPr>
        <w:t>10%</w:t>
      </w:r>
      <w:r>
        <w:rPr>
          <w:rFonts w:ascii="SimSun" w:eastAsia="SimSun" w:hAnsi="SimSun" w:cs="SimSun"/>
          <w:spacing w:val="3"/>
          <w:sz w:val="10"/>
          <w:szCs w:val="10"/>
        </w:rPr>
        <w:t>降至</w:t>
      </w:r>
      <w:r>
        <w:rPr>
          <w:rFonts w:ascii="Calibri" w:eastAsia="Calibri" w:hAnsi="Calibri" w:cs="Calibri"/>
          <w:spacing w:val="3"/>
          <w:sz w:val="10"/>
          <w:szCs w:val="10"/>
        </w:rPr>
        <w:t>5%</w:t>
      </w:r>
    </w:p>
    <w:p>
      <w:pPr>
        <w:spacing w:before="211" w:line="902" w:lineRule="exact"/>
        <w:ind w:firstLine="523"/>
      </w:pPr>
      <w:r>
        <w:rPr>
          <w:position w:val="-21"/>
        </w:rPr>
        <w:pict>
          <v:shape id="_x0000_i1123" style="width:14.65pt;height:46.75pt;mso-position-horizontal-relative:char;mso-position-vertical-relative:line" coordorigin="0,0" coordsize="292,935" path="m10,10l42,160l87,505m117,475l162,670l207,925m237,925l282,595e" filled="f" strokecolor="red" strokeweight="1pt">
            <v:stroke endcap="round"/>
            <w10:wrap type="none"/>
          </v:shape>
        </w:pict>
      </w:r>
    </w:p>
    <w:p>
      <w:pPr>
        <w:spacing w:line="768" w:lineRule="exact"/>
        <w:ind w:firstLine="6946"/>
      </w:pPr>
      <w:r>
        <w:rPr>
          <w:position w:val="-15"/>
        </w:rPr>
        <w:pict>
          <v:shape id="_x0000_i1124" style="width:14.5pt;height:40pt;mso-position-horizontal-relative:char;mso-position-vertical-relative:line" coordorigin="0,0" coordsize="290,800" path="m10,145l40,400m115,790l160,160l190,25m235,100l280,10e" filled="f" strokecolor="red" strokeweight="1pt">
            <v:stroke endcap="round"/>
            <w10:wrap type="none"/>
          </v:shape>
        </w:pict>
      </w:r>
    </w:p>
    <w:p>
      <w:pPr>
        <w:spacing w:before="25"/>
      </w:pPr>
    </w:p>
    <w:p>
      <w:pPr>
        <w:spacing w:before="24"/>
      </w:pPr>
    </w:p>
    <w:p>
      <w:pPr>
        <w:spacing w:before="24"/>
      </w:pPr>
    </w:p>
    <w:tbl>
      <w:tblPr>
        <w:tblStyle w:val="TableNormal3"/>
        <w:tblW w:w="8743" w:type="dxa"/>
        <w:tblInd w:w="2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7"/>
        <w:gridCol w:w="269"/>
        <w:gridCol w:w="269"/>
        <w:gridCol w:w="270"/>
        <w:gridCol w:w="269"/>
        <w:gridCol w:w="269"/>
        <w:gridCol w:w="270"/>
        <w:gridCol w:w="269"/>
        <w:gridCol w:w="269"/>
        <w:gridCol w:w="269"/>
        <w:gridCol w:w="270"/>
        <w:gridCol w:w="269"/>
        <w:gridCol w:w="269"/>
        <w:gridCol w:w="270"/>
        <w:gridCol w:w="269"/>
        <w:gridCol w:w="269"/>
        <w:gridCol w:w="270"/>
        <w:gridCol w:w="270"/>
        <w:gridCol w:w="269"/>
        <w:gridCol w:w="269"/>
        <w:gridCol w:w="270"/>
        <w:gridCol w:w="269"/>
        <w:gridCol w:w="269"/>
        <w:gridCol w:w="270"/>
        <w:gridCol w:w="269"/>
        <w:gridCol w:w="269"/>
        <w:gridCol w:w="269"/>
        <w:gridCol w:w="270"/>
        <w:gridCol w:w="269"/>
        <w:gridCol w:w="269"/>
        <w:gridCol w:w="270"/>
        <w:gridCol w:w="269"/>
        <w:gridCol w:w="197"/>
      </w:tblGrid>
      <w:tr>
        <w:tblPrEx>
          <w:tblW w:w="8743" w:type="dxa"/>
          <w:tblInd w:w="2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75"/>
        </w:trPr>
        <w:tc>
          <w:tcPr>
            <w:tcW w:w="197" w:type="dxa"/>
            <w:textDirection w:val="btLr"/>
            <w:vAlign w:val="top"/>
          </w:tcPr>
          <w:p>
            <w:pPr>
              <w:pStyle w:val="TableText"/>
              <w:spacing w:line="193" w:lineRule="auto"/>
            </w:pPr>
            <w:r>
              <w:rPr>
                <w:spacing w:val="-1"/>
              </w:rPr>
              <w:t>2005-01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</w:pPr>
            <w:r>
              <w:rPr>
                <w:spacing w:val="-1"/>
              </w:rPr>
              <w:t>2005-08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2006-03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2006-10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2007-05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2007-12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4" w:lineRule="auto"/>
              <w:jc w:val="right"/>
            </w:pPr>
            <w:r>
              <w:rPr>
                <w:spacing w:val="-1"/>
              </w:rPr>
              <w:t>2008-07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2009-02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2009-09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2010-04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2010-11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2011-06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2012-01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</w:pPr>
            <w:r>
              <w:rPr>
                <w:spacing w:val="-1"/>
              </w:rPr>
              <w:t>2012-08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2013-03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2013-10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2014-05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2014-12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2015-07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2016-02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2016-09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2017-04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2017-11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4" w:lineRule="auto"/>
              <w:jc w:val="right"/>
            </w:pPr>
            <w:r>
              <w:rPr>
                <w:spacing w:val="-1"/>
              </w:rPr>
              <w:t>2018-06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2019-01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</w:pPr>
            <w:r>
              <w:rPr>
                <w:spacing w:val="-1"/>
              </w:rPr>
              <w:t>2019-08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2020-03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2020-10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2021-05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1" w:line="194" w:lineRule="auto"/>
              <w:jc w:val="right"/>
            </w:pPr>
            <w:r>
              <w:rPr>
                <w:spacing w:val="-1"/>
              </w:rPr>
              <w:t>2021-12</w:t>
            </w:r>
          </w:p>
        </w:tc>
        <w:tc>
          <w:tcPr>
            <w:tcW w:w="270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2022-07</w:t>
            </w:r>
          </w:p>
        </w:tc>
        <w:tc>
          <w:tcPr>
            <w:tcW w:w="269" w:type="dxa"/>
            <w:textDirection w:val="btLr"/>
            <w:vAlign w:val="top"/>
          </w:tcPr>
          <w:p>
            <w:pPr>
              <w:pStyle w:val="TableText"/>
              <w:spacing w:before="72" w:line="193" w:lineRule="auto"/>
            </w:pPr>
            <w:r>
              <w:rPr>
                <w:spacing w:val="-1"/>
              </w:rPr>
              <w:t>2023-02</w:t>
            </w:r>
          </w:p>
        </w:tc>
        <w:tc>
          <w:tcPr>
            <w:tcW w:w="197" w:type="dxa"/>
            <w:textDirection w:val="btLr"/>
            <w:vAlign w:val="top"/>
          </w:tcPr>
          <w:p>
            <w:pPr>
              <w:pStyle w:val="TableText"/>
              <w:spacing w:before="71" w:line="126" w:lineRule="exact"/>
              <w:jc w:val="right"/>
            </w:pPr>
            <w:r>
              <w:rPr>
                <w:spacing w:val="-1"/>
                <w:position w:val="-2"/>
              </w:rPr>
              <w:t>2023-09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49" w:line="190" w:lineRule="auto"/>
        <w:ind w:left="12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5"/>
          <w:sz w:val="16"/>
          <w:szCs w:val="16"/>
        </w:rPr>
        <w:t>1.5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48" w:line="191" w:lineRule="auto"/>
        <w:ind w:left="12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1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49" w:line="193" w:lineRule="auto"/>
        <w:ind w:left="11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0.5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48" w:line="194" w:lineRule="auto"/>
        <w:ind w:left="11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48" w:line="193" w:lineRule="auto"/>
        <w:ind w:left="11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-0.5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49" w:line="191" w:lineRule="auto"/>
        <w:ind w:left="11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-1</w:t>
      </w:r>
    </w:p>
    <w:p>
      <w:pPr>
        <w:spacing w:line="191" w:lineRule="auto"/>
        <w:rPr>
          <w:rFonts w:ascii="Tahoma" w:eastAsia="Tahoma" w:hAnsi="Tahoma" w:cs="Tahoma"/>
          <w:sz w:val="16"/>
          <w:szCs w:val="16"/>
        </w:rPr>
        <w:sectPr>
          <w:headerReference w:type="default" r:id="rId57"/>
          <w:footerReference w:type="default" r:id="rId58"/>
          <w:type w:val="continuous"/>
          <w:pgSz w:w="11910" w:h="16845"/>
          <w:pgMar w:top="885" w:right="547" w:bottom="840" w:left="471" w:header="386" w:footer="542" w:gutter="0"/>
          <w:pgNumType w:start="18"/>
          <w:cols w:num="3" w:space="708" w:equalWidth="0">
            <w:col w:w="1203" w:space="100"/>
            <w:col w:w="8869" w:space="0"/>
            <w:col w:w="720" w:space="0"/>
          </w:cols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55" w:line="210" w:lineRule="auto"/>
        <w:ind w:left="210"/>
        <w:rPr>
          <w:sz w:val="17"/>
          <w:szCs w:val="17"/>
        </w:rPr>
      </w:pPr>
      <w:r>
        <w:rPr>
          <w:i/>
          <w:iCs/>
          <w:color w:val="004098"/>
          <w:spacing w:val="-6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6"/>
          <w:sz w:val="17"/>
          <w:szCs w:val="17"/>
        </w:rPr>
        <w:t>Wind</w:t>
      </w:r>
      <w:r>
        <w:rPr>
          <w:i/>
          <w:iCs/>
          <w:color w:val="004098"/>
          <w:spacing w:val="-6"/>
          <w:sz w:val="17"/>
          <w:szCs w:val="17"/>
        </w:rPr>
        <w:t>、中汽协、国税总局、长城证券产</w:t>
      </w:r>
      <w:r>
        <w:rPr>
          <w:i/>
          <w:iCs/>
          <w:color w:val="004098"/>
          <w:spacing w:val="-7"/>
          <w:sz w:val="17"/>
          <w:szCs w:val="17"/>
        </w:rPr>
        <w:t>业金融研究院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65" w:line="211" w:lineRule="auto"/>
        <w:ind w:left="226"/>
        <w:rPr>
          <w:sz w:val="20"/>
          <w:szCs w:val="20"/>
        </w:rPr>
      </w:pPr>
      <w:r>
        <w:rPr>
          <w:i/>
          <w:iCs/>
          <w:color w:val="004098"/>
          <w:spacing w:val="5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6</w:t>
      </w:r>
      <w:r>
        <w:rPr>
          <w:i/>
          <w:iCs/>
          <w:color w:val="004098"/>
          <w:spacing w:val="5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2016-2023</w:t>
      </w:r>
      <w:r>
        <w:rPr>
          <w:i/>
          <w:iCs/>
          <w:color w:val="004098"/>
          <w:spacing w:val="5"/>
          <w:sz w:val="20"/>
          <w:szCs w:val="20"/>
        </w:rPr>
        <w:t>年中国乘用车批发数走势（万辆）</w:t>
      </w:r>
      <w:r>
        <w:rPr>
          <w:color w:val="004098"/>
          <w:spacing w:val="5"/>
          <w:sz w:val="20"/>
          <w:szCs w:val="20"/>
        </w:rPr>
        <w:t xml:space="preserve">      </w:t>
      </w:r>
      <w:r>
        <w:rPr>
          <w:i/>
          <w:iCs/>
          <w:color w:val="004098"/>
          <w:spacing w:val="5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7</w:t>
      </w:r>
      <w:r>
        <w:rPr>
          <w:i/>
          <w:iCs/>
          <w:color w:val="004098"/>
          <w:spacing w:val="5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2016-2023</w:t>
      </w:r>
      <w:r>
        <w:rPr>
          <w:i/>
          <w:iCs/>
          <w:color w:val="004098"/>
          <w:spacing w:val="5"/>
          <w:sz w:val="20"/>
          <w:szCs w:val="20"/>
        </w:rPr>
        <w:t>年中国</w:t>
      </w:r>
      <w:r>
        <w:rPr>
          <w:i/>
          <w:iCs/>
          <w:color w:val="004098"/>
          <w:spacing w:val="4"/>
          <w:sz w:val="20"/>
          <w:szCs w:val="20"/>
        </w:rPr>
        <w:t>乘用车上险数走势（万辆）</w:t>
      </w:r>
    </w:p>
    <w:p>
      <w:pPr>
        <w:spacing w:before="38"/>
      </w:pPr>
    </w:p>
    <w:p>
      <w:pPr>
        <w:sectPr>
          <w:headerReference w:type="default" r:id="rId59"/>
          <w:footerReference w:type="default" r:id="rId60"/>
          <w:type w:val="continuous"/>
          <w:pgSz w:w="11910" w:h="16845"/>
          <w:pgMar w:top="885" w:right="547" w:bottom="840" w:left="471" w:header="386" w:footer="542" w:gutter="0"/>
          <w:pgNumType w:start="19"/>
          <w:cols w:num="1" w:space="708" w:equalWidth="0">
            <w:col w:w="10892" w:space="0"/>
          </w:cols>
        </w:sectPr>
      </w:pPr>
    </w:p>
    <w:p>
      <w:pPr>
        <w:spacing w:line="433" w:lineRule="auto"/>
        <w:rPr>
          <w:rFonts w:ascii="Arial"/>
          <w:sz w:val="21"/>
        </w:rPr>
      </w:pPr>
    </w:p>
    <w:p>
      <w:pPr>
        <w:spacing w:before="49" w:line="193" w:lineRule="auto"/>
        <w:ind w:left="45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300</w:t>
      </w:r>
    </w:p>
    <w:p>
      <w:pPr>
        <w:spacing w:before="198" w:line="193" w:lineRule="auto"/>
        <w:ind w:left="45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250</w:t>
      </w:r>
    </w:p>
    <w:p>
      <w:pPr>
        <w:spacing w:before="199" w:line="193" w:lineRule="auto"/>
        <w:ind w:left="45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200</w:t>
      </w:r>
    </w:p>
    <w:p>
      <w:pPr>
        <w:spacing w:before="197" w:line="194" w:lineRule="auto"/>
        <w:ind w:left="46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2"/>
          <w:sz w:val="16"/>
          <w:szCs w:val="16"/>
        </w:rPr>
        <w:t>150</w:t>
      </w:r>
    </w:p>
    <w:p>
      <w:pPr>
        <w:spacing w:before="199" w:line="193" w:lineRule="auto"/>
        <w:ind w:left="46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3"/>
          <w:sz w:val="16"/>
          <w:szCs w:val="16"/>
        </w:rPr>
        <w:t>100</w:t>
      </w:r>
    </w:p>
    <w:p>
      <w:pPr>
        <w:spacing w:before="198" w:line="193" w:lineRule="auto"/>
        <w:ind w:left="54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2"/>
          <w:sz w:val="16"/>
          <w:szCs w:val="16"/>
        </w:rPr>
        <w:t>50</w:t>
      </w:r>
    </w:p>
    <w:p>
      <w:pPr>
        <w:spacing w:before="197" w:line="194" w:lineRule="auto"/>
        <w:ind w:left="63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8" w:line="194" w:lineRule="auto"/>
        <w:ind w:left="2560"/>
        <w:rPr>
          <w:rFonts w:ascii="Tahoma" w:eastAsia="Tahoma" w:hAnsi="Tahoma" w:cs="Tahoma"/>
          <w:sz w:val="16"/>
          <w:szCs w:val="16"/>
        </w:rPr>
      </w:pPr>
      <w:r>
        <w:pict>
          <v:shape id="_x0000_s1125" type="#_x0000_t202" style="width:18.85pt;height:21.65pt;margin-top:1.39pt;margin-left:30.96pt;position:absolute;z-index:251729920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2016</w:t>
                  </w:r>
                </w:p>
                <w:p>
                  <w:pPr>
                    <w:spacing w:before="81"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2020</w:t>
                  </w:r>
                </w:p>
              </w:txbxContent>
            </v:textbox>
          </v:shape>
        </w:pict>
      </w:r>
      <w:r>
        <w:pict>
          <v:shape id="_x0000_s1126" type="#_x0000_t202" style="width:18.85pt;height:21.65pt;margin-top:1.39pt;margin-left:78.98pt;position:absolute;z-index:251730944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2017</w:t>
                  </w:r>
                </w:p>
                <w:p>
                  <w:pPr>
                    <w:spacing w:before="81"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2021</w:t>
                  </w:r>
                </w:p>
              </w:txbxContent>
            </v:textbox>
          </v:shape>
        </w:pict>
      </w:r>
      <w:r>
        <w:pict>
          <v:shape id="_x0000_s1127" type="#_x0000_t202" style="width:18.85pt;height:21.65pt;margin-top:1.39pt;margin-left:175.03pt;position:absolute;z-index:251731968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2019</w:t>
                  </w:r>
                </w:p>
                <w:p>
                  <w:pPr>
                    <w:spacing w:before="81"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2023</w:t>
                  </w:r>
                </w:p>
              </w:txbxContent>
            </v:textbox>
          </v:shape>
        </w:pict>
      </w:r>
      <w:r>
        <w:rPr>
          <w:rFonts w:ascii="Tahoma" w:eastAsia="Tahoma" w:hAnsi="Tahoma" w:cs="Tahoma"/>
          <w:spacing w:val="-1"/>
          <w:sz w:val="16"/>
          <w:szCs w:val="16"/>
        </w:rPr>
        <w:t>2018</w:t>
      </w:r>
    </w:p>
    <w:p>
      <w:pPr>
        <w:spacing w:before="81" w:line="193" w:lineRule="auto"/>
        <w:ind w:left="256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2022</w:t>
      </w:r>
    </w:p>
    <w:p>
      <w:pPr>
        <w:spacing w:before="90" w:line="2180" w:lineRule="exact"/>
      </w:pPr>
      <w:r>
        <w:rPr>
          <w:position w:val="-43"/>
        </w:rPr>
        <w:pict>
          <v:group id="_x0000_i1128" style="width:208.25pt;height:109.05pt;mso-position-horizontal-relative:char;mso-position-vertical-relative:line" coordorigin="0,0" coordsize="4165,2181" filled="f" stroked="f">
            <v:shape id="_x0000_s1129" style="width:4165;height:2181;position:absolute" coordorigin="0,0" coordsize="4165,2181" path="m53,2127l53,7m,2127l53,2127m,1776l53,1776m,1416l53,1416m,1071l53,1071m,711l53,711m,366l53,366m,7l53,7m53,2127l4156,2127m53,2127l53,2180m397,2127l397,2180m742,2127l742,2180m1072,2127l1072,2180m1417,2127l1417,2180m1762,2127l1762,2180m2107,2127l2107,2180m2452,2127l2452,2180m2782,2127l2782,2180m3127,2127l3127,2180m3472,2127l3472,2180m3817,2127l3817,2180m4156,2127l4156,2180e" filled="f" strokecolor="black" strokeweight="0.75pt"/>
            <v:shape id="_x0000_s1130" style="width:3792;height:945;left:209;position:absolute;top:224" coordorigin="0,0" coordsize="3792,945" path="m15,322l353,930l698,457l1043,652l1388,637l1718,637l2063,772l2408,637l2753,307l3098,247l3428,67l3776,15e" filled="f" strokecolor="#0070c0" strokeweight="1.5pt">
              <v:stroke endcap="round"/>
            </v:shape>
            <v:shape id="_x0000_s1131" style="width:3792;height:751;left:209;position:absolute;top:237" coordorigin="0,0" coordsize="3792,751" path="m15,324l353,736l698,414l1043,669l1388,654l1718,594l2063,699l2408,564l2753,234l3098,234l3428,54l3776,15e" filled="f" strokecolor="#003686" strokeweight="1.5pt">
              <v:stroke endcap="round"/>
            </v:shape>
            <v:shape id="_x0000_s1132" style="width:3792;height:723;left:209;position:absolute;top:376" coordorigin="0,0" coordsize="3792,723" path="m15,15l353,707l698,215l1043,395l1388,410l1718,425l2063,620l2408,485l2753,290l3098,305l3428,215l3776,170e" filled="f" strokecolor="#86a44a" strokeweight="1.5pt">
              <v:stroke endcap="round"/>
            </v:shape>
            <v:shape id="_x0000_s1133" style="width:3792;height:733;left:209;position:absolute;top:548" coordorigin="0,0" coordsize="3792,733" path="m15,148l353,717l698,148l1043,463l1388,478l1718,358l2063,493l2408,418l2753,208l3098,223l3428,118l3776,15e" filled="f" strokecolor="#6e548d" strokeweight="1.5pt">
              <v:stroke endcap="round"/>
            </v:shape>
            <v:shape id="_x0000_s1134" style="width:3792;height:1551;left:209;position:absolute;top:434" coordorigin="0,0" coordsize="3792,1551" path="m15,562l353,1535l698,952l1043,607l1388,517l1718,442l2063,517l2408,457l2753,217l3098,202l3428,67l3776,15e" filled="f" strokecolor="#3d96ae" strokeweight="1.5pt">
              <v:stroke endcap="round"/>
            </v:shape>
            <v:shape id="_x0000_s1135" style="width:3792;height:925;left:209;position:absolute;top:401" coordorigin="0,0" coordsize="3792,925" path="m15,280l353,909l698,400l1043,520l1388,565l1718,610l2063,625l2408,625l2753,490l3098,310l3428,175l3776,15e" filled="f" strokecolor="#da8137" strokeweight="1.5pt">
              <v:stroke endcap="round"/>
            </v:shape>
            <v:shape id="_x0000_s1136" style="width:3792;height:995;left:209;position:absolute;top:464" coordorigin="0,0" coordsize="3792,995" path="m15,111l353,606l698,351l1043,980l1388,516l1718,96l2063,126l2408,156l2753,15l3098,81l3428,201l3776,66e" filled="f" strokecolor="#7f8ab4" strokeweight="1.5pt">
              <v:stroke endcap="round"/>
            </v:shape>
            <v:shape id="_x0000_s1137" style="width:3450;height:833;left:209;position:absolute;top:272" coordorigin="0,0" coordsize="3450,833" path="m15,817l353,694l698,424l1043,574l1388,409l1718,259l2063,364l2408,244l2753,94l3098,94l3434,15e" filled="f" strokecolor="#ce8e8d" strokeweight="1.5pt">
              <v:stroke endcap="round"/>
            </v:shape>
            <w10:wrap type="none"/>
          </v:group>
        </w:pict>
      </w:r>
    </w:p>
    <w:p>
      <w:pPr>
        <w:pStyle w:val="BodyText"/>
        <w:spacing w:before="87" w:line="225" w:lineRule="auto"/>
        <w:ind w:left="103"/>
        <w:rPr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1</w:t>
      </w:r>
      <w:r>
        <w:rPr>
          <w:spacing w:val="1"/>
          <w:sz w:val="16"/>
          <w:szCs w:val="16"/>
        </w:rPr>
        <w:t>月</w:t>
      </w:r>
      <w:r>
        <w:rPr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2</w:t>
      </w:r>
      <w:r>
        <w:rPr>
          <w:spacing w:val="1"/>
          <w:sz w:val="16"/>
          <w:szCs w:val="16"/>
        </w:rPr>
        <w:t>月</w:t>
      </w:r>
      <w:r>
        <w:rPr>
          <w:spacing w:val="15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3</w:t>
      </w:r>
      <w:r>
        <w:rPr>
          <w:spacing w:val="1"/>
          <w:sz w:val="16"/>
          <w:szCs w:val="16"/>
        </w:rPr>
        <w:t>月</w:t>
      </w:r>
      <w:r>
        <w:rPr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4</w:t>
      </w:r>
      <w:r>
        <w:rPr>
          <w:spacing w:val="1"/>
          <w:sz w:val="16"/>
          <w:szCs w:val="16"/>
        </w:rPr>
        <w:t>月</w:t>
      </w:r>
      <w:r>
        <w:rPr>
          <w:spacing w:val="17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5</w:t>
      </w:r>
      <w:r>
        <w:rPr>
          <w:spacing w:val="1"/>
          <w:sz w:val="16"/>
          <w:szCs w:val="16"/>
        </w:rPr>
        <w:t>月</w:t>
      </w:r>
      <w:r>
        <w:rPr>
          <w:spacing w:val="14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6</w:t>
      </w:r>
      <w:r>
        <w:rPr>
          <w:spacing w:val="1"/>
          <w:sz w:val="16"/>
          <w:szCs w:val="16"/>
        </w:rPr>
        <w:t>月</w:t>
      </w:r>
      <w:r>
        <w:rPr>
          <w:spacing w:val="16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7</w:t>
      </w:r>
      <w:r>
        <w:rPr>
          <w:spacing w:val="1"/>
          <w:sz w:val="16"/>
          <w:szCs w:val="16"/>
        </w:rPr>
        <w:t>月</w:t>
      </w:r>
      <w:r>
        <w:rPr>
          <w:spacing w:val="13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8</w:t>
      </w:r>
      <w:r>
        <w:rPr>
          <w:spacing w:val="1"/>
          <w:sz w:val="16"/>
          <w:szCs w:val="16"/>
        </w:rPr>
        <w:t>月</w:t>
      </w:r>
      <w:r>
        <w:rPr>
          <w:spacing w:val="13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9</w:t>
      </w:r>
      <w:r>
        <w:rPr>
          <w:spacing w:val="1"/>
          <w:sz w:val="16"/>
          <w:szCs w:val="16"/>
        </w:rPr>
        <w:t>月</w:t>
      </w:r>
      <w:r>
        <w:rPr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10</w:t>
      </w:r>
      <w:r>
        <w:rPr>
          <w:spacing w:val="1"/>
          <w:sz w:val="16"/>
          <w:szCs w:val="16"/>
        </w:rPr>
        <w:t>月</w:t>
      </w:r>
      <w:r>
        <w:rPr>
          <w:rFonts w:ascii="Tahoma" w:eastAsia="Tahoma" w:hAnsi="Tahoma" w:cs="Tahoma"/>
          <w:sz w:val="16"/>
          <w:szCs w:val="16"/>
        </w:rPr>
        <w:t>11</w:t>
      </w:r>
      <w:r>
        <w:rPr>
          <w:sz w:val="16"/>
          <w:szCs w:val="16"/>
        </w:rPr>
        <w:t>月</w:t>
      </w:r>
      <w:r>
        <w:rPr>
          <w:rFonts w:ascii="Tahoma" w:eastAsia="Tahoma" w:hAnsi="Tahoma" w:cs="Tahoma"/>
          <w:sz w:val="16"/>
          <w:szCs w:val="16"/>
        </w:rPr>
        <w:t>12</w:t>
      </w:r>
      <w:r>
        <w:rPr>
          <w:sz w:val="16"/>
          <w:szCs w:val="16"/>
        </w:rPr>
        <w:t>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33" w:lineRule="auto"/>
        <w:rPr>
          <w:rFonts w:ascii="Arial"/>
          <w:sz w:val="21"/>
        </w:rPr>
      </w:pPr>
    </w:p>
    <w:p>
      <w:pPr>
        <w:spacing w:before="49" w:line="193" w:lineRule="auto"/>
        <w:ind w:left="322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400</w:t>
      </w:r>
    </w:p>
    <w:p>
      <w:pPr>
        <w:spacing w:before="114" w:line="194" w:lineRule="auto"/>
        <w:ind w:left="32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350</w:t>
      </w:r>
    </w:p>
    <w:p>
      <w:pPr>
        <w:spacing w:before="114" w:line="193" w:lineRule="auto"/>
        <w:ind w:left="32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300</w:t>
      </w:r>
    </w:p>
    <w:p>
      <w:pPr>
        <w:spacing w:before="115" w:line="193" w:lineRule="auto"/>
        <w:ind w:left="32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250</w:t>
      </w:r>
    </w:p>
    <w:p>
      <w:pPr>
        <w:spacing w:before="115" w:line="193" w:lineRule="auto"/>
        <w:ind w:left="32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200</w:t>
      </w:r>
    </w:p>
    <w:p>
      <w:pPr>
        <w:spacing w:before="114" w:line="193" w:lineRule="auto"/>
        <w:ind w:left="33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3"/>
          <w:sz w:val="16"/>
          <w:szCs w:val="16"/>
        </w:rPr>
        <w:t>150</w:t>
      </w:r>
    </w:p>
    <w:p>
      <w:pPr>
        <w:spacing w:before="115" w:line="193" w:lineRule="auto"/>
        <w:ind w:left="33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3"/>
          <w:sz w:val="16"/>
          <w:szCs w:val="16"/>
        </w:rPr>
        <w:t>100</w:t>
      </w:r>
    </w:p>
    <w:p>
      <w:pPr>
        <w:spacing w:before="114" w:line="193" w:lineRule="auto"/>
        <w:ind w:left="417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2"/>
          <w:sz w:val="16"/>
          <w:szCs w:val="16"/>
        </w:rPr>
        <w:t>50</w:t>
      </w:r>
    </w:p>
    <w:p>
      <w:pPr>
        <w:spacing w:before="114" w:line="194" w:lineRule="auto"/>
        <w:ind w:left="501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4" w:line="194" w:lineRule="auto"/>
        <w:ind w:left="2526"/>
        <w:rPr>
          <w:rFonts w:ascii="Tahoma" w:eastAsia="Tahoma" w:hAnsi="Tahoma" w:cs="Tahoma"/>
          <w:sz w:val="16"/>
          <w:szCs w:val="16"/>
        </w:rPr>
      </w:pPr>
      <w:r>
        <w:pict>
          <v:shape id="_x0000_s1138" type="#_x0000_t202" style="width:18.85pt;height:21.15pt;margin-top:0.21pt;margin-left:23.3pt;position:absolute;z-index:251734016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2016</w:t>
                  </w:r>
                </w:p>
                <w:p>
                  <w:pPr>
                    <w:spacing w:before="71"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2020</w:t>
                  </w:r>
                </w:p>
              </w:txbxContent>
            </v:textbox>
          </v:shape>
        </w:pict>
      </w:r>
      <w:r>
        <w:pict>
          <v:shape id="_x0000_s1139" type="#_x0000_t202" style="width:18.85pt;height:21.15pt;margin-top:0.21pt;margin-left:74.32pt;position:absolute;z-index:251732992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2017</w:t>
                  </w:r>
                </w:p>
                <w:p>
                  <w:pPr>
                    <w:spacing w:before="71"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2021</w:t>
                  </w:r>
                </w:p>
              </w:txbxContent>
            </v:textbox>
          </v:shape>
        </w:pict>
      </w:r>
      <w:r>
        <w:pict>
          <v:shape id="_x0000_s1140" type="#_x0000_t202" style="width:18.85pt;height:21.15pt;margin-top:0.21pt;margin-left:176.37pt;position:absolute;z-index:251735040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2019</w:t>
                  </w:r>
                </w:p>
                <w:p>
                  <w:pPr>
                    <w:spacing w:before="71"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2023</w:t>
                  </w:r>
                </w:p>
              </w:txbxContent>
            </v:textbox>
          </v:shape>
        </w:pict>
      </w:r>
      <w:r>
        <w:rPr>
          <w:rFonts w:ascii="Tahoma" w:eastAsia="Tahoma" w:hAnsi="Tahoma" w:cs="Tahoma"/>
          <w:spacing w:val="-1"/>
          <w:sz w:val="16"/>
          <w:szCs w:val="16"/>
        </w:rPr>
        <w:t>2018</w:t>
      </w:r>
    </w:p>
    <w:p>
      <w:pPr>
        <w:spacing w:before="71" w:line="193" w:lineRule="auto"/>
        <w:ind w:left="252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2022</w:t>
      </w:r>
    </w:p>
    <w:p>
      <w:pPr>
        <w:spacing w:before="125" w:line="2218" w:lineRule="exact"/>
      </w:pPr>
      <w:r>
        <w:rPr>
          <w:position w:val="-44"/>
        </w:rPr>
        <w:pict>
          <v:group id="_x0000_i1141" style="width:211.2pt;height:110.9pt;mso-position-horizontal-relative:char;mso-position-vertical-relative:line" coordorigin="0,0" coordsize="4223,2218" filled="f" stroked="f">
            <v:shape id="_x0000_s1142" style="width:4223;height:2218;position:absolute" coordorigin="0,0" coordsize="4223,2218" path="m53,2164l53,7m,2164l53,2164m,1895l53,1895m,1625l53,1625m,1355l53,1355m,1085l53,1085m,815l53,815m,545l53,545m,275l53,275m,7l53,7m53,2164l4215,2164m53,2164l53,2217m398,2164l398,2217m743,2164l743,2217m1088,2164l1088,2217m1433,2164l1433,2217m1793,2164l1793,2217m2138,2164l2138,2217m2483,2164l2483,2217m2828,2164l2828,2217m3173,2164l3173,2217m3518,2164l3518,2217m3863,2164l3863,2217m4215,2164l4215,2217e" filled="f" strokecolor="black" strokeweight="0.75pt"/>
            <v:shape id="_x0000_s1143" style="width:3846;height:1180;left:211;position:absolute;top:349" coordorigin="0,0" coordsize="3846,1180" path="m15,435l366,1165l711,915l1056,975l1401,885l1746,945l2091,885l2436,765l2796,645l3141,705l3486,525l3830,15e" filled="f" strokecolor="#0070c0" strokeweight="1.5pt">
              <v:stroke endcap="round"/>
            </v:shape>
            <v:shape id="_x0000_s1144" style="width:3846;height:1201;left:211;position:absolute;top:365" coordorigin="0,0" coordsize="3846,1201" path="m15,734l366,1186l711,869l1056,914l1401,839l1746,854l2091,809l2436,689l2796,584l3141,629l3486,479l3830,15e" filled="f" strokecolor="#003686" strokeweight="1.5pt">
              <v:stroke endcap="round"/>
            </v:shape>
            <v:shape id="_x0000_s1145" style="width:3846;height:570;left:211;position:absolute;top:765" coordorigin="0,0" coordsize="3846,570" path="m15,199l366,529l711,484l1056,529l1401,454l1746,555l2091,469l2436,409l2796,379l3141,409l3486,394l3830,15e" filled="f" strokecolor="#86a44a" strokeweight="1.5pt">
              <v:stroke endcap="round"/>
            </v:shape>
            <v:shape id="_x0000_s1146" style="width:3846;height:1010;left:211;position:absolute;top:672" coordorigin="0,0" coordsize="3846,1010" path="m15,15l366,994l711,652l1056,667l1401,562l1746,307l2091,712l2436,682l2796,547l3141,562l3486,502l3830,172e" filled="f" strokecolor="#6e548d" strokeweight="1.5pt">
              <v:stroke endcap="round"/>
            </v:shape>
            <v:shape id="_x0000_s1147" style="width:3846;height:1361;left:211;position:absolute;top:708" coordorigin="0,0" coordsize="3846,1361" path="m15,421l366,1346l711,871l1056,691l1401,601l1746,571l2091,571l2436,526l2796,376l3141,406l3486,361l3830,15e" filled="f" strokecolor="#3d96ae" strokeweight="1.5pt">
              <v:stroke endcap="round"/>
            </v:shape>
            <v:shape id="_x0000_s1148" style="width:3846;height:602;left:211;position:absolute;top:878" coordorigin="0,0" coordsize="3846,602" path="m15,15l366,587l711,341l1056,401l1401,371l1746,371l2091,401l2436,416l2796,356l3141,386l3486,341l3830,71e" filled="f" strokecolor="#da8137" strokeweight="1.5pt">
              <v:stroke endcap="round"/>
            </v:shape>
            <v:shape id="_x0000_s1149" style="width:3846;height:849;left:211;position:absolute;top:788" coordorigin="0,0" coordsize="3846,849" path="m15,161l366,746l711,581l1056,833l1401,656l1746,326l2091,416l2436,356l2796,371l3141,476l3486,506l3830,15e" filled="f" strokecolor="#7f8ab4" strokeweight="1.5pt">
              <v:stroke endcap="round"/>
            </v:shape>
            <v:shape id="_x0000_s1150" style="width:3498;height:402;left:211;position:absolute;top:1085" coordorigin="0,0" coordsize="3498,402" path="m15,375l366,386l711,195l1056,210l1401,135l1746,15l2091,120l2436,45l2796,15l3141,30l3483,15e" filled="f" strokecolor="#ce8e8d" strokeweight="1.5pt">
              <v:stroke endcap="round"/>
            </v:shape>
            <w10:wrap type="none"/>
          </v:group>
        </w:pict>
      </w:r>
    </w:p>
    <w:p>
      <w:pPr>
        <w:pStyle w:val="BodyText"/>
        <w:spacing w:before="87" w:line="190" w:lineRule="auto"/>
        <w:ind w:left="110"/>
        <w:rPr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1</w:t>
      </w:r>
      <w:r>
        <w:rPr>
          <w:spacing w:val="1"/>
          <w:sz w:val="16"/>
          <w:szCs w:val="16"/>
        </w:rPr>
        <w:t>月</w:t>
      </w:r>
      <w:r>
        <w:rPr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2</w:t>
      </w:r>
      <w:r>
        <w:rPr>
          <w:spacing w:val="1"/>
          <w:sz w:val="16"/>
          <w:szCs w:val="16"/>
        </w:rPr>
        <w:t>月</w:t>
      </w:r>
      <w:r>
        <w:rPr>
          <w:spacing w:val="24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3</w:t>
      </w:r>
      <w:r>
        <w:rPr>
          <w:spacing w:val="1"/>
          <w:sz w:val="16"/>
          <w:szCs w:val="16"/>
        </w:rPr>
        <w:t>月</w:t>
      </w:r>
      <w:r>
        <w:rPr>
          <w:spacing w:val="15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4</w:t>
      </w:r>
      <w:r>
        <w:rPr>
          <w:spacing w:val="1"/>
          <w:sz w:val="16"/>
          <w:szCs w:val="16"/>
        </w:rPr>
        <w:t>月</w:t>
      </w:r>
      <w:r>
        <w:rPr>
          <w:spacing w:val="23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5</w:t>
      </w:r>
      <w:r>
        <w:rPr>
          <w:spacing w:val="1"/>
          <w:sz w:val="16"/>
          <w:szCs w:val="16"/>
        </w:rPr>
        <w:t>月</w:t>
      </w:r>
      <w:r>
        <w:rPr>
          <w:spacing w:val="19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6</w:t>
      </w:r>
      <w:r>
        <w:rPr>
          <w:spacing w:val="1"/>
          <w:sz w:val="16"/>
          <w:szCs w:val="16"/>
        </w:rPr>
        <w:t>月</w:t>
      </w:r>
      <w:r>
        <w:rPr>
          <w:spacing w:val="20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7</w:t>
      </w:r>
      <w:r>
        <w:rPr>
          <w:spacing w:val="1"/>
          <w:sz w:val="16"/>
          <w:szCs w:val="16"/>
        </w:rPr>
        <w:t>月</w:t>
      </w:r>
      <w:r>
        <w:rPr>
          <w:spacing w:val="18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8</w:t>
      </w:r>
      <w:r>
        <w:rPr>
          <w:spacing w:val="1"/>
          <w:sz w:val="16"/>
          <w:szCs w:val="16"/>
        </w:rPr>
        <w:t>月</w:t>
      </w:r>
      <w:r>
        <w:rPr>
          <w:spacing w:val="18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9</w:t>
      </w:r>
      <w:r>
        <w:rPr>
          <w:spacing w:val="1"/>
          <w:sz w:val="16"/>
          <w:szCs w:val="16"/>
        </w:rPr>
        <w:t>月</w:t>
      </w:r>
      <w:r>
        <w:rPr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1"/>
          <w:sz w:val="16"/>
          <w:szCs w:val="16"/>
        </w:rPr>
        <w:t>10</w:t>
      </w:r>
      <w:r>
        <w:rPr>
          <w:spacing w:val="1"/>
          <w:sz w:val="16"/>
          <w:szCs w:val="16"/>
        </w:rPr>
        <w:t>月</w:t>
      </w:r>
      <w:r>
        <w:rPr>
          <w:rFonts w:ascii="Tahoma" w:eastAsia="Tahoma" w:hAnsi="Tahoma" w:cs="Tahoma"/>
          <w:spacing w:val="1"/>
          <w:sz w:val="16"/>
          <w:szCs w:val="16"/>
        </w:rPr>
        <w:t>11</w:t>
      </w:r>
      <w:r>
        <w:rPr>
          <w:spacing w:val="1"/>
          <w:sz w:val="16"/>
          <w:szCs w:val="16"/>
        </w:rPr>
        <w:t>月</w:t>
      </w:r>
      <w:r>
        <w:rPr>
          <w:rFonts w:ascii="Tahoma" w:eastAsia="Tahoma" w:hAnsi="Tahoma" w:cs="Tahoma"/>
          <w:spacing w:val="1"/>
          <w:sz w:val="16"/>
          <w:szCs w:val="16"/>
        </w:rPr>
        <w:t>12</w:t>
      </w:r>
      <w:r>
        <w:rPr>
          <w:spacing w:val="1"/>
          <w:sz w:val="16"/>
          <w:szCs w:val="16"/>
        </w:rPr>
        <w:t>月</w:t>
      </w:r>
    </w:p>
    <w:p>
      <w:pPr>
        <w:spacing w:line="190" w:lineRule="auto"/>
        <w:rPr>
          <w:sz w:val="16"/>
          <w:szCs w:val="16"/>
        </w:rPr>
        <w:sectPr>
          <w:headerReference w:type="default" r:id="rId61"/>
          <w:footerReference w:type="default" r:id="rId62"/>
          <w:type w:val="continuous"/>
          <w:pgSz w:w="11910" w:h="16845"/>
          <w:pgMar w:top="885" w:right="547" w:bottom="840" w:left="471" w:header="386" w:footer="542" w:gutter="0"/>
          <w:pgNumType w:start="20"/>
          <w:cols w:num="4" w:space="708" w:equalWidth="0">
            <w:col w:w="757" w:space="100"/>
            <w:col w:w="4594" w:space="100"/>
            <w:col w:w="720" w:space="0"/>
            <w:col w:w="4621" w:space="0"/>
          </w:cols>
        </w:sectPr>
      </w:pPr>
    </w:p>
    <w:p>
      <w:pPr>
        <w:pStyle w:val="BodyText"/>
        <w:spacing w:before="285" w:line="210" w:lineRule="auto"/>
        <w:ind w:left="210"/>
        <w:rPr>
          <w:sz w:val="17"/>
          <w:szCs w:val="17"/>
        </w:rPr>
      </w:pPr>
      <w:r>
        <w:rPr>
          <w:i/>
          <w:iCs/>
          <w:color w:val="004098"/>
          <w:spacing w:val="-4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4"/>
          <w:sz w:val="17"/>
          <w:szCs w:val="17"/>
        </w:rPr>
        <w:t>Wind</w:t>
      </w:r>
      <w:r>
        <w:rPr>
          <w:i/>
          <w:iCs/>
          <w:color w:val="004098"/>
          <w:spacing w:val="-4"/>
          <w:sz w:val="17"/>
          <w:szCs w:val="17"/>
        </w:rPr>
        <w:t>、中汽协、长城证券产业金融研究院</w:t>
      </w:r>
      <w:r>
        <w:rPr>
          <w:color w:val="004098"/>
          <w:spacing w:val="-4"/>
          <w:sz w:val="17"/>
          <w:szCs w:val="17"/>
        </w:rPr>
        <w:t xml:space="preserve">                   </w:t>
      </w:r>
      <w:r>
        <w:rPr>
          <w:i/>
          <w:iCs/>
          <w:color w:val="004098"/>
          <w:spacing w:val="-4"/>
          <w:sz w:val="17"/>
          <w:szCs w:val="17"/>
        </w:rPr>
        <w:t>资料来源：上险数、长城证券产业金融研究院</w:t>
      </w:r>
    </w:p>
    <w:p>
      <w:pPr>
        <w:spacing w:line="297" w:lineRule="auto"/>
        <w:rPr>
          <w:rFonts w:ascii="Arial"/>
          <w:sz w:val="21"/>
        </w:rPr>
        <w:sectPr>
          <w:headerReference w:type="default" r:id="rId63"/>
          <w:footerReference w:type="default" r:id="rId64"/>
          <w:type w:val="continuous"/>
          <w:pgSz w:w="11910" w:h="16845"/>
          <w:pgMar w:top="885" w:right="547" w:bottom="840" w:left="471" w:header="386" w:footer="542" w:gutter="0"/>
          <w:pgNumType w:start="21"/>
          <w:cols w:num="1" w:space="708" w:equalWidth="0">
            <w:col w:w="10892" w:space="0"/>
          </w:cols>
        </w:sectPr>
      </w:pPr>
    </w:p>
    <w:p>
      <w:pPr>
        <w:spacing w:line="298" w:lineRule="auto"/>
        <w:rPr>
          <w:rFonts w:ascii="Arial"/>
          <w:sz w:val="21"/>
        </w:rPr>
      </w:pPr>
    </w:p>
    <w:p>
      <w:pPr>
        <w:pStyle w:val="BodyText"/>
        <w:spacing w:before="69" w:line="239" w:lineRule="auto"/>
        <w:ind w:left="2766" w:right="110" w:firstLine="5"/>
        <w:rPr>
          <w:sz w:val="21"/>
          <w:szCs w:val="21"/>
        </w:rPr>
      </w:pPr>
      <w:r>
        <w:rPr>
          <w:color w:val="004098"/>
          <w:spacing w:val="-8"/>
          <w:sz w:val="21"/>
          <w:szCs w:val="21"/>
          <w14:textOutline w14:w="3810">
            <w14:solidFill>
              <w14:srgbClr w14:val="004098"/>
            </w14:solidFill>
            <w14:prstDash w14:val="solid"/>
            <w14:miter w14:lim="10"/>
          </w14:textOutline>
        </w:rPr>
        <w:t>从市场份额看，</w:t>
      </w:r>
      <w:r>
        <w:rPr>
          <w:color w:val="004098"/>
          <w:spacing w:val="77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color w:val="004098"/>
          <w:spacing w:val="-8"/>
          <w:sz w:val="21"/>
          <w:szCs w:val="21"/>
        </w:rPr>
        <w:t xml:space="preserve">2023 </w:t>
      </w:r>
      <w:r>
        <w:rPr>
          <w:color w:val="004098"/>
          <w:spacing w:val="-8"/>
          <w:sz w:val="21"/>
          <w:szCs w:val="21"/>
          <w14:textOutline w14:w="3810">
            <w14:solidFill>
              <w14:srgbClr w14:val="004098"/>
            </w14:solidFill>
            <w14:prstDash w14:val="solid"/>
            <w14:miter w14:lim="10"/>
          </w14:textOutline>
        </w:rPr>
        <w:t>年自主品牌全面崛起。</w:t>
      </w:r>
      <w:r>
        <w:rPr>
          <w:color w:val="004098"/>
          <w:spacing w:val="67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8"/>
          <w:sz w:val="21"/>
          <w:szCs w:val="21"/>
        </w:rPr>
        <w:t xml:space="preserve">2023 </w:t>
      </w:r>
      <w:r>
        <w:rPr>
          <w:spacing w:val="-8"/>
          <w:sz w:val="21"/>
          <w:szCs w:val="21"/>
        </w:rPr>
        <w:t>年</w:t>
      </w:r>
      <w:r>
        <w:rPr>
          <w:spacing w:val="-8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1-12</w:t>
      </w:r>
      <w:r>
        <w:rPr>
          <w:rFonts w:ascii="Tahoma" w:eastAsia="Tahoma" w:hAnsi="Tahoma" w:cs="Tahoma"/>
          <w:spacing w:val="18"/>
          <w:w w:val="101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月，自主品牌乘用车实现批</w:t>
      </w:r>
      <w:r>
        <w:rPr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发销量</w:t>
      </w:r>
      <w:r>
        <w:rPr>
          <w:spacing w:val="-2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1454.1</w:t>
      </w:r>
      <w:r>
        <w:rPr>
          <w:rFonts w:ascii="Tahoma" w:eastAsia="Tahoma" w:hAnsi="Tahoma" w:cs="Tahoma"/>
          <w:spacing w:val="21"/>
          <w:w w:val="101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万辆（同比</w:t>
      </w:r>
      <w:r>
        <w:rPr>
          <w:rFonts w:ascii="Tahoma" w:eastAsia="Tahoma" w:hAnsi="Tahoma" w:cs="Tahoma"/>
          <w:spacing w:val="-2"/>
          <w:sz w:val="21"/>
          <w:szCs w:val="21"/>
        </w:rPr>
        <w:t>+23.6%</w:t>
      </w:r>
      <w:r>
        <w:rPr>
          <w:spacing w:val="-57"/>
          <w:w w:val="97"/>
          <w:sz w:val="21"/>
          <w:szCs w:val="21"/>
        </w:rPr>
        <w:t>），</w:t>
      </w:r>
      <w:r>
        <w:rPr>
          <w:spacing w:val="-2"/>
          <w:sz w:val="21"/>
          <w:szCs w:val="21"/>
        </w:rPr>
        <w:t>市占率</w:t>
      </w:r>
      <w:r>
        <w:rPr>
          <w:spacing w:val="-3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3"/>
          <w:sz w:val="21"/>
          <w:szCs w:val="21"/>
        </w:rPr>
        <w:t>55.9%</w:t>
      </w:r>
      <w:r>
        <w:rPr>
          <w:spacing w:val="-3"/>
          <w:sz w:val="21"/>
          <w:szCs w:val="21"/>
        </w:rPr>
        <w:t>（同比</w:t>
      </w:r>
      <w:r>
        <w:rPr>
          <w:rFonts w:ascii="Tahoma" w:eastAsia="Tahoma" w:hAnsi="Tahoma" w:cs="Tahoma"/>
          <w:spacing w:val="-3"/>
          <w:sz w:val="21"/>
          <w:szCs w:val="21"/>
        </w:rPr>
        <w:t>+5.9pct</w:t>
      </w:r>
      <w:r>
        <w:rPr>
          <w:spacing w:val="-3"/>
          <w:sz w:val="21"/>
          <w:szCs w:val="21"/>
        </w:rPr>
        <w:t>）。</w:t>
      </w:r>
    </w:p>
    <w:p>
      <w:pPr>
        <w:pStyle w:val="BodyText"/>
        <w:spacing w:before="238" w:line="247" w:lineRule="auto"/>
        <w:ind w:left="2775" w:right="56" w:firstLine="5"/>
        <w:jc w:val="both"/>
        <w:rPr>
          <w:sz w:val="21"/>
          <w:szCs w:val="21"/>
        </w:rPr>
      </w:pPr>
      <w:r>
        <w:rPr>
          <w:rFonts w:ascii="Tahoma" w:eastAsia="Tahoma" w:hAnsi="Tahoma" w:cs="Tahoma"/>
          <w:spacing w:val="-1"/>
          <w:sz w:val="21"/>
          <w:szCs w:val="21"/>
        </w:rPr>
        <w:t>1</w:t>
      </w:r>
      <w:r>
        <w:rPr>
          <w:spacing w:val="-1"/>
          <w:sz w:val="21"/>
          <w:szCs w:val="21"/>
        </w:rPr>
        <w:t>）传统自主品牌中，比亚迪</w:t>
      </w:r>
      <w:r>
        <w:rPr>
          <w:rFonts w:ascii="Tahoma" w:eastAsia="Tahoma" w:hAnsi="Tahoma" w:cs="Tahoma"/>
          <w:spacing w:val="-1"/>
          <w:sz w:val="21"/>
          <w:szCs w:val="21"/>
        </w:rPr>
        <w:t>/</w:t>
      </w:r>
      <w:r>
        <w:rPr>
          <w:spacing w:val="-1"/>
          <w:sz w:val="21"/>
          <w:szCs w:val="21"/>
        </w:rPr>
        <w:t>奇瑞</w:t>
      </w:r>
      <w:r>
        <w:rPr>
          <w:rFonts w:ascii="Tahoma" w:eastAsia="Tahoma" w:hAnsi="Tahoma" w:cs="Tahoma"/>
          <w:spacing w:val="-1"/>
          <w:sz w:val="21"/>
          <w:szCs w:val="21"/>
        </w:rPr>
        <w:t>/</w:t>
      </w:r>
      <w:r>
        <w:rPr>
          <w:spacing w:val="-1"/>
          <w:sz w:val="21"/>
          <w:szCs w:val="21"/>
        </w:rPr>
        <w:t>吉利</w:t>
      </w:r>
      <w:r>
        <w:rPr>
          <w:rFonts w:ascii="Tahoma" w:eastAsia="Tahoma" w:hAnsi="Tahoma" w:cs="Tahoma"/>
          <w:spacing w:val="-1"/>
          <w:sz w:val="21"/>
          <w:szCs w:val="21"/>
        </w:rPr>
        <w:t>/</w:t>
      </w:r>
      <w:r>
        <w:rPr>
          <w:spacing w:val="-1"/>
          <w:sz w:val="21"/>
          <w:szCs w:val="21"/>
        </w:rPr>
        <w:t>长安</w:t>
      </w:r>
      <w:r>
        <w:rPr>
          <w:rFonts w:ascii="Tahoma" w:eastAsia="Tahoma" w:hAnsi="Tahoma" w:cs="Tahoma"/>
          <w:spacing w:val="-1"/>
          <w:sz w:val="21"/>
          <w:szCs w:val="21"/>
        </w:rPr>
        <w:t>/</w:t>
      </w:r>
      <w:r>
        <w:rPr>
          <w:spacing w:val="-1"/>
          <w:sz w:val="21"/>
          <w:szCs w:val="21"/>
        </w:rPr>
        <w:t>长城乘用车分别实现销量</w:t>
      </w:r>
      <w:r>
        <w:rPr>
          <w:spacing w:val="-2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sz w:val="21"/>
          <w:szCs w:val="21"/>
        </w:rPr>
        <w:t>3</w:t>
      </w:r>
      <w:r>
        <w:rPr>
          <w:rFonts w:ascii="Tahoma" w:eastAsia="Tahoma" w:hAnsi="Tahoma" w:cs="Tahoma"/>
          <w:spacing w:val="-2"/>
          <w:sz w:val="21"/>
          <w:szCs w:val="21"/>
        </w:rPr>
        <w:t>00.7</w:t>
      </w:r>
      <w:r>
        <w:rPr>
          <w:rFonts w:ascii="Tahoma" w:eastAsia="Tahoma" w:hAnsi="Tahoma" w:cs="Tahoma"/>
          <w:spacing w:val="36"/>
          <w:w w:val="101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万</w:t>
      </w:r>
      <w:r>
        <w:rPr>
          <w:rFonts w:ascii="Tahoma" w:eastAsia="Tahoma" w:hAnsi="Tahoma" w:cs="Tahoma"/>
          <w:spacing w:val="-2"/>
          <w:sz w:val="21"/>
          <w:szCs w:val="21"/>
        </w:rPr>
        <w:t>/172.7</w:t>
      </w:r>
      <w:r>
        <w:rPr>
          <w:rFonts w:ascii="Tahoma" w:eastAsia="Tahoma" w:hAnsi="Tahoma" w:cs="Tahoma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万</w:t>
      </w:r>
      <w:r>
        <w:rPr>
          <w:rFonts w:ascii="Tahoma" w:eastAsia="Tahoma" w:hAnsi="Tahoma" w:cs="Tahoma"/>
          <w:spacing w:val="-2"/>
          <w:sz w:val="21"/>
          <w:szCs w:val="21"/>
        </w:rPr>
        <w:t>/168.2</w:t>
      </w:r>
      <w:r>
        <w:rPr>
          <w:rFonts w:ascii="Tahoma" w:eastAsia="Tahoma" w:hAnsi="Tahoma" w:cs="Tahoma"/>
          <w:spacing w:val="21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万</w:t>
      </w:r>
      <w:r>
        <w:rPr>
          <w:rFonts w:ascii="Tahoma" w:eastAsia="Tahoma" w:hAnsi="Tahoma" w:cs="Tahoma"/>
          <w:spacing w:val="-2"/>
          <w:sz w:val="21"/>
          <w:szCs w:val="21"/>
        </w:rPr>
        <w:t>/159.9</w:t>
      </w:r>
      <w:r>
        <w:rPr>
          <w:rFonts w:ascii="Tahoma" w:eastAsia="Tahoma" w:hAnsi="Tahoma" w:cs="Tahoma"/>
          <w:spacing w:val="20"/>
          <w:w w:val="101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万</w:t>
      </w:r>
      <w:r>
        <w:rPr>
          <w:rFonts w:ascii="Tahoma" w:eastAsia="Tahoma" w:hAnsi="Tahoma" w:cs="Tahoma"/>
          <w:spacing w:val="-2"/>
          <w:sz w:val="21"/>
          <w:szCs w:val="21"/>
        </w:rPr>
        <w:t>/102.8</w:t>
      </w:r>
      <w:r>
        <w:rPr>
          <w:rFonts w:ascii="Tahoma" w:eastAsia="Tahoma" w:hAnsi="Tahoma" w:cs="Tahoma"/>
          <w:spacing w:val="20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万辆（同比</w:t>
      </w:r>
      <w:r>
        <w:rPr>
          <w:rFonts w:ascii="Tahoma" w:eastAsia="Tahoma" w:hAnsi="Tahoma" w:cs="Tahoma"/>
          <w:spacing w:val="-2"/>
          <w:sz w:val="21"/>
          <w:szCs w:val="21"/>
        </w:rPr>
        <w:t>+61.5%/+53.3%/+17.4%/+22.7%/+16.7%</w:t>
      </w:r>
      <w:r>
        <w:rPr>
          <w:spacing w:val="-55"/>
          <w:w w:val="94"/>
          <w:sz w:val="21"/>
          <w:szCs w:val="21"/>
        </w:rPr>
        <w:t>），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市占率同比</w:t>
      </w:r>
      <w:r>
        <w:rPr>
          <w:rFonts w:ascii="Tahoma" w:eastAsia="Tahoma" w:hAnsi="Tahoma" w:cs="Tahoma"/>
          <w:spacing w:val="1"/>
          <w:sz w:val="21"/>
          <w:szCs w:val="21"/>
        </w:rPr>
        <w:t>+3.7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rFonts w:ascii="Tahoma" w:eastAsia="Tahoma" w:hAnsi="Tahoma" w:cs="Tahoma"/>
          <w:spacing w:val="1"/>
          <w:sz w:val="21"/>
          <w:szCs w:val="21"/>
        </w:rPr>
        <w:t>/+1.9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rFonts w:ascii="Tahoma" w:eastAsia="Tahoma" w:hAnsi="Tahoma" w:cs="Tahoma"/>
          <w:spacing w:val="1"/>
          <w:sz w:val="21"/>
          <w:szCs w:val="21"/>
        </w:rPr>
        <w:t>/+0.4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rFonts w:ascii="Tahoma" w:eastAsia="Tahoma" w:hAnsi="Tahoma" w:cs="Tahoma"/>
          <w:spacing w:val="1"/>
          <w:sz w:val="21"/>
          <w:szCs w:val="21"/>
        </w:rPr>
        <w:t>/+0.6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rFonts w:ascii="Tahoma" w:eastAsia="Tahoma" w:hAnsi="Tahoma" w:cs="Tahoma"/>
          <w:spacing w:val="1"/>
          <w:sz w:val="21"/>
          <w:szCs w:val="21"/>
        </w:rPr>
        <w:t>/+0.2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spacing w:val="1"/>
          <w:sz w:val="21"/>
          <w:szCs w:val="21"/>
        </w:rPr>
        <w:t>；</w:t>
      </w:r>
    </w:p>
    <w:p>
      <w:pPr>
        <w:pStyle w:val="BodyText"/>
        <w:spacing w:before="252" w:line="224" w:lineRule="auto"/>
        <w:ind w:left="2773" w:right="113" w:hanging="5"/>
        <w:rPr>
          <w:sz w:val="21"/>
          <w:szCs w:val="21"/>
        </w:rPr>
      </w:pPr>
      <w:r>
        <w:rPr>
          <w:rFonts w:ascii="Tahoma" w:eastAsia="Tahoma" w:hAnsi="Tahoma" w:cs="Tahoma"/>
          <w:spacing w:val="-2"/>
          <w:sz w:val="21"/>
          <w:szCs w:val="21"/>
        </w:rPr>
        <w:t xml:space="preserve">2 </w:t>
      </w:r>
      <w:r>
        <w:rPr>
          <w:spacing w:val="-2"/>
          <w:sz w:val="21"/>
          <w:szCs w:val="21"/>
        </w:rPr>
        <w:t>）</w:t>
      </w:r>
      <w:r>
        <w:rPr>
          <w:spacing w:val="-62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新</w:t>
      </w:r>
      <w:r>
        <w:rPr>
          <w:spacing w:val="-59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势</w:t>
      </w:r>
      <w:r>
        <w:rPr>
          <w:spacing w:val="-47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力</w:t>
      </w:r>
      <w:r>
        <w:rPr>
          <w:spacing w:val="-41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品</w:t>
      </w:r>
      <w:r>
        <w:rPr>
          <w:spacing w:val="-53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牌</w:t>
      </w:r>
      <w:r>
        <w:rPr>
          <w:spacing w:val="-27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中，</w:t>
      </w:r>
      <w:r>
        <w:rPr>
          <w:spacing w:val="-48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广</w:t>
      </w:r>
      <w:r>
        <w:rPr>
          <w:spacing w:val="-41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汽埃</w:t>
      </w:r>
      <w:r>
        <w:rPr>
          <w:spacing w:val="-47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安</w:t>
      </w:r>
      <w:r>
        <w:rPr>
          <w:spacing w:val="-6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/</w:t>
      </w:r>
      <w:r>
        <w:rPr>
          <w:rFonts w:ascii="Tahoma" w:eastAsia="Tahoma" w:hAnsi="Tahoma" w:cs="Tahoma"/>
          <w:spacing w:val="-15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理想</w:t>
      </w:r>
      <w:r>
        <w:rPr>
          <w:spacing w:val="-50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分别</w:t>
      </w:r>
      <w:r>
        <w:rPr>
          <w:spacing w:val="-40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实</w:t>
      </w:r>
      <w:r>
        <w:rPr>
          <w:spacing w:val="-45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现销</w:t>
      </w:r>
      <w:r>
        <w:rPr>
          <w:spacing w:val="-47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量</w:t>
      </w:r>
      <w:r>
        <w:rPr>
          <w:spacing w:val="50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 xml:space="preserve">48.6  </w:t>
      </w:r>
      <w:r>
        <w:rPr>
          <w:spacing w:val="-2"/>
          <w:sz w:val="21"/>
          <w:szCs w:val="21"/>
        </w:rPr>
        <w:t>万</w:t>
      </w:r>
      <w:r>
        <w:rPr>
          <w:spacing w:val="-6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/3</w:t>
      </w:r>
      <w:r>
        <w:rPr>
          <w:rFonts w:ascii="Tahoma" w:eastAsia="Tahoma" w:hAnsi="Tahoma" w:cs="Tahoma"/>
          <w:spacing w:val="-3"/>
          <w:sz w:val="21"/>
          <w:szCs w:val="21"/>
        </w:rPr>
        <w:t>7.6</w:t>
      </w:r>
      <w:r>
        <w:rPr>
          <w:rFonts w:ascii="Tahoma" w:eastAsia="Tahoma" w:hAnsi="Tahoma" w:cs="Tahoma"/>
          <w:spacing w:val="14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万</w:t>
      </w:r>
      <w:r>
        <w:rPr>
          <w:spacing w:val="-50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辆（同</w:t>
      </w:r>
      <w:r>
        <w:rPr>
          <w:spacing w:val="-20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比</w:t>
      </w:r>
      <w:r>
        <w:rPr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sz w:val="21"/>
          <w:szCs w:val="21"/>
        </w:rPr>
        <w:t>+79.1%/+182.2%</w:t>
      </w:r>
      <w:r>
        <w:rPr>
          <w:spacing w:val="-51"/>
          <w:sz w:val="21"/>
          <w:szCs w:val="21"/>
        </w:rPr>
        <w:t>），</w:t>
      </w:r>
      <w:r>
        <w:rPr>
          <w:spacing w:val="1"/>
          <w:sz w:val="21"/>
          <w:szCs w:val="21"/>
        </w:rPr>
        <w:t>市占率同比</w:t>
      </w:r>
      <w:r>
        <w:rPr>
          <w:rFonts w:ascii="Tahoma" w:eastAsia="Tahoma" w:hAnsi="Tahoma" w:cs="Tahoma"/>
          <w:spacing w:val="1"/>
          <w:sz w:val="21"/>
          <w:szCs w:val="21"/>
        </w:rPr>
        <w:t>+0.7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rFonts w:ascii="Tahoma" w:eastAsia="Tahoma" w:hAnsi="Tahoma" w:cs="Tahoma"/>
          <w:spacing w:val="1"/>
          <w:sz w:val="21"/>
          <w:szCs w:val="21"/>
        </w:rPr>
        <w:t>/+0.9</w:t>
      </w:r>
      <w:r>
        <w:rPr>
          <w:rFonts w:ascii="Tahoma" w:eastAsia="Tahoma" w:hAnsi="Tahoma" w:cs="Tahoma"/>
          <w:sz w:val="21"/>
          <w:szCs w:val="21"/>
        </w:rPr>
        <w:t>pct</w:t>
      </w:r>
      <w:r>
        <w:rPr>
          <w:spacing w:val="1"/>
          <w:sz w:val="21"/>
          <w:szCs w:val="21"/>
        </w:rPr>
        <w:t>。</w:t>
      </w:r>
    </w:p>
    <w:p>
      <w:pPr>
        <w:spacing w:line="224" w:lineRule="auto"/>
        <w:rPr>
          <w:sz w:val="21"/>
          <w:szCs w:val="21"/>
        </w:rPr>
        <w:sectPr>
          <w:headerReference w:type="default" r:id="rId65"/>
          <w:footerReference w:type="default" r:id="rId66"/>
          <w:type w:val="nextPage"/>
          <w:pgSz w:w="11910" w:h="16845"/>
          <w:pgMar w:top="885" w:right="547" w:bottom="840" w:left="471" w:header="386" w:footer="542" w:gutter="0"/>
          <w:pgNumType w:start="22"/>
          <w:cols w:num="1" w:space="708" w:equalWidth="0">
            <w:col w:w="10892" w:space="0"/>
          </w:cols>
          <w:titlePg w:val="0"/>
        </w:sectPr>
      </w:pPr>
    </w:p>
    <w:p>
      <w:pPr>
        <w:pStyle w:val="BodyText"/>
        <w:spacing w:before="192" w:line="211" w:lineRule="auto"/>
        <w:ind w:left="85"/>
        <w:rPr>
          <w:sz w:val="20"/>
          <w:szCs w:val="20"/>
        </w:rPr>
      </w:pPr>
      <w:r>
        <w:pict>
          <v:group id="_x0000_s1151" style="width:527.95pt;height:0.75pt;margin-top:66.8pt;margin-left:33.8pt;mso-position-horizontal-relative:page;mso-position-vertical-relative:page;position:absolute;z-index:251743232" coordorigin="0,0" coordsize="10559,15" o:allowincell="f" filled="f" stroked="f">
            <v:shape id="_x0000_s1152" style="width:5137;height:15;position:absolute" coordorigin="0,0" coordsize="5137,15" path="m,15l5136,15l5136,l,l,15xe" filled="t" fillcolor="#004098" stroked="f"/>
            <v:shape id="_x0000_s1153" style="width:286;height:15;left:5136;position:absolute" coordorigin="0,0" coordsize="286,15" path="m,15l15,15l15,l,l,15xem14,15l285,15l285,l14,l14,15xe" filled="t" fillcolor="black" stroked="f"/>
            <v:shape id="_x0000_s1154" style="width:5137;height:15;left:5422;position:absolute" coordorigin="0,0" coordsize="5137,15" path="m,15l15,15l15,l,l,15xem15,15l5136,15l5136,l15,l15,15xe" filled="t" fillcolor="#004098" stroked="f"/>
          </v:group>
        </w:pict>
      </w:r>
      <w:r>
        <w:drawing>
          <wp:anchor distT="0" distB="0" distL="0" distR="0" simplePos="0" relativeHeight="251738112" behindDoc="0" locked="0" layoutInCell="0" allowOverlap="1">
            <wp:simplePos x="0" y="0"/>
            <wp:positionH relativeFrom="page">
              <wp:posOffset>1000125</wp:posOffset>
            </wp:positionH>
            <wp:positionV relativeFrom="page">
              <wp:posOffset>1371600</wp:posOffset>
            </wp:positionV>
            <wp:extent cx="2428875" cy="1216151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216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0" locked="0" layoutInCell="0" allowOverlap="1">
            <wp:simplePos x="0" y="0"/>
            <wp:positionH relativeFrom="page">
              <wp:posOffset>910437</wp:posOffset>
            </wp:positionH>
            <wp:positionV relativeFrom="page">
              <wp:posOffset>1351338</wp:posOffset>
            </wp:positionV>
            <wp:extent cx="2576669" cy="1270322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76669" cy="1270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55" style="width:3.05pt;height:120.8pt;margin-top:104.88pt;margin-left:340.93pt;mso-position-horizontal-relative:page;mso-position-vertical-relative:page;position:absolute;z-index:251736064" coordorigin="0,0" coordsize="60,2416" o:allowincell="f" path="m53,2408l53,7m,2408l53,2408m,2072l53,2072m,1727l53,1727m,1382l53,1382m,1037l53,1037m,692l53,692m,347l53,347m,7l53,7m53,1036l53,1089e" filled="f" strokecolor="black" strokeweight="0.75pt"/>
        </w:pict>
      </w:r>
      <w:r>
        <w:drawing>
          <wp:anchor distT="0" distB="0" distL="0" distR="0" simplePos="0" relativeHeight="251737088" behindDoc="0" locked="0" layoutInCell="0" allowOverlap="1">
            <wp:simplePos x="0" y="0"/>
            <wp:positionH relativeFrom="page">
              <wp:posOffset>4290948</wp:posOffset>
            </wp:positionH>
            <wp:positionV relativeFrom="page">
              <wp:posOffset>1462913</wp:posOffset>
            </wp:positionV>
            <wp:extent cx="2677862" cy="1328356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77862" cy="1328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56" style="width:527.95pt;height:0.75pt;margin-top:241.72pt;margin-left:33.8pt;mso-position-horizontal-relative:page;mso-position-vertical-relative:page;position:absolute;z-index:251742208" coordorigin="0,0" coordsize="10559,15" o:allowincell="f" filled="f" stroked="f">
            <v:shape id="_x0000_s1157" style="width:5137;height:15;position:absolute" coordorigin="0,0" coordsize="5137,15" path="m,15l5136,15l5136,l,l,15xe" filled="t" fillcolor="#004098" stroked="f"/>
            <v:shape id="_x0000_s1158" style="width:286;height:15;left:5136;position:absolute" coordorigin="0,0" coordsize="286,15" path="m,15l15,15l15,l,l,15xem14,15l285,15l285,l14,l14,15xe" filled="t" fillcolor="black" stroked="f"/>
            <v:shape id="_x0000_s1159" style="width:5137;height:15;left:5422;position:absolute" coordorigin="0,0" coordsize="5137,15" path="m,15l15,15l15,l,l,15xem15,15l5136,15l5136,l15,l15,15xe" filled="t" fillcolor="#004098" stroked="f"/>
          </v:group>
        </w:pict>
      </w:r>
      <w:r>
        <w:pict>
          <v:shape id="_x0000_s1160" style="width:527.95pt;height:0.75pt;margin-top:299.53pt;margin-left:33.8pt;mso-position-horizontal-relative:page;mso-position-vertical-relative:page;position:absolute;z-index:251740160" coordorigin="0,0" coordsize="10559,15" o:allowincell="f" path="m,15l10558,15l10558,l,l,15xe" filled="t" fillcolor="#004098" stroked="f"/>
        </w:pict>
      </w:r>
      <w:r>
        <w:pict>
          <v:shape id="_x0000_s1161" style="width:527.95pt;height:0.75pt;margin-top:568.25pt;margin-left:33.8pt;mso-position-horizontal-relative:page;mso-position-vertical-relative:page;position:absolute;z-index:251741184" coordorigin="0,0" coordsize="10559,15" o:allowincell="f" path="m,15l10558,15l10558,l,l,15xe" filled="t" fillcolor="#004098" stroked="f"/>
        </w:pict>
      </w:r>
      <w:bookmarkStart w:id="12" w:name="bookmark26"/>
      <w:bookmarkEnd w:id="12"/>
      <w:bookmarkStart w:id="13" w:name="bookmark6"/>
      <w:bookmarkEnd w:id="13"/>
      <w:bookmarkStart w:id="14" w:name="bookmark24"/>
      <w:bookmarkEnd w:id="14"/>
      <w:bookmarkStart w:id="15" w:name="bookmark25"/>
      <w:bookmarkEnd w:id="15"/>
      <w:r>
        <w:rPr>
          <w:i/>
          <w:iCs/>
          <w:color w:val="004098"/>
          <w:spacing w:val="5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8</w:t>
      </w:r>
      <w:r>
        <w:rPr>
          <w:i/>
          <w:iCs/>
          <w:color w:val="004098"/>
          <w:spacing w:val="5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2010-2023</w:t>
      </w:r>
      <w:r>
        <w:rPr>
          <w:i/>
          <w:iCs/>
          <w:color w:val="004098"/>
          <w:spacing w:val="5"/>
          <w:sz w:val="20"/>
          <w:szCs w:val="20"/>
        </w:rPr>
        <w:t>年我国乘用车市场分系别占比</w:t>
      </w:r>
      <w:r>
        <w:rPr>
          <w:color w:val="004098"/>
          <w:spacing w:val="2"/>
          <w:sz w:val="20"/>
          <w:szCs w:val="20"/>
        </w:rPr>
        <w:t xml:space="preserve">          </w:t>
      </w:r>
      <w:r>
        <w:rPr>
          <w:i/>
          <w:iCs/>
          <w:color w:val="004098"/>
          <w:spacing w:val="5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9</w:t>
      </w:r>
      <w:r>
        <w:rPr>
          <w:i/>
          <w:iCs/>
          <w:color w:val="004098"/>
          <w:spacing w:val="5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5"/>
          <w:sz w:val="20"/>
          <w:szCs w:val="20"/>
        </w:rPr>
        <w:t>2011-2023</w:t>
      </w:r>
      <w:r>
        <w:rPr>
          <w:i/>
          <w:iCs/>
          <w:color w:val="004098"/>
          <w:spacing w:val="5"/>
          <w:sz w:val="20"/>
          <w:szCs w:val="20"/>
        </w:rPr>
        <w:t>年我国乘用车市场分系别销量同比</w:t>
      </w:r>
    </w:p>
    <w:p>
      <w:pPr>
        <w:spacing w:before="61"/>
      </w:pPr>
    </w:p>
    <w:p>
      <w:pPr>
        <w:sectPr>
          <w:headerReference w:type="default" r:id="rId70"/>
          <w:footerReference w:type="default" r:id="rId71"/>
          <w:pgSz w:w="11910" w:h="16845"/>
          <w:pgMar w:top="885" w:right="645" w:bottom="840" w:left="612" w:header="386" w:footer="542" w:gutter="0"/>
          <w:pgNumType w:start="23"/>
          <w:cols w:num="1" w:space="708" w:equalWidth="0">
            <w:col w:w="10653" w:space="0"/>
          </w:cols>
        </w:sectPr>
      </w:pPr>
    </w:p>
    <w:p>
      <w:pPr>
        <w:pStyle w:val="BodyText"/>
        <w:spacing w:before="63" w:line="223" w:lineRule="auto"/>
        <w:ind w:left="705"/>
        <w:rPr>
          <w:sz w:val="16"/>
          <w:szCs w:val="16"/>
        </w:rPr>
      </w:pP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自主</w:t>
      </w:r>
      <w:r>
        <w:rPr>
          <w:spacing w:val="45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日系</w:t>
      </w:r>
      <w:r>
        <w:rPr>
          <w:spacing w:val="44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7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德系</w:t>
      </w:r>
      <w:r>
        <w:rPr>
          <w:spacing w:val="44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美系</w:t>
      </w:r>
      <w:r>
        <w:rPr>
          <w:spacing w:val="44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6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韩系</w:t>
      </w:r>
      <w:r>
        <w:rPr>
          <w:spacing w:val="42"/>
          <w:w w:val="101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法系</w:t>
      </w:r>
      <w:r>
        <w:rPr>
          <w:spacing w:val="42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55177" cy="55178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5177" cy="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1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其他</w:t>
      </w:r>
    </w:p>
    <w:p>
      <w:pPr>
        <w:spacing w:before="209" w:line="241" w:lineRule="auto"/>
        <w:ind w:left="326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3"/>
          <w:sz w:val="16"/>
          <w:szCs w:val="16"/>
        </w:rPr>
        <w:t>100%</w:t>
      </w:r>
    </w:p>
    <w:p>
      <w:pPr>
        <w:spacing w:line="193" w:lineRule="auto"/>
        <w:ind w:left="40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90%</w:t>
      </w:r>
    </w:p>
    <w:p>
      <w:pPr>
        <w:spacing w:before="37" w:line="194" w:lineRule="auto"/>
        <w:ind w:left="401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80%</w:t>
      </w:r>
    </w:p>
    <w:p>
      <w:pPr>
        <w:spacing w:before="38" w:line="194" w:lineRule="auto"/>
        <w:ind w:left="40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70%</w:t>
      </w:r>
    </w:p>
    <w:p>
      <w:pPr>
        <w:spacing w:before="39" w:line="193" w:lineRule="auto"/>
        <w:ind w:left="402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60%</w:t>
      </w:r>
    </w:p>
    <w:p>
      <w:pPr>
        <w:spacing w:before="38" w:line="193" w:lineRule="auto"/>
        <w:ind w:left="405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50%</w:t>
      </w:r>
    </w:p>
    <w:p>
      <w:pPr>
        <w:spacing w:before="38" w:line="194" w:lineRule="auto"/>
        <w:ind w:left="39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2"/>
          <w:sz w:val="16"/>
          <w:szCs w:val="16"/>
        </w:rPr>
        <w:t>40%</w:t>
      </w:r>
    </w:p>
    <w:p>
      <w:pPr>
        <w:spacing w:before="40" w:line="193" w:lineRule="auto"/>
        <w:ind w:left="40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30%</w:t>
      </w:r>
    </w:p>
    <w:p>
      <w:pPr>
        <w:spacing w:before="38" w:line="193" w:lineRule="auto"/>
        <w:ind w:left="404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20%</w:t>
      </w:r>
    </w:p>
    <w:p>
      <w:pPr>
        <w:spacing w:before="39" w:line="193" w:lineRule="auto"/>
        <w:ind w:left="41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2"/>
          <w:sz w:val="16"/>
          <w:szCs w:val="16"/>
        </w:rPr>
        <w:t>10%</w:t>
      </w:r>
    </w:p>
    <w:p>
      <w:pPr>
        <w:spacing w:before="38" w:line="194" w:lineRule="auto"/>
        <w:ind w:left="489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0%</w:t>
      </w:r>
    </w:p>
    <w:p>
      <w:pPr>
        <w:spacing w:before="49" w:line="318" w:lineRule="exact"/>
        <w:ind w:firstLine="745"/>
      </w:pPr>
      <w:r>
        <w:rPr>
          <w:position w:val="-6"/>
        </w:rPr>
        <w:drawing>
          <wp:inline distT="0" distB="0" distL="0" distR="0">
            <wp:extent cx="2545549" cy="202183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45549" cy="2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1" w:line="215" w:lineRule="exact"/>
        <w:ind w:left="227"/>
        <w:rPr>
          <w:sz w:val="16"/>
          <w:szCs w:val="16"/>
        </w:rPr>
      </w:pPr>
      <w:r>
        <w:rPr>
          <w:rFonts w:ascii="Arial" w:eastAsia="Arial" w:hAnsi="Arial" w:cs="Arial"/>
          <w:color w:val="0070C0"/>
          <w:spacing w:val="28"/>
          <w:position w:val="1"/>
          <w:sz w:val="32"/>
          <w:szCs w:val="32"/>
        </w:rPr>
        <w:t>—</w:t>
      </w:r>
      <w:r>
        <w:rPr>
          <w:rFonts w:ascii="Arial" w:eastAsia="Arial" w:hAnsi="Arial" w:cs="Arial"/>
          <w:color w:val="0070C0"/>
          <w:spacing w:val="-16"/>
          <w:position w:val="1"/>
          <w:sz w:val="32"/>
          <w:szCs w:val="32"/>
        </w:rPr>
        <w:t xml:space="preserve"> </w:t>
      </w:r>
      <w:r>
        <w:rPr>
          <w:spacing w:val="28"/>
          <w:position w:val="1"/>
          <w:sz w:val="16"/>
          <w:szCs w:val="16"/>
        </w:rPr>
        <w:t>自主</w:t>
      </w:r>
      <w:r>
        <w:rPr>
          <w:spacing w:val="28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3E98"/>
          <w:spacing w:val="28"/>
          <w:position w:val="1"/>
          <w:sz w:val="32"/>
          <w:szCs w:val="32"/>
        </w:rPr>
        <w:t>—</w:t>
      </w:r>
      <w:r>
        <w:rPr>
          <w:rFonts w:ascii="Arial" w:eastAsia="Arial" w:hAnsi="Arial" w:cs="Arial"/>
          <w:color w:val="003E98"/>
          <w:spacing w:val="-24"/>
          <w:position w:val="1"/>
          <w:sz w:val="32"/>
          <w:szCs w:val="32"/>
        </w:rPr>
        <w:t xml:space="preserve"> </w:t>
      </w:r>
      <w:r>
        <w:rPr>
          <w:spacing w:val="28"/>
          <w:position w:val="1"/>
          <w:sz w:val="16"/>
          <w:szCs w:val="16"/>
        </w:rPr>
        <w:t>日系</w:t>
      </w:r>
      <w:r>
        <w:rPr>
          <w:spacing w:val="28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98B954"/>
          <w:spacing w:val="28"/>
          <w:position w:val="1"/>
          <w:sz w:val="32"/>
          <w:szCs w:val="32"/>
        </w:rPr>
        <w:t>—</w:t>
      </w:r>
      <w:r>
        <w:rPr>
          <w:rFonts w:ascii="Arial" w:eastAsia="Arial" w:hAnsi="Arial" w:cs="Arial"/>
          <w:color w:val="98B954"/>
          <w:spacing w:val="-56"/>
          <w:position w:val="1"/>
          <w:sz w:val="32"/>
          <w:szCs w:val="32"/>
        </w:rPr>
        <w:t xml:space="preserve"> </w:t>
      </w:r>
      <w:r>
        <w:rPr>
          <w:spacing w:val="28"/>
          <w:position w:val="1"/>
          <w:sz w:val="16"/>
          <w:szCs w:val="16"/>
        </w:rPr>
        <w:t>德系</w:t>
      </w:r>
      <w:r>
        <w:rPr>
          <w:spacing w:val="28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7D60A0"/>
          <w:spacing w:val="28"/>
          <w:position w:val="1"/>
          <w:sz w:val="32"/>
          <w:szCs w:val="32"/>
        </w:rPr>
        <w:t>—</w:t>
      </w:r>
      <w:r>
        <w:rPr>
          <w:rFonts w:ascii="Arial" w:eastAsia="Arial" w:hAnsi="Arial" w:cs="Arial"/>
          <w:color w:val="7D60A0"/>
          <w:spacing w:val="-45"/>
          <w:position w:val="1"/>
          <w:sz w:val="32"/>
          <w:szCs w:val="32"/>
        </w:rPr>
        <w:t xml:space="preserve"> </w:t>
      </w:r>
      <w:r>
        <w:rPr>
          <w:spacing w:val="28"/>
          <w:position w:val="1"/>
          <w:sz w:val="16"/>
          <w:szCs w:val="16"/>
        </w:rPr>
        <w:t>美系</w:t>
      </w:r>
      <w:r>
        <w:rPr>
          <w:spacing w:val="28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46AAC5"/>
          <w:spacing w:val="28"/>
          <w:position w:val="1"/>
          <w:sz w:val="32"/>
          <w:szCs w:val="32"/>
        </w:rPr>
        <w:t>—</w:t>
      </w:r>
      <w:r>
        <w:rPr>
          <w:rFonts w:ascii="Arial" w:eastAsia="Arial" w:hAnsi="Arial" w:cs="Arial"/>
          <w:color w:val="46AAC5"/>
          <w:spacing w:val="-43"/>
          <w:position w:val="1"/>
          <w:sz w:val="32"/>
          <w:szCs w:val="32"/>
        </w:rPr>
        <w:t xml:space="preserve"> </w:t>
      </w:r>
      <w:r>
        <w:rPr>
          <w:spacing w:val="28"/>
          <w:position w:val="1"/>
          <w:sz w:val="16"/>
          <w:szCs w:val="16"/>
        </w:rPr>
        <w:t>韩系</w:t>
      </w:r>
    </w:p>
    <w:p>
      <w:pPr>
        <w:spacing w:before="188" w:line="343" w:lineRule="exact"/>
        <w:ind w:left="5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position w:val="15"/>
          <w:sz w:val="16"/>
          <w:szCs w:val="16"/>
        </w:rPr>
        <w:t>30%</w:t>
      </w:r>
    </w:p>
    <w:p>
      <w:pPr>
        <w:spacing w:line="193" w:lineRule="auto"/>
        <w:ind w:left="59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20%</w:t>
      </w:r>
    </w:p>
    <w:p>
      <w:pPr>
        <w:spacing w:before="188" w:line="193" w:lineRule="auto"/>
        <w:ind w:left="69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2"/>
          <w:sz w:val="16"/>
          <w:szCs w:val="16"/>
        </w:rPr>
        <w:t>10%</w:t>
      </w:r>
    </w:p>
    <w:p>
      <w:pPr>
        <w:spacing w:before="186" w:line="194" w:lineRule="auto"/>
        <w:ind w:left="144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0%</w:t>
      </w:r>
    </w:p>
    <w:p>
      <w:pPr>
        <w:spacing w:before="188" w:line="193" w:lineRule="auto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-10%</w:t>
      </w:r>
    </w:p>
    <w:p>
      <w:pPr>
        <w:spacing w:before="186" w:line="194" w:lineRule="auto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-20%</w:t>
      </w:r>
    </w:p>
    <w:p>
      <w:pPr>
        <w:spacing w:before="189" w:line="193" w:lineRule="auto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-30%</w:t>
      </w:r>
    </w:p>
    <w:p>
      <w:pPr>
        <w:spacing w:before="188" w:line="125" w:lineRule="exact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position w:val="-2"/>
          <w:sz w:val="16"/>
          <w:szCs w:val="16"/>
        </w:rPr>
        <w:t>-40%</w:t>
      </w:r>
    </w:p>
    <w:p>
      <w:pPr>
        <w:spacing w:line="125" w:lineRule="exact"/>
        <w:rPr>
          <w:rFonts w:ascii="Tahoma" w:eastAsia="Tahoma" w:hAnsi="Tahoma" w:cs="Tahoma"/>
          <w:sz w:val="16"/>
          <w:szCs w:val="16"/>
        </w:rPr>
        <w:sectPr>
          <w:headerReference w:type="default" r:id="rId80"/>
          <w:footerReference w:type="default" r:id="rId81"/>
          <w:type w:val="continuous"/>
          <w:pgSz w:w="11910" w:h="16845"/>
          <w:pgMar w:top="885" w:right="645" w:bottom="840" w:left="612" w:header="386" w:footer="542" w:gutter="0"/>
          <w:pgNumType w:start="24"/>
          <w:cols w:num="2" w:space="708" w:equalWidth="0">
            <w:col w:w="5637" w:space="100"/>
            <w:col w:w="4917" w:space="0"/>
          </w:cols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55" w:line="210" w:lineRule="auto"/>
        <w:ind w:left="69"/>
        <w:rPr>
          <w:sz w:val="17"/>
          <w:szCs w:val="17"/>
        </w:rPr>
      </w:pPr>
      <w:r>
        <w:rPr>
          <w:i/>
          <w:iCs/>
          <w:color w:val="004098"/>
          <w:spacing w:val="-4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4"/>
          <w:sz w:val="17"/>
          <w:szCs w:val="17"/>
        </w:rPr>
        <w:t>Wind</w:t>
      </w:r>
      <w:r>
        <w:rPr>
          <w:i/>
          <w:iCs/>
          <w:color w:val="004098"/>
          <w:spacing w:val="-4"/>
          <w:sz w:val="17"/>
          <w:szCs w:val="17"/>
        </w:rPr>
        <w:t>、中汽协、长城证券产业金融研究院</w:t>
      </w:r>
      <w:r>
        <w:rPr>
          <w:color w:val="004098"/>
          <w:spacing w:val="-4"/>
          <w:sz w:val="17"/>
          <w:szCs w:val="17"/>
        </w:rPr>
        <w:t xml:space="preserve">                   </w:t>
      </w:r>
      <w:r>
        <w:rPr>
          <w:i/>
          <w:iCs/>
          <w:color w:val="004098"/>
          <w:spacing w:val="-4"/>
          <w:sz w:val="17"/>
          <w:szCs w:val="17"/>
        </w:rPr>
        <w:t>资料来源：</w:t>
      </w:r>
      <w:r>
        <w:rPr>
          <w:rFonts w:ascii="Tahoma" w:eastAsia="Tahoma" w:hAnsi="Tahoma" w:cs="Tahoma"/>
          <w:color w:val="004098"/>
          <w:spacing w:val="-4"/>
          <w:sz w:val="17"/>
          <w:szCs w:val="17"/>
        </w:rPr>
        <w:t>Wind</w:t>
      </w:r>
      <w:r>
        <w:rPr>
          <w:i/>
          <w:iCs/>
          <w:color w:val="004098"/>
          <w:spacing w:val="-4"/>
          <w:sz w:val="17"/>
          <w:szCs w:val="17"/>
        </w:rPr>
        <w:t>、中汽协、长城证券产业金融研究院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66" w:line="211" w:lineRule="auto"/>
        <w:ind w:left="85"/>
        <w:rPr>
          <w:sz w:val="20"/>
          <w:szCs w:val="20"/>
        </w:rPr>
      </w:pPr>
      <w:r>
        <w:rPr>
          <w:i/>
          <w:iCs/>
          <w:color w:val="004098"/>
          <w:spacing w:val="10"/>
          <w:sz w:val="20"/>
          <w:szCs w:val="20"/>
        </w:rPr>
        <w:t>图表</w:t>
      </w:r>
      <w:r>
        <w:rPr>
          <w:rFonts w:ascii="Tahoma" w:eastAsia="Tahoma" w:hAnsi="Tahoma" w:cs="Tahoma"/>
          <w:color w:val="004098"/>
          <w:spacing w:val="10"/>
          <w:sz w:val="20"/>
          <w:szCs w:val="20"/>
        </w:rPr>
        <w:t>10</w:t>
      </w:r>
      <w:r>
        <w:rPr>
          <w:i/>
          <w:iCs/>
          <w:color w:val="004098"/>
          <w:spacing w:val="10"/>
          <w:sz w:val="20"/>
          <w:szCs w:val="20"/>
        </w:rPr>
        <w:t>：</w:t>
      </w:r>
      <w:r>
        <w:rPr>
          <w:rFonts w:ascii="Tahoma" w:eastAsia="Tahoma" w:hAnsi="Tahoma" w:cs="Tahoma"/>
          <w:color w:val="004098"/>
          <w:spacing w:val="10"/>
          <w:sz w:val="20"/>
          <w:szCs w:val="20"/>
        </w:rPr>
        <w:t>2023</w:t>
      </w:r>
      <w:r>
        <w:rPr>
          <w:i/>
          <w:iCs/>
          <w:color w:val="004098"/>
          <w:spacing w:val="10"/>
          <w:sz w:val="20"/>
          <w:szCs w:val="20"/>
        </w:rPr>
        <w:t>年</w:t>
      </w:r>
      <w:r>
        <w:rPr>
          <w:rFonts w:ascii="Tahoma" w:eastAsia="Tahoma" w:hAnsi="Tahoma" w:cs="Tahoma"/>
          <w:color w:val="004098"/>
          <w:spacing w:val="10"/>
          <w:sz w:val="20"/>
          <w:szCs w:val="20"/>
        </w:rPr>
        <w:t>1-12</w:t>
      </w:r>
      <w:r>
        <w:rPr>
          <w:i/>
          <w:iCs/>
          <w:color w:val="004098"/>
          <w:spacing w:val="10"/>
          <w:sz w:val="20"/>
          <w:szCs w:val="20"/>
        </w:rPr>
        <w:t>月乘用车企业市场份额</w:t>
      </w:r>
    </w:p>
    <w:p>
      <w:pPr>
        <w:spacing w:before="71"/>
      </w:pPr>
    </w:p>
    <w:p>
      <w:pPr>
        <w:sectPr>
          <w:headerReference w:type="default" r:id="rId82"/>
          <w:footerReference w:type="default" r:id="rId83"/>
          <w:type w:val="continuous"/>
          <w:pgSz w:w="11910" w:h="16845"/>
          <w:pgMar w:top="885" w:right="645" w:bottom="840" w:left="612" w:header="386" w:footer="542" w:gutter="0"/>
          <w:pgNumType w:start="25"/>
          <w:cols w:num="1" w:space="708" w:equalWidth="0">
            <w:col w:w="10653" w:space="0"/>
          </w:cols>
        </w:sectPr>
      </w:pPr>
    </w:p>
    <w:p>
      <w:pPr>
        <w:spacing w:line="412" w:lineRule="auto"/>
        <w:rPr>
          <w:rFonts w:ascii="Arial"/>
          <w:sz w:val="21"/>
        </w:rPr>
      </w:pPr>
    </w:p>
    <w:p>
      <w:pPr>
        <w:spacing w:before="58" w:line="410" w:lineRule="auto"/>
        <w:ind w:left="449" w:right="17"/>
        <w:jc w:val="right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z w:val="19"/>
          <w:szCs w:val="19"/>
        </w:rPr>
        <w:t xml:space="preserve">14% </w:t>
      </w:r>
      <w:r>
        <w:rPr>
          <w:rFonts w:ascii="Tahoma" w:eastAsia="Tahoma" w:hAnsi="Tahoma" w:cs="Tahoma"/>
          <w:sz w:val="19"/>
          <w:szCs w:val="19"/>
        </w:rPr>
        <w:t xml:space="preserve">12% </w:t>
      </w:r>
      <w:r>
        <w:rPr>
          <w:rFonts w:ascii="Tahoma" w:eastAsia="Tahoma" w:hAnsi="Tahoma" w:cs="Tahoma"/>
          <w:sz w:val="19"/>
          <w:szCs w:val="19"/>
        </w:rPr>
        <w:t xml:space="preserve">10% </w:t>
      </w:r>
      <w:r>
        <w:rPr>
          <w:rFonts w:ascii="Tahoma" w:eastAsia="Tahoma" w:hAnsi="Tahoma" w:cs="Tahoma"/>
          <w:spacing w:val="16"/>
          <w:w w:val="121"/>
          <w:sz w:val="19"/>
          <w:szCs w:val="19"/>
        </w:rPr>
        <w:t>8%</w:t>
      </w:r>
      <w:r>
        <w:rPr>
          <w:rFonts w:ascii="Tahoma" w:eastAsia="Tahoma" w:hAnsi="Tahoma" w:cs="Tahoma"/>
          <w:sz w:val="19"/>
          <w:szCs w:val="19"/>
        </w:rPr>
        <w:t xml:space="preserve"> </w:t>
      </w:r>
      <w:r>
        <w:rPr>
          <w:rFonts w:ascii="Tahoma" w:eastAsia="Tahoma" w:hAnsi="Tahoma" w:cs="Tahoma"/>
          <w:spacing w:val="15"/>
          <w:w w:val="122"/>
          <w:sz w:val="19"/>
          <w:szCs w:val="19"/>
        </w:rPr>
        <w:t>6%</w:t>
      </w:r>
      <w:r>
        <w:rPr>
          <w:rFonts w:ascii="Tahoma" w:eastAsia="Tahoma" w:hAnsi="Tahoma" w:cs="Tahoma"/>
          <w:sz w:val="19"/>
          <w:szCs w:val="19"/>
        </w:rPr>
        <w:t xml:space="preserve"> </w:t>
      </w:r>
      <w:r>
        <w:rPr>
          <w:rFonts w:ascii="Tahoma" w:eastAsia="Tahoma" w:hAnsi="Tahoma" w:cs="Tahoma"/>
          <w:spacing w:val="13"/>
          <w:w w:val="123"/>
          <w:sz w:val="19"/>
          <w:szCs w:val="19"/>
        </w:rPr>
        <w:t>4%</w:t>
      </w:r>
      <w:r>
        <w:rPr>
          <w:rFonts w:ascii="Tahoma" w:eastAsia="Tahoma" w:hAnsi="Tahoma" w:cs="Tahoma"/>
          <w:sz w:val="19"/>
          <w:szCs w:val="19"/>
        </w:rPr>
        <w:t xml:space="preserve"> </w:t>
      </w:r>
      <w:r>
        <w:rPr>
          <w:rFonts w:ascii="Tahoma" w:eastAsia="Tahoma" w:hAnsi="Tahoma" w:cs="Tahoma"/>
          <w:spacing w:val="18"/>
          <w:w w:val="120"/>
          <w:sz w:val="19"/>
          <w:szCs w:val="19"/>
        </w:rPr>
        <w:t>2%</w:t>
      </w:r>
      <w:r>
        <w:rPr>
          <w:rFonts w:ascii="Tahoma" w:eastAsia="Tahoma" w:hAnsi="Tahoma" w:cs="Tahoma"/>
          <w:sz w:val="19"/>
          <w:szCs w:val="19"/>
        </w:rPr>
        <w:t xml:space="preserve"> </w:t>
      </w:r>
      <w:r>
        <w:rPr>
          <w:rFonts w:ascii="Tahoma" w:eastAsia="Tahoma" w:hAnsi="Tahoma" w:cs="Tahoma"/>
          <w:spacing w:val="-1"/>
          <w:sz w:val="19"/>
          <w:szCs w:val="19"/>
        </w:rPr>
        <w:t>0%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8" w:line="223" w:lineRule="auto"/>
        <w:ind w:left="1527"/>
      </w:pPr>
      <w:r>
        <w:rPr>
          <w:rFonts w:ascii="Tahoma" w:eastAsia="Tahoma" w:hAnsi="Tahoma" w:cs="Tahoma"/>
        </w:rPr>
        <w:drawing>
          <wp:inline distT="0" distB="0" distL="0" distR="0">
            <wp:extent cx="320039" cy="68980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20039" cy="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spacing w:val="20"/>
        </w:rPr>
        <w:t xml:space="preserve"> </w:t>
      </w:r>
      <w:r>
        <w:rPr>
          <w:rFonts w:ascii="Tahoma" w:eastAsia="Tahoma" w:hAnsi="Tahoma" w:cs="Tahoma"/>
          <w:spacing w:val="7"/>
        </w:rPr>
        <w:t>2023</w:t>
      </w:r>
      <w:r>
        <w:rPr>
          <w:spacing w:val="7"/>
        </w:rPr>
        <w:t>年市占率</w:t>
      </w:r>
      <w:r>
        <w:rPr>
          <w:spacing w:val="7"/>
        </w:rPr>
        <w:t xml:space="preserve">     </w:t>
      </w:r>
      <w:r>
        <w:rPr>
          <w:position w:val="1"/>
        </w:rPr>
        <w:drawing>
          <wp:inline distT="0" distB="0" distL="0" distR="0">
            <wp:extent cx="66684" cy="66684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6684" cy="66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6"/>
        </w:rPr>
        <w:t xml:space="preserve">  </w:t>
      </w:r>
      <w:r>
        <w:rPr>
          <w:spacing w:val="7"/>
        </w:rPr>
        <w:t>市占率变化（右）</w:t>
      </w:r>
      <w:r>
        <w:rPr>
          <w:spacing w:val="16"/>
        </w:rPr>
        <w:t xml:space="preserve">   </w:t>
      </w:r>
      <w:r>
        <w:rPr>
          <w:position w:val="5"/>
        </w:rPr>
        <w:drawing>
          <wp:inline distT="0" distB="0" distL="0" distR="0">
            <wp:extent cx="332740" cy="12700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3274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2"/>
        </w:rPr>
        <w:t xml:space="preserve"> </w:t>
      </w:r>
      <w:r>
        <w:rPr>
          <w:spacing w:val="7"/>
        </w:rPr>
        <w:t>基准线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3022" w:lineRule="exact"/>
      </w:pPr>
      <w:r>
        <w:rPr>
          <w:position w:val="-60"/>
        </w:rPr>
        <w:drawing>
          <wp:inline distT="0" distB="0" distL="0" distR="0">
            <wp:extent cx="5585206" cy="1919038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585206" cy="191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3" w:lineRule="exact"/>
      </w:pPr>
    </w:p>
    <w:tbl>
      <w:tblPr>
        <w:tblStyle w:val="TableNormal4"/>
        <w:tblW w:w="8606" w:type="dxa"/>
        <w:tblInd w:w="9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83"/>
        <w:gridCol w:w="5223"/>
      </w:tblGrid>
      <w:tr>
        <w:tblPrEx>
          <w:tblW w:w="8606" w:type="dxa"/>
          <w:tblInd w:w="9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190"/>
        </w:trPr>
        <w:tc>
          <w:tcPr>
            <w:tcW w:w="3383" w:type="dxa"/>
            <w:textDirection w:val="btLr"/>
            <w:vAlign w:val="top"/>
          </w:tcPr>
          <w:p>
            <w:pPr>
              <w:spacing w:line="231" w:lineRule="auto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-2"/>
                <w:sz w:val="19"/>
                <w:szCs w:val="19"/>
              </w:rPr>
              <w:t>比亚迪</w:t>
            </w:r>
          </w:p>
          <w:p>
            <w:pPr>
              <w:spacing w:before="24" w:line="225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3"/>
                <w:sz w:val="19"/>
                <w:szCs w:val="19"/>
              </w:rPr>
              <w:t>一汽大众</w:t>
            </w:r>
          </w:p>
          <w:p>
            <w:pPr>
              <w:spacing w:before="31" w:line="223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奇瑞</w:t>
            </w:r>
          </w:p>
          <w:p>
            <w:pPr>
              <w:spacing w:before="33" w:line="223" w:lineRule="auto"/>
              <w:ind w:right="4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3"/>
                <w:sz w:val="19"/>
                <w:szCs w:val="19"/>
              </w:rPr>
              <w:t>吉利</w:t>
            </w:r>
          </w:p>
          <w:p>
            <w:pPr>
              <w:spacing w:before="33" w:line="225" w:lineRule="auto"/>
              <w:ind w:right="4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8"/>
                <w:sz w:val="19"/>
                <w:szCs w:val="19"/>
              </w:rPr>
              <w:t>长安</w:t>
            </w:r>
          </w:p>
          <w:p>
            <w:pPr>
              <w:spacing w:before="32" w:line="224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上汽大众</w:t>
            </w:r>
          </w:p>
          <w:p>
            <w:pPr>
              <w:spacing w:before="32" w:line="226" w:lineRule="auto"/>
              <w:ind w:right="4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8"/>
                <w:sz w:val="19"/>
                <w:szCs w:val="19"/>
              </w:rPr>
              <w:t>长城</w:t>
            </w:r>
          </w:p>
          <w:p>
            <w:pPr>
              <w:spacing w:before="29" w:line="225" w:lineRule="auto"/>
              <w:ind w:left="2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8"/>
                <w:sz w:val="19"/>
                <w:szCs w:val="19"/>
              </w:rPr>
              <w:t>上汽通用五菱</w:t>
            </w:r>
          </w:p>
          <w:p>
            <w:pPr>
              <w:spacing w:before="33" w:line="220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8"/>
                <w:sz w:val="19"/>
                <w:szCs w:val="19"/>
              </w:rPr>
              <w:t>上汽乘用车</w:t>
            </w:r>
          </w:p>
          <w:p>
            <w:pPr>
              <w:spacing w:before="35" w:line="225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上汽通用</w:t>
            </w:r>
          </w:p>
          <w:p>
            <w:pPr>
              <w:spacing w:before="31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7"/>
                <w:sz w:val="19"/>
                <w:szCs w:val="19"/>
              </w:rPr>
              <w:t>广汽丰田</w:t>
            </w:r>
          </w:p>
          <w:p>
            <w:pPr>
              <w:spacing w:before="35" w:line="222" w:lineRule="auto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6"/>
                <w:sz w:val="19"/>
                <w:szCs w:val="19"/>
              </w:rPr>
              <w:t>特斯拉</w:t>
            </w:r>
          </w:p>
          <w:p>
            <w:pPr>
              <w:spacing w:before="33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3"/>
                <w:sz w:val="19"/>
                <w:szCs w:val="19"/>
              </w:rPr>
              <w:t>一汽丰田</w:t>
            </w:r>
          </w:p>
        </w:tc>
        <w:tc>
          <w:tcPr>
            <w:tcW w:w="5223" w:type="dxa"/>
            <w:textDirection w:val="btLr"/>
            <w:vAlign w:val="top"/>
          </w:tcPr>
          <w:p>
            <w:pPr>
              <w:spacing w:before="33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华晨宝马</w:t>
            </w:r>
          </w:p>
          <w:p>
            <w:pPr>
              <w:spacing w:before="34" w:line="224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东风日产</w:t>
            </w:r>
          </w:p>
          <w:p>
            <w:pPr>
              <w:spacing w:before="31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7"/>
                <w:sz w:val="19"/>
                <w:szCs w:val="19"/>
              </w:rPr>
              <w:t>广汽本田</w:t>
            </w:r>
          </w:p>
          <w:p>
            <w:pPr>
              <w:spacing w:before="33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北京奔驰</w:t>
            </w:r>
          </w:p>
          <w:p>
            <w:pPr>
              <w:spacing w:before="33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东风本田</w:t>
            </w:r>
          </w:p>
          <w:p>
            <w:pPr>
              <w:spacing w:before="33" w:line="225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7"/>
                <w:sz w:val="19"/>
                <w:szCs w:val="19"/>
              </w:rPr>
              <w:t>广汽埃安</w:t>
            </w:r>
          </w:p>
          <w:p>
            <w:pPr>
              <w:spacing w:before="31" w:line="221" w:lineRule="auto"/>
              <w:ind w:right="4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10"/>
                <w:sz w:val="19"/>
                <w:szCs w:val="19"/>
              </w:rPr>
              <w:t>广汽乘用车</w:t>
            </w:r>
          </w:p>
          <w:p>
            <w:pPr>
              <w:spacing w:before="36" w:line="227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7"/>
                <w:sz w:val="19"/>
                <w:szCs w:val="19"/>
              </w:rPr>
              <w:t>理想</w:t>
            </w:r>
          </w:p>
          <w:p>
            <w:pPr>
              <w:spacing w:before="28" w:line="225" w:lineRule="auto"/>
              <w:ind w:right="4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6"/>
                <w:sz w:val="19"/>
                <w:szCs w:val="19"/>
              </w:rPr>
              <w:t>红旗</w:t>
            </w:r>
          </w:p>
          <w:p>
            <w:pPr>
              <w:spacing w:before="32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北京现代</w:t>
            </w:r>
          </w:p>
          <w:p>
            <w:pPr>
              <w:spacing w:before="34" w:line="224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6"/>
                <w:sz w:val="19"/>
                <w:szCs w:val="19"/>
              </w:rPr>
              <w:t>长安福特</w:t>
            </w:r>
          </w:p>
          <w:p>
            <w:pPr>
              <w:spacing w:before="31" w:line="221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4"/>
                <w:sz w:val="19"/>
                <w:szCs w:val="19"/>
              </w:rPr>
              <w:t>江淮汽车</w:t>
            </w:r>
          </w:p>
          <w:p>
            <w:pPr>
              <w:spacing w:before="37" w:line="222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8"/>
                <w:sz w:val="19"/>
                <w:szCs w:val="19"/>
              </w:rPr>
              <w:t>蔚来</w:t>
            </w:r>
          </w:p>
          <w:p>
            <w:pPr>
              <w:spacing w:before="34" w:line="224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7"/>
                <w:sz w:val="19"/>
                <w:szCs w:val="19"/>
              </w:rPr>
              <w:t>沃尔沃亚太</w:t>
            </w:r>
          </w:p>
          <w:p>
            <w:pPr>
              <w:spacing w:before="31" w:line="226" w:lineRule="auto"/>
              <w:ind w:right="4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8"/>
                <w:sz w:val="19"/>
                <w:szCs w:val="19"/>
              </w:rPr>
              <w:t>小鹏</w:t>
            </w:r>
          </w:p>
          <w:p>
            <w:pPr>
              <w:spacing w:before="31" w:line="226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9"/>
                <w:sz w:val="19"/>
                <w:szCs w:val="19"/>
              </w:rPr>
              <w:t>零跑</w:t>
            </w:r>
          </w:p>
          <w:p>
            <w:pPr>
              <w:spacing w:before="31" w:line="223" w:lineRule="auto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7"/>
                <w:sz w:val="19"/>
                <w:szCs w:val="19"/>
              </w:rPr>
              <w:t>合众（哪吒）</w:t>
            </w:r>
          </w:p>
          <w:p>
            <w:pPr>
              <w:spacing w:before="32" w:line="223" w:lineRule="auto"/>
              <w:ind w:right="10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5"/>
                <w:sz w:val="19"/>
                <w:szCs w:val="19"/>
              </w:rPr>
              <w:t>北汽集团</w:t>
            </w:r>
          </w:p>
          <w:p>
            <w:pPr>
              <w:spacing w:before="34" w:line="223" w:lineRule="auto"/>
              <w:ind w:right="2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-2"/>
                <w:sz w:val="19"/>
                <w:szCs w:val="19"/>
              </w:rPr>
              <w:t>问界</w:t>
            </w:r>
          </w:p>
          <w:p>
            <w:pPr>
              <w:spacing w:before="34" w:line="189" w:lineRule="auto"/>
              <w:ind w:right="5"/>
              <w:jc w:val="right"/>
              <w:rPr>
                <w:rFonts w:ascii="FangSong" w:eastAsia="FangSong" w:hAnsi="FangSong" w:cs="FangSong"/>
                <w:sz w:val="19"/>
                <w:szCs w:val="19"/>
              </w:rPr>
            </w:pPr>
            <w:r>
              <w:rPr>
                <w:rFonts w:ascii="FangSong" w:eastAsia="FangSong" w:hAnsi="FangSong" w:cs="FangSong"/>
                <w:spacing w:val="9"/>
                <w:sz w:val="19"/>
                <w:szCs w:val="19"/>
              </w:rPr>
              <w:t>长安马自达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10" w:lineRule="auto"/>
        <w:rPr>
          <w:rFonts w:ascii="Arial"/>
          <w:sz w:val="21"/>
        </w:rPr>
      </w:pPr>
    </w:p>
    <w:p>
      <w:pPr>
        <w:spacing w:before="58" w:line="192" w:lineRule="auto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1"/>
          <w:sz w:val="19"/>
          <w:szCs w:val="19"/>
        </w:rPr>
        <w:t>4%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58" w:line="192" w:lineRule="auto"/>
        <w:ind w:left="5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-1"/>
          <w:sz w:val="19"/>
          <w:szCs w:val="19"/>
        </w:rPr>
        <w:t>3%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58" w:line="192" w:lineRule="auto"/>
        <w:ind w:left="6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-1"/>
          <w:sz w:val="19"/>
          <w:szCs w:val="19"/>
        </w:rPr>
        <w:t>2%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57" w:line="192" w:lineRule="auto"/>
        <w:ind w:left="17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-3"/>
          <w:sz w:val="19"/>
          <w:szCs w:val="19"/>
        </w:rPr>
        <w:t>1%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58" w:line="192" w:lineRule="auto"/>
        <w:ind w:left="4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-1"/>
          <w:sz w:val="19"/>
          <w:szCs w:val="19"/>
        </w:rPr>
        <w:t>0%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58" w:line="193" w:lineRule="auto"/>
        <w:ind w:left="4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1"/>
          <w:sz w:val="19"/>
          <w:szCs w:val="19"/>
        </w:rPr>
        <w:t>-1%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58" w:line="192" w:lineRule="auto"/>
        <w:ind w:left="4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spacing w:val="1"/>
          <w:sz w:val="19"/>
          <w:szCs w:val="19"/>
        </w:rPr>
        <w:t>-2%</w:t>
      </w:r>
    </w:p>
    <w:p>
      <w:pPr>
        <w:spacing w:line="192" w:lineRule="auto"/>
        <w:rPr>
          <w:rFonts w:ascii="Tahoma" w:eastAsia="Tahoma" w:hAnsi="Tahoma" w:cs="Tahoma"/>
          <w:sz w:val="19"/>
          <w:szCs w:val="19"/>
        </w:rPr>
        <w:sectPr>
          <w:headerReference w:type="default" r:id="rId88"/>
          <w:footerReference w:type="default" r:id="rId89"/>
          <w:type w:val="continuous"/>
          <w:pgSz w:w="11910" w:h="16845"/>
          <w:pgMar w:top="885" w:right="645" w:bottom="840" w:left="612" w:header="386" w:footer="542" w:gutter="0"/>
          <w:pgNumType w:start="26"/>
          <w:cols w:num="3" w:space="708" w:equalWidth="0">
            <w:col w:w="862" w:space="100"/>
            <w:col w:w="8834" w:space="100"/>
            <w:col w:w="758" w:space="0"/>
          </w:cols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56" w:line="210" w:lineRule="auto"/>
        <w:ind w:left="69"/>
        <w:rPr>
          <w:sz w:val="17"/>
          <w:szCs w:val="17"/>
        </w:rPr>
      </w:pPr>
      <w:r>
        <w:rPr>
          <w:i/>
          <w:iCs/>
          <w:color w:val="004098"/>
          <w:spacing w:val="-9"/>
          <w:sz w:val="17"/>
          <w:szCs w:val="17"/>
        </w:rPr>
        <w:t>资料来源：易车（批发量）、长城证券产业金融研</w:t>
      </w:r>
      <w:r>
        <w:rPr>
          <w:i/>
          <w:iCs/>
          <w:color w:val="004098"/>
          <w:spacing w:val="-10"/>
          <w:sz w:val="17"/>
          <w:szCs w:val="17"/>
        </w:rPr>
        <w:t>究院</w:t>
      </w:r>
    </w:p>
    <w:p>
      <w:pPr>
        <w:spacing w:line="336" w:lineRule="auto"/>
        <w:rPr>
          <w:rFonts w:ascii="Arial"/>
          <w:sz w:val="21"/>
        </w:rPr>
        <w:sectPr>
          <w:headerReference w:type="default" r:id="rId90"/>
          <w:footerReference w:type="default" r:id="rId91"/>
          <w:type w:val="continuous"/>
          <w:pgSz w:w="11910" w:h="16845"/>
          <w:pgMar w:top="885" w:right="645" w:bottom="840" w:left="612" w:header="386" w:footer="542" w:gutter="0"/>
          <w:pgNumType w:start="27"/>
          <w:cols w:num="1" w:space="708" w:equalWidth="0">
            <w:col w:w="10653" w:space="0"/>
          </w:cols>
        </w:sectPr>
      </w:pPr>
    </w:p>
    <w:p>
      <w:pPr>
        <w:spacing w:line="336" w:lineRule="auto"/>
        <w:rPr>
          <w:rFonts w:ascii="Arial"/>
          <w:sz w:val="21"/>
        </w:rPr>
      </w:pPr>
    </w:p>
    <w:p>
      <w:pPr>
        <w:pStyle w:val="BodyText"/>
        <w:spacing w:before="68" w:line="215" w:lineRule="auto"/>
        <w:ind w:left="2632"/>
        <w:outlineLvl w:val="2"/>
        <w:rPr>
          <w:sz w:val="21"/>
          <w:szCs w:val="21"/>
        </w:rPr>
      </w:pPr>
      <w:r>
        <w:rPr>
          <w:rFonts w:ascii="Tahoma" w:eastAsia="Tahoma" w:hAnsi="Tahoma" w:cs="Tahoma"/>
          <w:b/>
          <w:bCs/>
          <w:color w:val="002F7B"/>
          <w:spacing w:val="-2"/>
          <w:sz w:val="21"/>
          <w:szCs w:val="21"/>
        </w:rPr>
        <w:t>2.1.2</w:t>
      </w:r>
      <w:r>
        <w:rPr>
          <w:rFonts w:ascii="Tahoma" w:eastAsia="Tahoma" w:hAnsi="Tahoma" w:cs="Tahoma"/>
          <w:b/>
          <w:bCs/>
          <w:color w:val="002F7B"/>
          <w:spacing w:val="41"/>
          <w:sz w:val="21"/>
          <w:szCs w:val="21"/>
        </w:rPr>
        <w:t xml:space="preserve"> </w:t>
      </w:r>
      <w:r>
        <w:rPr>
          <w:color w:val="002F7B"/>
          <w:spacing w:val="-2"/>
          <w:sz w:val="21"/>
          <w:szCs w:val="21"/>
          <w14:textOutline w14:w="3810">
            <w14:solidFill>
              <w14:srgbClr w14:val="002F7B"/>
            </w14:solidFill>
            <w14:prstDash w14:val="solid"/>
            <w14:miter w14:lim="10"/>
          </w14:textOutline>
        </w:rPr>
        <w:t>价格：长期看车市结构升级推动均价上行，</w:t>
      </w:r>
      <w:r>
        <w:rPr>
          <w:color w:val="002F7B"/>
          <w:spacing w:val="-2"/>
          <w:sz w:val="21"/>
          <w:szCs w:val="21"/>
        </w:rPr>
        <w:t xml:space="preserve"> </w:t>
      </w:r>
      <w:r>
        <w:rPr>
          <w:color w:val="002F7B"/>
          <w:spacing w:val="-2"/>
          <w:sz w:val="21"/>
          <w:szCs w:val="21"/>
          <w14:textOutline w14:w="3810">
            <w14:solidFill>
              <w14:srgbClr w14:val="002F7B"/>
            </w14:solidFill>
            <w14:prstDash w14:val="solid"/>
            <w14:miter w14:lim="10"/>
          </w14:textOutline>
        </w:rPr>
        <w:t>中短期关注定价中枢下沉</w:t>
      </w:r>
    </w:p>
    <w:p>
      <w:pPr>
        <w:pStyle w:val="BodyText"/>
        <w:spacing w:before="295" w:line="246" w:lineRule="auto"/>
        <w:ind w:left="2625" w:right="9" w:firstLine="5"/>
        <w:jc w:val="both"/>
        <w:rPr>
          <w:sz w:val="21"/>
          <w:szCs w:val="21"/>
        </w:rPr>
      </w:pPr>
      <w:r>
        <w:rPr>
          <w:spacing w:val="-8"/>
          <w:sz w:val="21"/>
          <w:szCs w:val="21"/>
        </w:rPr>
        <w:t>近年我国乘用车均价整体明显上行，</w:t>
      </w:r>
      <w:r>
        <w:rPr>
          <w:spacing w:val="55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8"/>
          <w:sz w:val="21"/>
          <w:szCs w:val="21"/>
        </w:rPr>
        <w:t xml:space="preserve">2023 </w:t>
      </w:r>
      <w:r>
        <w:rPr>
          <w:spacing w:val="-8"/>
          <w:sz w:val="21"/>
          <w:szCs w:val="21"/>
        </w:rPr>
        <w:t>年</w:t>
      </w:r>
      <w:r>
        <w:rPr>
          <w:spacing w:val="-8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8"/>
          <w:sz w:val="21"/>
          <w:szCs w:val="21"/>
        </w:rPr>
        <w:t>11</w:t>
      </w:r>
      <w:r>
        <w:rPr>
          <w:rFonts w:ascii="Tahoma" w:eastAsia="Tahoma" w:hAnsi="Tahoma" w:cs="Tahoma"/>
          <w:spacing w:val="19"/>
          <w:w w:val="101"/>
          <w:sz w:val="21"/>
          <w:szCs w:val="21"/>
        </w:rPr>
        <w:t xml:space="preserve"> </w:t>
      </w:r>
      <w:r>
        <w:rPr>
          <w:spacing w:val="-8"/>
          <w:sz w:val="21"/>
          <w:szCs w:val="21"/>
        </w:rPr>
        <w:t>月乘</w:t>
      </w:r>
      <w:r>
        <w:rPr>
          <w:spacing w:val="-9"/>
          <w:sz w:val="21"/>
          <w:szCs w:val="21"/>
        </w:rPr>
        <w:t>用车均价为</w:t>
      </w:r>
      <w:r>
        <w:rPr>
          <w:spacing w:val="-38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17</w:t>
      </w:r>
      <w:r>
        <w:rPr>
          <w:rFonts w:ascii="Tahoma" w:eastAsia="Tahoma" w:hAnsi="Tahoma" w:cs="Tahoma"/>
          <w:spacing w:val="19"/>
          <w:w w:val="101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万元，较</w:t>
      </w:r>
      <w:r>
        <w:rPr>
          <w:spacing w:val="-9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 xml:space="preserve">2017 </w:t>
      </w:r>
      <w:r>
        <w:rPr>
          <w:spacing w:val="-9"/>
          <w:sz w:val="21"/>
          <w:szCs w:val="21"/>
        </w:rPr>
        <w:t>年</w:t>
      </w:r>
      <w:r>
        <w:rPr>
          <w:spacing w:val="-37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9"/>
          <w:sz w:val="21"/>
          <w:szCs w:val="21"/>
        </w:rPr>
        <w:t>1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月提升</w:t>
      </w:r>
      <w:r>
        <w:rPr>
          <w:spacing w:val="-23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>4.01</w:t>
      </w:r>
      <w:r>
        <w:rPr>
          <w:rFonts w:ascii="Tahoma" w:eastAsia="Tahoma" w:hAnsi="Tahoma" w:cs="Tahoma"/>
          <w:spacing w:val="20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万元。从</w:t>
      </w:r>
      <w:r>
        <w:rPr>
          <w:spacing w:val="-3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2"/>
          <w:sz w:val="21"/>
          <w:szCs w:val="21"/>
        </w:rPr>
        <w:t xml:space="preserve">2023 </w:t>
      </w:r>
      <w:r>
        <w:rPr>
          <w:spacing w:val="-2"/>
          <w:sz w:val="21"/>
          <w:szCs w:val="21"/>
        </w:rPr>
        <w:t>年度看，年初成交均价冲高后开启震荡下行。我们从销量结</w:t>
      </w:r>
      <w:r>
        <w:rPr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构</w:t>
      </w:r>
      <w:r>
        <w:rPr>
          <w:rFonts w:ascii="Tahoma" w:eastAsia="Tahoma" w:hAnsi="Tahoma" w:cs="Tahoma"/>
          <w:spacing w:val="-3"/>
          <w:sz w:val="21"/>
          <w:szCs w:val="21"/>
        </w:rPr>
        <w:t>+</w:t>
      </w:r>
      <w:r>
        <w:rPr>
          <w:spacing w:val="-3"/>
          <w:sz w:val="21"/>
          <w:szCs w:val="21"/>
        </w:rPr>
        <w:t>终端折扣两个维度分析车市价格走势。</w:t>
      </w:r>
    </w:p>
    <w:p>
      <w:pPr>
        <w:spacing w:line="246" w:lineRule="auto"/>
        <w:rPr>
          <w:sz w:val="21"/>
          <w:szCs w:val="21"/>
        </w:rPr>
      </w:pPr>
      <w:r>
        <w:rPr>
          <w:sz w:val="21"/>
          <w:szCs w:val="21"/>
        </w:rPr>
        <w:br/>
      </w:r>
      <w:r>
        <w:rPr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https://d.book118.com/545243234201011111</w:t>
        </w:r>
      </w:hyperlink>
    </w:p>
    <w:p>
      <w:pPr>
        <w:spacing w:line="246" w:lineRule="auto"/>
        <w:rPr>
          <w:sz w:val="21"/>
          <w:szCs w:val="21"/>
        </w:rPr>
      </w:pPr>
    </w:p>
    <w:sectPr>
      <w:headerReference w:type="default" r:id="rId93"/>
      <w:footerReference w:type="default" r:id="rId94"/>
      <w:type w:val="nextPage"/>
      <w:pgSz w:w="11910" w:h="16845"/>
      <w:pgMar w:top="885" w:right="645" w:bottom="840" w:left="612" w:header="386" w:footer="542" w:gutter="0"/>
      <w:pgNumType w:start="28"/>
      <w:cols w:num="1" w:space="708" w:equalWidth="0">
        <w:col w:w="10653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</w:pPr>
    <w:r>
      <w:pict>
        <v:shape id="_x0000_i2049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pStyle w:val="BodyText"/>
      <w:spacing w:line="205" w:lineRule="auto"/>
      <w:ind w:left="4188"/>
      <w:rPr>
        <w:sz w:val="18"/>
        <w:szCs w:val="18"/>
      </w:rPr>
    </w:pPr>
    <w:r>
      <w:rPr>
        <w:i/>
        <w:iCs/>
        <w:color w:val="004098"/>
        <w:spacing w:val="9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</w:pPr>
    <w:r>
      <w:pict>
        <v:shape id="_x0000_i2050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pStyle w:val="BodyText"/>
      <w:spacing w:line="205" w:lineRule="auto"/>
      <w:ind w:left="4188"/>
      <w:rPr>
        <w:sz w:val="18"/>
        <w:szCs w:val="18"/>
      </w:rPr>
    </w:pPr>
    <w:r>
      <w:rPr>
        <w:i/>
        <w:iCs/>
        <w:color w:val="004098"/>
        <w:spacing w:val="9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</w:pPr>
    <w:r>
      <w:pict>
        <v:shape id="_x0000_i2051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pStyle w:val="BodyText"/>
      <w:spacing w:line="205" w:lineRule="auto"/>
      <w:ind w:left="4188"/>
      <w:rPr>
        <w:sz w:val="18"/>
        <w:szCs w:val="18"/>
      </w:rPr>
    </w:pPr>
    <w:r>
      <w:rPr>
        <w:i/>
        <w:iCs/>
        <w:color w:val="004098"/>
        <w:spacing w:val="9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53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P.2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55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P.3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57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P.3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59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P.4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61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P.4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63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P.5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65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P.5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67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P.5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69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P.5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71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P.5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73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P.5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75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P.6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77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P.6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174"/>
    </w:pPr>
    <w:r>
      <w:pict>
        <v:shape id="_x0000_i2079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218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P.7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174"/>
    </w:pPr>
    <w:r>
      <w:pict>
        <v:shape id="_x0000_i2081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218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P.7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174"/>
    </w:pPr>
    <w:r>
      <w:pict>
        <v:shape id="_x0000_i2083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218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P.7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174"/>
    </w:pPr>
    <w:r>
      <w:pict>
        <v:shape id="_x0000_i2085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218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P.7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174"/>
    </w:pPr>
    <w:r>
      <w:pict>
        <v:shape id="_x0000_i2087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218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P.7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174"/>
    </w:pPr>
    <w:r>
      <w:pict>
        <v:shape id="_x0000_i2089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218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P.7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91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P.8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93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P.8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95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P.8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97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P.8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099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P.8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55" w:line="30" w:lineRule="exact"/>
      <w:ind w:firstLine="33"/>
    </w:pPr>
    <w:r>
      <w:pict>
        <v:shape id="_x0000_i2101" style="width:530.95pt;height:1.5pt;mso-position-horizontal-relative:char;mso-position-vertical-relative:line" coordorigin="0,0" coordsize="10619,30" path="m,30l10618,30l10618,l,l,30xe" filled="t" fillcolor="#004098" stroked="f">
          <w10:wrap type="none"/>
        </v:shape>
      </w:pict>
    </w:r>
  </w:p>
  <w:p>
    <w:pPr>
      <w:spacing w:line="207" w:lineRule="auto"/>
      <w:ind w:left="77"/>
      <w:rPr>
        <w:rFonts w:ascii="SimSun" w:eastAsia="SimSun" w:hAnsi="SimSun" w:cs="SimSun"/>
        <w:sz w:val="18"/>
        <w:szCs w:val="18"/>
      </w:rPr>
    </w:pPr>
    <w:r>
      <w:rPr>
        <w:rFonts w:ascii="Tahoma" w:eastAsia="Tahoma" w:hAnsi="Tahoma" w:cs="Tahoma"/>
        <w:b/>
        <w:bCs/>
        <w:color w:val="004098"/>
        <w:spacing w:val="10"/>
        <w:sz w:val="18"/>
        <w:szCs w:val="18"/>
      </w:rPr>
      <w:t>P.8</w:t>
    </w:r>
    <w:r>
      <w:rPr>
        <w:rFonts w:ascii="Tahoma" w:eastAsia="Tahoma" w:hAnsi="Tahoma" w:cs="Tahoma"/>
        <w:b/>
        <w:bCs/>
        <w:color w:val="004098"/>
        <w:spacing w:val="1"/>
        <w:sz w:val="18"/>
        <w:szCs w:val="18"/>
      </w:rPr>
      <w:t xml:space="preserve">                                    </w:t>
    </w:r>
    <w:r>
      <w:rPr>
        <w:rFonts w:ascii="Tahoma" w:eastAsia="Tahoma" w:hAnsi="Tahoma" w:cs="Tahoma"/>
        <w:b/>
        <w:bCs/>
        <w:color w:val="004098"/>
        <w:sz w:val="18"/>
        <w:szCs w:val="18"/>
      </w:rPr>
      <w:t xml:space="preserve">                                    </w:t>
    </w:r>
    <w:r>
      <w:rPr>
        <w:rFonts w:ascii="SimSun" w:eastAsia="SimSun" w:hAnsi="SimSun" w:cs="SimSun"/>
        <w:i/>
        <w:iCs/>
        <w:color w:val="004098"/>
        <w:spacing w:val="10"/>
        <w:sz w:val="18"/>
        <w:szCs w:val="18"/>
        <w14:textOutline w14:w="3265">
          <w14:solidFill>
            <w14:srgbClr w14:val="004098"/>
          </w14:solidFill>
          <w14:prstDash w14:val="solid"/>
          <w14:miter w14:lim="10"/>
        </w14:textOutline>
      </w:rPr>
      <w:t>请仔细阅读本报告末页声明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52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9"/>
      <w:jc w:val="right"/>
      <w:rPr>
        <w:sz w:val="21"/>
        <w:szCs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54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9"/>
      <w:jc w:val="right"/>
      <w:rPr>
        <w:sz w:val="21"/>
        <w:szCs w:val="21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2136093462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093462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56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58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329845484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845484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60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62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207928660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28660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64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591372316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372316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66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601455644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455644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68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680517992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517992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70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369"/>
      <w:rPr>
        <w:sz w:val="21"/>
        <w:szCs w:val="21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506737865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737865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72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68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3" w:name="bookmark3"/>
    <w:bookmarkEnd w:id="3"/>
    <w:bookmarkStart w:id="4" w:name="bookmark4"/>
    <w:bookmarkEnd w:id="4"/>
    <w:bookmarkStart w:id="5" w:name="bookmark5"/>
    <w:bookmarkEnd w:id="5"/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74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382472828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472828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6" w:name="bookmark3_0"/>
    <w:bookmarkEnd w:id="6"/>
    <w:bookmarkStart w:id="7" w:name="bookmark4_0"/>
    <w:bookmarkEnd w:id="7"/>
    <w:bookmarkStart w:id="8" w:name="bookmark5_0"/>
    <w:bookmarkEnd w:id="8"/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76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510"/>
      <w:rPr>
        <w:sz w:val="21"/>
        <w:szCs w:val="21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70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 7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991"/>
    </w:pPr>
    <w:r>
      <w:rPr>
        <w:position w:val="-1"/>
      </w:rPr>
      <w:pict>
        <v:shape id="_x0000_i2078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510"/>
      <w:rPr>
        <w:sz w:val="21"/>
        <w:szCs w:val="21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976992766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92766" name="IM 7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991"/>
    </w:pPr>
    <w:r>
      <w:rPr>
        <w:position w:val="-1"/>
      </w:rPr>
      <w:pict>
        <v:shape id="_x0000_i2080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510"/>
      <w:rPr>
        <w:sz w:val="21"/>
        <w:szCs w:val="21"/>
      </w:rPr>
    </w:pP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507919346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919346" name="IM 7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991"/>
    </w:pPr>
    <w:r>
      <w:rPr>
        <w:position w:val="-1"/>
      </w:rPr>
      <w:pict>
        <v:shape id="_x0000_i2082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510"/>
      <w:rPr>
        <w:sz w:val="21"/>
        <w:szCs w:val="21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822472599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472599" name="IM 7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991"/>
    </w:pPr>
    <w:r>
      <w:rPr>
        <w:position w:val="-1"/>
      </w:rPr>
      <w:pict>
        <v:shape id="_x0000_i2084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510"/>
      <w:rPr>
        <w:sz w:val="21"/>
        <w:szCs w:val="21"/>
      </w:rPr>
    </w:pP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371355077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355077" name="IM 7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991"/>
    </w:pPr>
    <w:r>
      <w:rPr>
        <w:position w:val="-1"/>
      </w:rPr>
      <w:pict>
        <v:shape id="_x0000_i2086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left="9510"/>
      <w:rPr>
        <w:sz w:val="21"/>
        <w:szCs w:val="21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738785024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785024" name="IM 7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991"/>
    </w:pPr>
    <w:r>
      <w:rPr>
        <w:position w:val="-1"/>
      </w:rPr>
      <w:pict>
        <v:shape id="_x0000_i2088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77696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043068294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068294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90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495405335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405335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92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79744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909252086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252086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94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663361707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361707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96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81792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727821961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821961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098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3" w:line="217" w:lineRule="auto"/>
      <w:ind w:right="28"/>
      <w:jc w:val="right"/>
      <w:rPr>
        <w:sz w:val="21"/>
        <w:szCs w:val="21"/>
      </w:rPr>
    </w:pP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388620</wp:posOffset>
          </wp:positionH>
          <wp:positionV relativeFrom="page">
            <wp:posOffset>245110</wp:posOffset>
          </wp:positionV>
          <wp:extent cx="1191044" cy="280669"/>
          <wp:effectExtent l="0" t="0" r="0" b="0"/>
          <wp:wrapNone/>
          <wp:docPr id="1300648797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648797" name="IM 6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91044" cy="280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"/>
        <w:sz w:val="21"/>
        <w:szCs w:val="21"/>
      </w:rPr>
      <w:t>行业投资策略</w:t>
    </w:r>
  </w:p>
  <w:p>
    <w:pPr>
      <w:spacing w:before="9" w:line="20" w:lineRule="exact"/>
      <w:ind w:firstLine="1851"/>
    </w:pPr>
    <w:r>
      <w:rPr>
        <w:position w:val="-1"/>
      </w:rPr>
      <w:pict>
        <v:shape id="_x0000_i2100" style="width:440.1pt;height:1.5pt;mso-position-horizontal-relative:char;mso-position-vertical-relative:line" coordorigin="0,0" coordsize="8802,30" path="m,30l8801,30l8801,l,l,30xe" filled="t" fillcolor="#004098" stroked="f">
          <w10:wrap type="non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19"/>
      <w:szCs w:val="19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ahoma" w:eastAsia="Tahoma" w:hAnsi="Tahoma" w:cs="Tahoma"/>
      <w:sz w:val="16"/>
      <w:szCs w:val="16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1.xml" /><Relationship Id="rId12" Type="http://schemas.openxmlformats.org/officeDocument/2006/relationships/footer" Target="footer4.xml" /><Relationship Id="rId13" Type="http://schemas.openxmlformats.org/officeDocument/2006/relationships/header" Target="header2.xml" /><Relationship Id="rId14" Type="http://schemas.openxmlformats.org/officeDocument/2006/relationships/footer" Target="footer5.xml" /><Relationship Id="rId15" Type="http://schemas.openxmlformats.org/officeDocument/2006/relationships/header" Target="header3.xml" /><Relationship Id="rId16" Type="http://schemas.openxmlformats.org/officeDocument/2006/relationships/footer" Target="footer6.xml" /><Relationship Id="rId17" Type="http://schemas.openxmlformats.org/officeDocument/2006/relationships/header" Target="header4.xml" /><Relationship Id="rId18" Type="http://schemas.openxmlformats.org/officeDocument/2006/relationships/footer" Target="footer7.xml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image" Target="media/image6.png" /><Relationship Id="rId22" Type="http://schemas.openxmlformats.org/officeDocument/2006/relationships/image" Target="media/image7.png" /><Relationship Id="rId23" Type="http://schemas.openxmlformats.org/officeDocument/2006/relationships/header" Target="header6.xml" /><Relationship Id="rId24" Type="http://schemas.openxmlformats.org/officeDocument/2006/relationships/footer" Target="footer9.xml" /><Relationship Id="rId25" Type="http://schemas.openxmlformats.org/officeDocument/2006/relationships/image" Target="media/image9.png" /><Relationship Id="rId26" Type="http://schemas.openxmlformats.org/officeDocument/2006/relationships/image" Target="media/image10.png" /><Relationship Id="rId27" Type="http://schemas.openxmlformats.org/officeDocument/2006/relationships/image" Target="media/image11.png" /><Relationship Id="rId28" Type="http://schemas.openxmlformats.org/officeDocument/2006/relationships/image" Target="media/image12.png" /><Relationship Id="rId29" Type="http://schemas.openxmlformats.org/officeDocument/2006/relationships/image" Target="media/image13.png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image" Target="media/image15.png" /><Relationship Id="rId32" Type="http://schemas.openxmlformats.org/officeDocument/2006/relationships/image" Target="media/image16.png" /><Relationship Id="rId33" Type="http://schemas.openxmlformats.org/officeDocument/2006/relationships/header" Target="header7.xml" /><Relationship Id="rId34" Type="http://schemas.openxmlformats.org/officeDocument/2006/relationships/footer" Target="footer10.xml" /><Relationship Id="rId35" Type="http://schemas.openxmlformats.org/officeDocument/2006/relationships/header" Target="header8.xml" /><Relationship Id="rId36" Type="http://schemas.openxmlformats.org/officeDocument/2006/relationships/footer" Target="footer11.xml" /><Relationship Id="rId37" Type="http://schemas.openxmlformats.org/officeDocument/2006/relationships/image" Target="media/image17.png" /><Relationship Id="rId38" Type="http://schemas.openxmlformats.org/officeDocument/2006/relationships/image" Target="media/image18.png" /><Relationship Id="rId39" Type="http://schemas.openxmlformats.org/officeDocument/2006/relationships/header" Target="header9.xml" /><Relationship Id="rId4" Type="http://schemas.openxmlformats.org/officeDocument/2006/relationships/image" Target="media/image1.png" /><Relationship Id="rId40" Type="http://schemas.openxmlformats.org/officeDocument/2006/relationships/footer" Target="footer12.xml" /><Relationship Id="rId41" Type="http://schemas.openxmlformats.org/officeDocument/2006/relationships/image" Target="media/image19.png" /><Relationship Id="rId42" Type="http://schemas.openxmlformats.org/officeDocument/2006/relationships/image" Target="media/image20.jpeg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header" Target="header10.xml" /><Relationship Id="rId46" Type="http://schemas.openxmlformats.org/officeDocument/2006/relationships/footer" Target="footer13.xml" /><Relationship Id="rId47" Type="http://schemas.openxmlformats.org/officeDocument/2006/relationships/header" Target="header11.xml" /><Relationship Id="rId48" Type="http://schemas.openxmlformats.org/officeDocument/2006/relationships/footer" Target="footer14.xml" /><Relationship Id="rId49" Type="http://schemas.openxmlformats.org/officeDocument/2006/relationships/header" Target="header12.xml" /><Relationship Id="rId5" Type="http://schemas.openxmlformats.org/officeDocument/2006/relationships/image" Target="media/image2.png" /><Relationship Id="rId50" Type="http://schemas.openxmlformats.org/officeDocument/2006/relationships/footer" Target="footer15.xml" /><Relationship Id="rId51" Type="http://schemas.openxmlformats.org/officeDocument/2006/relationships/header" Target="header13.xml" /><Relationship Id="rId52" Type="http://schemas.openxmlformats.org/officeDocument/2006/relationships/footer" Target="footer16.xml" /><Relationship Id="rId53" Type="http://schemas.openxmlformats.org/officeDocument/2006/relationships/image" Target="media/image23.png" /><Relationship Id="rId54" Type="http://schemas.openxmlformats.org/officeDocument/2006/relationships/header" Target="header14.xml" /><Relationship Id="rId55" Type="http://schemas.openxmlformats.org/officeDocument/2006/relationships/footer" Target="footer17.xml" /><Relationship Id="rId56" Type="http://schemas.openxmlformats.org/officeDocument/2006/relationships/image" Target="media/image24.png" /><Relationship Id="rId57" Type="http://schemas.openxmlformats.org/officeDocument/2006/relationships/header" Target="header15.xml" /><Relationship Id="rId58" Type="http://schemas.openxmlformats.org/officeDocument/2006/relationships/footer" Target="footer18.xml" /><Relationship Id="rId59" Type="http://schemas.openxmlformats.org/officeDocument/2006/relationships/header" Target="header16.xml" /><Relationship Id="rId6" Type="http://schemas.openxmlformats.org/officeDocument/2006/relationships/image" Target="media/image3.png" /><Relationship Id="rId60" Type="http://schemas.openxmlformats.org/officeDocument/2006/relationships/footer" Target="footer19.xml" /><Relationship Id="rId61" Type="http://schemas.openxmlformats.org/officeDocument/2006/relationships/header" Target="header17.xml" /><Relationship Id="rId62" Type="http://schemas.openxmlformats.org/officeDocument/2006/relationships/footer" Target="footer20.xml" /><Relationship Id="rId63" Type="http://schemas.openxmlformats.org/officeDocument/2006/relationships/header" Target="header18.xml" /><Relationship Id="rId64" Type="http://schemas.openxmlformats.org/officeDocument/2006/relationships/footer" Target="footer21.xml" /><Relationship Id="rId65" Type="http://schemas.openxmlformats.org/officeDocument/2006/relationships/header" Target="header19.xml" /><Relationship Id="rId66" Type="http://schemas.openxmlformats.org/officeDocument/2006/relationships/footer" Target="footer22.xml" /><Relationship Id="rId67" Type="http://schemas.openxmlformats.org/officeDocument/2006/relationships/image" Target="media/image25.png" /><Relationship Id="rId68" Type="http://schemas.openxmlformats.org/officeDocument/2006/relationships/image" Target="media/image26.png" /><Relationship Id="rId69" Type="http://schemas.openxmlformats.org/officeDocument/2006/relationships/image" Target="media/image27.png" /><Relationship Id="rId7" Type="http://schemas.openxmlformats.org/officeDocument/2006/relationships/footer" Target="footer1.xml" /><Relationship Id="rId70" Type="http://schemas.openxmlformats.org/officeDocument/2006/relationships/header" Target="header20.xml" /><Relationship Id="rId71" Type="http://schemas.openxmlformats.org/officeDocument/2006/relationships/footer" Target="footer23.xml" /><Relationship Id="rId72" Type="http://schemas.openxmlformats.org/officeDocument/2006/relationships/image" Target="media/image28.png" /><Relationship Id="rId73" Type="http://schemas.openxmlformats.org/officeDocument/2006/relationships/image" Target="media/image29.png" /><Relationship Id="rId74" Type="http://schemas.openxmlformats.org/officeDocument/2006/relationships/image" Target="media/image30.png" /><Relationship Id="rId75" Type="http://schemas.openxmlformats.org/officeDocument/2006/relationships/image" Target="media/image31.png" /><Relationship Id="rId76" Type="http://schemas.openxmlformats.org/officeDocument/2006/relationships/image" Target="media/image32.png" /><Relationship Id="rId77" Type="http://schemas.openxmlformats.org/officeDocument/2006/relationships/image" Target="media/image33.png" /><Relationship Id="rId78" Type="http://schemas.openxmlformats.org/officeDocument/2006/relationships/image" Target="media/image34.png" /><Relationship Id="rId79" Type="http://schemas.openxmlformats.org/officeDocument/2006/relationships/image" Target="media/image35.png" /><Relationship Id="rId8" Type="http://schemas.openxmlformats.org/officeDocument/2006/relationships/footer" Target="footer2.xml" /><Relationship Id="rId80" Type="http://schemas.openxmlformats.org/officeDocument/2006/relationships/header" Target="header21.xml" /><Relationship Id="rId81" Type="http://schemas.openxmlformats.org/officeDocument/2006/relationships/footer" Target="footer24.xml" /><Relationship Id="rId82" Type="http://schemas.openxmlformats.org/officeDocument/2006/relationships/header" Target="header22.xml" /><Relationship Id="rId83" Type="http://schemas.openxmlformats.org/officeDocument/2006/relationships/footer" Target="footer25.xml" /><Relationship Id="rId84" Type="http://schemas.openxmlformats.org/officeDocument/2006/relationships/image" Target="media/image36.jpeg" /><Relationship Id="rId85" Type="http://schemas.openxmlformats.org/officeDocument/2006/relationships/image" Target="media/image37.png" /><Relationship Id="rId86" Type="http://schemas.openxmlformats.org/officeDocument/2006/relationships/image" Target="media/image38.png" /><Relationship Id="rId87" Type="http://schemas.openxmlformats.org/officeDocument/2006/relationships/image" Target="media/image39.png" /><Relationship Id="rId88" Type="http://schemas.openxmlformats.org/officeDocument/2006/relationships/header" Target="header23.xml" /><Relationship Id="rId89" Type="http://schemas.openxmlformats.org/officeDocument/2006/relationships/footer" Target="footer26.xml" /><Relationship Id="rId9" Type="http://schemas.openxmlformats.org/officeDocument/2006/relationships/image" Target="media/image4.png" /><Relationship Id="rId90" Type="http://schemas.openxmlformats.org/officeDocument/2006/relationships/header" Target="header24.xml" /><Relationship Id="rId91" Type="http://schemas.openxmlformats.org/officeDocument/2006/relationships/footer" Target="footer27.xml" /><Relationship Id="rId92" Type="http://schemas.openxmlformats.org/officeDocument/2006/relationships/hyperlink" Target="https://d.book118.com/545243234201011111" TargetMode="External" /><Relationship Id="rId93" Type="http://schemas.openxmlformats.org/officeDocument/2006/relationships/header" Target="header25.xml" /><Relationship Id="rId94" Type="http://schemas.openxmlformats.org/officeDocument/2006/relationships/footer" Target="footer28.xml" /><Relationship Id="rId95" Type="http://schemas.openxmlformats.org/officeDocument/2006/relationships/theme" Target="theme/theme1.xml" /><Relationship Id="rId96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2024-02-22T14:29:46Z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2024-02-22T14:45:12Z</vt:filetime>
  </property>
  <property fmtid="{D5CDD505-2E9C-101B-9397-08002B2CF9AE}" pid="3" name="CRO">
    <vt:lpwstr>wqlLaW5nc29mdCBQREYgdG8gV1BTIDkw</vt:lpwstr>
  </property>
</Properties>
</file>