
<file path=[Content_Types].xml><?xml version="1.0" encoding="utf-8"?>
<Types xmlns="http://schemas.openxmlformats.org/package/2006/content-types">
  <Default Extension="emf" ContentType="image/x-emf"/>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900" w:lineRule="exact"/>
        <w:jc w:val="center"/>
        <w:rPr>
          <w:rFonts w:hint="eastAsia"/>
          <w:b/>
          <w:color w:val="000000"/>
          <w:spacing w:val="-20"/>
          <w:kern w:val="0"/>
          <w:sz w:val="52"/>
          <w:szCs w:val="52"/>
        </w:rPr>
      </w:pPr>
    </w:p>
    <w:p>
      <w:pPr>
        <w:spacing w:line="900" w:lineRule="exact"/>
        <w:jc w:val="center"/>
        <w:rPr>
          <w:rFonts w:hint="eastAsia"/>
          <w:b/>
          <w:color w:val="000000"/>
          <w:spacing w:val="-20"/>
          <w:kern w:val="0"/>
          <w:sz w:val="52"/>
          <w:szCs w:val="52"/>
        </w:rPr>
      </w:pPr>
      <w:r>
        <w:rPr>
          <w:rFonts w:hint="eastAsia"/>
          <w:b/>
          <w:color w:val="000000"/>
          <w:spacing w:val="-20"/>
          <w:kern w:val="0"/>
          <w:sz w:val="52"/>
          <w:szCs w:val="52"/>
        </w:rPr>
        <w:t>浙江广播电视大学瑞安分校</w:t>
      </w:r>
    </w:p>
    <w:p>
      <w:pPr>
        <w:spacing w:line="900" w:lineRule="exact"/>
        <w:jc w:val="center"/>
        <w:rPr>
          <w:rFonts w:hint="eastAsia"/>
          <w:b/>
          <w:color w:val="000000"/>
          <w:spacing w:val="-20"/>
          <w:kern w:val="0"/>
          <w:sz w:val="52"/>
          <w:szCs w:val="52"/>
        </w:rPr>
      </w:pPr>
      <w:r>
        <w:rPr>
          <w:rFonts w:hint="eastAsia"/>
          <w:b/>
          <w:color w:val="000000"/>
          <w:spacing w:val="-20"/>
          <w:kern w:val="0"/>
          <w:sz w:val="52"/>
          <w:szCs w:val="52"/>
        </w:rPr>
        <w:t>新校区工程深基坑施工</w:t>
      </w:r>
    </w:p>
    <w:p>
      <w:pPr>
        <w:tabs>
          <w:tab w:val="center" w:pos="4407"/>
          <w:tab w:val="left" w:pos="6584"/>
        </w:tabs>
        <w:spacing w:line="1000" w:lineRule="exact"/>
        <w:jc w:val="center"/>
        <w:rPr>
          <w:rFonts w:ascii="宋体" w:hAnsi="宋体" w:hint="eastAsia"/>
          <w:b/>
          <w:color w:val="000000"/>
          <w:sz w:val="60"/>
          <w:szCs w:val="60"/>
        </w:rPr>
      </w:pPr>
      <w:r>
        <w:rPr>
          <w:rFonts w:ascii="宋体" w:hAnsi="宋体" w:hint="eastAsia"/>
          <w:b/>
          <w:color w:val="000000"/>
          <w:sz w:val="60"/>
          <w:szCs w:val="60"/>
        </w:rPr>
        <w:t>专</w:t>
      </w:r>
    </w:p>
    <w:p>
      <w:pPr>
        <w:spacing w:line="1000" w:lineRule="exact"/>
        <w:jc w:val="center"/>
        <w:rPr>
          <w:rFonts w:ascii="宋体" w:hAnsi="宋体" w:hint="eastAsia"/>
          <w:b/>
          <w:color w:val="000000"/>
          <w:sz w:val="60"/>
          <w:szCs w:val="60"/>
        </w:rPr>
      </w:pPr>
      <w:r>
        <w:rPr>
          <w:rFonts w:ascii="宋体" w:hAnsi="宋体" w:hint="eastAsia"/>
          <w:b/>
          <w:color w:val="000000"/>
          <w:sz w:val="60"/>
          <w:szCs w:val="60"/>
        </w:rPr>
        <w:t>项</w:t>
      </w:r>
    </w:p>
    <w:p>
      <w:pPr>
        <w:spacing w:line="1000" w:lineRule="exact"/>
        <w:jc w:val="center"/>
        <w:rPr>
          <w:rFonts w:ascii="宋体" w:hAnsi="宋体" w:hint="eastAsia"/>
          <w:b/>
          <w:color w:val="000000"/>
          <w:sz w:val="60"/>
          <w:szCs w:val="60"/>
        </w:rPr>
      </w:pPr>
      <w:r>
        <w:rPr>
          <w:rFonts w:ascii="宋体" w:hAnsi="宋体" w:hint="eastAsia"/>
          <w:b/>
          <w:color w:val="000000"/>
          <w:sz w:val="60"/>
          <w:szCs w:val="60"/>
        </w:rPr>
        <w:t>施</w:t>
      </w:r>
    </w:p>
    <w:p>
      <w:pPr>
        <w:spacing w:line="1000" w:lineRule="exact"/>
        <w:jc w:val="center"/>
        <w:rPr>
          <w:rFonts w:ascii="宋体" w:hAnsi="宋体" w:hint="eastAsia"/>
          <w:b/>
          <w:color w:val="000000"/>
          <w:sz w:val="60"/>
          <w:szCs w:val="60"/>
        </w:rPr>
      </w:pPr>
      <w:r>
        <w:rPr>
          <w:rFonts w:ascii="宋体" w:hAnsi="宋体" w:hint="eastAsia"/>
          <w:b/>
          <w:color w:val="000000"/>
          <w:sz w:val="60"/>
          <w:szCs w:val="60"/>
        </w:rPr>
        <w:t>工</w:t>
      </w:r>
    </w:p>
    <w:p>
      <w:pPr>
        <w:spacing w:line="1000" w:lineRule="exact"/>
        <w:jc w:val="center"/>
        <w:rPr>
          <w:rFonts w:ascii="宋体" w:hAnsi="宋体" w:hint="eastAsia"/>
          <w:b/>
          <w:color w:val="000000"/>
          <w:sz w:val="60"/>
          <w:szCs w:val="60"/>
        </w:rPr>
      </w:pPr>
      <w:r>
        <w:rPr>
          <w:rFonts w:ascii="宋体" w:hAnsi="宋体" w:hint="eastAsia"/>
          <w:b/>
          <w:color w:val="000000"/>
          <w:sz w:val="60"/>
          <w:szCs w:val="60"/>
        </w:rPr>
        <w:t>方</w:t>
      </w:r>
    </w:p>
    <w:p>
      <w:pPr>
        <w:spacing w:line="1000" w:lineRule="exact"/>
        <w:jc w:val="center"/>
        <w:rPr>
          <w:rFonts w:ascii="宋体" w:hAnsi="宋体" w:hint="eastAsia"/>
          <w:b/>
          <w:bCs/>
          <w:color w:val="000000"/>
          <w:sz w:val="60"/>
          <w:szCs w:val="60"/>
        </w:rPr>
      </w:pPr>
      <w:r>
        <w:rPr>
          <w:rFonts w:ascii="宋体" w:hAnsi="宋体" w:hint="eastAsia"/>
          <w:b/>
          <w:color w:val="000000"/>
          <w:sz w:val="60"/>
          <w:szCs w:val="60"/>
        </w:rPr>
        <w:t>案</w:t>
      </w:r>
    </w:p>
    <w:p>
      <w:pPr>
        <w:spacing w:line="540" w:lineRule="exact"/>
        <w:rPr>
          <w:rFonts w:ascii="宋体" w:hAnsi="宋体" w:hint="eastAsia"/>
          <w:b/>
          <w:bCs/>
          <w:color w:val="000000"/>
          <w:sz w:val="18"/>
          <w:szCs w:val="18"/>
        </w:rPr>
      </w:pPr>
    </w:p>
    <w:p>
      <w:pPr>
        <w:tabs>
          <w:tab w:val="left" w:pos="2250"/>
        </w:tabs>
        <w:spacing w:line="540" w:lineRule="exact"/>
        <w:rPr>
          <w:rFonts w:ascii="宋体" w:hAnsi="宋体" w:hint="eastAsia"/>
          <w:color w:val="000000"/>
          <w:sz w:val="36"/>
          <w:szCs w:val="36"/>
        </w:rPr>
      </w:pPr>
      <w:r>
        <w:rPr>
          <w:rFonts w:ascii="宋体" w:hAnsi="宋体" w:hint="eastAsia"/>
          <w:color w:val="000000"/>
          <w:sz w:val="36"/>
          <w:szCs w:val="36"/>
        </w:rPr>
        <w:t xml:space="preserve">            编制人：</w:t>
      </w:r>
      <w:r>
        <w:rPr>
          <w:rFonts w:ascii="宋体" w:hAnsi="宋体" w:hint="eastAsia"/>
          <w:color w:val="000000"/>
          <w:sz w:val="36"/>
          <w:szCs w:val="36"/>
          <w:u w:val="single"/>
        </w:rPr>
        <w:t xml:space="preserve">                 </w:t>
      </w:r>
    </w:p>
    <w:p>
      <w:pPr>
        <w:tabs>
          <w:tab w:val="left" w:pos="2250"/>
        </w:tabs>
        <w:spacing w:line="540" w:lineRule="exact"/>
        <w:rPr>
          <w:rFonts w:ascii="宋体" w:hAnsi="宋体" w:hint="eastAsia"/>
          <w:color w:val="000000"/>
          <w:sz w:val="36"/>
          <w:szCs w:val="36"/>
        </w:rPr>
      </w:pPr>
      <w:r>
        <w:rPr>
          <w:rFonts w:ascii="宋体" w:hAnsi="宋体" w:hint="eastAsia"/>
          <w:color w:val="000000"/>
          <w:sz w:val="36"/>
          <w:szCs w:val="36"/>
        </w:rPr>
        <w:t xml:space="preserve">            审核人：</w:t>
      </w:r>
      <w:r>
        <w:rPr>
          <w:rFonts w:ascii="宋体" w:hAnsi="宋体" w:hint="eastAsia"/>
          <w:color w:val="000000"/>
          <w:sz w:val="36"/>
          <w:szCs w:val="36"/>
          <w:u w:val="single"/>
        </w:rPr>
        <w:t xml:space="preserve">                 </w:t>
      </w:r>
    </w:p>
    <w:p>
      <w:pPr>
        <w:tabs>
          <w:tab w:val="left" w:pos="2250"/>
        </w:tabs>
        <w:spacing w:line="540" w:lineRule="exact"/>
        <w:rPr>
          <w:rFonts w:ascii="宋体" w:hAnsi="宋体" w:hint="eastAsia"/>
          <w:color w:val="000000"/>
          <w:sz w:val="36"/>
          <w:szCs w:val="36"/>
        </w:rPr>
      </w:pPr>
      <w:r>
        <w:rPr>
          <w:rFonts w:ascii="宋体" w:hAnsi="宋体" w:hint="eastAsia"/>
          <w:color w:val="000000"/>
          <w:sz w:val="36"/>
          <w:szCs w:val="36"/>
        </w:rPr>
        <w:t xml:space="preserve">            批准人：</w:t>
      </w:r>
      <w:r>
        <w:rPr>
          <w:rFonts w:ascii="宋体" w:hAnsi="宋体" w:hint="eastAsia"/>
          <w:color w:val="000000"/>
          <w:sz w:val="36"/>
          <w:szCs w:val="36"/>
          <w:u w:val="single"/>
        </w:rPr>
        <w:t xml:space="preserve">                 </w:t>
      </w:r>
    </w:p>
    <w:p>
      <w:pPr>
        <w:tabs>
          <w:tab w:val="left" w:pos="1935"/>
        </w:tabs>
        <w:spacing w:line="540" w:lineRule="exact"/>
        <w:rPr>
          <w:rFonts w:ascii="宋体" w:hAnsi="宋体" w:hint="eastAsia"/>
          <w:color w:val="000000"/>
          <w:sz w:val="44"/>
          <w:szCs w:val="44"/>
        </w:rPr>
      </w:pPr>
    </w:p>
    <w:p>
      <w:pPr>
        <w:tabs>
          <w:tab w:val="left" w:pos="1935"/>
        </w:tabs>
        <w:spacing w:line="540" w:lineRule="exact"/>
        <w:jc w:val="center"/>
        <w:rPr>
          <w:rFonts w:ascii="宋体" w:hAnsi="宋体"/>
          <w:color w:val="000000"/>
          <w:sz w:val="32"/>
          <w:szCs w:val="32"/>
        </w:rPr>
      </w:pPr>
      <w:r>
        <w:rPr>
          <w:rFonts w:ascii="宋体" w:hAnsi="宋体" w:hint="eastAsia"/>
          <w:color w:val="000000"/>
          <w:sz w:val="32"/>
          <w:szCs w:val="32"/>
        </w:rPr>
        <w:t>杭州建工集团有限责任公司</w:t>
      </w:r>
    </w:p>
    <w:p>
      <w:pPr>
        <w:tabs>
          <w:tab w:val="left" w:pos="1935"/>
        </w:tabs>
        <w:spacing w:line="540" w:lineRule="exact"/>
        <w:ind w:firstLine="3360" w:firstLineChars="1050"/>
        <w:rPr>
          <w:rFonts w:ascii="宋体" w:hAnsi="宋体" w:hint="eastAsia"/>
          <w:color w:val="000000"/>
          <w:sz w:val="32"/>
          <w:szCs w:val="32"/>
        </w:rPr>
      </w:pPr>
      <w:r>
        <w:rPr>
          <w:rFonts w:ascii="宋体" w:hAnsi="宋体" w:hint="eastAsia"/>
          <w:color w:val="000000"/>
          <w:sz w:val="32"/>
          <w:szCs w:val="32"/>
        </w:rPr>
        <w:t>二O一二年四月</w:t>
      </w:r>
    </w:p>
    <w:p>
      <w:pPr>
        <w:tabs>
          <w:tab w:val="left" w:pos="1935"/>
        </w:tabs>
        <w:spacing w:line="540" w:lineRule="exact"/>
        <w:ind w:firstLine="3360" w:firstLineChars="1050"/>
        <w:rPr>
          <w:rFonts w:ascii="宋体" w:hAnsi="宋体" w:hint="eastAsia"/>
          <w:color w:val="000000"/>
          <w:sz w:val="32"/>
          <w:szCs w:val="32"/>
        </w:rPr>
      </w:pPr>
    </w:p>
    <w:p>
      <w:pPr>
        <w:tabs>
          <w:tab w:val="left" w:pos="1935"/>
        </w:tabs>
        <w:spacing w:line="540" w:lineRule="exact"/>
        <w:ind w:firstLine="3360" w:firstLineChars="1050"/>
        <w:rPr>
          <w:rFonts w:ascii="宋体" w:hAnsi="宋体" w:hint="eastAsia"/>
          <w:color w:val="000000"/>
          <w:sz w:val="32"/>
          <w:szCs w:val="32"/>
        </w:rPr>
        <w:sectPr>
          <w:footerReference w:type="even" r:id="rId4"/>
          <w:pgSz w:w="11906" w:h="16838"/>
          <w:pgMar w:top="1440" w:right="1800" w:bottom="1440" w:left="1800" w:header="851" w:footer="992" w:gutter="0"/>
          <w:cols w:space="708"/>
          <w:docGrid w:type="lines" w:linePitch="312"/>
        </w:sectPr>
      </w:pPr>
    </w:p>
    <w:p>
      <w:pPr>
        <w:pStyle w:val="TOC2"/>
        <w:tabs>
          <w:tab w:val="right" w:leader="dot" w:pos="8296"/>
        </w:tabs>
        <w:rPr>
          <w:rFonts w:hint="eastAsia"/>
        </w:rPr>
      </w:pPr>
      <w:r>
        <w:rPr>
          <w:rFonts w:hint="eastAsia"/>
        </w:rPr>
        <w:t>目   录</w:t>
      </w:r>
    </w:p>
    <w:p>
      <w:pPr>
        <w:pStyle w:val="TOC2"/>
        <w:tabs>
          <w:tab w:val="right" w:leader="dot" w:pos="8296"/>
        </w:tabs>
        <w:rPr>
          <w:rFonts w:hint="eastAsia"/>
        </w:rPr>
      </w:pPr>
    </w:p>
    <w:p>
      <w:pPr>
        <w:pStyle w:val="TOC2"/>
        <w:tabs>
          <w:tab w:val="right" w:leader="dot" w:pos="8296"/>
        </w:tabs>
        <w:rPr>
          <w:rStyle w:val="Hyperlink"/>
          <w:rFonts w:hint="eastAsia"/>
          <w:sz w:val="28"/>
          <w:szCs w:val="28"/>
        </w:rPr>
      </w:pPr>
      <w:r>
        <w:fldChar w:fldCharType="begin"/>
      </w:r>
      <w:r>
        <w:instrText xml:space="preserve"> </w:instrText>
      </w:r>
      <w:r>
        <w:rPr>
          <w:rFonts w:hint="eastAsia"/>
        </w:rPr>
        <w:instrText>TOC \o "1-2" \h \z \u</w:instrText>
      </w:r>
      <w:r>
        <w:instrText xml:space="preserve"> </w:instrText>
      </w:r>
      <w:r>
        <w:fldChar w:fldCharType="separate"/>
      </w:r>
      <w:hyperlink w:anchor="_Toc306698520" w:history="1">
        <w:r>
          <w:rPr>
            <w:rStyle w:val="Hyperlink"/>
            <w:rFonts w:hint="eastAsia"/>
            <w:b w:val="0"/>
            <w:sz w:val="28"/>
            <w:szCs w:val="28"/>
          </w:rPr>
          <w:t>第一章</w:t>
        </w:r>
        <w:r>
          <w:rPr>
            <w:rStyle w:val="Hyperlink"/>
            <w:b w:val="0"/>
            <w:sz w:val="28"/>
            <w:szCs w:val="28"/>
          </w:rPr>
          <w:t xml:space="preserve"> </w:t>
        </w:r>
        <w:r>
          <w:rPr>
            <w:rStyle w:val="Hyperlink"/>
            <w:rFonts w:hint="eastAsia"/>
            <w:b w:val="0"/>
            <w:sz w:val="28"/>
            <w:szCs w:val="28"/>
          </w:rPr>
          <w:t>工程概况</w:t>
        </w:r>
        <w:r>
          <w:rPr>
            <w:b w:val="0"/>
          </w:rPr>
          <w:tab/>
        </w:r>
        <w:r>
          <w:rPr>
            <w:rStyle w:val="Hyperlink"/>
            <w:rFonts w:ascii="黑体"/>
            <w:sz w:val="28"/>
            <w:szCs w:val="28"/>
          </w:rPr>
          <w:fldChar w:fldCharType="begin"/>
        </w:r>
        <w:r>
          <w:rPr>
            <w:rStyle w:val="Hyperlink"/>
            <w:rFonts w:ascii="黑体"/>
            <w:sz w:val="28"/>
            <w:szCs w:val="28"/>
          </w:rPr>
          <w:instrText xml:space="preserve"> PAGEREF _Toc306698520 \h </w:instrText>
        </w:r>
        <w:r>
          <w:rPr>
            <w:rStyle w:val="Hyperlink"/>
            <w:rFonts w:ascii="黑体"/>
            <w:sz w:val="28"/>
            <w:szCs w:val="28"/>
          </w:rPr>
          <w:fldChar w:fldCharType="separate"/>
        </w:r>
        <w:r>
          <w:rPr>
            <w:rStyle w:val="Hyperlink"/>
            <w:rFonts w:ascii="黑体"/>
            <w:sz w:val="28"/>
            <w:szCs w:val="28"/>
          </w:rPr>
          <w:t>3</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21" w:history="1">
        <w:r>
          <w:rPr>
            <w:rStyle w:val="Hyperlink"/>
            <w:rFonts w:ascii="黑体" w:hint="eastAsia"/>
            <w:b w:val="0"/>
            <w:sz w:val="28"/>
            <w:szCs w:val="28"/>
          </w:rPr>
          <w:t>第二章</w:t>
        </w:r>
        <w:r>
          <w:rPr>
            <w:rStyle w:val="Hyperlink"/>
            <w:rFonts w:ascii="黑体"/>
            <w:b w:val="0"/>
            <w:sz w:val="28"/>
            <w:szCs w:val="28"/>
          </w:rPr>
          <w:t xml:space="preserve"> </w:t>
        </w:r>
        <w:r>
          <w:rPr>
            <w:rStyle w:val="Hyperlink"/>
            <w:rFonts w:ascii="黑体" w:hint="eastAsia"/>
            <w:b w:val="0"/>
            <w:sz w:val="28"/>
            <w:szCs w:val="28"/>
          </w:rPr>
          <w:t>深基坑工程专项施工方案编制依据</w:t>
        </w:r>
        <w:bookmarkStart w:id="0" w:name="_Hlt306700877"/>
        <w:r>
          <w:rPr>
            <w:b w:val="0"/>
          </w:rPr>
          <w:tab/>
        </w:r>
        <w:bookmarkEnd w:id="0"/>
        <w:r>
          <w:rPr>
            <w:rStyle w:val="Hyperlink"/>
            <w:rFonts w:ascii="黑体"/>
            <w:sz w:val="28"/>
            <w:szCs w:val="28"/>
          </w:rPr>
          <w:fldChar w:fldCharType="begin"/>
        </w:r>
        <w:r>
          <w:rPr>
            <w:rStyle w:val="Hyperlink"/>
            <w:rFonts w:ascii="黑体"/>
            <w:sz w:val="28"/>
            <w:szCs w:val="28"/>
          </w:rPr>
          <w:instrText xml:space="preserve"> PAGEREF _Toc306698521 \h </w:instrText>
        </w:r>
        <w:r>
          <w:rPr>
            <w:rStyle w:val="Hyperlink"/>
            <w:rFonts w:ascii="黑体"/>
            <w:sz w:val="28"/>
            <w:szCs w:val="28"/>
          </w:rPr>
          <w:fldChar w:fldCharType="separate"/>
        </w:r>
        <w:r>
          <w:rPr>
            <w:rStyle w:val="Hyperlink"/>
            <w:rFonts w:ascii="黑体"/>
            <w:sz w:val="28"/>
            <w:szCs w:val="28"/>
          </w:rPr>
          <w:t>5</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ascii="黑体" w:hint="eastAsia"/>
          <w:sz w:val="28"/>
          <w:szCs w:val="28"/>
        </w:rPr>
      </w:pPr>
      <w:hyperlink w:anchor="_Toc306698522" w:history="1">
        <w:r>
          <w:rPr>
            <w:rStyle w:val="Hyperlink"/>
            <w:rFonts w:ascii="黑体" w:hint="eastAsia"/>
            <w:b w:val="0"/>
            <w:sz w:val="28"/>
            <w:szCs w:val="28"/>
          </w:rPr>
          <w:t>第三章</w:t>
        </w:r>
        <w:r>
          <w:rPr>
            <w:rStyle w:val="Hyperlink"/>
            <w:rFonts w:ascii="黑体"/>
            <w:b w:val="0"/>
            <w:sz w:val="28"/>
            <w:szCs w:val="28"/>
          </w:rPr>
          <w:t xml:space="preserve"> </w:t>
        </w:r>
        <w:r>
          <w:rPr>
            <w:rStyle w:val="Hyperlink"/>
            <w:rFonts w:ascii="黑体" w:hint="eastAsia"/>
            <w:b w:val="0"/>
            <w:sz w:val="28"/>
            <w:szCs w:val="28"/>
          </w:rPr>
          <w:t>工程场地地质条件</w:t>
        </w:r>
        <w:r>
          <w:tab/>
        </w:r>
        <w:r>
          <w:rPr>
            <w:rStyle w:val="Hyperlink"/>
            <w:rFonts w:ascii="黑体"/>
            <w:b w:val="0"/>
            <w:sz w:val="28"/>
            <w:szCs w:val="28"/>
          </w:rPr>
          <w:fldChar w:fldCharType="begin"/>
        </w:r>
        <w:r>
          <w:rPr>
            <w:rStyle w:val="Hyperlink"/>
            <w:rFonts w:ascii="黑体"/>
            <w:b w:val="0"/>
            <w:sz w:val="28"/>
            <w:szCs w:val="28"/>
          </w:rPr>
          <w:instrText xml:space="preserve"> PAGEREF _Toc306698522 \h </w:instrText>
        </w:r>
        <w:r>
          <w:rPr>
            <w:rStyle w:val="Hyperlink"/>
            <w:rFonts w:ascii="黑体"/>
            <w:b w:val="0"/>
            <w:sz w:val="28"/>
            <w:szCs w:val="28"/>
          </w:rPr>
          <w:fldChar w:fldCharType="separate"/>
        </w:r>
        <w:r>
          <w:rPr>
            <w:rStyle w:val="Hyperlink"/>
            <w:rFonts w:ascii="黑体"/>
            <w:b w:val="0"/>
            <w:sz w:val="28"/>
            <w:szCs w:val="28"/>
          </w:rPr>
          <w:t>6</w:t>
        </w:r>
        <w:r>
          <w:rPr>
            <w:rStyle w:val="Hyperlink"/>
            <w:rFonts w:ascii="黑体"/>
            <w:b w:val="0"/>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26" w:history="1">
        <w:r>
          <w:rPr>
            <w:rStyle w:val="Hyperlink"/>
            <w:rFonts w:ascii="黑体" w:hint="eastAsia"/>
            <w:b w:val="0"/>
            <w:sz w:val="28"/>
            <w:szCs w:val="28"/>
          </w:rPr>
          <w:t>第四章</w:t>
        </w:r>
        <w:r>
          <w:rPr>
            <w:rStyle w:val="Hyperlink"/>
            <w:rFonts w:ascii="黑体"/>
            <w:b w:val="0"/>
            <w:sz w:val="28"/>
            <w:szCs w:val="28"/>
          </w:rPr>
          <w:t xml:space="preserve"> </w:t>
        </w:r>
        <w:r>
          <w:rPr>
            <w:rStyle w:val="Hyperlink"/>
            <w:rFonts w:ascii="黑体" w:hint="eastAsia"/>
            <w:b w:val="0"/>
            <w:sz w:val="28"/>
            <w:szCs w:val="28"/>
          </w:rPr>
          <w:t>围护结构设计概况</w:t>
        </w:r>
        <w:r>
          <w:rPr>
            <w:b w:val="0"/>
          </w:rPr>
          <w:tab/>
        </w:r>
        <w:r>
          <w:rPr>
            <w:rStyle w:val="Hyperlink"/>
            <w:rFonts w:ascii="黑体"/>
            <w:sz w:val="28"/>
            <w:szCs w:val="28"/>
          </w:rPr>
          <w:fldChar w:fldCharType="begin"/>
        </w:r>
        <w:r>
          <w:rPr>
            <w:rStyle w:val="Hyperlink"/>
            <w:rFonts w:ascii="黑体"/>
            <w:sz w:val="28"/>
            <w:szCs w:val="28"/>
          </w:rPr>
          <w:instrText xml:space="preserve"> PAGEREF _Toc306698526 \h </w:instrText>
        </w:r>
        <w:r>
          <w:rPr>
            <w:rStyle w:val="Hyperlink"/>
            <w:rFonts w:ascii="黑体"/>
            <w:sz w:val="28"/>
            <w:szCs w:val="28"/>
          </w:rPr>
          <w:fldChar w:fldCharType="separate"/>
        </w:r>
        <w:r>
          <w:rPr>
            <w:rStyle w:val="Hyperlink"/>
            <w:rFonts w:ascii="黑体"/>
            <w:sz w:val="28"/>
            <w:szCs w:val="28"/>
          </w:rPr>
          <w:t>11</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30" w:history="1">
        <w:r>
          <w:rPr>
            <w:rStyle w:val="Hyperlink"/>
            <w:rFonts w:ascii="黑体" w:hint="eastAsia"/>
            <w:b w:val="0"/>
            <w:sz w:val="28"/>
            <w:szCs w:val="28"/>
          </w:rPr>
          <w:t>第五章</w:t>
        </w:r>
        <w:r>
          <w:rPr>
            <w:rStyle w:val="Hyperlink"/>
            <w:rFonts w:ascii="黑体"/>
            <w:b w:val="0"/>
            <w:sz w:val="28"/>
            <w:szCs w:val="28"/>
          </w:rPr>
          <w:t xml:space="preserve">  </w:t>
        </w:r>
        <w:r>
          <w:rPr>
            <w:rStyle w:val="Hyperlink"/>
            <w:rFonts w:ascii="黑体" w:hint="eastAsia"/>
            <w:b w:val="0"/>
            <w:sz w:val="28"/>
            <w:szCs w:val="28"/>
          </w:rPr>
          <w:t>施工部署</w:t>
        </w:r>
        <w:r>
          <w:rPr>
            <w:b w:val="0"/>
          </w:rPr>
          <w:tab/>
        </w:r>
        <w:r>
          <w:rPr>
            <w:rStyle w:val="Hyperlink"/>
            <w:rFonts w:ascii="黑体"/>
            <w:sz w:val="28"/>
            <w:szCs w:val="28"/>
          </w:rPr>
          <w:fldChar w:fldCharType="begin"/>
        </w:r>
        <w:r>
          <w:rPr>
            <w:rStyle w:val="Hyperlink"/>
            <w:rFonts w:ascii="黑体"/>
            <w:sz w:val="28"/>
            <w:szCs w:val="28"/>
          </w:rPr>
          <w:instrText xml:space="preserve"> PAGEREF _Toc306698530 \h </w:instrText>
        </w:r>
        <w:r>
          <w:rPr>
            <w:rStyle w:val="Hyperlink"/>
            <w:rFonts w:ascii="黑体"/>
            <w:sz w:val="28"/>
            <w:szCs w:val="28"/>
          </w:rPr>
          <w:fldChar w:fldCharType="separate"/>
        </w:r>
        <w:r>
          <w:rPr>
            <w:rStyle w:val="Hyperlink"/>
            <w:rFonts w:ascii="黑体"/>
            <w:sz w:val="28"/>
            <w:szCs w:val="28"/>
          </w:rPr>
          <w:t>13</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34" w:history="1">
        <w:r>
          <w:rPr>
            <w:rStyle w:val="Hyperlink"/>
            <w:rFonts w:ascii="黑体" w:hint="eastAsia"/>
            <w:b w:val="0"/>
            <w:sz w:val="28"/>
            <w:szCs w:val="28"/>
          </w:rPr>
          <w:t>第六章</w:t>
        </w:r>
        <w:r>
          <w:rPr>
            <w:rStyle w:val="Hyperlink"/>
            <w:rFonts w:ascii="黑体"/>
            <w:b w:val="0"/>
            <w:sz w:val="28"/>
            <w:szCs w:val="28"/>
          </w:rPr>
          <w:t xml:space="preserve">  </w:t>
        </w:r>
        <w:r>
          <w:rPr>
            <w:rStyle w:val="Hyperlink"/>
            <w:rFonts w:ascii="黑体" w:hint="eastAsia"/>
            <w:b w:val="0"/>
            <w:sz w:val="28"/>
            <w:szCs w:val="28"/>
          </w:rPr>
          <w:t>施工方法和技术措施</w:t>
        </w:r>
        <w:r>
          <w:rPr>
            <w:b w:val="0"/>
          </w:rPr>
          <w:tab/>
        </w:r>
        <w:r>
          <w:rPr>
            <w:rStyle w:val="Hyperlink"/>
            <w:rFonts w:ascii="黑体"/>
            <w:sz w:val="28"/>
            <w:szCs w:val="28"/>
          </w:rPr>
          <w:fldChar w:fldCharType="begin"/>
        </w:r>
        <w:r>
          <w:rPr>
            <w:rStyle w:val="Hyperlink"/>
            <w:rFonts w:ascii="黑体"/>
            <w:sz w:val="28"/>
            <w:szCs w:val="28"/>
          </w:rPr>
          <w:instrText xml:space="preserve"> PAGEREF _Toc306698534 \h </w:instrText>
        </w:r>
        <w:r>
          <w:rPr>
            <w:rStyle w:val="Hyperlink"/>
            <w:rFonts w:ascii="黑体"/>
            <w:sz w:val="28"/>
            <w:szCs w:val="28"/>
          </w:rPr>
          <w:fldChar w:fldCharType="separate"/>
        </w:r>
        <w:r>
          <w:rPr>
            <w:rStyle w:val="Hyperlink"/>
            <w:rFonts w:ascii="黑体"/>
            <w:sz w:val="28"/>
            <w:szCs w:val="28"/>
          </w:rPr>
          <w:t>23</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37" w:history="1">
        <w:r>
          <w:rPr>
            <w:rStyle w:val="Hyperlink"/>
            <w:rFonts w:ascii="黑体" w:hint="eastAsia"/>
            <w:b w:val="0"/>
            <w:sz w:val="28"/>
            <w:szCs w:val="28"/>
          </w:rPr>
          <w:t>第七章</w:t>
        </w:r>
        <w:r>
          <w:rPr>
            <w:rStyle w:val="Hyperlink"/>
            <w:rFonts w:ascii="黑体"/>
            <w:b w:val="0"/>
            <w:sz w:val="28"/>
            <w:szCs w:val="28"/>
          </w:rPr>
          <w:t xml:space="preserve">  </w:t>
        </w:r>
        <w:r>
          <w:rPr>
            <w:rStyle w:val="Hyperlink"/>
            <w:rFonts w:ascii="黑体" w:hint="eastAsia"/>
            <w:b w:val="0"/>
            <w:sz w:val="28"/>
            <w:szCs w:val="28"/>
          </w:rPr>
          <w:t>基坑监测</w:t>
        </w:r>
        <w:r>
          <w:rPr>
            <w:b w:val="0"/>
          </w:rPr>
          <w:tab/>
        </w:r>
        <w:r>
          <w:rPr>
            <w:rStyle w:val="Hyperlink"/>
            <w:rFonts w:ascii="黑体"/>
            <w:sz w:val="28"/>
            <w:szCs w:val="28"/>
          </w:rPr>
          <w:fldChar w:fldCharType="begin"/>
        </w:r>
        <w:r>
          <w:rPr>
            <w:rStyle w:val="Hyperlink"/>
            <w:rFonts w:ascii="黑体"/>
            <w:sz w:val="28"/>
            <w:szCs w:val="28"/>
          </w:rPr>
          <w:instrText xml:space="preserve"> PAGEREF _Toc306698537 \h </w:instrText>
        </w:r>
        <w:r>
          <w:rPr>
            <w:rStyle w:val="Hyperlink"/>
            <w:rFonts w:ascii="黑体"/>
            <w:sz w:val="28"/>
            <w:szCs w:val="28"/>
          </w:rPr>
          <w:fldChar w:fldCharType="separate"/>
        </w:r>
        <w:r>
          <w:rPr>
            <w:rStyle w:val="Hyperlink"/>
            <w:rFonts w:ascii="黑体"/>
            <w:sz w:val="28"/>
            <w:szCs w:val="28"/>
          </w:rPr>
          <w:t>40</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38" w:history="1">
        <w:r>
          <w:rPr>
            <w:rStyle w:val="Hyperlink"/>
            <w:rFonts w:ascii="黑体" w:hint="eastAsia"/>
            <w:b w:val="0"/>
            <w:sz w:val="28"/>
            <w:szCs w:val="28"/>
          </w:rPr>
          <w:t>第八章</w:t>
        </w:r>
        <w:r>
          <w:rPr>
            <w:rStyle w:val="Hyperlink"/>
            <w:rFonts w:ascii="黑体"/>
            <w:b w:val="0"/>
            <w:sz w:val="28"/>
            <w:szCs w:val="28"/>
          </w:rPr>
          <w:t xml:space="preserve">  </w:t>
        </w:r>
        <w:r>
          <w:rPr>
            <w:rStyle w:val="Hyperlink"/>
            <w:rFonts w:ascii="黑体" w:hint="eastAsia"/>
            <w:b w:val="0"/>
            <w:sz w:val="28"/>
            <w:szCs w:val="28"/>
          </w:rPr>
          <w:t>应急预案</w:t>
        </w:r>
        <w:r>
          <w:rPr>
            <w:b w:val="0"/>
          </w:rPr>
          <w:tab/>
        </w:r>
        <w:r>
          <w:rPr>
            <w:rStyle w:val="Hyperlink"/>
            <w:rFonts w:ascii="黑体"/>
            <w:sz w:val="28"/>
            <w:szCs w:val="28"/>
          </w:rPr>
          <w:fldChar w:fldCharType="begin"/>
        </w:r>
        <w:r>
          <w:rPr>
            <w:rStyle w:val="Hyperlink"/>
            <w:rFonts w:ascii="黑体"/>
            <w:sz w:val="28"/>
            <w:szCs w:val="28"/>
          </w:rPr>
          <w:instrText xml:space="preserve"> PAGEREF _Toc306698538 \h </w:instrText>
        </w:r>
        <w:r>
          <w:rPr>
            <w:rStyle w:val="Hyperlink"/>
            <w:rFonts w:ascii="黑体"/>
            <w:sz w:val="28"/>
            <w:szCs w:val="28"/>
          </w:rPr>
          <w:fldChar w:fldCharType="separate"/>
        </w:r>
        <w:r>
          <w:rPr>
            <w:rStyle w:val="Hyperlink"/>
            <w:rFonts w:ascii="黑体"/>
            <w:sz w:val="28"/>
            <w:szCs w:val="28"/>
          </w:rPr>
          <w:t>42</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39" w:history="1">
        <w:r>
          <w:rPr>
            <w:rStyle w:val="Hyperlink"/>
            <w:rFonts w:ascii="黑体" w:hint="eastAsia"/>
            <w:b w:val="0"/>
            <w:sz w:val="28"/>
            <w:szCs w:val="28"/>
          </w:rPr>
          <w:t>第九章</w:t>
        </w:r>
        <w:r>
          <w:rPr>
            <w:rStyle w:val="Hyperlink"/>
            <w:rFonts w:ascii="黑体"/>
            <w:b w:val="0"/>
            <w:sz w:val="28"/>
            <w:szCs w:val="28"/>
          </w:rPr>
          <w:t xml:space="preserve"> </w:t>
        </w:r>
        <w:r>
          <w:rPr>
            <w:rStyle w:val="Hyperlink"/>
            <w:rFonts w:ascii="黑体" w:hint="eastAsia"/>
            <w:b w:val="0"/>
            <w:sz w:val="28"/>
            <w:szCs w:val="28"/>
          </w:rPr>
          <w:t>工程质量、安全生产、文明施工和环境保护措施</w:t>
        </w:r>
        <w:r>
          <w:rPr>
            <w:b w:val="0"/>
          </w:rPr>
          <w:tab/>
        </w:r>
        <w:r>
          <w:rPr>
            <w:rStyle w:val="Hyperlink"/>
            <w:rFonts w:ascii="黑体"/>
            <w:sz w:val="28"/>
            <w:szCs w:val="28"/>
          </w:rPr>
          <w:fldChar w:fldCharType="begin"/>
        </w:r>
        <w:r>
          <w:rPr>
            <w:rStyle w:val="Hyperlink"/>
            <w:rFonts w:ascii="黑体"/>
            <w:sz w:val="28"/>
            <w:szCs w:val="28"/>
          </w:rPr>
          <w:instrText xml:space="preserve"> PAGEREF _Toc306698539 \h </w:instrText>
        </w:r>
        <w:r>
          <w:rPr>
            <w:rStyle w:val="Hyperlink"/>
            <w:rFonts w:ascii="黑体"/>
            <w:sz w:val="28"/>
            <w:szCs w:val="28"/>
          </w:rPr>
          <w:fldChar w:fldCharType="separate"/>
        </w:r>
        <w:r>
          <w:rPr>
            <w:rStyle w:val="Hyperlink"/>
            <w:rFonts w:ascii="黑体"/>
            <w:sz w:val="28"/>
            <w:szCs w:val="28"/>
          </w:rPr>
          <w:t>47</w:t>
        </w:r>
        <w:r>
          <w:rPr>
            <w:rStyle w:val="Hyperlink"/>
            <w:rFonts w:ascii="黑体"/>
            <w:sz w:val="28"/>
            <w:szCs w:val="28"/>
          </w:rPr>
          <w:fldChar w:fldCharType="end"/>
        </w:r>
      </w:hyperlink>
    </w:p>
    <w:p>
      <w:pPr>
        <w:rPr>
          <w:rFonts w:hint="eastAsia"/>
        </w:rPr>
      </w:pPr>
    </w:p>
    <w:p>
      <w:pPr>
        <w:pStyle w:val="TOC2"/>
        <w:tabs>
          <w:tab w:val="right" w:leader="dot" w:pos="8296"/>
        </w:tabs>
        <w:rPr>
          <w:rStyle w:val="Hyperlink"/>
          <w:rFonts w:hint="eastAsia"/>
          <w:sz w:val="28"/>
          <w:szCs w:val="28"/>
        </w:rPr>
      </w:pPr>
      <w:hyperlink w:anchor="_Toc306698542" w:history="1">
        <w:r>
          <w:rPr>
            <w:rStyle w:val="Hyperlink"/>
            <w:rFonts w:ascii="黑体" w:hint="eastAsia"/>
            <w:b w:val="0"/>
            <w:sz w:val="28"/>
            <w:szCs w:val="28"/>
          </w:rPr>
          <w:t>第十章</w:t>
        </w:r>
        <w:r>
          <w:rPr>
            <w:rStyle w:val="Hyperlink"/>
            <w:rFonts w:ascii="黑体"/>
            <w:b w:val="0"/>
            <w:sz w:val="28"/>
            <w:szCs w:val="28"/>
          </w:rPr>
          <w:t xml:space="preserve">  </w:t>
        </w:r>
        <w:r>
          <w:rPr>
            <w:rStyle w:val="Hyperlink"/>
            <w:rFonts w:ascii="黑体" w:hint="eastAsia"/>
            <w:b w:val="0"/>
            <w:sz w:val="28"/>
            <w:szCs w:val="28"/>
          </w:rPr>
          <w:t>汛期、台风、高温等季节性施工措施</w:t>
        </w:r>
        <w:r>
          <w:rPr>
            <w:b w:val="0"/>
          </w:rPr>
          <w:tab/>
        </w:r>
        <w:r>
          <w:rPr>
            <w:rStyle w:val="Hyperlink"/>
            <w:rFonts w:ascii="黑体"/>
            <w:sz w:val="28"/>
            <w:szCs w:val="28"/>
          </w:rPr>
          <w:fldChar w:fldCharType="begin"/>
        </w:r>
        <w:r>
          <w:rPr>
            <w:rStyle w:val="Hyperlink"/>
            <w:rFonts w:ascii="黑体"/>
            <w:sz w:val="28"/>
            <w:szCs w:val="28"/>
          </w:rPr>
          <w:instrText xml:space="preserve"> PAGEREF _Toc306698542 \h </w:instrText>
        </w:r>
        <w:r>
          <w:rPr>
            <w:rStyle w:val="Hyperlink"/>
            <w:rFonts w:ascii="黑体"/>
            <w:sz w:val="28"/>
            <w:szCs w:val="28"/>
          </w:rPr>
          <w:fldChar w:fldCharType="separate"/>
        </w:r>
        <w:r>
          <w:rPr>
            <w:rStyle w:val="Hyperlink"/>
            <w:rFonts w:ascii="黑体"/>
            <w:sz w:val="28"/>
            <w:szCs w:val="28"/>
          </w:rPr>
          <w:t>56</w:t>
        </w:r>
        <w:r>
          <w:rPr>
            <w:rStyle w:val="Hyperlink"/>
            <w:rFonts w:ascii="黑体"/>
            <w:sz w:val="28"/>
            <w:szCs w:val="28"/>
          </w:rPr>
          <w:fldChar w:fldCharType="end"/>
        </w:r>
      </w:hyperlink>
    </w:p>
    <w:p>
      <w:pPr>
        <w:rPr>
          <w:rFonts w:hint="eastAsia"/>
        </w:rPr>
      </w:pPr>
    </w:p>
    <w:p>
      <w:pPr>
        <w:rPr>
          <w:rStyle w:val="Hyperlink"/>
          <w:rFonts w:ascii="黑体" w:hint="eastAsia"/>
          <w:sz w:val="28"/>
          <w:szCs w:val="28"/>
        </w:rPr>
      </w:pPr>
      <w:r>
        <w:rPr>
          <w:rStyle w:val="Hyperlink"/>
          <w:rFonts w:ascii="黑体" w:hint="eastAsia"/>
          <w:sz w:val="28"/>
          <w:szCs w:val="28"/>
        </w:rPr>
        <w:t>附件：相关附图</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w:type="even" r:id="rId5"/>
          <w:type w:val="nextPage"/>
          <w:pgSz w:w="11906" w:h="16838"/>
          <w:pgMar w:top="1440" w:right="1800" w:bottom="1440" w:left="1800" w:header="851" w:footer="992" w:gutter="0"/>
          <w:pgNumType w:start="2"/>
          <w:cols w:space="708"/>
          <w:titlePg w:val="0"/>
          <w:docGrid w:type="lines" w:linePitch="312"/>
        </w:sectPr>
      </w:pPr>
    </w:p>
    <w:p>
      <w:pPr>
        <w:pStyle w:val="Heading2"/>
        <w:jc w:val="center"/>
        <w:rPr>
          <w:rFonts w:hAnsi="黑体" w:hint="eastAsia"/>
        </w:rPr>
      </w:pPr>
      <w:r>
        <w:fldChar w:fldCharType="end"/>
      </w:r>
      <w:bookmarkStart w:id="1" w:name="_Toc306698520"/>
      <w:r>
        <w:rPr>
          <w:rFonts w:hint="eastAsia"/>
        </w:rPr>
        <w:t>第一章 工程概况</w:t>
      </w:r>
      <w:bookmarkEnd w:id="1"/>
    </w:p>
    <w:p>
      <w:pPr>
        <w:spacing w:line="360" w:lineRule="auto"/>
        <w:ind w:firstLine="480" w:firstLineChars="200"/>
        <w:rPr>
          <w:rFonts w:ascii="宋体" w:hint="eastAsia"/>
          <w:sz w:val="24"/>
        </w:rPr>
      </w:pPr>
      <w:r>
        <w:rPr>
          <w:rFonts w:ascii="宋体" w:hint="eastAsia"/>
          <w:sz w:val="24"/>
        </w:rPr>
        <w:t>一、工程概况</w:t>
      </w:r>
    </w:p>
    <w:p>
      <w:pPr>
        <w:spacing w:line="360" w:lineRule="auto"/>
        <w:ind w:firstLine="480" w:firstLineChars="200"/>
        <w:rPr>
          <w:rFonts w:ascii="宋体" w:hint="eastAsia"/>
          <w:sz w:val="24"/>
        </w:rPr>
      </w:pPr>
      <w:r>
        <w:rPr>
          <w:rFonts w:ascii="宋体" w:hint="eastAsia"/>
          <w:sz w:val="24"/>
        </w:rPr>
        <w:t>浙江广播电视大学瑞安分校新校区工程位于瑞安市瑞祥新区内，紧邻瑞枫大道北侧。总建筑面积约19086m2，建筑占地面积约3727m2，地下室面积5750m2，本工程为5幢建筑物：综合楼11层，总高度41.4米；行政楼1-6层，总高度24米；后勤用房3层，高度为12米；实验楼6层，总高度23.7米；教学楼6层，23.7米。地下室一层。地下室范围内主要建筑为综合楼、行政楼、实验楼。拟采用框剪结构，工程桩采用钻孔灌注桩。基坑工程安全等级为二级。开挖深度内以粘土和淤泥质土为主。</w:t>
      </w:r>
    </w:p>
    <w:p>
      <w:pPr>
        <w:spacing w:line="360" w:lineRule="auto"/>
        <w:ind w:firstLine="480" w:firstLineChars="200"/>
        <w:rPr>
          <w:rFonts w:ascii="宋体" w:hint="eastAsia"/>
          <w:sz w:val="24"/>
        </w:rPr>
      </w:pPr>
      <w:r>
        <w:rPr>
          <w:rFonts w:ascii="宋体" w:hint="eastAsia"/>
          <w:sz w:val="24"/>
        </w:rPr>
        <w:t>本工程建设单位为：浙江广播电视大学瑞安分校。本工程勘察单位为</w:t>
      </w:r>
      <w:r>
        <w:rPr>
          <w:rFonts w:ascii="宋体"/>
          <w:sz w:val="24"/>
        </w:rPr>
        <w:t>浙江中鑫工程勘察有限公司</w:t>
      </w:r>
      <w:r>
        <w:rPr>
          <w:rFonts w:ascii="宋体" w:hint="eastAsia"/>
          <w:sz w:val="24"/>
        </w:rPr>
        <w:t>，设计单位为浙江嘉华设计研究院有限公司。工程工期630天。其中土方开挖阶段约45天。</w:t>
      </w:r>
    </w:p>
    <w:p>
      <w:pPr>
        <w:spacing w:line="360" w:lineRule="auto"/>
        <w:ind w:firstLine="480" w:firstLineChars="200"/>
        <w:rPr>
          <w:rFonts w:ascii="宋体" w:hint="eastAsia"/>
          <w:sz w:val="24"/>
        </w:rPr>
      </w:pPr>
      <w:r>
        <w:rPr>
          <w:rFonts w:ascii="宋体" w:hint="eastAsia"/>
          <w:sz w:val="24"/>
        </w:rPr>
        <w:t>场区属亚热带海洋型季风气候， 场区地貌单元山前冲海积平原。 勘察场址现为空地，地形平坦。施工现场</w:t>
      </w:r>
      <w:r>
        <w:rPr>
          <w:rFonts w:ascii="宋体" w:hint="eastAsia"/>
          <w:sz w:val="24"/>
        </w:rPr>
        <w:t>“</w:t>
      </w:r>
      <w:r>
        <w:rPr>
          <w:rFonts w:ascii="宋体" w:hint="eastAsia"/>
          <w:sz w:val="24"/>
        </w:rPr>
        <w:t>三通一平</w:t>
      </w:r>
      <w:r>
        <w:rPr>
          <w:rFonts w:ascii="宋体" w:hint="eastAsia"/>
          <w:sz w:val="24"/>
        </w:rPr>
        <w:t>”</w:t>
      </w:r>
      <w:r>
        <w:rPr>
          <w:rFonts w:ascii="宋体" w:hint="eastAsia"/>
          <w:sz w:val="24"/>
        </w:rPr>
        <w:t>已经完成：临时用电用水线路已经接通到位，现场外围施工道路通畅，现场场地平整到位。目前，工程正在进行桩基工程施工，完工后随即将进行土方开挖施工。</w:t>
      </w:r>
    </w:p>
    <w:p>
      <w:pPr>
        <w:spacing w:line="360" w:lineRule="auto"/>
        <w:ind w:firstLine="480" w:firstLineChars="200"/>
        <w:rPr>
          <w:rFonts w:ascii="宋体" w:hint="eastAsia"/>
          <w:sz w:val="24"/>
        </w:rPr>
      </w:pPr>
      <w:r>
        <w:rPr>
          <w:rFonts w:ascii="宋体" w:hAnsi="宋体" w:hint="eastAsia"/>
          <w:color w:val="000000"/>
          <w:sz w:val="24"/>
        </w:rPr>
        <w:t>本工程地下一层，基坑面积大，呈L型，长</w:t>
      </w:r>
      <w:r>
        <w:rPr>
          <w:rFonts w:ascii="宋体" w:hAnsi="宋体" w:hint="eastAsia"/>
          <w:color w:val="000000"/>
          <w:sz w:val="24"/>
        </w:rPr>
        <w:t>×</w:t>
      </w:r>
      <w:r>
        <w:rPr>
          <w:rFonts w:ascii="宋体" w:hAnsi="宋体" w:hint="eastAsia"/>
          <w:color w:val="000000"/>
          <w:sz w:val="24"/>
        </w:rPr>
        <w:t>宽约为82</w:t>
      </w:r>
      <w:r>
        <w:rPr>
          <w:rFonts w:ascii="宋体" w:hAnsi="宋体" w:hint="eastAsia"/>
          <w:color w:val="000000"/>
          <w:sz w:val="24"/>
        </w:rPr>
        <w:t>×</w:t>
      </w:r>
      <w:r>
        <w:rPr>
          <w:rFonts w:ascii="宋体" w:hAnsi="宋体" w:hint="eastAsia"/>
          <w:color w:val="000000"/>
          <w:sz w:val="24"/>
        </w:rPr>
        <w:t>100米，</w:t>
      </w:r>
      <w:r>
        <w:rPr>
          <w:rFonts w:ascii="宋体" w:hint="eastAsia"/>
          <w:sz w:val="24"/>
        </w:rPr>
        <w:t>围护结构采用混凝土钻孔桩加一道混凝土支撑梁。支撑梁顶标高为-1.95米，支撑梁上部采用放坡施工，坡面采用钢筋网喷射混凝土面层防护。工程开挖深度为为4.85米，电梯井周边承台部分加深至7.15米。混凝土钻孔灌注桩外设一道混凝土搅拌桩。本工程土质情况较差，基坑施工有一定难度。</w:t>
      </w:r>
    </w:p>
    <w:p>
      <w:pPr>
        <w:spacing w:line="360" w:lineRule="auto"/>
        <w:ind w:firstLine="480" w:firstLineChars="200"/>
        <w:rPr>
          <w:rFonts w:ascii="宋体" w:hint="eastAsia"/>
          <w:color w:val="000000"/>
          <w:sz w:val="24"/>
        </w:rPr>
      </w:pPr>
      <w:r>
        <w:rPr>
          <w:rFonts w:ascii="宋体" w:hint="eastAsia"/>
          <w:sz w:val="24"/>
        </w:rPr>
        <w:t>二、工程的特点及方案选择：</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本基坑设计开挖深度大部分为5.00m左右，开挖深度影响范围内下部土质条件较差。根据《建筑基坑工程技术规程》（DB33/T1008-</w:t>
      </w:r>
      <w:r>
        <w:rPr>
          <w:rFonts w:ascii="宋体" w:hAnsi="宋体" w:hint="eastAsia"/>
          <w:color w:val="000000"/>
          <w:sz w:val="24"/>
          <w:lang w:eastAsia="zh-CN"/>
        </w:rPr>
        <w:t>201</w:t>
      </w:r>
      <w:r>
        <w:rPr>
          <w:rFonts w:ascii="宋体" w:hAnsi="宋体" w:hint="eastAsia"/>
          <w:color w:val="000000"/>
          <w:sz w:val="24"/>
        </w:rPr>
        <w:t>0）划分，本基坑属于二级基坑。</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本基坑工程经分析具有以下特点：</w:t>
      </w:r>
    </w:p>
    <w:p>
      <w:pPr>
        <w:adjustRightInd w:val="0"/>
        <w:snapToGrid w:val="0"/>
        <w:spacing w:line="360" w:lineRule="auto"/>
        <w:ind w:firstLine="480" w:firstLineChars="200"/>
        <w:rPr>
          <w:rFonts w:ascii="宋体" w:hAnsi="宋体" w:hint="eastAsia"/>
          <w:color w:val="000000"/>
          <w:sz w:val="24"/>
        </w:rPr>
        <w:sectPr>
          <w:footerReference w:type="even" r:id="rId6"/>
          <w:type w:val="nextPage"/>
          <w:pgSz w:w="11906" w:h="16838"/>
          <w:pgMar w:top="1440" w:right="1800" w:bottom="1440" w:left="1800" w:header="851" w:footer="992" w:gutter="0"/>
          <w:pgNumType w:start="3"/>
          <w:cols w:space="708"/>
          <w:titlePg w:val="0"/>
          <w:docGrid w:type="lines" w:linePitch="312"/>
        </w:sectPr>
      </w:pPr>
      <w:r>
        <w:rPr>
          <w:rFonts w:ascii="宋体" w:hAnsi="宋体" w:hint="eastAsia"/>
          <w:color w:val="000000"/>
          <w:sz w:val="24"/>
        </w:rPr>
        <w:t>1．基坑平面呈L形，开挖面积较大，开挖影响范围内以粘土和淤泥质土为主；土质渗透系数不大，基坑四周采用水泥搅拌桩止水帷幕，因此采用集水坑排水即可。同时本工程主要在雨季施工，应考虑雨水开挖对基坑施工的影响。</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2．基坑设计挖深不大，有专门的围护支撑设计。设计开挖深度大部分为5.00m左右，坑中坑最大高差2.25m：工程施工难度一般。</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3．场地周围环境条件较好，基坑周围无重要建筑物、构筑物、地下管线等，具备一定的放坡开挖条件。</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4.开挖范围内主要为粘土和淤泥质粘土，土质呈流塑性，强度低，施工难度大，因此在施工时容易发生陷车、土方滑移等事故，因此应做好临时道路，坚实能够满足施工要求。</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5.</w:t>
      </w:r>
      <w:r>
        <w:rPr>
          <w:rFonts w:cs="宋体" w:hint="eastAsia"/>
          <w:kern w:val="0"/>
          <w:sz w:val="28"/>
          <w:szCs w:val="28"/>
        </w:rPr>
        <w:t xml:space="preserve"> </w:t>
      </w:r>
      <w:r>
        <w:rPr>
          <w:rFonts w:ascii="宋体" w:hAnsi="宋体" w:hint="eastAsia"/>
          <w:color w:val="000000"/>
          <w:sz w:val="24"/>
        </w:rPr>
        <w:t>勘察场区为山间平地，无地质灾害隐患，工程建设遭受自然斜坡滑坡、沟谷泥石流的可能性小，场地未见其他不良地质作用。</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结合本工程上述特点，根据</w:t>
      </w:r>
      <w:r>
        <w:rPr>
          <w:rFonts w:ascii="宋体" w:hAnsi="宋体" w:hint="eastAsia"/>
          <w:color w:val="000000"/>
          <w:sz w:val="24"/>
        </w:rPr>
        <w:t>“</w:t>
      </w:r>
      <w:r>
        <w:rPr>
          <w:rFonts w:ascii="宋体" w:hAnsi="宋体" w:hint="eastAsia"/>
          <w:color w:val="000000"/>
          <w:sz w:val="24"/>
        </w:rPr>
        <w:t>安全、经济、方便施工</w:t>
      </w:r>
      <w:r>
        <w:rPr>
          <w:rFonts w:ascii="宋体" w:hAnsi="宋体" w:hint="eastAsia"/>
          <w:color w:val="000000"/>
          <w:sz w:val="24"/>
        </w:rPr>
        <w:t>”</w:t>
      </w:r>
      <w:r>
        <w:rPr>
          <w:rFonts w:ascii="宋体" w:hAnsi="宋体" w:hint="eastAsia"/>
          <w:color w:val="000000"/>
          <w:sz w:val="24"/>
        </w:rPr>
        <w:t>的原则，同时根据围护设计和地址情况，本工程主要采用机械分层分段开挖，基坑底上50CM范围及承台加深部位采用人工开挖。降水采用集水坑降水。为保证施工安全，本工程土方开挖临时道路采用塘渣填筑，厚度应该严格控制。</w:t>
      </w:r>
    </w:p>
    <w:p>
      <w:pPr>
        <w:spacing w:line="440" w:lineRule="exact"/>
        <w:ind w:firstLine="560" w:firstLineChars="200"/>
        <w:rPr>
          <w:rFonts w:hint="eastAsia"/>
          <w:sz w:val="28"/>
          <w:szCs w:val="28"/>
        </w:rPr>
      </w:pPr>
    </w:p>
    <w:p>
      <w:pPr>
        <w:spacing w:line="440" w:lineRule="exact"/>
        <w:ind w:firstLine="560" w:firstLineChars="200"/>
        <w:rPr>
          <w:rFonts w:hint="eastAsia"/>
          <w:sz w:val="28"/>
          <w:szCs w:val="28"/>
        </w:rPr>
      </w:pPr>
    </w:p>
    <w:p>
      <w:pPr>
        <w:spacing w:line="440" w:lineRule="exact"/>
        <w:ind w:firstLine="560" w:firstLineChars="200"/>
        <w:rPr>
          <w:rFonts w:hint="eastAsia"/>
          <w:sz w:val="28"/>
          <w:szCs w:val="28"/>
        </w:rPr>
      </w:pPr>
    </w:p>
    <w:p>
      <w:pPr>
        <w:spacing w:line="440" w:lineRule="exact"/>
        <w:ind w:firstLine="560" w:firstLineChars="200"/>
        <w:rPr>
          <w:rFonts w:hint="eastAsia"/>
          <w:sz w:val="28"/>
          <w:szCs w:val="28"/>
        </w:rPr>
      </w:pPr>
    </w:p>
    <w:p>
      <w:pPr>
        <w:spacing w:line="440" w:lineRule="exact"/>
        <w:ind w:firstLine="560" w:firstLineChars="200"/>
        <w:rPr>
          <w:rFonts w:hint="eastAsia"/>
          <w:sz w:val="28"/>
          <w:szCs w:val="28"/>
        </w:rPr>
      </w:pPr>
    </w:p>
    <w:p>
      <w:pPr>
        <w:spacing w:line="440" w:lineRule="exact"/>
        <w:ind w:firstLine="560" w:firstLineChars="200"/>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pPr>
    </w:p>
    <w:p>
      <w:pPr>
        <w:spacing w:line="440" w:lineRule="exact"/>
        <w:rPr>
          <w:rFonts w:hint="eastAsia"/>
          <w:sz w:val="28"/>
          <w:szCs w:val="28"/>
        </w:rPr>
        <w:sectPr>
          <w:footerReference w:type="even" r:id="rId7"/>
          <w:type w:val="nextPage"/>
          <w:pgSz w:w="11906" w:h="16838"/>
          <w:pgMar w:top="1440" w:right="1800" w:bottom="1440" w:left="1800" w:header="851" w:footer="992" w:gutter="0"/>
          <w:pgNumType w:start="4"/>
          <w:cols w:space="708"/>
          <w:titlePg w:val="0"/>
          <w:docGrid w:type="lines" w:linePitch="312"/>
        </w:sectPr>
      </w:pPr>
    </w:p>
    <w:p>
      <w:pPr>
        <w:pStyle w:val="Heading2"/>
        <w:jc w:val="center"/>
        <w:rPr>
          <w:rFonts w:ascii="黑体" w:hAnsi="黑体" w:hint="eastAsia"/>
          <w:color w:val="000000"/>
          <w:sz w:val="28"/>
          <w:szCs w:val="28"/>
        </w:rPr>
      </w:pPr>
      <w:bookmarkStart w:id="2" w:name="_Toc306698521"/>
      <w:r>
        <w:rPr>
          <w:rFonts w:ascii="黑体" w:hint="eastAsia"/>
          <w:color w:val="000000"/>
          <w:sz w:val="28"/>
          <w:szCs w:val="28"/>
        </w:rPr>
        <w:t>第二章 深基坑工程专项施工方案编制依据</w:t>
      </w:r>
      <w:bookmarkEnd w:id="2"/>
    </w:p>
    <w:p>
      <w:pPr>
        <w:spacing w:line="440" w:lineRule="exact"/>
        <w:ind w:firstLine="560" w:firstLineChars="200"/>
        <w:rPr>
          <w:rFonts w:hint="eastAsia"/>
          <w:sz w:val="28"/>
          <w:szCs w:val="28"/>
        </w:rPr>
      </w:pPr>
    </w:p>
    <w:p>
      <w:pPr>
        <w:spacing w:line="360" w:lineRule="auto"/>
        <w:ind w:firstLine="465"/>
        <w:rPr>
          <w:rFonts w:hint="eastAsia"/>
          <w:color w:val="000000"/>
          <w:sz w:val="24"/>
        </w:rPr>
      </w:pPr>
      <w:r>
        <w:rPr>
          <w:rFonts w:hint="eastAsia"/>
          <w:color w:val="000000"/>
          <w:sz w:val="24"/>
        </w:rPr>
        <w:t>本方案主要编制依据有：</w:t>
      </w:r>
    </w:p>
    <w:p>
      <w:pPr>
        <w:spacing w:line="360" w:lineRule="auto"/>
        <w:ind w:firstLine="465"/>
        <w:rPr>
          <w:rFonts w:hint="eastAsia"/>
          <w:color w:val="000000"/>
          <w:sz w:val="24"/>
        </w:rPr>
      </w:pPr>
      <w:r>
        <w:rPr>
          <w:rFonts w:hint="eastAsia"/>
          <w:color w:val="000000"/>
          <w:sz w:val="24"/>
        </w:rPr>
        <w:t>1、</w:t>
      </w:r>
      <w:r>
        <w:rPr>
          <w:rFonts w:hint="eastAsia"/>
          <w:color w:val="000000"/>
          <w:sz w:val="24"/>
        </w:rPr>
        <w:t>“</w:t>
      </w:r>
      <w:r>
        <w:rPr>
          <w:rFonts w:hint="eastAsia"/>
          <w:color w:val="000000"/>
          <w:sz w:val="24"/>
        </w:rPr>
        <w:t>建筑地基基础设计规范</w:t>
      </w:r>
      <w:r>
        <w:rPr>
          <w:rFonts w:hint="eastAsia"/>
          <w:color w:val="000000"/>
          <w:sz w:val="24"/>
        </w:rPr>
        <w:t>”</w:t>
      </w:r>
      <w:r>
        <w:rPr>
          <w:rFonts w:hint="eastAsia"/>
          <w:color w:val="000000"/>
          <w:sz w:val="24"/>
        </w:rPr>
        <w:t>GB50007-</w:t>
      </w:r>
      <w:r>
        <w:rPr>
          <w:rFonts w:hint="eastAsia"/>
          <w:color w:val="000000"/>
          <w:sz w:val="24"/>
          <w:lang w:eastAsia="zh-CN"/>
        </w:rPr>
        <w:t>201</w:t>
      </w:r>
      <w:r>
        <w:rPr>
          <w:rFonts w:hint="eastAsia"/>
          <w:color w:val="000000"/>
          <w:sz w:val="24"/>
        </w:rPr>
        <w:t>2（国标）</w:t>
      </w:r>
    </w:p>
    <w:p>
      <w:pPr>
        <w:spacing w:line="360" w:lineRule="auto"/>
        <w:ind w:firstLine="465"/>
        <w:rPr>
          <w:rFonts w:hint="eastAsia"/>
          <w:color w:val="000000"/>
          <w:sz w:val="24"/>
        </w:rPr>
      </w:pPr>
      <w:r>
        <w:rPr>
          <w:rFonts w:hint="eastAsia"/>
          <w:color w:val="000000"/>
          <w:sz w:val="24"/>
        </w:rPr>
        <w:t>2、</w:t>
      </w:r>
      <w:r>
        <w:rPr>
          <w:rFonts w:hint="eastAsia"/>
          <w:color w:val="000000"/>
          <w:sz w:val="24"/>
        </w:rPr>
        <w:t>“</w:t>
      </w:r>
      <w:r>
        <w:rPr>
          <w:rFonts w:hint="eastAsia"/>
          <w:color w:val="000000"/>
          <w:sz w:val="24"/>
        </w:rPr>
        <w:t>建筑基坑支护技术规程</w:t>
      </w:r>
      <w:r>
        <w:rPr>
          <w:rFonts w:hint="eastAsia"/>
          <w:color w:val="000000"/>
          <w:sz w:val="24"/>
        </w:rPr>
        <w:t>”</w:t>
      </w:r>
      <w:r>
        <w:rPr>
          <w:rFonts w:hint="eastAsia"/>
          <w:color w:val="000000"/>
          <w:sz w:val="24"/>
        </w:rPr>
        <w:t>JGJ120-99（行业标准）</w:t>
      </w:r>
    </w:p>
    <w:p>
      <w:pPr>
        <w:spacing w:line="360" w:lineRule="auto"/>
        <w:ind w:firstLine="465"/>
        <w:rPr>
          <w:rFonts w:hint="eastAsia"/>
          <w:color w:val="000000"/>
          <w:sz w:val="24"/>
        </w:rPr>
      </w:pPr>
      <w:r>
        <w:rPr>
          <w:rFonts w:hint="eastAsia"/>
          <w:color w:val="000000"/>
          <w:sz w:val="24"/>
        </w:rPr>
        <w:t>3、</w:t>
      </w:r>
      <w:r>
        <w:rPr>
          <w:rFonts w:hint="eastAsia"/>
          <w:color w:val="000000"/>
          <w:sz w:val="24"/>
        </w:rPr>
        <w:t>“</w:t>
      </w:r>
      <w:r>
        <w:rPr>
          <w:rFonts w:hint="eastAsia"/>
          <w:color w:val="000000"/>
          <w:sz w:val="24"/>
        </w:rPr>
        <w:t>民用建筑可靠性鉴定标准|</w:t>
      </w:r>
      <w:r>
        <w:rPr>
          <w:rFonts w:hint="eastAsia"/>
          <w:color w:val="000000"/>
          <w:sz w:val="24"/>
        </w:rPr>
        <w:t>”</w:t>
      </w:r>
      <w:r>
        <w:rPr>
          <w:rFonts w:hint="eastAsia"/>
          <w:color w:val="000000"/>
          <w:sz w:val="24"/>
        </w:rPr>
        <w:t>（GB50292-1999）；</w:t>
      </w:r>
    </w:p>
    <w:p>
      <w:pPr>
        <w:spacing w:line="360" w:lineRule="auto"/>
        <w:ind w:firstLine="465"/>
        <w:rPr>
          <w:rFonts w:hint="eastAsia"/>
          <w:color w:val="000000"/>
          <w:sz w:val="24"/>
        </w:rPr>
      </w:pPr>
      <w:r>
        <w:rPr>
          <w:rFonts w:hint="eastAsia"/>
          <w:color w:val="000000"/>
          <w:sz w:val="24"/>
        </w:rPr>
        <w:t>4、</w:t>
      </w:r>
      <w:r>
        <w:rPr>
          <w:rFonts w:hint="eastAsia"/>
          <w:color w:val="000000"/>
          <w:sz w:val="24"/>
        </w:rPr>
        <w:t>“</w:t>
      </w:r>
      <w:r>
        <w:rPr>
          <w:rFonts w:hint="eastAsia"/>
          <w:color w:val="000000"/>
          <w:sz w:val="24"/>
        </w:rPr>
        <w:t>建筑基坑工程监测技术规范</w:t>
      </w:r>
      <w:r>
        <w:rPr>
          <w:rFonts w:hint="eastAsia"/>
          <w:color w:val="000000"/>
          <w:sz w:val="24"/>
        </w:rPr>
        <w:t>”</w:t>
      </w:r>
      <w:r>
        <w:rPr>
          <w:rFonts w:hint="eastAsia"/>
          <w:color w:val="000000"/>
          <w:sz w:val="24"/>
        </w:rPr>
        <w:t>GB50497-</w:t>
      </w:r>
      <w:r>
        <w:rPr>
          <w:rFonts w:hint="eastAsia"/>
          <w:color w:val="000000"/>
          <w:sz w:val="24"/>
          <w:lang w:eastAsia="zh-CN"/>
        </w:rPr>
        <w:t>201</w:t>
      </w:r>
      <w:r>
        <w:rPr>
          <w:rFonts w:hint="eastAsia"/>
          <w:color w:val="000000"/>
          <w:sz w:val="24"/>
        </w:rPr>
        <w:t>9</w:t>
      </w:r>
    </w:p>
    <w:p>
      <w:pPr>
        <w:spacing w:line="360" w:lineRule="auto"/>
        <w:ind w:firstLine="465"/>
        <w:rPr>
          <w:rFonts w:hint="eastAsia"/>
          <w:color w:val="000000"/>
          <w:sz w:val="24"/>
        </w:rPr>
      </w:pPr>
      <w:r>
        <w:rPr>
          <w:rFonts w:hint="eastAsia"/>
          <w:color w:val="000000"/>
          <w:sz w:val="24"/>
        </w:rPr>
        <w:t>5、</w:t>
      </w:r>
      <w:r>
        <w:rPr>
          <w:rFonts w:hint="eastAsia"/>
          <w:color w:val="000000"/>
          <w:sz w:val="24"/>
        </w:rPr>
        <w:t>“</w:t>
      </w:r>
      <w:r>
        <w:rPr>
          <w:rFonts w:hint="eastAsia"/>
          <w:color w:val="000000"/>
          <w:sz w:val="24"/>
        </w:rPr>
        <w:t>钢结构设计规范</w:t>
      </w:r>
      <w:r>
        <w:rPr>
          <w:rFonts w:hint="eastAsia"/>
          <w:color w:val="000000"/>
          <w:sz w:val="24"/>
        </w:rPr>
        <w:t>”</w:t>
      </w:r>
      <w:r>
        <w:rPr>
          <w:rFonts w:hint="eastAsia"/>
          <w:color w:val="000000"/>
          <w:sz w:val="24"/>
        </w:rPr>
        <w:t>GB50017-</w:t>
      </w:r>
      <w:r>
        <w:rPr>
          <w:rFonts w:hint="eastAsia"/>
          <w:color w:val="000000"/>
          <w:sz w:val="24"/>
          <w:lang w:eastAsia="zh-CN"/>
        </w:rPr>
        <w:t>201</w:t>
      </w:r>
      <w:r>
        <w:rPr>
          <w:rFonts w:hint="eastAsia"/>
          <w:color w:val="000000"/>
          <w:sz w:val="24"/>
        </w:rPr>
        <w:t>3</w:t>
      </w:r>
    </w:p>
    <w:p>
      <w:pPr>
        <w:spacing w:line="360" w:lineRule="auto"/>
        <w:ind w:firstLine="465"/>
        <w:rPr>
          <w:rFonts w:hint="eastAsia"/>
          <w:color w:val="000000"/>
          <w:sz w:val="24"/>
        </w:rPr>
      </w:pPr>
      <w:r>
        <w:rPr>
          <w:rFonts w:hint="eastAsia"/>
          <w:color w:val="000000"/>
          <w:sz w:val="24"/>
        </w:rPr>
        <w:t>6、</w:t>
      </w:r>
      <w:r>
        <w:rPr>
          <w:rFonts w:hint="eastAsia"/>
          <w:color w:val="000000"/>
          <w:sz w:val="24"/>
        </w:rPr>
        <w:t>“</w:t>
      </w:r>
      <w:r>
        <w:rPr>
          <w:rFonts w:hint="eastAsia"/>
          <w:color w:val="000000"/>
          <w:sz w:val="24"/>
        </w:rPr>
        <w:t>危险性较大的分部分项工程安全管理办法</w:t>
      </w:r>
      <w:r>
        <w:rPr>
          <w:rFonts w:hint="eastAsia"/>
          <w:color w:val="000000"/>
          <w:sz w:val="24"/>
        </w:rPr>
        <w:t>”</w:t>
      </w:r>
      <w:r>
        <w:rPr>
          <w:rFonts w:hint="eastAsia"/>
          <w:color w:val="000000"/>
          <w:sz w:val="24"/>
        </w:rPr>
        <w:t>住建部建质[</w:t>
      </w:r>
      <w:r>
        <w:rPr>
          <w:rFonts w:hint="eastAsia"/>
          <w:color w:val="000000"/>
          <w:sz w:val="24"/>
          <w:lang w:eastAsia="zh-CN"/>
        </w:rPr>
        <w:t>201</w:t>
      </w:r>
      <w:r>
        <w:rPr>
          <w:rFonts w:hint="eastAsia"/>
          <w:color w:val="000000"/>
          <w:sz w:val="24"/>
        </w:rPr>
        <w:t>9]87号</w:t>
      </w:r>
    </w:p>
    <w:p>
      <w:pPr>
        <w:spacing w:line="360" w:lineRule="auto"/>
        <w:ind w:firstLine="465"/>
        <w:rPr>
          <w:rFonts w:hint="eastAsia"/>
          <w:color w:val="000000"/>
          <w:sz w:val="24"/>
        </w:rPr>
      </w:pPr>
      <w:r>
        <w:rPr>
          <w:rFonts w:hint="eastAsia"/>
          <w:color w:val="000000"/>
          <w:sz w:val="24"/>
        </w:rPr>
        <w:t>7、</w:t>
      </w:r>
      <w:r>
        <w:rPr>
          <w:rFonts w:hint="eastAsia"/>
          <w:color w:val="000000"/>
          <w:sz w:val="24"/>
        </w:rPr>
        <w:t>“</w:t>
      </w:r>
      <w:r>
        <w:rPr>
          <w:rFonts w:hint="eastAsia"/>
          <w:color w:val="000000"/>
          <w:sz w:val="24"/>
        </w:rPr>
        <w:t>建筑工程施工质量验收统一标准</w:t>
      </w:r>
      <w:r>
        <w:rPr>
          <w:rFonts w:hint="eastAsia"/>
          <w:color w:val="000000"/>
          <w:sz w:val="24"/>
        </w:rPr>
        <w:t>”</w:t>
      </w:r>
      <w:r>
        <w:rPr>
          <w:rFonts w:hint="eastAsia"/>
          <w:color w:val="000000"/>
          <w:sz w:val="24"/>
        </w:rPr>
        <w:t>GB50300-</w:t>
      </w:r>
      <w:r>
        <w:rPr>
          <w:rFonts w:hint="eastAsia"/>
          <w:color w:val="000000"/>
          <w:sz w:val="24"/>
          <w:lang w:eastAsia="zh-CN"/>
        </w:rPr>
        <w:t>201</w:t>
      </w:r>
      <w:r>
        <w:rPr>
          <w:rFonts w:hint="eastAsia"/>
          <w:color w:val="000000"/>
          <w:sz w:val="24"/>
        </w:rPr>
        <w:t>1</w:t>
      </w:r>
    </w:p>
    <w:p>
      <w:pPr>
        <w:spacing w:line="360" w:lineRule="auto"/>
        <w:ind w:firstLine="465"/>
        <w:rPr>
          <w:rFonts w:hint="eastAsia"/>
          <w:color w:val="000000"/>
          <w:sz w:val="24"/>
        </w:rPr>
      </w:pPr>
      <w:r>
        <w:rPr>
          <w:rFonts w:hint="eastAsia"/>
          <w:color w:val="000000"/>
          <w:sz w:val="24"/>
        </w:rPr>
        <w:t>8、</w:t>
      </w:r>
      <w:r>
        <w:rPr>
          <w:rFonts w:hint="eastAsia"/>
          <w:color w:val="000000"/>
          <w:sz w:val="24"/>
        </w:rPr>
        <w:t>“</w:t>
      </w:r>
      <w:r>
        <w:rPr>
          <w:rFonts w:hint="eastAsia"/>
          <w:color w:val="000000"/>
          <w:sz w:val="24"/>
        </w:rPr>
        <w:t>建筑施工安全技术规范</w:t>
      </w:r>
      <w:r>
        <w:rPr>
          <w:rFonts w:hint="eastAsia"/>
          <w:color w:val="000000"/>
          <w:sz w:val="24"/>
        </w:rPr>
        <w:t>”</w:t>
      </w:r>
      <w:r>
        <w:rPr>
          <w:rFonts w:hint="eastAsia"/>
          <w:color w:val="000000"/>
          <w:sz w:val="24"/>
        </w:rPr>
        <w:t>DGJ08-903-</w:t>
      </w:r>
      <w:r>
        <w:rPr>
          <w:rFonts w:hint="eastAsia"/>
          <w:color w:val="000000"/>
          <w:sz w:val="24"/>
          <w:lang w:eastAsia="zh-CN"/>
        </w:rPr>
        <w:t>201</w:t>
      </w:r>
      <w:r>
        <w:rPr>
          <w:rFonts w:hint="eastAsia"/>
          <w:color w:val="000000"/>
          <w:sz w:val="24"/>
        </w:rPr>
        <w:t>3</w:t>
      </w:r>
    </w:p>
    <w:p>
      <w:pPr>
        <w:spacing w:line="360" w:lineRule="auto"/>
        <w:ind w:firstLine="465"/>
        <w:rPr>
          <w:rFonts w:hint="eastAsia"/>
          <w:color w:val="000000"/>
          <w:sz w:val="24"/>
        </w:rPr>
      </w:pPr>
      <w:r>
        <w:rPr>
          <w:rFonts w:hint="eastAsia"/>
          <w:color w:val="000000"/>
          <w:sz w:val="24"/>
        </w:rPr>
        <w:t>9、</w:t>
      </w:r>
      <w:r>
        <w:rPr>
          <w:rFonts w:hint="eastAsia"/>
          <w:color w:val="000000"/>
          <w:sz w:val="24"/>
        </w:rPr>
        <w:t>“</w:t>
      </w:r>
      <w:r>
        <w:rPr>
          <w:rFonts w:hint="eastAsia"/>
          <w:color w:val="000000"/>
          <w:sz w:val="24"/>
        </w:rPr>
        <w:t>建筑施工安全检查标准</w:t>
      </w:r>
      <w:r>
        <w:rPr>
          <w:rFonts w:hint="eastAsia"/>
          <w:color w:val="000000"/>
          <w:sz w:val="24"/>
        </w:rPr>
        <w:t>”</w:t>
      </w:r>
      <w:r>
        <w:rPr>
          <w:rFonts w:hint="eastAsia"/>
          <w:color w:val="000000"/>
          <w:sz w:val="24"/>
        </w:rPr>
        <w:t>JGJ59-99</w:t>
      </w:r>
    </w:p>
    <w:p>
      <w:pPr>
        <w:spacing w:line="360" w:lineRule="auto"/>
        <w:ind w:firstLine="465"/>
        <w:rPr>
          <w:rFonts w:hint="eastAsia"/>
          <w:color w:val="000000"/>
          <w:sz w:val="24"/>
        </w:rPr>
      </w:pPr>
      <w:r>
        <w:rPr>
          <w:rFonts w:hint="eastAsia"/>
          <w:color w:val="000000"/>
          <w:sz w:val="24"/>
        </w:rPr>
        <w:t>10、</w:t>
      </w:r>
      <w:r>
        <w:rPr>
          <w:rFonts w:hint="eastAsia"/>
          <w:color w:val="000000"/>
          <w:sz w:val="24"/>
        </w:rPr>
        <w:t>“</w:t>
      </w:r>
      <w:r>
        <w:rPr>
          <w:rFonts w:hint="eastAsia"/>
          <w:color w:val="000000"/>
          <w:sz w:val="24"/>
        </w:rPr>
        <w:t>建筑机械使用安全技术规程</w:t>
      </w:r>
      <w:r>
        <w:rPr>
          <w:rFonts w:hint="eastAsia"/>
          <w:color w:val="000000"/>
          <w:sz w:val="24"/>
        </w:rPr>
        <w:t>”</w:t>
      </w:r>
      <w:r>
        <w:rPr>
          <w:rFonts w:hint="eastAsia"/>
          <w:color w:val="000000"/>
          <w:sz w:val="24"/>
        </w:rPr>
        <w:t>JGJ33-</w:t>
      </w:r>
      <w:r>
        <w:rPr>
          <w:rFonts w:hint="eastAsia"/>
          <w:color w:val="000000"/>
          <w:sz w:val="24"/>
          <w:lang w:eastAsia="zh-CN"/>
        </w:rPr>
        <w:t>201</w:t>
      </w:r>
      <w:r>
        <w:rPr>
          <w:rFonts w:hint="eastAsia"/>
          <w:color w:val="000000"/>
          <w:sz w:val="24"/>
        </w:rPr>
        <w:t>1</w:t>
      </w:r>
    </w:p>
    <w:p>
      <w:pPr>
        <w:spacing w:line="360" w:lineRule="auto"/>
        <w:ind w:firstLine="465"/>
        <w:rPr>
          <w:rFonts w:hint="eastAsia"/>
          <w:color w:val="000000"/>
          <w:sz w:val="24"/>
        </w:rPr>
      </w:pPr>
      <w:r>
        <w:rPr>
          <w:rFonts w:hint="eastAsia"/>
          <w:color w:val="000000"/>
          <w:sz w:val="24"/>
        </w:rPr>
        <w:t>11、</w:t>
      </w:r>
      <w:r>
        <w:rPr>
          <w:rFonts w:hint="eastAsia"/>
          <w:color w:val="000000"/>
          <w:sz w:val="24"/>
        </w:rPr>
        <w:t>“</w:t>
      </w:r>
      <w:r>
        <w:rPr>
          <w:rFonts w:hint="eastAsia"/>
          <w:color w:val="000000"/>
          <w:sz w:val="24"/>
        </w:rPr>
        <w:t>钢结构工程施工质量验收规范</w:t>
      </w:r>
      <w:r>
        <w:rPr>
          <w:rFonts w:hint="eastAsia"/>
          <w:color w:val="000000"/>
          <w:sz w:val="24"/>
        </w:rPr>
        <w:t>”</w:t>
      </w:r>
      <w:r>
        <w:rPr>
          <w:rFonts w:hint="eastAsia"/>
          <w:color w:val="000000"/>
          <w:sz w:val="24"/>
        </w:rPr>
        <w:t>GB50205-</w:t>
      </w:r>
      <w:r>
        <w:rPr>
          <w:rFonts w:hint="eastAsia"/>
          <w:color w:val="000000"/>
          <w:sz w:val="24"/>
          <w:lang w:eastAsia="zh-CN"/>
        </w:rPr>
        <w:t>201</w:t>
      </w:r>
      <w:r>
        <w:rPr>
          <w:rFonts w:hint="eastAsia"/>
          <w:color w:val="000000"/>
          <w:sz w:val="24"/>
        </w:rPr>
        <w:t>1</w:t>
      </w:r>
    </w:p>
    <w:p>
      <w:pPr>
        <w:spacing w:line="360" w:lineRule="auto"/>
        <w:ind w:firstLine="465"/>
        <w:rPr>
          <w:rFonts w:hint="eastAsia"/>
          <w:color w:val="000000"/>
          <w:sz w:val="24"/>
        </w:rPr>
      </w:pPr>
      <w:r>
        <w:rPr>
          <w:rFonts w:hint="eastAsia"/>
          <w:color w:val="000000"/>
          <w:sz w:val="24"/>
        </w:rPr>
        <w:t>12、</w:t>
      </w:r>
      <w:r>
        <w:rPr>
          <w:rFonts w:hint="eastAsia"/>
          <w:color w:val="000000"/>
          <w:sz w:val="24"/>
        </w:rPr>
        <w:t>“</w:t>
      </w:r>
      <w:r>
        <w:rPr>
          <w:rFonts w:hint="eastAsia"/>
          <w:color w:val="000000"/>
          <w:sz w:val="24"/>
        </w:rPr>
        <w:t>钢筋焊接及验收规程</w:t>
      </w:r>
      <w:r>
        <w:rPr>
          <w:rFonts w:hint="eastAsia"/>
          <w:color w:val="000000"/>
          <w:sz w:val="24"/>
        </w:rPr>
        <w:t>”</w:t>
      </w:r>
      <w:r>
        <w:rPr>
          <w:rFonts w:hint="eastAsia"/>
          <w:color w:val="000000"/>
          <w:sz w:val="24"/>
        </w:rPr>
        <w:t>JGJ18-</w:t>
      </w:r>
      <w:r>
        <w:rPr>
          <w:rFonts w:hint="eastAsia"/>
          <w:color w:val="000000"/>
          <w:sz w:val="24"/>
          <w:lang w:eastAsia="zh-CN"/>
        </w:rPr>
        <w:t>201</w:t>
      </w:r>
      <w:r>
        <w:rPr>
          <w:rFonts w:hint="eastAsia"/>
          <w:color w:val="000000"/>
          <w:sz w:val="24"/>
        </w:rPr>
        <w:t>3</w:t>
      </w:r>
    </w:p>
    <w:p>
      <w:pPr>
        <w:spacing w:line="360" w:lineRule="auto"/>
        <w:ind w:firstLine="465"/>
        <w:rPr>
          <w:rFonts w:hint="eastAsia"/>
          <w:color w:val="000000"/>
          <w:sz w:val="24"/>
        </w:rPr>
      </w:pPr>
      <w:r>
        <w:rPr>
          <w:rFonts w:hint="eastAsia"/>
          <w:color w:val="000000"/>
          <w:sz w:val="24"/>
        </w:rPr>
        <w:t>13、</w:t>
      </w:r>
      <w:r>
        <w:rPr>
          <w:rFonts w:hint="eastAsia"/>
          <w:color w:val="000000"/>
          <w:sz w:val="24"/>
        </w:rPr>
        <w:t>“</w:t>
      </w:r>
      <w:r>
        <w:rPr>
          <w:rFonts w:hint="eastAsia"/>
          <w:color w:val="000000"/>
          <w:sz w:val="24"/>
        </w:rPr>
        <w:t>建筑桩基技术规范</w:t>
      </w:r>
      <w:r>
        <w:rPr>
          <w:rFonts w:hint="eastAsia"/>
          <w:color w:val="000000"/>
          <w:sz w:val="24"/>
        </w:rPr>
        <w:t>”</w:t>
      </w:r>
      <w:r>
        <w:rPr>
          <w:rFonts w:hint="eastAsia"/>
          <w:color w:val="000000"/>
          <w:sz w:val="24"/>
        </w:rPr>
        <w:t>JGJ94-</w:t>
      </w:r>
      <w:r>
        <w:rPr>
          <w:rFonts w:hint="eastAsia"/>
          <w:color w:val="000000"/>
          <w:sz w:val="24"/>
          <w:lang w:eastAsia="zh-CN"/>
        </w:rPr>
        <w:t>201</w:t>
      </w:r>
      <w:r>
        <w:rPr>
          <w:rFonts w:hint="eastAsia"/>
          <w:color w:val="000000"/>
          <w:sz w:val="24"/>
        </w:rPr>
        <w:t>8</w:t>
      </w:r>
    </w:p>
    <w:p>
      <w:pPr>
        <w:spacing w:line="360" w:lineRule="auto"/>
        <w:ind w:firstLine="465"/>
        <w:rPr>
          <w:rFonts w:hint="eastAsia"/>
          <w:color w:val="000000"/>
          <w:sz w:val="24"/>
        </w:rPr>
      </w:pPr>
      <w:r>
        <w:rPr>
          <w:rFonts w:hint="eastAsia"/>
          <w:color w:val="000000"/>
          <w:sz w:val="24"/>
        </w:rPr>
        <w:t>14、</w:t>
      </w:r>
      <w:r>
        <w:rPr>
          <w:rFonts w:hint="eastAsia"/>
          <w:color w:val="000000"/>
          <w:sz w:val="24"/>
        </w:rPr>
        <w:t>“</w:t>
      </w:r>
      <w:r>
        <w:rPr>
          <w:rFonts w:hint="eastAsia"/>
          <w:color w:val="000000"/>
          <w:sz w:val="24"/>
        </w:rPr>
        <w:t>混凝土结构施工规范</w:t>
      </w:r>
      <w:r>
        <w:rPr>
          <w:rFonts w:hint="eastAsia"/>
          <w:color w:val="000000"/>
          <w:sz w:val="24"/>
        </w:rPr>
        <w:t>”</w:t>
      </w:r>
      <w:r>
        <w:rPr>
          <w:rFonts w:hint="eastAsia"/>
          <w:color w:val="000000"/>
          <w:sz w:val="24"/>
        </w:rPr>
        <w:t>（GB 50010-</w:t>
      </w:r>
      <w:r>
        <w:rPr>
          <w:rFonts w:hint="eastAsia"/>
          <w:color w:val="000000"/>
          <w:sz w:val="24"/>
          <w:lang w:eastAsia="zh-CN"/>
        </w:rPr>
        <w:t>201</w:t>
      </w:r>
      <w:r>
        <w:rPr>
          <w:rFonts w:hint="eastAsia"/>
          <w:color w:val="000000"/>
          <w:sz w:val="24"/>
        </w:rPr>
        <w:t>2）；</w:t>
      </w:r>
    </w:p>
    <w:p>
      <w:pPr>
        <w:spacing w:line="360" w:lineRule="auto"/>
        <w:ind w:firstLine="465"/>
        <w:rPr>
          <w:rFonts w:hint="eastAsia"/>
          <w:color w:val="000000"/>
          <w:sz w:val="24"/>
        </w:rPr>
      </w:pPr>
      <w:r>
        <w:rPr>
          <w:rFonts w:hint="eastAsia"/>
          <w:color w:val="000000"/>
          <w:sz w:val="24"/>
        </w:rPr>
        <w:t>15、</w:t>
      </w:r>
      <w:r>
        <w:rPr>
          <w:rFonts w:hint="eastAsia"/>
          <w:color w:val="000000"/>
          <w:sz w:val="24"/>
        </w:rPr>
        <w:t>“</w:t>
      </w:r>
      <w:r>
        <w:rPr>
          <w:rFonts w:hint="eastAsia"/>
          <w:color w:val="000000"/>
          <w:sz w:val="24"/>
        </w:rPr>
        <w:t>建筑基坑工程技术规范</w:t>
      </w:r>
      <w:r>
        <w:rPr>
          <w:rFonts w:hint="eastAsia"/>
          <w:color w:val="000000"/>
          <w:sz w:val="24"/>
        </w:rPr>
        <w:t>”</w:t>
      </w:r>
      <w:r>
        <w:rPr>
          <w:rFonts w:hint="eastAsia"/>
          <w:color w:val="000000"/>
          <w:sz w:val="24"/>
        </w:rPr>
        <w:t>YB9258-97</w:t>
      </w:r>
    </w:p>
    <w:p>
      <w:pPr>
        <w:spacing w:line="360" w:lineRule="auto"/>
        <w:ind w:firstLine="465"/>
        <w:rPr>
          <w:rFonts w:hint="eastAsia"/>
          <w:color w:val="000000"/>
          <w:sz w:val="24"/>
        </w:rPr>
      </w:pPr>
      <w:r>
        <w:rPr>
          <w:rFonts w:hint="eastAsia"/>
          <w:color w:val="000000"/>
          <w:sz w:val="24"/>
        </w:rPr>
        <w:t>16、</w:t>
      </w:r>
      <w:r>
        <w:rPr>
          <w:rFonts w:hint="eastAsia"/>
          <w:color w:val="000000"/>
          <w:sz w:val="24"/>
        </w:rPr>
        <w:t>“</w:t>
      </w:r>
      <w:r>
        <w:rPr>
          <w:rFonts w:hint="eastAsia"/>
          <w:color w:val="000000"/>
          <w:sz w:val="24"/>
        </w:rPr>
        <w:t>固定式塔式起重机基础技术规程</w:t>
      </w:r>
      <w:r>
        <w:rPr>
          <w:rFonts w:hint="eastAsia"/>
          <w:color w:val="000000"/>
          <w:sz w:val="24"/>
        </w:rPr>
        <w:t>”</w:t>
      </w:r>
      <w:r>
        <w:rPr>
          <w:rFonts w:hint="eastAsia"/>
          <w:color w:val="000000"/>
          <w:sz w:val="24"/>
        </w:rPr>
        <w:t>GB33/T1053-</w:t>
      </w:r>
      <w:r>
        <w:rPr>
          <w:rFonts w:hint="eastAsia"/>
          <w:color w:val="000000"/>
          <w:sz w:val="24"/>
          <w:lang w:eastAsia="zh-CN"/>
        </w:rPr>
        <w:t>201</w:t>
      </w:r>
      <w:r>
        <w:rPr>
          <w:rFonts w:hint="eastAsia"/>
          <w:color w:val="000000"/>
          <w:sz w:val="24"/>
        </w:rPr>
        <w:t>8</w:t>
      </w:r>
    </w:p>
    <w:p>
      <w:pPr>
        <w:spacing w:line="360" w:lineRule="auto"/>
        <w:ind w:firstLine="465"/>
        <w:rPr>
          <w:rFonts w:hint="eastAsia"/>
          <w:color w:val="000000"/>
          <w:sz w:val="24"/>
        </w:rPr>
      </w:pPr>
      <w:r>
        <w:rPr>
          <w:rFonts w:hint="eastAsia"/>
          <w:color w:val="000000"/>
          <w:sz w:val="24"/>
        </w:rPr>
        <w:t>17、</w:t>
      </w:r>
      <w:r>
        <w:rPr>
          <w:rFonts w:hint="eastAsia"/>
          <w:color w:val="000000"/>
          <w:sz w:val="24"/>
        </w:rPr>
        <w:t>“</w:t>
      </w:r>
      <w:r>
        <w:rPr>
          <w:rFonts w:hint="eastAsia"/>
          <w:color w:val="000000"/>
          <w:sz w:val="24"/>
        </w:rPr>
        <w:t>工程测量规范</w:t>
      </w:r>
      <w:r>
        <w:rPr>
          <w:rFonts w:hint="eastAsia"/>
          <w:color w:val="000000"/>
          <w:sz w:val="24"/>
        </w:rPr>
        <w:t>”</w:t>
      </w:r>
      <w:r>
        <w:rPr>
          <w:rFonts w:hint="eastAsia"/>
          <w:color w:val="000000"/>
          <w:sz w:val="24"/>
        </w:rPr>
        <w:t>GB50026-</w:t>
      </w:r>
      <w:r>
        <w:rPr>
          <w:rFonts w:hint="eastAsia"/>
          <w:color w:val="000000"/>
          <w:sz w:val="24"/>
          <w:lang w:eastAsia="zh-CN"/>
        </w:rPr>
        <w:t>201</w:t>
      </w:r>
      <w:r>
        <w:rPr>
          <w:rFonts w:hint="eastAsia"/>
          <w:color w:val="000000"/>
          <w:sz w:val="24"/>
        </w:rPr>
        <w:t>7</w:t>
      </w:r>
    </w:p>
    <w:p>
      <w:pPr>
        <w:spacing w:line="360" w:lineRule="auto"/>
        <w:ind w:firstLine="465"/>
        <w:rPr>
          <w:rFonts w:hint="eastAsia"/>
          <w:color w:val="000000"/>
          <w:sz w:val="24"/>
        </w:rPr>
      </w:pPr>
      <w:r>
        <w:rPr>
          <w:rFonts w:hint="eastAsia"/>
          <w:color w:val="000000"/>
          <w:sz w:val="24"/>
        </w:rPr>
        <w:t>18、</w:t>
      </w:r>
      <w:r>
        <w:rPr>
          <w:rFonts w:hint="eastAsia"/>
          <w:color w:val="000000"/>
          <w:sz w:val="24"/>
        </w:rPr>
        <w:t>“</w:t>
      </w:r>
      <w:r>
        <w:rPr>
          <w:rFonts w:hint="eastAsia"/>
          <w:color w:val="000000"/>
          <w:sz w:val="24"/>
        </w:rPr>
        <w:t>建筑地基基础工程施工质量验收规范</w:t>
      </w:r>
      <w:r>
        <w:rPr>
          <w:rFonts w:hint="eastAsia"/>
          <w:color w:val="000000"/>
          <w:sz w:val="24"/>
        </w:rPr>
        <w:t>”</w:t>
      </w:r>
      <w:r>
        <w:rPr>
          <w:rFonts w:hint="eastAsia"/>
          <w:color w:val="000000"/>
          <w:sz w:val="24"/>
        </w:rPr>
        <w:t>GB50202-</w:t>
      </w:r>
      <w:r>
        <w:rPr>
          <w:rFonts w:hint="eastAsia"/>
          <w:color w:val="000000"/>
          <w:sz w:val="24"/>
          <w:lang w:eastAsia="zh-CN"/>
        </w:rPr>
        <w:t>201</w:t>
      </w:r>
      <w:r>
        <w:rPr>
          <w:rFonts w:hint="eastAsia"/>
          <w:color w:val="000000"/>
          <w:sz w:val="24"/>
        </w:rPr>
        <w:t>2</w:t>
      </w:r>
    </w:p>
    <w:p>
      <w:pPr>
        <w:spacing w:line="360" w:lineRule="auto"/>
        <w:ind w:firstLine="465"/>
        <w:rPr>
          <w:rFonts w:hint="eastAsia"/>
          <w:color w:val="000000"/>
          <w:sz w:val="24"/>
        </w:rPr>
      </w:pPr>
      <w:r>
        <w:rPr>
          <w:rFonts w:hint="eastAsia"/>
          <w:color w:val="000000"/>
          <w:sz w:val="24"/>
        </w:rPr>
        <w:t>19、省标</w:t>
      </w:r>
      <w:r>
        <w:rPr>
          <w:rFonts w:hint="eastAsia"/>
          <w:color w:val="000000"/>
          <w:sz w:val="24"/>
        </w:rPr>
        <w:t>“</w:t>
      </w:r>
      <w:r>
        <w:rPr>
          <w:rFonts w:hint="eastAsia"/>
          <w:color w:val="000000"/>
          <w:sz w:val="24"/>
        </w:rPr>
        <w:t>建筑基坑工程技术规程</w:t>
      </w:r>
      <w:r>
        <w:rPr>
          <w:rFonts w:hint="eastAsia"/>
          <w:color w:val="000000"/>
          <w:sz w:val="24"/>
        </w:rPr>
        <w:t>”</w:t>
      </w:r>
      <w:r>
        <w:rPr>
          <w:rFonts w:hint="eastAsia"/>
          <w:color w:val="000000"/>
          <w:sz w:val="24"/>
        </w:rPr>
        <w:t>DB33/T1008-</w:t>
      </w:r>
      <w:r>
        <w:rPr>
          <w:rFonts w:hint="eastAsia"/>
          <w:color w:val="000000"/>
          <w:sz w:val="24"/>
          <w:lang w:eastAsia="zh-CN"/>
        </w:rPr>
        <w:t>201</w:t>
      </w:r>
      <w:r>
        <w:rPr>
          <w:rFonts w:hint="eastAsia"/>
          <w:color w:val="000000"/>
          <w:sz w:val="24"/>
        </w:rPr>
        <w:t>0</w:t>
      </w:r>
    </w:p>
    <w:p>
      <w:pPr>
        <w:spacing w:line="360" w:lineRule="auto"/>
        <w:ind w:firstLine="465"/>
        <w:rPr>
          <w:rFonts w:hint="eastAsia"/>
          <w:color w:val="000000"/>
          <w:sz w:val="24"/>
        </w:rPr>
      </w:pPr>
      <w:r>
        <w:rPr>
          <w:rFonts w:hint="eastAsia"/>
          <w:color w:val="000000"/>
          <w:sz w:val="24"/>
        </w:rPr>
        <w:t>20、省标</w:t>
      </w:r>
      <w:r>
        <w:rPr>
          <w:rFonts w:hint="eastAsia"/>
          <w:color w:val="000000"/>
          <w:sz w:val="24"/>
        </w:rPr>
        <w:t>“</w:t>
      </w:r>
      <w:r>
        <w:rPr>
          <w:rFonts w:hint="eastAsia"/>
          <w:color w:val="000000"/>
          <w:sz w:val="24"/>
        </w:rPr>
        <w:t>建筑地基基础设计规范</w:t>
      </w:r>
      <w:r>
        <w:rPr>
          <w:rFonts w:hint="eastAsia"/>
          <w:color w:val="000000"/>
          <w:sz w:val="24"/>
        </w:rPr>
        <w:t>”</w:t>
      </w:r>
      <w:r>
        <w:rPr>
          <w:rFonts w:hint="eastAsia"/>
          <w:color w:val="000000"/>
          <w:sz w:val="24"/>
        </w:rPr>
        <w:t>DB33/1001-</w:t>
      </w:r>
      <w:r>
        <w:rPr>
          <w:rFonts w:hint="eastAsia"/>
          <w:color w:val="000000"/>
          <w:sz w:val="24"/>
          <w:lang w:eastAsia="zh-CN"/>
        </w:rPr>
        <w:t>201</w:t>
      </w:r>
      <w:r>
        <w:rPr>
          <w:rFonts w:hint="eastAsia"/>
          <w:color w:val="000000"/>
          <w:sz w:val="24"/>
        </w:rPr>
        <w:t>3</w:t>
      </w:r>
    </w:p>
    <w:p>
      <w:pPr>
        <w:spacing w:line="360" w:lineRule="auto"/>
        <w:ind w:firstLine="465"/>
        <w:rPr>
          <w:rFonts w:hint="eastAsia"/>
          <w:color w:val="000000"/>
          <w:sz w:val="24"/>
        </w:rPr>
      </w:pPr>
      <w:r>
        <w:rPr>
          <w:rFonts w:hint="eastAsia"/>
          <w:color w:val="000000"/>
          <w:sz w:val="24"/>
        </w:rPr>
        <w:t>21、施工有关图纸，围护及建筑施工图</w:t>
      </w:r>
    </w:p>
    <w:p>
      <w:pPr>
        <w:spacing w:line="360" w:lineRule="auto"/>
        <w:ind w:firstLine="465"/>
        <w:rPr>
          <w:rFonts w:hint="eastAsia"/>
          <w:sz w:val="24"/>
        </w:rPr>
      </w:pPr>
      <w:r>
        <w:rPr>
          <w:rFonts w:hint="eastAsia"/>
          <w:color w:val="000000"/>
          <w:sz w:val="24"/>
        </w:rPr>
        <w:t>22、</w:t>
      </w:r>
      <w:r>
        <w:rPr>
          <w:rFonts w:hint="eastAsia"/>
          <w:sz w:val="24"/>
        </w:rPr>
        <w:t>浙江省工程勘察院提供的地勘报告</w:t>
      </w:r>
    </w:p>
    <w:p>
      <w:pPr>
        <w:spacing w:line="360" w:lineRule="auto"/>
        <w:ind w:firstLine="465"/>
        <w:rPr>
          <w:rFonts w:hint="eastAsia"/>
          <w:color w:val="000000"/>
          <w:sz w:val="24"/>
        </w:rPr>
      </w:pPr>
      <w:r>
        <w:rPr>
          <w:rFonts w:hint="eastAsia"/>
          <w:sz w:val="24"/>
        </w:rPr>
        <w:t>23、其他有关行业规范、法律法规。</w:t>
      </w:r>
    </w:p>
    <w:p>
      <w:pPr>
        <w:spacing w:line="360" w:lineRule="auto"/>
        <w:rPr>
          <w:rFonts w:ascii="黑体" w:eastAsia="黑体" w:hint="eastAsia"/>
          <w:color w:val="000000"/>
          <w:sz w:val="28"/>
          <w:szCs w:val="28"/>
        </w:rPr>
      </w:pPr>
    </w:p>
    <w:p>
      <w:pPr>
        <w:spacing w:line="360" w:lineRule="auto"/>
        <w:rPr>
          <w:rFonts w:ascii="黑体" w:eastAsia="黑体" w:hint="eastAsia"/>
          <w:color w:val="000000"/>
          <w:sz w:val="28"/>
          <w:szCs w:val="28"/>
        </w:rPr>
        <w:sectPr>
          <w:footerReference w:type="even" r:id="rId8"/>
          <w:type w:val="nextPage"/>
          <w:pgSz w:w="11906" w:h="16838"/>
          <w:pgMar w:top="1440" w:right="1800" w:bottom="1440" w:left="1800" w:header="851" w:footer="992" w:gutter="0"/>
          <w:pgNumType w:start="5"/>
          <w:cols w:space="708"/>
          <w:titlePg w:val="0"/>
          <w:docGrid w:type="lines" w:linePitch="312"/>
        </w:sectPr>
      </w:pPr>
    </w:p>
    <w:p>
      <w:pPr>
        <w:pStyle w:val="Heading2"/>
        <w:jc w:val="center"/>
        <w:rPr>
          <w:rFonts w:ascii="黑体" w:hint="eastAsia"/>
          <w:color w:val="000000"/>
          <w:sz w:val="28"/>
          <w:szCs w:val="28"/>
        </w:rPr>
      </w:pPr>
      <w:bookmarkStart w:id="3" w:name="_Toc306698522"/>
      <w:r>
        <w:rPr>
          <w:rFonts w:ascii="黑体" w:hint="eastAsia"/>
          <w:color w:val="000000"/>
          <w:sz w:val="28"/>
          <w:szCs w:val="28"/>
        </w:rPr>
        <w:t>第三章 工程场地地质条件</w:t>
      </w:r>
      <w:bookmarkEnd w:id="3"/>
    </w:p>
    <w:p>
      <w:pPr>
        <w:pStyle w:val="222XW"/>
        <w:ind w:firstLine="588" w:firstLineChars="245"/>
        <w:rPr>
          <w:rFonts w:hint="eastAsia"/>
        </w:rPr>
      </w:pPr>
      <w:bookmarkStart w:id="4" w:name="_Toc306698523"/>
      <w:r>
        <w:rPr>
          <w:rFonts w:hint="eastAsia"/>
        </w:rPr>
        <w:t>第一节  地基土特征</w:t>
      </w:r>
      <w:bookmarkEnd w:id="4"/>
    </w:p>
    <w:p>
      <w:pPr>
        <w:spacing w:line="360" w:lineRule="auto"/>
        <w:ind w:firstLine="510"/>
        <w:rPr>
          <w:rFonts w:ascii="宋体" w:hAnsi="宋体" w:cs="宋体" w:hint="eastAsia"/>
          <w:sz w:val="24"/>
        </w:rPr>
      </w:pPr>
      <w:r>
        <w:t>根据</w:t>
      </w:r>
      <w:r>
        <w:rPr>
          <w:rFonts w:hint="eastAsia"/>
        </w:rPr>
        <w:t>《</w:t>
      </w:r>
      <w:r>
        <w:rPr>
          <w:rFonts w:ascii="宋体" w:hAnsi="宋体" w:cs="宋体" w:hint="eastAsia"/>
          <w:sz w:val="24"/>
        </w:rPr>
        <w:t>浙江省广播电视大学瑞安分校新校区</w:t>
      </w:r>
      <w:r>
        <w:rPr>
          <w:rFonts w:ascii="宋体" w:hAnsi="宋体" w:cs="宋体"/>
          <w:sz w:val="24"/>
        </w:rPr>
        <w:t>场址岩土工程</w:t>
      </w:r>
      <w:r>
        <w:rPr>
          <w:rFonts w:ascii="宋体" w:hAnsi="宋体" w:cs="宋体" w:hint="eastAsia"/>
          <w:sz w:val="24"/>
        </w:rPr>
        <w:t>详细</w:t>
      </w:r>
      <w:r>
        <w:rPr>
          <w:rFonts w:ascii="宋体" w:hAnsi="宋体" w:cs="宋体"/>
          <w:sz w:val="24"/>
        </w:rPr>
        <w:t>勘察报告</w:t>
      </w:r>
      <w:r>
        <w:rPr>
          <w:rFonts w:ascii="宋体" w:hAnsi="宋体" w:cs="宋体" w:hint="eastAsia"/>
          <w:sz w:val="24"/>
        </w:rPr>
        <w:t>》（详勘，</w:t>
      </w:r>
      <w:r>
        <w:rPr>
          <w:rFonts w:ascii="宋体" w:hAnsi="宋体" w:cs="宋体"/>
          <w:sz w:val="24"/>
        </w:rPr>
        <w:t>浙江中鑫工程勘察有限公司</w:t>
      </w:r>
      <w:r>
        <w:rPr>
          <w:rFonts w:ascii="宋体" w:hAnsi="宋体" w:cs="宋体" w:hint="eastAsia"/>
          <w:sz w:val="24"/>
        </w:rPr>
        <w:t>）</w:t>
      </w:r>
      <w:r>
        <w:rPr>
          <w:rFonts w:ascii="宋体" w:hAnsi="宋体" w:cs="宋体"/>
          <w:sz w:val="24"/>
        </w:rPr>
        <w:t>，基坑开挖影响范围内土层分布如下：</w:t>
      </w:r>
    </w:p>
    <w:p>
      <w:pPr>
        <w:spacing w:line="360" w:lineRule="auto"/>
        <w:ind w:firstLine="510"/>
        <w:rPr>
          <w:rFonts w:ascii="宋体" w:hint="eastAsia"/>
          <w:b/>
          <w:sz w:val="24"/>
        </w:rPr>
      </w:pPr>
      <w:r>
        <w:rPr>
          <w:rFonts w:ascii="宋体" w:hint="eastAsia"/>
          <w:b/>
          <w:sz w:val="24"/>
        </w:rPr>
        <w:t>1</w:t>
      </w:r>
      <w:r>
        <w:rPr>
          <w:rFonts w:ascii="宋体"/>
          <w:b/>
          <w:sz w:val="24"/>
        </w:rPr>
        <w:t>层</w:t>
      </w:r>
      <w:r>
        <w:rPr>
          <w:rFonts w:ascii="宋体" w:hint="eastAsia"/>
          <w:b/>
          <w:sz w:val="24"/>
        </w:rPr>
        <w:t xml:space="preserve"> 粘土层：</w:t>
      </w:r>
      <w:r>
        <w:rPr>
          <w:rFonts w:ascii="宋体" w:hAnsi="宋体" w:hint="eastAsia"/>
          <w:color w:val="000000"/>
          <w:sz w:val="24"/>
        </w:rPr>
        <w:t>灰黄，中～高压缩性，刀切面光滑，韧性高，干强度高，摇振反应无，含少量粉砂，见铁锰质氧化斑，向下土体渐软。为地表硬壳层。土体不均匀，局部相变为粉质粘土。全场地分布。</w:t>
      </w:r>
    </w:p>
    <w:p>
      <w:pPr>
        <w:spacing w:line="360" w:lineRule="auto"/>
        <w:ind w:firstLine="510"/>
        <w:rPr>
          <w:rFonts w:ascii="宋体" w:hint="eastAsia"/>
          <w:b/>
          <w:sz w:val="24"/>
        </w:rPr>
      </w:pPr>
      <w:r>
        <w:rPr>
          <w:rFonts w:ascii="宋体" w:hint="eastAsia"/>
          <w:b/>
          <w:sz w:val="24"/>
        </w:rPr>
        <w:t>2-1</w:t>
      </w:r>
      <w:r>
        <w:rPr>
          <w:rFonts w:ascii="宋体"/>
          <w:b/>
          <w:sz w:val="24"/>
        </w:rPr>
        <w:t>层</w:t>
      </w:r>
      <w:r>
        <w:rPr>
          <w:rFonts w:ascii="宋体" w:hint="eastAsia"/>
          <w:b/>
          <w:sz w:val="24"/>
        </w:rPr>
        <w:t xml:space="preserve"> 淤泥：</w:t>
      </w:r>
      <w:r>
        <w:rPr>
          <w:rFonts w:ascii="宋体" w:hAnsi="宋体" w:hint="eastAsia"/>
          <w:color w:val="000000"/>
          <w:sz w:val="24"/>
        </w:rPr>
        <w:t>青灰，流塑，高压缩性，刀切面光滑，韧性高，干强度高，摇振反应无，土体极软弱，含贝壳碎片、腐殖质和少量粉砂，厚层状构造。全场地分布。</w:t>
      </w:r>
    </w:p>
    <w:p>
      <w:pPr>
        <w:spacing w:line="360" w:lineRule="auto"/>
        <w:ind w:firstLine="510"/>
        <w:rPr>
          <w:rFonts w:ascii="宋体" w:hint="eastAsia"/>
          <w:b/>
          <w:sz w:val="24"/>
        </w:rPr>
      </w:pPr>
      <w:r>
        <w:rPr>
          <w:rFonts w:ascii="宋体" w:hint="eastAsia"/>
          <w:b/>
          <w:sz w:val="24"/>
        </w:rPr>
        <w:t>2-2</w:t>
      </w:r>
      <w:r>
        <w:rPr>
          <w:rFonts w:ascii="宋体"/>
          <w:b/>
          <w:sz w:val="24"/>
        </w:rPr>
        <w:t>层</w:t>
      </w:r>
      <w:r>
        <w:rPr>
          <w:rFonts w:ascii="宋体" w:hint="eastAsia"/>
          <w:b/>
          <w:sz w:val="24"/>
        </w:rPr>
        <w:t xml:space="preserve"> 淤泥混粉砂：</w:t>
      </w:r>
      <w:r>
        <w:rPr>
          <w:rFonts w:ascii="宋体" w:hAnsi="宋体" w:hint="eastAsia"/>
          <w:color w:val="000000"/>
          <w:sz w:val="24"/>
        </w:rPr>
        <w:t>青灰色，流塑，高压缩性，成分不均匀，粉砂含量15～35％，含半碳化物碎屑及贝壳碎片。韧性高～中等，干强度高～中，摇振反应无～中等。Z21号孔18.30～18.50m为中风化凝灰岩滚石。全场地分布。</w:t>
      </w:r>
    </w:p>
    <w:p>
      <w:pPr>
        <w:spacing w:line="360" w:lineRule="auto"/>
        <w:ind w:firstLine="510"/>
        <w:rPr>
          <w:rFonts w:ascii="宋体" w:hint="eastAsia"/>
          <w:b/>
          <w:sz w:val="24"/>
        </w:rPr>
      </w:pPr>
      <w:r>
        <w:rPr>
          <w:rFonts w:ascii="宋体" w:hint="eastAsia"/>
          <w:b/>
          <w:sz w:val="24"/>
        </w:rPr>
        <w:t>3</w:t>
      </w:r>
      <w:r>
        <w:rPr>
          <w:rFonts w:ascii="宋体"/>
          <w:b/>
          <w:sz w:val="24"/>
        </w:rPr>
        <w:t>层</w:t>
      </w:r>
      <w:r>
        <w:rPr>
          <w:rFonts w:ascii="宋体" w:hint="eastAsia"/>
          <w:b/>
          <w:sz w:val="24"/>
        </w:rPr>
        <w:t xml:space="preserve"> 粘土：</w:t>
      </w:r>
      <w:r>
        <w:rPr>
          <w:rFonts w:ascii="宋体" w:hAnsi="宋体" w:hint="eastAsia"/>
          <w:color w:val="000000"/>
          <w:sz w:val="24"/>
        </w:rPr>
        <w:t>灰色，软塑，高压缩性。见细鳞片状结构，含半碳化物碎屑及贝壳碎片，局部含少量粉砂，刀切面光滑，韧性高，干强度高，摇振反应无。土体不均一，局部砂含量较多，相变为粉质粘土。Z11号孔25.00～25.70m为中风化凝灰岩滚石。大范围分布，局部缺失</w:t>
      </w:r>
    </w:p>
    <w:p>
      <w:pPr>
        <w:spacing w:line="360" w:lineRule="auto"/>
        <w:ind w:firstLine="510"/>
        <w:rPr>
          <w:rFonts w:ascii="宋体" w:hAnsi="宋体" w:cs="宋体" w:hint="eastAsia"/>
          <w:kern w:val="0"/>
          <w:szCs w:val="21"/>
        </w:rPr>
      </w:pPr>
      <w:r>
        <w:rPr>
          <w:rFonts w:ascii="宋体" w:hint="eastAsia"/>
          <w:b/>
          <w:sz w:val="24"/>
        </w:rPr>
        <w:t>4-1</w:t>
      </w:r>
      <w:r>
        <w:rPr>
          <w:rFonts w:ascii="宋体"/>
          <w:b/>
          <w:sz w:val="24"/>
        </w:rPr>
        <w:t>层</w:t>
      </w:r>
      <w:r>
        <w:rPr>
          <w:rFonts w:ascii="宋体" w:hint="eastAsia"/>
          <w:b/>
          <w:sz w:val="24"/>
        </w:rPr>
        <w:t xml:space="preserve"> 粉质粘土</w:t>
      </w:r>
      <w:r>
        <w:rPr>
          <w:rFonts w:hint="eastAsia"/>
          <w:sz w:val="24"/>
        </w:rPr>
        <w:t>：</w:t>
      </w:r>
      <w:r>
        <w:rPr>
          <w:rFonts w:ascii="宋体" w:hAnsi="宋体" w:hint="eastAsia"/>
          <w:color w:val="000000"/>
          <w:sz w:val="24"/>
        </w:rPr>
        <w:t>兰灰~灰黄色，可塑，中压缩性，局部高压缩性，刀切面稍光滑，韧性中等，干强度中等，摇振反应无，见少许铁锰质斑点分布。局部相变为粘土。主要分布于场区南侧</w:t>
      </w:r>
    </w:p>
    <w:p>
      <w:pPr>
        <w:widowControl/>
        <w:adjustRightInd w:val="0"/>
        <w:spacing w:line="360" w:lineRule="auto"/>
        <w:ind w:firstLine="470" w:firstLineChars="196"/>
        <w:rPr>
          <w:rFonts w:ascii="宋体" w:hAnsi="宋体" w:cs="宋体" w:hint="eastAsia"/>
          <w:kern w:val="0"/>
          <w:szCs w:val="21"/>
        </w:rPr>
      </w:pPr>
      <w:r>
        <w:rPr>
          <w:rFonts w:ascii="宋体" w:hint="eastAsia"/>
          <w:b/>
          <w:sz w:val="24"/>
        </w:rPr>
        <w:t>4-2</w:t>
      </w:r>
      <w:r>
        <w:rPr>
          <w:rFonts w:ascii="宋体"/>
          <w:b/>
          <w:sz w:val="24"/>
        </w:rPr>
        <w:t>层</w:t>
      </w:r>
      <w:r>
        <w:rPr>
          <w:rFonts w:ascii="宋体" w:hint="eastAsia"/>
          <w:b/>
          <w:sz w:val="24"/>
        </w:rPr>
        <w:t xml:space="preserve"> 粘土</w:t>
      </w:r>
      <w:r>
        <w:rPr>
          <w:rFonts w:ascii="宋体" w:hAnsi="宋体" w:cs="宋体" w:hint="eastAsia"/>
          <w:kern w:val="0"/>
          <w:szCs w:val="21"/>
        </w:rPr>
        <w:t xml:space="preserve">  </w:t>
      </w:r>
      <w:r>
        <w:rPr>
          <w:rFonts w:ascii="宋体" w:hAnsi="宋体" w:hint="eastAsia"/>
          <w:color w:val="000000"/>
          <w:sz w:val="24"/>
        </w:rPr>
        <w:t>灰色，软塑，中～高压缩性，刀切面光滑, 韧性高，干强度高，摇振反应无，局部含少量粉砂。 Z16号孔27.40～27.80m为中风化凝灰岩滚石。主要分布于场区南侧。</w:t>
      </w:r>
    </w:p>
    <w:p>
      <w:pPr>
        <w:widowControl/>
        <w:spacing w:line="360" w:lineRule="auto"/>
        <w:ind w:firstLine="470" w:firstLineChars="196"/>
        <w:rPr>
          <w:rFonts w:cs="宋体" w:hint="eastAsia"/>
          <w:kern w:val="0"/>
          <w:szCs w:val="21"/>
        </w:rPr>
      </w:pPr>
      <w:r>
        <w:rPr>
          <w:rFonts w:ascii="宋体" w:hint="eastAsia"/>
          <w:b/>
          <w:sz w:val="24"/>
        </w:rPr>
        <w:t>5</w:t>
      </w:r>
      <w:r>
        <w:rPr>
          <w:rFonts w:ascii="宋体"/>
          <w:b/>
          <w:sz w:val="24"/>
        </w:rPr>
        <w:t>层</w:t>
      </w:r>
      <w:r>
        <w:rPr>
          <w:rFonts w:ascii="宋体" w:hint="eastAsia"/>
          <w:b/>
          <w:sz w:val="24"/>
        </w:rPr>
        <w:t xml:space="preserve"> 粉质粘土：</w:t>
      </w:r>
      <w:r>
        <w:rPr>
          <w:rFonts w:ascii="宋体" w:hAnsi="宋体" w:hint="eastAsia"/>
          <w:color w:val="000000"/>
          <w:sz w:val="24"/>
        </w:rPr>
        <w:t>兰灰~灰黄色，中压缩性，刀切面欠光滑，韧性中等，干强度中等，摇振反应无，局部含少量粉砂。土体不均一，Z21、Z24、Z26、Z27号孔层中夹块石（滚石）。主要分布于场区南侧。</w:t>
      </w:r>
    </w:p>
    <w:p>
      <w:pPr>
        <w:spacing w:line="360" w:lineRule="auto"/>
        <w:ind w:firstLine="510"/>
        <w:rPr>
          <w:rFonts w:ascii="宋体" w:hAnsi="宋体" w:cs="宋体" w:hint="eastAsia"/>
          <w:kern w:val="0"/>
          <w:szCs w:val="21"/>
        </w:rPr>
        <w:sectPr>
          <w:footerReference w:type="even" r:id="rId9"/>
          <w:type w:val="nextPage"/>
          <w:pgSz w:w="11906" w:h="16838"/>
          <w:pgMar w:top="1440" w:right="1800" w:bottom="1440" w:left="1800" w:header="851" w:footer="992" w:gutter="0"/>
          <w:pgNumType w:start="6"/>
          <w:cols w:space="708"/>
          <w:titlePg w:val="0"/>
          <w:docGrid w:type="lines" w:linePitch="312"/>
        </w:sectPr>
      </w:pPr>
      <w:r>
        <w:rPr>
          <w:rFonts w:ascii="宋体" w:hint="eastAsia"/>
          <w:b/>
          <w:sz w:val="24"/>
        </w:rPr>
        <w:t>9</w:t>
      </w:r>
      <w:r>
        <w:rPr>
          <w:rFonts w:ascii="宋体"/>
          <w:b/>
          <w:sz w:val="24"/>
        </w:rPr>
        <w:t>层</w:t>
      </w:r>
      <w:r>
        <w:rPr>
          <w:rFonts w:ascii="宋体" w:hint="eastAsia"/>
          <w:b/>
          <w:sz w:val="24"/>
        </w:rPr>
        <w:t xml:space="preserve"> 粉质粘土混碎石：</w:t>
      </w:r>
      <w:r>
        <w:rPr>
          <w:rFonts w:ascii="宋体" w:hAnsi="宋体" w:hint="eastAsia"/>
          <w:color w:val="000000"/>
          <w:sz w:val="24"/>
        </w:rPr>
        <w:t>灰黄色，可塑，中</w:t>
      </w:r>
      <w:r>
        <w:rPr>
          <w:rFonts w:ascii="宋体" w:hAnsi="宋体"/>
          <w:color w:val="000000"/>
          <w:sz w:val="24"/>
        </w:rPr>
        <w:t>～</w:t>
      </w:r>
    </w:p>
    <w:p>
      <w:pPr>
        <w:spacing w:line="360" w:lineRule="auto"/>
        <w:ind w:firstLine="510"/>
        <w:rPr>
          <w:rFonts w:ascii="宋体" w:hAnsi="宋体" w:cs="宋体" w:hint="eastAsia"/>
          <w:kern w:val="0"/>
          <w:szCs w:val="21"/>
        </w:rPr>
      </w:pPr>
      <w:r>
        <w:rPr>
          <w:rFonts w:ascii="宋体" w:hAnsi="宋体" w:hint="eastAsia"/>
          <w:color w:val="000000"/>
          <w:sz w:val="24"/>
        </w:rPr>
        <w:t>高压缩性，粉质粘土为主，韧性中等，干强度中等，摇振反应无，切面稍有光泽，含角砾10-15%，角砾粒径10-20mm，次棱形；混碎石20-35%，碎石粒径20-50mm，次棱形，强～中风化状，原岩为火山碎屑岩。土体不均一，局部相变为碎石，粉质粘土。全场分布。</w:t>
      </w:r>
    </w:p>
    <w:p>
      <w:pPr>
        <w:spacing w:line="360" w:lineRule="auto"/>
        <w:ind w:firstLine="510"/>
        <w:rPr>
          <w:rFonts w:ascii="宋体" w:hAnsi="宋体" w:cs="宋体" w:hint="eastAsia"/>
          <w:kern w:val="0"/>
          <w:szCs w:val="21"/>
        </w:rPr>
      </w:pPr>
      <w:r>
        <w:rPr>
          <w:rFonts w:ascii="宋体" w:hint="eastAsia"/>
          <w:b/>
          <w:sz w:val="24"/>
        </w:rPr>
        <w:t>9-a</w:t>
      </w:r>
      <w:r>
        <w:rPr>
          <w:rFonts w:ascii="宋体"/>
          <w:b/>
          <w:sz w:val="24"/>
        </w:rPr>
        <w:t>层</w:t>
      </w:r>
      <w:r>
        <w:rPr>
          <w:rFonts w:ascii="宋体" w:hint="eastAsia"/>
          <w:b/>
          <w:sz w:val="24"/>
        </w:rPr>
        <w:t xml:space="preserve"> 块石：</w:t>
      </w:r>
      <w:r>
        <w:rPr>
          <w:rFonts w:ascii="宋体" w:hAnsi="宋体" w:hint="eastAsia"/>
          <w:color w:val="000000"/>
          <w:sz w:val="24"/>
        </w:rPr>
        <w:t>灰黄色，中密～密实，块状构造，坚硬，原岩为中、强风化状火山碎屑岩，岩芯较完整，短柱状，长50-500 mm，局部较破碎，呈碎块状，裂隙由粘性土充填。仅Z3、Z4、Z9、Z15、Z23孔分布。</w:t>
      </w:r>
    </w:p>
    <w:p>
      <w:pPr>
        <w:spacing w:line="360" w:lineRule="auto"/>
        <w:ind w:firstLine="510"/>
        <w:rPr>
          <w:rFonts w:ascii="宋体" w:hAnsi="宋体" w:cs="宋体" w:hint="eastAsia"/>
          <w:kern w:val="0"/>
          <w:szCs w:val="21"/>
        </w:rPr>
      </w:pPr>
      <w:r>
        <w:rPr>
          <w:rFonts w:ascii="宋体" w:hint="eastAsia"/>
          <w:b/>
          <w:sz w:val="24"/>
        </w:rPr>
        <w:t>10-1</w:t>
      </w:r>
      <w:r>
        <w:rPr>
          <w:rFonts w:ascii="宋体"/>
          <w:b/>
          <w:sz w:val="24"/>
        </w:rPr>
        <w:t>层</w:t>
      </w:r>
      <w:r>
        <w:rPr>
          <w:rFonts w:ascii="宋体" w:hint="eastAsia"/>
          <w:b/>
          <w:sz w:val="24"/>
        </w:rPr>
        <w:t xml:space="preserve"> 全风化凝灰岩：</w:t>
      </w:r>
      <w:r>
        <w:rPr>
          <w:rFonts w:ascii="宋体" w:hAnsi="宋体" w:hint="eastAsia"/>
          <w:color w:val="000000"/>
          <w:sz w:val="24"/>
        </w:rPr>
        <w:t>兰灰、灰黄色，可塑，局部软塑状，风化完全，原岩结构已基本破坏，矿物高岭土化，呈粉土、粉质粘土状。土体中等</w:t>
      </w:r>
      <w:r>
        <w:rPr>
          <w:rFonts w:ascii="宋体" w:hAnsi="宋体"/>
          <w:color w:val="000000"/>
          <w:sz w:val="24"/>
        </w:rPr>
        <w:t>压缩性</w:t>
      </w:r>
      <w:r>
        <w:rPr>
          <w:rFonts w:ascii="宋体" w:hAnsi="宋体" w:hint="eastAsia"/>
          <w:color w:val="000000"/>
          <w:sz w:val="24"/>
        </w:rPr>
        <w:t>，</w:t>
      </w:r>
      <w:r>
        <w:rPr>
          <w:rFonts w:ascii="宋体" w:hAnsi="宋体"/>
          <w:color w:val="000000"/>
          <w:sz w:val="24"/>
        </w:rPr>
        <w:t>含少量</w:t>
      </w:r>
      <w:r>
        <w:rPr>
          <w:rFonts w:ascii="宋体" w:hAnsi="宋体" w:hint="eastAsia"/>
          <w:color w:val="000000"/>
          <w:sz w:val="24"/>
        </w:rPr>
        <w:t>未完全风化岩块，手捻易碎，土体遇水后力学性质大幅降低</w:t>
      </w:r>
      <w:r>
        <w:rPr>
          <w:rFonts w:ascii="宋体" w:hAnsi="宋体"/>
          <w:color w:val="000000"/>
          <w:sz w:val="24"/>
        </w:rPr>
        <w:t>。</w:t>
      </w:r>
      <w:r>
        <w:rPr>
          <w:rFonts w:ascii="宋体" w:hAnsi="宋体" w:hint="eastAsia"/>
          <w:color w:val="000000"/>
          <w:sz w:val="24"/>
        </w:rPr>
        <w:t>Z3孔27.90～31.90m、Z8孔27.50～29.20m见强风化～中风化状风化残留体，个别直径达50-500 mm，除Z9孔外全场地分布。</w:t>
      </w:r>
    </w:p>
    <w:p>
      <w:pPr>
        <w:spacing w:line="360" w:lineRule="auto"/>
        <w:ind w:firstLine="510"/>
        <w:rPr>
          <w:rFonts w:ascii="宋体" w:hAnsi="宋体" w:cs="宋体" w:hint="eastAsia"/>
          <w:kern w:val="0"/>
          <w:szCs w:val="21"/>
        </w:rPr>
      </w:pPr>
      <w:r>
        <w:rPr>
          <w:rFonts w:ascii="宋体" w:hint="eastAsia"/>
          <w:b/>
          <w:sz w:val="24"/>
        </w:rPr>
        <w:t>10-2</w:t>
      </w:r>
      <w:r>
        <w:rPr>
          <w:rFonts w:ascii="宋体"/>
          <w:b/>
          <w:sz w:val="24"/>
        </w:rPr>
        <w:t>层</w:t>
      </w:r>
      <w:r>
        <w:rPr>
          <w:rFonts w:ascii="宋体" w:hint="eastAsia"/>
          <w:b/>
          <w:sz w:val="24"/>
        </w:rPr>
        <w:t xml:space="preserve"> 强风化凝灰岩：</w:t>
      </w:r>
      <w:r>
        <w:rPr>
          <w:rFonts w:ascii="宋体" w:hAnsi="宋体" w:hint="eastAsia"/>
          <w:color w:val="000000"/>
          <w:sz w:val="24"/>
        </w:rPr>
        <w:t>灰褐色，风化强烈，风化物为碎块石夹粘性土，原岩为凝灰岩，块状构造。节理裂隙较发育，风化碎块石锤击易碎，岩芯呈碎块状</w:t>
      </w:r>
      <w:r>
        <w:rPr>
          <w:rFonts w:ascii="宋体" w:hAnsi="宋体"/>
          <w:color w:val="000000"/>
          <w:sz w:val="24"/>
        </w:rPr>
        <w:t>。</w:t>
      </w:r>
      <w:r>
        <w:rPr>
          <w:rFonts w:ascii="宋体" w:hAnsi="宋体" w:hint="eastAsia"/>
          <w:color w:val="000000"/>
          <w:sz w:val="24"/>
        </w:rPr>
        <w:t>岩体完整程度为破碎～较破碎，基本质量等级为</w:t>
      </w:r>
      <w:r>
        <w:rPr>
          <w:rFonts w:ascii="宋体" w:hAnsi="宋体" w:hint="eastAsia"/>
          <w:color w:val="000000"/>
          <w:sz w:val="24"/>
        </w:rPr>
        <w:t>Ⅳ</w:t>
      </w:r>
      <w:r>
        <w:rPr>
          <w:rFonts w:ascii="宋体" w:hAnsi="宋体" w:hint="eastAsia"/>
          <w:color w:val="000000"/>
          <w:sz w:val="24"/>
        </w:rPr>
        <w:t>级。仅场地北侧揭露。</w:t>
      </w:r>
    </w:p>
    <w:p>
      <w:pPr>
        <w:spacing w:line="360" w:lineRule="auto"/>
        <w:ind w:firstLine="510"/>
        <w:rPr>
          <w:rFonts w:ascii="宋体" w:hAnsi="宋体" w:hint="eastAsia"/>
          <w:color w:val="000000"/>
          <w:sz w:val="24"/>
        </w:rPr>
      </w:pPr>
      <w:r>
        <w:rPr>
          <w:rFonts w:ascii="宋体" w:hint="eastAsia"/>
          <w:b/>
          <w:sz w:val="24"/>
        </w:rPr>
        <w:t>10-3</w:t>
      </w:r>
      <w:r>
        <w:rPr>
          <w:rFonts w:ascii="宋体"/>
          <w:b/>
          <w:sz w:val="24"/>
        </w:rPr>
        <w:t>层</w:t>
      </w:r>
      <w:r>
        <w:rPr>
          <w:rFonts w:ascii="宋体" w:hint="eastAsia"/>
          <w:b/>
          <w:sz w:val="24"/>
        </w:rPr>
        <w:t xml:space="preserve"> 中风化凝灰岩：</w:t>
      </w:r>
      <w:r>
        <w:rPr>
          <w:rFonts w:ascii="宋体" w:hAnsi="宋体" w:hint="eastAsia"/>
          <w:color w:val="000000"/>
          <w:sz w:val="24"/>
        </w:rPr>
        <w:t>灰褐，原岩为上侏罗统凝灰岩，似斑状结构，块状构造。为较硬～坚硬岩。节理裂隙较发育，取出岩芯呈短柱状，一般15～30cm，其岩体完整程度为较完整，岩体质量基本等级为</w:t>
      </w:r>
      <w:r>
        <w:rPr>
          <w:rFonts w:ascii="宋体" w:hAnsi="宋体" w:hint="eastAsia"/>
          <w:color w:val="000000"/>
          <w:sz w:val="24"/>
        </w:rPr>
        <w:t>Ⅲ</w:t>
      </w:r>
      <w:r>
        <w:rPr>
          <w:rFonts w:ascii="宋体" w:hAnsi="宋体" w:hint="eastAsia"/>
          <w:color w:val="000000"/>
          <w:sz w:val="24"/>
        </w:rPr>
        <w:t>级。局部区域含辉绿岩岩脉。仅场地北侧揭露。</w:t>
      </w:r>
    </w:p>
    <w:p>
      <w:pPr>
        <w:spacing w:line="360" w:lineRule="auto"/>
        <w:rPr>
          <w:b/>
          <w:sz w:val="24"/>
        </w:rPr>
      </w:pPr>
      <w:bookmarkStart w:id="5" w:name="_Toc146377305"/>
      <w:r>
        <w:rPr>
          <w:rFonts w:hint="eastAsia"/>
          <w:b/>
          <w:sz w:val="24"/>
        </w:rPr>
        <w:t>二、基坑开挖影响范围内土体主要物理力学参数</w:t>
      </w:r>
    </w:p>
    <w:tbl>
      <w:tblPr>
        <w:tblStyle w:val="TableNormal"/>
        <w:tblW w:w="9397" w:type="dxa"/>
        <w:jc w:val="center"/>
        <w:tblInd w:w="-5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767"/>
        <w:gridCol w:w="987"/>
        <w:gridCol w:w="764"/>
        <w:gridCol w:w="779"/>
        <w:gridCol w:w="897"/>
        <w:gridCol w:w="870"/>
        <w:gridCol w:w="1284"/>
        <w:gridCol w:w="1313"/>
        <w:gridCol w:w="736"/>
      </w:tblGrid>
      <w:tr>
        <w:tblPrEx>
          <w:tblW w:w="9397" w:type="dxa"/>
          <w:jc w:val="center"/>
          <w:tblInd w:w="-5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913"/>
          <w:jc w:val="center"/>
        </w:trPr>
        <w:tc>
          <w:tcPr>
            <w:tcW w:w="1767" w:type="dxa"/>
            <w:vMerge w:val="restart"/>
            <w:vAlign w:val="center"/>
          </w:tcPr>
          <w:p>
            <w:pPr>
              <w:snapToGrid w:val="0"/>
              <w:spacing w:after="78" w:afterLines="25" w:line="400" w:lineRule="exact"/>
              <w:jc w:val="center"/>
              <w:rPr>
                <w:rFonts w:hint="eastAsia"/>
                <w:snapToGrid w:val="0"/>
                <w:spacing w:val="24"/>
                <w:sz w:val="24"/>
              </w:rPr>
            </w:pPr>
            <w:r>
              <w:rPr>
                <w:rFonts w:hint="eastAsia"/>
                <w:snapToGrid w:val="0"/>
                <w:spacing w:val="24"/>
                <w:sz w:val="24"/>
              </w:rPr>
              <w:t>土层名称</w:t>
            </w:r>
          </w:p>
        </w:tc>
        <w:tc>
          <w:tcPr>
            <w:tcW w:w="987" w:type="dxa"/>
            <w:vMerge w:val="restart"/>
            <w:vAlign w:val="center"/>
          </w:tcPr>
          <w:p>
            <w:pPr>
              <w:snapToGrid w:val="0"/>
              <w:spacing w:after="78" w:afterLines="25" w:line="400" w:lineRule="exact"/>
              <w:jc w:val="center"/>
              <w:rPr>
                <w:rFonts w:hint="eastAsia"/>
                <w:snapToGrid w:val="0"/>
                <w:spacing w:val="24"/>
                <w:sz w:val="24"/>
              </w:rPr>
            </w:pPr>
            <w:r>
              <w:rPr>
                <w:rFonts w:hint="eastAsia"/>
                <w:snapToGrid w:val="0"/>
                <w:spacing w:val="24"/>
                <w:sz w:val="24"/>
              </w:rPr>
              <w:t>γ</w:t>
            </w:r>
          </w:p>
          <w:p>
            <w:pPr>
              <w:snapToGrid w:val="0"/>
              <w:spacing w:after="78" w:afterLines="25" w:line="400" w:lineRule="exact"/>
              <w:jc w:val="center"/>
              <w:rPr>
                <w:rFonts w:hint="eastAsia"/>
                <w:snapToGrid w:val="0"/>
                <w:spacing w:val="24"/>
                <w:sz w:val="24"/>
              </w:rPr>
            </w:pPr>
            <w:r>
              <w:rPr>
                <w:rFonts w:hint="eastAsia"/>
                <w:snapToGrid w:val="0"/>
                <w:spacing w:val="24"/>
                <w:sz w:val="24"/>
              </w:rPr>
              <w:t>(kN/m</w:t>
            </w:r>
            <w:r>
              <w:rPr>
                <w:rFonts w:hint="eastAsia"/>
                <w:snapToGrid w:val="0"/>
                <w:spacing w:val="24"/>
                <w:sz w:val="24"/>
                <w:vertAlign w:val="superscript"/>
              </w:rPr>
              <w:t>3</w:t>
            </w:r>
            <w:r>
              <w:rPr>
                <w:rFonts w:hint="eastAsia"/>
                <w:snapToGrid w:val="0"/>
                <w:spacing w:val="24"/>
                <w:sz w:val="24"/>
              </w:rPr>
              <w:t>)</w:t>
            </w:r>
          </w:p>
        </w:tc>
        <w:tc>
          <w:tcPr>
            <w:tcW w:w="764" w:type="dxa"/>
            <w:vMerge w:val="restart"/>
            <w:vAlign w:val="center"/>
          </w:tcPr>
          <w:p>
            <w:pPr>
              <w:snapToGrid w:val="0"/>
              <w:spacing w:after="78" w:afterLines="25" w:line="400" w:lineRule="exact"/>
              <w:jc w:val="center"/>
              <w:rPr>
                <w:snapToGrid w:val="0"/>
                <w:spacing w:val="24"/>
                <w:sz w:val="24"/>
              </w:rPr>
            </w:pPr>
            <w:r>
              <w:rPr>
                <w:rFonts w:hint="eastAsia"/>
                <w:snapToGrid w:val="0"/>
                <w:spacing w:val="24"/>
                <w:sz w:val="24"/>
              </w:rPr>
              <w:t>w</w:t>
            </w:r>
            <w:r>
              <w:rPr>
                <w:snapToGrid w:val="0"/>
                <w:spacing w:val="24"/>
                <w:sz w:val="24"/>
                <w:vertAlign w:val="subscript"/>
              </w:rPr>
              <w:t>0</w:t>
            </w:r>
          </w:p>
          <w:p>
            <w:pPr>
              <w:snapToGrid w:val="0"/>
              <w:spacing w:after="78" w:afterLines="25" w:line="400" w:lineRule="exact"/>
              <w:jc w:val="center"/>
              <w:rPr>
                <w:rFonts w:hint="eastAsia"/>
                <w:snapToGrid w:val="0"/>
                <w:spacing w:val="24"/>
                <w:sz w:val="24"/>
              </w:rPr>
            </w:pPr>
            <w:r>
              <w:rPr>
                <w:rFonts w:hint="eastAsia"/>
                <w:snapToGrid w:val="0"/>
                <w:spacing w:val="24"/>
                <w:sz w:val="24"/>
              </w:rPr>
              <w:t>(</w:t>
            </w:r>
            <w:r>
              <w:rPr>
                <w:snapToGrid w:val="0"/>
                <w:spacing w:val="24"/>
                <w:sz w:val="24"/>
              </w:rPr>
              <w:t>%</w:t>
            </w:r>
            <w:r>
              <w:rPr>
                <w:rFonts w:hint="eastAsia"/>
                <w:snapToGrid w:val="0"/>
                <w:spacing w:val="24"/>
                <w:sz w:val="24"/>
              </w:rPr>
              <w:t>)</w:t>
            </w:r>
          </w:p>
        </w:tc>
        <w:tc>
          <w:tcPr>
            <w:tcW w:w="779" w:type="dxa"/>
            <w:vMerge w:val="restart"/>
            <w:vAlign w:val="center"/>
          </w:tcPr>
          <w:p>
            <w:pPr>
              <w:snapToGrid w:val="0"/>
              <w:spacing w:after="78" w:afterLines="25" w:line="400" w:lineRule="exact"/>
              <w:jc w:val="center"/>
              <w:rPr>
                <w:rFonts w:hint="eastAsia"/>
                <w:snapToGrid w:val="0"/>
                <w:spacing w:val="24"/>
                <w:sz w:val="24"/>
              </w:rPr>
            </w:pPr>
            <w:r>
              <w:rPr>
                <w:snapToGrid w:val="0"/>
                <w:spacing w:val="24"/>
                <w:sz w:val="24"/>
              </w:rPr>
              <w:t>e</w:t>
            </w:r>
            <w:r>
              <w:rPr>
                <w:snapToGrid w:val="0"/>
                <w:spacing w:val="24"/>
                <w:sz w:val="24"/>
                <w:vertAlign w:val="subscript"/>
              </w:rPr>
              <w:t>0</w:t>
            </w:r>
          </w:p>
        </w:tc>
        <w:tc>
          <w:tcPr>
            <w:tcW w:w="1767" w:type="dxa"/>
            <w:gridSpan w:val="2"/>
          </w:tcPr>
          <w:p>
            <w:pPr>
              <w:snapToGrid w:val="0"/>
              <w:spacing w:after="78" w:afterLines="25" w:line="400" w:lineRule="exact"/>
              <w:jc w:val="center"/>
              <w:rPr>
                <w:rFonts w:hint="eastAsia"/>
                <w:snapToGrid w:val="0"/>
                <w:spacing w:val="24"/>
                <w:sz w:val="24"/>
              </w:rPr>
            </w:pPr>
            <w:r>
              <w:rPr>
                <w:rFonts w:hint="eastAsia"/>
                <w:snapToGrid w:val="0"/>
                <w:spacing w:val="24"/>
                <w:sz w:val="24"/>
              </w:rPr>
              <w:t>固结快剪</w:t>
            </w:r>
          </w:p>
          <w:p>
            <w:pPr>
              <w:snapToGrid w:val="0"/>
              <w:spacing w:after="78" w:afterLines="25" w:line="400" w:lineRule="exact"/>
              <w:jc w:val="center"/>
              <w:rPr>
                <w:snapToGrid w:val="0"/>
                <w:spacing w:val="24"/>
                <w:sz w:val="24"/>
              </w:rPr>
            </w:pPr>
            <w:r>
              <w:rPr>
                <w:rFonts w:hint="eastAsia"/>
                <w:snapToGrid w:val="0"/>
                <w:spacing w:val="24"/>
                <w:sz w:val="24"/>
              </w:rPr>
              <w:t>指标</w:t>
            </w:r>
          </w:p>
        </w:tc>
        <w:tc>
          <w:tcPr>
            <w:tcW w:w="2597" w:type="dxa"/>
            <w:gridSpan w:val="2"/>
            <w:tcBorders>
              <w:bottom w:val="single" w:sz="4" w:space="0" w:color="auto"/>
              <w:right w:val="single" w:sz="4" w:space="0" w:color="auto"/>
            </w:tcBorders>
            <w:vAlign w:val="center"/>
          </w:tcPr>
          <w:p>
            <w:pPr>
              <w:snapToGrid w:val="0"/>
              <w:spacing w:after="78" w:afterLines="25" w:line="400" w:lineRule="exact"/>
              <w:jc w:val="center"/>
              <w:rPr>
                <w:rFonts w:hint="eastAsia"/>
                <w:snapToGrid w:val="0"/>
                <w:spacing w:val="24"/>
                <w:sz w:val="24"/>
              </w:rPr>
            </w:pPr>
            <w:r>
              <w:rPr>
                <w:rFonts w:hint="eastAsia"/>
                <w:snapToGrid w:val="0"/>
                <w:spacing w:val="24"/>
                <w:sz w:val="24"/>
              </w:rPr>
              <w:t>渗透系数(cm/s)</w:t>
            </w:r>
          </w:p>
        </w:tc>
        <w:tc>
          <w:tcPr>
            <w:tcW w:w="736" w:type="dxa"/>
            <w:tcBorders>
              <w:top w:val="single" w:sz="12" w:space="0" w:color="auto"/>
              <w:left w:val="single" w:sz="4" w:space="0" w:color="auto"/>
              <w:bottom w:val="nil"/>
            </w:tcBorders>
            <w:vAlign w:val="bottom"/>
          </w:tcPr>
          <w:p>
            <w:pPr>
              <w:snapToGrid w:val="0"/>
              <w:spacing w:after="78" w:afterLines="25" w:line="400" w:lineRule="exact"/>
              <w:jc w:val="center"/>
              <w:rPr>
                <w:rFonts w:hint="eastAsia"/>
                <w:snapToGrid w:val="0"/>
                <w:spacing w:val="24"/>
                <w:sz w:val="24"/>
              </w:rPr>
            </w:pPr>
            <w:r>
              <w:rPr>
                <w:rFonts w:hint="eastAsia"/>
                <w:snapToGrid w:val="0"/>
                <w:spacing w:val="24"/>
                <w:sz w:val="24"/>
              </w:rPr>
              <w:t>f</w:t>
            </w:r>
            <w:r>
              <w:rPr>
                <w:rFonts w:hint="eastAsia"/>
                <w:snapToGrid w:val="0"/>
                <w:spacing w:val="24"/>
                <w:sz w:val="24"/>
                <w:vertAlign w:val="subscript"/>
              </w:rPr>
              <w:t>ak</w:t>
            </w:r>
          </w:p>
        </w:tc>
      </w:tr>
      <w:tr>
        <w:tblPrEx>
          <w:tblW w:w="9397" w:type="dxa"/>
          <w:jc w:val="center"/>
          <w:tblInd w:w="-594" w:type="dxa"/>
          <w:tblLayout w:type="fixed"/>
          <w:tblCellMar>
            <w:top w:w="0" w:type="dxa"/>
            <w:left w:w="108" w:type="dxa"/>
            <w:bottom w:w="0" w:type="dxa"/>
            <w:right w:w="108" w:type="dxa"/>
          </w:tblCellMar>
          <w:tblLook w:val="0000"/>
        </w:tblPrEx>
        <w:trPr>
          <w:cantSplit/>
          <w:trHeight w:val="143"/>
          <w:jc w:val="center"/>
        </w:trPr>
        <w:tc>
          <w:tcPr>
            <w:tcW w:w="1767" w:type="dxa"/>
            <w:vMerge/>
          </w:tcPr>
          <w:p>
            <w:pPr>
              <w:snapToGrid w:val="0"/>
              <w:spacing w:after="78" w:afterLines="25" w:line="400" w:lineRule="exact"/>
              <w:rPr>
                <w:rFonts w:hint="eastAsia"/>
                <w:snapToGrid w:val="0"/>
                <w:spacing w:val="24"/>
                <w:sz w:val="24"/>
              </w:rPr>
            </w:pPr>
          </w:p>
        </w:tc>
        <w:tc>
          <w:tcPr>
            <w:tcW w:w="987" w:type="dxa"/>
            <w:vMerge/>
          </w:tcPr>
          <w:p>
            <w:pPr>
              <w:snapToGrid w:val="0"/>
              <w:spacing w:after="78" w:afterLines="25" w:line="400" w:lineRule="exact"/>
              <w:jc w:val="center"/>
              <w:rPr>
                <w:snapToGrid w:val="0"/>
                <w:spacing w:val="24"/>
                <w:sz w:val="24"/>
              </w:rPr>
            </w:pPr>
          </w:p>
        </w:tc>
        <w:tc>
          <w:tcPr>
            <w:tcW w:w="764" w:type="dxa"/>
            <w:vMerge/>
          </w:tcPr>
          <w:p>
            <w:pPr>
              <w:snapToGrid w:val="0"/>
              <w:spacing w:after="78" w:afterLines="25" w:line="400" w:lineRule="exact"/>
              <w:jc w:val="center"/>
              <w:rPr>
                <w:snapToGrid w:val="0"/>
                <w:spacing w:val="24"/>
                <w:sz w:val="24"/>
              </w:rPr>
            </w:pPr>
          </w:p>
        </w:tc>
        <w:tc>
          <w:tcPr>
            <w:tcW w:w="779" w:type="dxa"/>
            <w:vMerge/>
          </w:tcPr>
          <w:p>
            <w:pPr>
              <w:snapToGrid w:val="0"/>
              <w:spacing w:after="78" w:afterLines="25" w:line="400" w:lineRule="exact"/>
              <w:jc w:val="center"/>
              <w:rPr>
                <w:snapToGrid w:val="0"/>
                <w:spacing w:val="24"/>
                <w:sz w:val="24"/>
              </w:rPr>
            </w:pPr>
          </w:p>
        </w:tc>
        <w:tc>
          <w:tcPr>
            <w:tcW w:w="897" w:type="dxa"/>
          </w:tcPr>
          <w:p>
            <w:pPr>
              <w:snapToGrid w:val="0"/>
              <w:spacing w:after="78" w:afterLines="25" w:line="400" w:lineRule="exact"/>
              <w:jc w:val="center"/>
              <w:rPr>
                <w:rFonts w:hint="eastAsia"/>
                <w:snapToGrid w:val="0"/>
                <w:sz w:val="24"/>
              </w:rPr>
            </w:pPr>
            <w:r>
              <w:rPr>
                <w:snapToGrid w:val="0"/>
                <w:sz w:val="24"/>
              </w:rPr>
              <w:t>C</w:t>
            </w:r>
          </w:p>
          <w:p>
            <w:pPr>
              <w:snapToGrid w:val="0"/>
              <w:spacing w:after="78" w:afterLines="25" w:line="400" w:lineRule="exact"/>
              <w:jc w:val="center"/>
              <w:rPr>
                <w:snapToGrid w:val="0"/>
                <w:spacing w:val="24"/>
                <w:sz w:val="24"/>
              </w:rPr>
            </w:pPr>
            <w:r>
              <w:rPr>
                <w:snapToGrid w:val="0"/>
                <w:sz w:val="24"/>
              </w:rPr>
              <w:t>(kPa)</w:t>
            </w:r>
          </w:p>
        </w:tc>
        <w:tc>
          <w:tcPr>
            <w:tcW w:w="870" w:type="dxa"/>
          </w:tcPr>
          <w:p>
            <w:pPr>
              <w:snapToGrid w:val="0"/>
              <w:spacing w:after="78" w:afterLines="25" w:line="400" w:lineRule="exact"/>
              <w:jc w:val="center"/>
              <w:rPr>
                <w:rFonts w:hint="eastAsia"/>
                <w:snapToGrid w:val="0"/>
                <w:spacing w:val="24"/>
                <w:sz w:val="24"/>
              </w:rPr>
            </w:pPr>
            <w:r>
              <w:rPr>
                <w:rFonts w:hint="eastAsia"/>
                <w:snapToGrid w:val="0"/>
                <w:spacing w:val="24"/>
                <w:sz w:val="24"/>
              </w:rPr>
              <w:t>φ</w:t>
            </w:r>
          </w:p>
          <w:p>
            <w:pPr>
              <w:snapToGrid w:val="0"/>
              <w:spacing w:after="78" w:afterLines="25" w:line="400" w:lineRule="exact"/>
              <w:jc w:val="center"/>
              <w:rPr>
                <w:snapToGrid w:val="0"/>
                <w:spacing w:val="24"/>
                <w:sz w:val="24"/>
              </w:rPr>
            </w:pPr>
            <w:r>
              <w:rPr>
                <w:snapToGrid w:val="0"/>
                <w:spacing w:val="24"/>
                <w:sz w:val="24"/>
              </w:rPr>
              <w:t>(</w:t>
            </w:r>
            <w:r>
              <w:rPr>
                <w:rFonts w:hint="eastAsia"/>
                <w:snapToGrid w:val="0"/>
                <w:spacing w:val="24"/>
                <w:sz w:val="24"/>
              </w:rPr>
              <w:t>°</w:t>
            </w:r>
            <w:r>
              <w:rPr>
                <w:snapToGrid w:val="0"/>
                <w:spacing w:val="24"/>
                <w:sz w:val="24"/>
              </w:rPr>
              <w:t>)</w:t>
            </w:r>
          </w:p>
        </w:tc>
        <w:tc>
          <w:tcPr>
            <w:tcW w:w="1284" w:type="dxa"/>
            <w:tcBorders>
              <w:top w:val="single" w:sz="4" w:space="0" w:color="auto"/>
              <w:right w:val="single" w:sz="4" w:space="0" w:color="auto"/>
            </w:tcBorders>
          </w:tcPr>
          <w:p>
            <w:pPr>
              <w:snapToGrid w:val="0"/>
              <w:spacing w:after="78" w:afterLines="25" w:line="400" w:lineRule="exact"/>
              <w:jc w:val="center"/>
              <w:rPr>
                <w:rFonts w:hint="eastAsia"/>
                <w:snapToGrid w:val="0"/>
                <w:spacing w:val="24"/>
                <w:sz w:val="24"/>
              </w:rPr>
            </w:pPr>
            <w:r>
              <w:rPr>
                <w:rFonts w:hint="eastAsia"/>
                <w:snapToGrid w:val="0"/>
                <w:spacing w:val="24"/>
                <w:sz w:val="24"/>
              </w:rPr>
              <w:t>水平</w:t>
            </w:r>
          </w:p>
          <w:p>
            <w:pPr>
              <w:snapToGrid w:val="0"/>
              <w:spacing w:after="78" w:afterLines="25" w:line="400" w:lineRule="exact"/>
              <w:jc w:val="center"/>
              <w:rPr>
                <w:rFonts w:hint="eastAsia"/>
                <w:snapToGrid w:val="0"/>
                <w:spacing w:val="24"/>
                <w:sz w:val="24"/>
              </w:rPr>
            </w:pPr>
            <w:r>
              <w:rPr>
                <w:rFonts w:hint="eastAsia"/>
                <w:snapToGrid w:val="0"/>
                <w:spacing w:val="24"/>
                <w:sz w:val="24"/>
              </w:rPr>
              <w:t>渗透</w:t>
            </w:r>
          </w:p>
        </w:tc>
        <w:tc>
          <w:tcPr>
            <w:tcW w:w="1313" w:type="dxa"/>
            <w:tcBorders>
              <w:top w:val="single" w:sz="4" w:space="0" w:color="auto"/>
              <w:left w:val="single" w:sz="4" w:space="0" w:color="auto"/>
              <w:right w:val="single" w:sz="4" w:space="0" w:color="auto"/>
            </w:tcBorders>
          </w:tcPr>
          <w:p>
            <w:pPr>
              <w:snapToGrid w:val="0"/>
              <w:spacing w:after="78" w:afterLines="25" w:line="400" w:lineRule="exact"/>
              <w:jc w:val="center"/>
              <w:rPr>
                <w:rFonts w:hint="eastAsia"/>
                <w:snapToGrid w:val="0"/>
                <w:spacing w:val="24"/>
                <w:sz w:val="24"/>
              </w:rPr>
            </w:pPr>
            <w:r>
              <w:rPr>
                <w:rFonts w:hint="eastAsia"/>
                <w:snapToGrid w:val="0"/>
                <w:spacing w:val="24"/>
                <w:sz w:val="24"/>
              </w:rPr>
              <w:t>垂直</w:t>
            </w:r>
          </w:p>
          <w:p>
            <w:pPr>
              <w:snapToGrid w:val="0"/>
              <w:spacing w:after="78" w:afterLines="25" w:line="400" w:lineRule="exact"/>
              <w:jc w:val="center"/>
              <w:rPr>
                <w:rFonts w:hint="eastAsia"/>
                <w:snapToGrid w:val="0"/>
                <w:spacing w:val="24"/>
                <w:sz w:val="24"/>
              </w:rPr>
            </w:pPr>
            <w:r>
              <w:rPr>
                <w:rFonts w:hint="eastAsia"/>
                <w:snapToGrid w:val="0"/>
                <w:spacing w:val="24"/>
                <w:sz w:val="24"/>
              </w:rPr>
              <w:t>渗透</w:t>
            </w:r>
          </w:p>
        </w:tc>
        <w:tc>
          <w:tcPr>
            <w:tcW w:w="736" w:type="dxa"/>
            <w:tcBorders>
              <w:top w:val="nil"/>
              <w:left w:val="single" w:sz="4" w:space="0" w:color="auto"/>
              <w:bottom w:val="nil"/>
            </w:tcBorders>
            <w:vAlign w:val="center"/>
          </w:tcPr>
          <w:p>
            <w:pPr>
              <w:snapToGrid w:val="0"/>
              <w:spacing w:after="78" w:afterLines="25" w:line="400" w:lineRule="exact"/>
              <w:jc w:val="center"/>
              <w:rPr>
                <w:snapToGrid w:val="0"/>
                <w:spacing w:val="24"/>
                <w:sz w:val="24"/>
              </w:rPr>
            </w:pPr>
            <w:r>
              <w:rPr>
                <w:rFonts w:hint="eastAsia"/>
                <w:snapToGrid w:val="0"/>
                <w:spacing w:val="24"/>
                <w:sz w:val="24"/>
              </w:rPr>
              <w:t>(kPa)</w:t>
            </w:r>
          </w:p>
        </w:tc>
      </w:tr>
      <w:tr>
        <w:tblPrEx>
          <w:tblW w:w="9397" w:type="dxa"/>
          <w:jc w:val="center"/>
          <w:tblInd w:w="-594" w:type="dxa"/>
          <w:tblLayout w:type="fixed"/>
          <w:tblCellMar>
            <w:top w:w="0" w:type="dxa"/>
            <w:left w:w="108" w:type="dxa"/>
            <w:bottom w:w="0" w:type="dxa"/>
            <w:right w:w="108" w:type="dxa"/>
          </w:tblCellMar>
          <w:tblLook w:val="0000"/>
        </w:tblPrEx>
        <w:trPr>
          <w:trHeight w:val="464"/>
          <w:jc w:val="center"/>
        </w:trPr>
        <w:tc>
          <w:tcPr>
            <w:tcW w:w="1767" w:type="dxa"/>
            <w:vAlign w:val="center"/>
          </w:tcPr>
          <w:p>
            <w:pPr>
              <w:rPr>
                <w:rFonts w:hint="eastAsia"/>
              </w:rPr>
            </w:pPr>
            <w:r>
              <w:rPr>
                <w:rFonts w:hint="eastAsia"/>
              </w:rPr>
              <w:t>1层  粘土</w:t>
            </w:r>
          </w:p>
        </w:tc>
        <w:tc>
          <w:tcPr>
            <w:tcW w:w="987" w:type="dxa"/>
          </w:tcPr>
          <w:p>
            <w:pPr>
              <w:snapToGrid w:val="0"/>
              <w:spacing w:after="78" w:afterLines="25" w:line="400" w:lineRule="exact"/>
              <w:jc w:val="center"/>
              <w:rPr>
                <w:rFonts w:hint="eastAsia"/>
                <w:snapToGrid w:val="0"/>
                <w:spacing w:val="24"/>
                <w:sz w:val="24"/>
              </w:rPr>
            </w:pPr>
            <w:r>
              <w:rPr>
                <w:rFonts w:hint="eastAsia"/>
                <w:snapToGrid w:val="0"/>
                <w:spacing w:val="24"/>
                <w:sz w:val="24"/>
              </w:rPr>
              <w:t>(</w:t>
            </w:r>
            <w:r>
              <w:rPr>
                <w:rFonts w:hint="eastAsia"/>
                <w:sz w:val="20"/>
                <w:szCs w:val="20"/>
              </w:rPr>
              <w:t>17.64</w:t>
            </w:r>
            <w:r>
              <w:rPr>
                <w:rFonts w:hint="eastAsia"/>
                <w:snapToGrid w:val="0"/>
                <w:spacing w:val="24"/>
                <w:sz w:val="24"/>
              </w:rPr>
              <w:t>)</w:t>
            </w:r>
          </w:p>
        </w:tc>
        <w:tc>
          <w:tcPr>
            <w:tcW w:w="764" w:type="dxa"/>
            <w:vAlign w:val="center"/>
          </w:tcPr>
          <w:p>
            <w:pPr>
              <w:jc w:val="center"/>
              <w:rPr>
                <w:rFonts w:ascii="宋体" w:hAnsi="宋体" w:cs="宋体"/>
                <w:sz w:val="20"/>
                <w:szCs w:val="20"/>
              </w:rPr>
            </w:pPr>
            <w:r>
              <w:rPr>
                <w:rFonts w:hint="eastAsia"/>
                <w:sz w:val="20"/>
                <w:szCs w:val="20"/>
              </w:rPr>
              <w:t xml:space="preserve">46.2 </w:t>
            </w:r>
          </w:p>
        </w:tc>
        <w:tc>
          <w:tcPr>
            <w:tcW w:w="779" w:type="dxa"/>
            <w:vAlign w:val="center"/>
          </w:tcPr>
          <w:p>
            <w:pPr>
              <w:jc w:val="center"/>
              <w:rPr>
                <w:rFonts w:ascii="宋体" w:hAnsi="宋体" w:cs="宋体"/>
                <w:sz w:val="20"/>
                <w:szCs w:val="20"/>
              </w:rPr>
            </w:pPr>
            <w:r>
              <w:rPr>
                <w:rFonts w:hint="eastAsia"/>
                <w:sz w:val="20"/>
                <w:szCs w:val="20"/>
              </w:rPr>
              <w:t xml:space="preserve">1.213 </w:t>
            </w:r>
          </w:p>
        </w:tc>
        <w:tc>
          <w:tcPr>
            <w:tcW w:w="897" w:type="dxa"/>
            <w:vAlign w:val="center"/>
          </w:tcPr>
          <w:p>
            <w:pPr>
              <w:jc w:val="center"/>
              <w:rPr>
                <w:rFonts w:ascii="宋体" w:hAnsi="宋体" w:cs="宋体"/>
                <w:sz w:val="20"/>
                <w:szCs w:val="20"/>
              </w:rPr>
            </w:pPr>
            <w:r>
              <w:rPr>
                <w:rFonts w:hint="eastAsia"/>
                <w:sz w:val="20"/>
                <w:szCs w:val="20"/>
              </w:rPr>
              <w:t xml:space="preserve">20.6 </w:t>
            </w:r>
          </w:p>
        </w:tc>
        <w:tc>
          <w:tcPr>
            <w:tcW w:w="870" w:type="dxa"/>
            <w:vAlign w:val="center"/>
          </w:tcPr>
          <w:p>
            <w:pPr>
              <w:jc w:val="center"/>
              <w:rPr>
                <w:rFonts w:ascii="宋体" w:hAnsi="宋体" w:cs="宋体"/>
                <w:sz w:val="20"/>
                <w:szCs w:val="20"/>
              </w:rPr>
            </w:pPr>
            <w:r>
              <w:rPr>
                <w:rFonts w:hint="eastAsia"/>
                <w:sz w:val="20"/>
                <w:szCs w:val="20"/>
              </w:rPr>
              <w:t xml:space="preserve">8.7 </w:t>
            </w:r>
          </w:p>
        </w:tc>
        <w:tc>
          <w:tcPr>
            <w:tcW w:w="1284" w:type="dxa"/>
            <w:tcBorders>
              <w:right w:val="single" w:sz="4" w:space="0" w:color="auto"/>
            </w:tcBorders>
            <w:vAlign w:val="center"/>
          </w:tcPr>
          <w:p>
            <w:pPr>
              <w:jc w:val="center"/>
              <w:rPr>
                <w:rFonts w:ascii="宋体" w:hAnsi="宋体" w:cs="宋体"/>
                <w:sz w:val="20"/>
                <w:szCs w:val="20"/>
              </w:rPr>
            </w:pPr>
            <w:r>
              <w:rPr>
                <w:rFonts w:hint="eastAsia"/>
                <w:sz w:val="20"/>
                <w:szCs w:val="20"/>
              </w:rPr>
              <w:t>1.8E-07</w:t>
            </w:r>
          </w:p>
        </w:tc>
        <w:tc>
          <w:tcPr>
            <w:tcW w:w="1313" w:type="dxa"/>
            <w:tcBorders>
              <w:left w:val="single" w:sz="4" w:space="0" w:color="auto"/>
              <w:right w:val="single" w:sz="4" w:space="0" w:color="auto"/>
            </w:tcBorders>
            <w:vAlign w:val="center"/>
          </w:tcPr>
          <w:p>
            <w:pPr>
              <w:jc w:val="center"/>
              <w:rPr>
                <w:rFonts w:ascii="宋体" w:hAnsi="宋体" w:cs="宋体"/>
                <w:sz w:val="20"/>
                <w:szCs w:val="20"/>
              </w:rPr>
            </w:pPr>
            <w:r>
              <w:rPr>
                <w:rFonts w:hint="eastAsia"/>
                <w:sz w:val="20"/>
                <w:szCs w:val="20"/>
              </w:rPr>
              <w:t>1.9E-07</w:t>
            </w:r>
          </w:p>
        </w:tc>
        <w:tc>
          <w:tcPr>
            <w:tcW w:w="736" w:type="dxa"/>
            <w:tcBorders>
              <w:left w:val="single" w:sz="4" w:space="0" w:color="auto"/>
            </w:tcBorders>
            <w:vAlign w:val="center"/>
          </w:tcPr>
          <w:p>
            <w:pPr>
              <w:jc w:val="center"/>
              <w:rPr>
                <w:rFonts w:ascii="宋体" w:hAnsi="宋体" w:cs="宋体"/>
                <w:sz w:val="20"/>
                <w:szCs w:val="20"/>
              </w:rPr>
            </w:pPr>
            <w:r>
              <w:rPr>
                <w:rFonts w:hint="eastAsia"/>
                <w:sz w:val="20"/>
                <w:szCs w:val="20"/>
              </w:rPr>
              <w:t xml:space="preserve">80 </w:t>
            </w:r>
          </w:p>
        </w:tc>
      </w:tr>
      <w:tr>
        <w:tblPrEx>
          <w:tblW w:w="9397" w:type="dxa"/>
          <w:jc w:val="center"/>
          <w:tblInd w:w="-594" w:type="dxa"/>
          <w:tblLayout w:type="fixed"/>
          <w:tblCellMar>
            <w:top w:w="0" w:type="dxa"/>
            <w:left w:w="108" w:type="dxa"/>
            <w:bottom w:w="0" w:type="dxa"/>
            <w:right w:w="108" w:type="dxa"/>
          </w:tblCellMar>
          <w:tblLook w:val="0000"/>
        </w:tblPrEx>
        <w:trPr>
          <w:trHeight w:val="471"/>
          <w:jc w:val="center"/>
        </w:trPr>
        <w:tc>
          <w:tcPr>
            <w:tcW w:w="1767" w:type="dxa"/>
            <w:vAlign w:val="center"/>
          </w:tcPr>
          <w:p>
            <w:pPr>
              <w:rPr>
                <w:rFonts w:hint="eastAsia"/>
              </w:rPr>
            </w:pPr>
            <w:r>
              <w:rPr>
                <w:rFonts w:hint="eastAsia"/>
              </w:rPr>
              <w:t>2-1</w:t>
            </w:r>
            <w:r>
              <w:t>层</w:t>
            </w:r>
            <w:r>
              <w:rPr>
                <w:rFonts w:hint="eastAsia"/>
              </w:rPr>
              <w:t xml:space="preserve"> 淤泥</w:t>
            </w:r>
          </w:p>
        </w:tc>
        <w:tc>
          <w:tcPr>
            <w:tcW w:w="987" w:type="dxa"/>
            <w:vAlign w:val="center"/>
          </w:tcPr>
          <w:p>
            <w:pPr>
              <w:jc w:val="center"/>
              <w:rPr>
                <w:sz w:val="20"/>
                <w:szCs w:val="20"/>
              </w:rPr>
            </w:pPr>
            <w:r>
              <w:rPr>
                <w:rFonts w:hint="eastAsia"/>
                <w:sz w:val="20"/>
                <w:szCs w:val="20"/>
              </w:rPr>
              <w:t xml:space="preserve">15.64 </w:t>
            </w:r>
          </w:p>
        </w:tc>
        <w:tc>
          <w:tcPr>
            <w:tcW w:w="764" w:type="dxa"/>
            <w:vAlign w:val="center"/>
          </w:tcPr>
          <w:p>
            <w:pPr>
              <w:jc w:val="center"/>
              <w:rPr>
                <w:rFonts w:ascii="宋体" w:hAnsi="宋体" w:cs="宋体"/>
                <w:sz w:val="20"/>
                <w:szCs w:val="20"/>
              </w:rPr>
            </w:pPr>
            <w:r>
              <w:rPr>
                <w:rFonts w:hint="eastAsia"/>
                <w:sz w:val="20"/>
                <w:szCs w:val="20"/>
              </w:rPr>
              <w:t xml:space="preserve">55.1 </w:t>
            </w:r>
          </w:p>
        </w:tc>
        <w:tc>
          <w:tcPr>
            <w:tcW w:w="779" w:type="dxa"/>
            <w:vAlign w:val="center"/>
          </w:tcPr>
          <w:p>
            <w:pPr>
              <w:jc w:val="center"/>
              <w:rPr>
                <w:rFonts w:ascii="宋体" w:hAnsi="宋体" w:cs="宋体"/>
                <w:sz w:val="20"/>
                <w:szCs w:val="20"/>
              </w:rPr>
            </w:pPr>
            <w:r>
              <w:rPr>
                <w:rFonts w:hint="eastAsia"/>
                <w:sz w:val="20"/>
                <w:szCs w:val="20"/>
              </w:rPr>
              <w:t xml:space="preserve">2.112 </w:t>
            </w:r>
          </w:p>
        </w:tc>
        <w:tc>
          <w:tcPr>
            <w:tcW w:w="897" w:type="dxa"/>
            <w:vAlign w:val="center"/>
          </w:tcPr>
          <w:p>
            <w:pPr>
              <w:jc w:val="center"/>
              <w:rPr>
                <w:rFonts w:ascii="宋体" w:hAnsi="宋体" w:cs="宋体"/>
                <w:sz w:val="20"/>
                <w:szCs w:val="20"/>
              </w:rPr>
            </w:pPr>
            <w:r>
              <w:rPr>
                <w:rFonts w:hint="eastAsia"/>
                <w:sz w:val="20"/>
                <w:szCs w:val="20"/>
              </w:rPr>
              <w:t xml:space="preserve">12.6 </w:t>
            </w:r>
          </w:p>
        </w:tc>
        <w:tc>
          <w:tcPr>
            <w:tcW w:w="870" w:type="dxa"/>
            <w:vAlign w:val="center"/>
          </w:tcPr>
          <w:p>
            <w:pPr>
              <w:jc w:val="center"/>
              <w:rPr>
                <w:rFonts w:ascii="宋体" w:hAnsi="宋体" w:cs="宋体"/>
                <w:sz w:val="20"/>
                <w:szCs w:val="20"/>
              </w:rPr>
            </w:pPr>
            <w:r>
              <w:rPr>
                <w:rFonts w:hint="eastAsia"/>
                <w:sz w:val="20"/>
                <w:szCs w:val="20"/>
              </w:rPr>
              <w:t xml:space="preserve">5.1 </w:t>
            </w:r>
          </w:p>
        </w:tc>
        <w:tc>
          <w:tcPr>
            <w:tcW w:w="1284" w:type="dxa"/>
            <w:tcBorders>
              <w:right w:val="single" w:sz="4" w:space="0" w:color="auto"/>
            </w:tcBorders>
            <w:vAlign w:val="center"/>
          </w:tcPr>
          <w:p>
            <w:pPr>
              <w:jc w:val="center"/>
              <w:rPr>
                <w:rFonts w:ascii="宋体" w:hAnsi="宋体" w:cs="宋体"/>
                <w:sz w:val="20"/>
                <w:szCs w:val="20"/>
              </w:rPr>
            </w:pPr>
            <w:r>
              <w:rPr>
                <w:rFonts w:hint="eastAsia"/>
                <w:sz w:val="20"/>
                <w:szCs w:val="20"/>
              </w:rPr>
              <w:t>1.1E-06</w:t>
            </w:r>
          </w:p>
        </w:tc>
        <w:tc>
          <w:tcPr>
            <w:tcW w:w="1313" w:type="dxa"/>
            <w:tcBorders>
              <w:left w:val="single" w:sz="4" w:space="0" w:color="auto"/>
              <w:right w:val="single" w:sz="4" w:space="0" w:color="auto"/>
            </w:tcBorders>
            <w:vAlign w:val="center"/>
          </w:tcPr>
          <w:p>
            <w:pPr>
              <w:jc w:val="center"/>
              <w:rPr>
                <w:rFonts w:ascii="宋体" w:hAnsi="宋体" w:cs="宋体"/>
                <w:sz w:val="20"/>
                <w:szCs w:val="20"/>
              </w:rPr>
            </w:pPr>
            <w:r>
              <w:rPr>
                <w:rFonts w:hint="eastAsia"/>
                <w:sz w:val="20"/>
                <w:szCs w:val="20"/>
              </w:rPr>
              <w:t>1.1E-06</w:t>
            </w:r>
          </w:p>
        </w:tc>
        <w:tc>
          <w:tcPr>
            <w:tcW w:w="736" w:type="dxa"/>
            <w:tcBorders>
              <w:left w:val="single" w:sz="4" w:space="0" w:color="auto"/>
            </w:tcBorders>
            <w:vAlign w:val="center"/>
          </w:tcPr>
          <w:p>
            <w:pPr>
              <w:jc w:val="center"/>
              <w:rPr>
                <w:rFonts w:ascii="宋体" w:hAnsi="宋体" w:cs="宋体"/>
                <w:sz w:val="20"/>
                <w:szCs w:val="20"/>
              </w:rPr>
            </w:pPr>
            <w:r>
              <w:rPr>
                <w:rFonts w:hint="eastAsia"/>
                <w:sz w:val="20"/>
                <w:szCs w:val="20"/>
              </w:rPr>
              <w:t xml:space="preserve">45 </w:t>
            </w:r>
          </w:p>
        </w:tc>
      </w:tr>
      <w:tr>
        <w:tblPrEx>
          <w:tblW w:w="9397" w:type="dxa"/>
          <w:jc w:val="center"/>
          <w:tblInd w:w="-594" w:type="dxa"/>
          <w:tblLayout w:type="fixed"/>
          <w:tblCellMar>
            <w:top w:w="0" w:type="dxa"/>
            <w:left w:w="108" w:type="dxa"/>
            <w:bottom w:w="0" w:type="dxa"/>
            <w:right w:w="108" w:type="dxa"/>
          </w:tblCellMar>
          <w:tblLook w:val="0000"/>
        </w:tblPrEx>
        <w:trPr>
          <w:trHeight w:val="449"/>
          <w:jc w:val="center"/>
        </w:trPr>
        <w:tc>
          <w:tcPr>
            <w:tcW w:w="1767" w:type="dxa"/>
            <w:vAlign w:val="center"/>
          </w:tcPr>
          <w:p>
            <w:pPr>
              <w:rPr>
                <w:rFonts w:hint="eastAsia"/>
              </w:rPr>
            </w:pPr>
            <w:r>
              <w:rPr>
                <w:rFonts w:hint="eastAsia"/>
              </w:rPr>
              <w:t>2-2</w:t>
            </w:r>
            <w:r>
              <w:t>层</w:t>
            </w:r>
            <w:r>
              <w:rPr>
                <w:rFonts w:hint="eastAsia"/>
              </w:rPr>
              <w:t>淤泥混粉砂</w:t>
            </w:r>
          </w:p>
        </w:tc>
        <w:tc>
          <w:tcPr>
            <w:tcW w:w="987" w:type="dxa"/>
            <w:vAlign w:val="center"/>
          </w:tcPr>
          <w:p>
            <w:pPr>
              <w:jc w:val="center"/>
              <w:rPr>
                <w:sz w:val="20"/>
                <w:szCs w:val="20"/>
              </w:rPr>
            </w:pPr>
            <w:r>
              <w:rPr>
                <w:rFonts w:hint="eastAsia"/>
                <w:sz w:val="20"/>
                <w:szCs w:val="20"/>
              </w:rPr>
              <w:t xml:space="preserve">17.91 </w:t>
            </w:r>
          </w:p>
        </w:tc>
        <w:tc>
          <w:tcPr>
            <w:tcW w:w="764" w:type="dxa"/>
            <w:vAlign w:val="center"/>
          </w:tcPr>
          <w:p>
            <w:pPr>
              <w:jc w:val="center"/>
              <w:rPr>
                <w:rFonts w:ascii="宋体" w:hAnsi="宋体" w:cs="宋体"/>
                <w:sz w:val="20"/>
                <w:szCs w:val="20"/>
              </w:rPr>
            </w:pPr>
            <w:r>
              <w:rPr>
                <w:rFonts w:hint="eastAsia"/>
                <w:sz w:val="20"/>
                <w:szCs w:val="20"/>
              </w:rPr>
              <w:t xml:space="preserve">36.9 </w:t>
            </w:r>
          </w:p>
        </w:tc>
        <w:tc>
          <w:tcPr>
            <w:tcW w:w="779" w:type="dxa"/>
            <w:vAlign w:val="center"/>
          </w:tcPr>
          <w:p>
            <w:pPr>
              <w:jc w:val="center"/>
              <w:rPr>
                <w:rFonts w:ascii="宋体" w:hAnsi="宋体" w:cs="宋体"/>
                <w:sz w:val="20"/>
                <w:szCs w:val="20"/>
              </w:rPr>
            </w:pPr>
            <w:r>
              <w:rPr>
                <w:rFonts w:hint="eastAsia"/>
                <w:sz w:val="20"/>
                <w:szCs w:val="20"/>
              </w:rPr>
              <w:t xml:space="preserve">1.127 </w:t>
            </w:r>
          </w:p>
        </w:tc>
        <w:tc>
          <w:tcPr>
            <w:tcW w:w="897" w:type="dxa"/>
            <w:vAlign w:val="center"/>
          </w:tcPr>
          <w:p>
            <w:pPr>
              <w:jc w:val="center"/>
              <w:rPr>
                <w:rFonts w:ascii="宋体" w:hAnsi="宋体" w:cs="宋体"/>
                <w:sz w:val="20"/>
                <w:szCs w:val="20"/>
              </w:rPr>
            </w:pPr>
            <w:r>
              <w:rPr>
                <w:rFonts w:hint="eastAsia"/>
                <w:sz w:val="20"/>
                <w:szCs w:val="20"/>
              </w:rPr>
              <w:t xml:space="preserve">21.8 </w:t>
            </w:r>
          </w:p>
        </w:tc>
        <w:tc>
          <w:tcPr>
            <w:tcW w:w="870" w:type="dxa"/>
            <w:vAlign w:val="center"/>
          </w:tcPr>
          <w:p>
            <w:pPr>
              <w:jc w:val="center"/>
              <w:rPr>
                <w:rFonts w:ascii="宋体" w:hAnsi="宋体" w:cs="宋体"/>
                <w:sz w:val="20"/>
                <w:szCs w:val="20"/>
              </w:rPr>
            </w:pPr>
            <w:r>
              <w:rPr>
                <w:rFonts w:hint="eastAsia"/>
                <w:sz w:val="20"/>
                <w:szCs w:val="20"/>
              </w:rPr>
              <w:t xml:space="preserve">11.0 </w:t>
            </w:r>
          </w:p>
        </w:tc>
        <w:tc>
          <w:tcPr>
            <w:tcW w:w="1284" w:type="dxa"/>
            <w:tcBorders>
              <w:right w:val="single" w:sz="4" w:space="0" w:color="auto"/>
            </w:tcBorders>
            <w:vAlign w:val="center"/>
          </w:tcPr>
          <w:p>
            <w:pPr>
              <w:jc w:val="center"/>
              <w:rPr>
                <w:rFonts w:ascii="宋体" w:hAnsi="宋体" w:cs="宋体"/>
                <w:sz w:val="20"/>
                <w:szCs w:val="20"/>
              </w:rPr>
            </w:pPr>
            <w:r>
              <w:rPr>
                <w:rFonts w:hint="eastAsia"/>
                <w:sz w:val="20"/>
                <w:szCs w:val="20"/>
              </w:rPr>
              <w:t>2.6E-05</w:t>
            </w:r>
          </w:p>
        </w:tc>
        <w:tc>
          <w:tcPr>
            <w:tcW w:w="1313" w:type="dxa"/>
            <w:tcBorders>
              <w:left w:val="single" w:sz="4" w:space="0" w:color="auto"/>
              <w:right w:val="single" w:sz="4" w:space="0" w:color="auto"/>
            </w:tcBorders>
            <w:vAlign w:val="center"/>
          </w:tcPr>
          <w:p>
            <w:pPr>
              <w:jc w:val="center"/>
              <w:rPr>
                <w:rFonts w:ascii="宋体" w:hAnsi="宋体" w:cs="宋体"/>
                <w:sz w:val="20"/>
                <w:szCs w:val="20"/>
              </w:rPr>
            </w:pPr>
            <w:r>
              <w:rPr>
                <w:rFonts w:hint="eastAsia"/>
                <w:sz w:val="20"/>
                <w:szCs w:val="20"/>
              </w:rPr>
              <w:t>2.0E-05</w:t>
            </w:r>
          </w:p>
        </w:tc>
        <w:tc>
          <w:tcPr>
            <w:tcW w:w="736" w:type="dxa"/>
            <w:tcBorders>
              <w:left w:val="single" w:sz="4" w:space="0" w:color="auto"/>
            </w:tcBorders>
            <w:vAlign w:val="center"/>
          </w:tcPr>
          <w:p>
            <w:pPr>
              <w:jc w:val="center"/>
              <w:rPr>
                <w:rFonts w:ascii="宋体" w:hAnsi="宋体" w:cs="宋体"/>
                <w:sz w:val="20"/>
                <w:szCs w:val="20"/>
              </w:rPr>
            </w:pPr>
            <w:r>
              <w:rPr>
                <w:rFonts w:hint="eastAsia"/>
                <w:sz w:val="20"/>
                <w:szCs w:val="20"/>
              </w:rPr>
              <w:t xml:space="preserve">50 </w:t>
            </w:r>
          </w:p>
        </w:tc>
      </w:tr>
      <w:tr>
        <w:tblPrEx>
          <w:tblW w:w="9397" w:type="dxa"/>
          <w:jc w:val="center"/>
          <w:tblInd w:w="-594" w:type="dxa"/>
          <w:tblLayout w:type="fixed"/>
          <w:tblCellMar>
            <w:top w:w="0" w:type="dxa"/>
            <w:left w:w="108" w:type="dxa"/>
            <w:bottom w:w="0" w:type="dxa"/>
            <w:right w:w="108" w:type="dxa"/>
          </w:tblCellMar>
          <w:tblLook w:val="0000"/>
        </w:tblPrEx>
        <w:trPr>
          <w:trHeight w:val="673"/>
          <w:jc w:val="center"/>
        </w:trPr>
        <w:tc>
          <w:tcPr>
            <w:tcW w:w="1767" w:type="dxa"/>
            <w:vAlign w:val="center"/>
          </w:tcPr>
          <w:p>
            <w:pPr>
              <w:rPr>
                <w:rFonts w:hint="eastAsia"/>
              </w:rPr>
            </w:pPr>
            <w:r>
              <w:rPr>
                <w:rFonts w:hint="eastAsia"/>
              </w:rPr>
              <w:t>3</w:t>
            </w:r>
            <w:r>
              <w:t>层</w:t>
            </w:r>
            <w:r>
              <w:rPr>
                <w:rFonts w:hint="eastAsia"/>
              </w:rPr>
              <w:t xml:space="preserve">  粘土</w:t>
            </w:r>
          </w:p>
        </w:tc>
        <w:tc>
          <w:tcPr>
            <w:tcW w:w="987" w:type="dxa"/>
            <w:vAlign w:val="center"/>
          </w:tcPr>
          <w:p>
            <w:pPr>
              <w:jc w:val="center"/>
              <w:rPr>
                <w:sz w:val="20"/>
                <w:szCs w:val="20"/>
              </w:rPr>
            </w:pPr>
            <w:r>
              <w:rPr>
                <w:rFonts w:hint="eastAsia"/>
                <w:sz w:val="20"/>
                <w:szCs w:val="20"/>
              </w:rPr>
              <w:t xml:space="preserve">18.38 </w:t>
            </w:r>
          </w:p>
        </w:tc>
        <w:tc>
          <w:tcPr>
            <w:tcW w:w="764" w:type="dxa"/>
            <w:vAlign w:val="center"/>
          </w:tcPr>
          <w:p>
            <w:pPr>
              <w:jc w:val="center"/>
              <w:rPr>
                <w:rFonts w:ascii="宋体" w:hAnsi="宋体" w:cs="宋体"/>
                <w:sz w:val="20"/>
                <w:szCs w:val="20"/>
              </w:rPr>
            </w:pPr>
            <w:r>
              <w:rPr>
                <w:rFonts w:hint="eastAsia"/>
                <w:sz w:val="20"/>
                <w:szCs w:val="20"/>
              </w:rPr>
              <w:t xml:space="preserve">44.9 </w:t>
            </w:r>
          </w:p>
        </w:tc>
        <w:tc>
          <w:tcPr>
            <w:tcW w:w="779" w:type="dxa"/>
            <w:vAlign w:val="center"/>
          </w:tcPr>
          <w:p>
            <w:pPr>
              <w:jc w:val="center"/>
              <w:rPr>
                <w:rFonts w:ascii="宋体" w:hAnsi="宋体" w:cs="宋体"/>
                <w:sz w:val="20"/>
                <w:szCs w:val="20"/>
              </w:rPr>
            </w:pPr>
            <w:r>
              <w:rPr>
                <w:rFonts w:hint="eastAsia"/>
                <w:sz w:val="20"/>
                <w:szCs w:val="20"/>
              </w:rPr>
              <w:t xml:space="preserve">1.095 </w:t>
            </w:r>
          </w:p>
        </w:tc>
        <w:tc>
          <w:tcPr>
            <w:tcW w:w="897" w:type="dxa"/>
            <w:vAlign w:val="center"/>
          </w:tcPr>
          <w:p>
            <w:pPr>
              <w:jc w:val="center"/>
              <w:rPr>
                <w:rFonts w:ascii="宋体" w:hAnsi="宋体" w:cs="宋体"/>
                <w:sz w:val="20"/>
                <w:szCs w:val="20"/>
              </w:rPr>
            </w:pPr>
            <w:r>
              <w:rPr>
                <w:rFonts w:hint="eastAsia"/>
                <w:sz w:val="20"/>
                <w:szCs w:val="20"/>
              </w:rPr>
              <w:t xml:space="preserve">24.6 </w:t>
            </w:r>
          </w:p>
        </w:tc>
        <w:tc>
          <w:tcPr>
            <w:tcW w:w="870" w:type="dxa"/>
            <w:vAlign w:val="center"/>
          </w:tcPr>
          <w:p>
            <w:pPr>
              <w:jc w:val="center"/>
              <w:rPr>
                <w:rFonts w:ascii="宋体" w:hAnsi="宋体" w:cs="宋体"/>
                <w:sz w:val="20"/>
                <w:szCs w:val="20"/>
              </w:rPr>
            </w:pPr>
            <w:r>
              <w:rPr>
                <w:rFonts w:hint="eastAsia"/>
                <w:sz w:val="20"/>
                <w:szCs w:val="20"/>
              </w:rPr>
              <w:t xml:space="preserve">10.5 </w:t>
            </w:r>
          </w:p>
        </w:tc>
        <w:tc>
          <w:tcPr>
            <w:tcW w:w="1284" w:type="dxa"/>
            <w:tcBorders>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1313" w:type="dxa"/>
            <w:tcBorders>
              <w:left w:val="single" w:sz="4" w:space="0" w:color="auto"/>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736" w:type="dxa"/>
            <w:tcBorders>
              <w:lef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r>
      <w:tr>
        <w:tblPrEx>
          <w:tblW w:w="9397" w:type="dxa"/>
          <w:jc w:val="center"/>
          <w:tblInd w:w="-594" w:type="dxa"/>
          <w:tblLayout w:type="fixed"/>
          <w:tblCellMar>
            <w:top w:w="0" w:type="dxa"/>
            <w:left w:w="108" w:type="dxa"/>
            <w:bottom w:w="0" w:type="dxa"/>
            <w:right w:w="108" w:type="dxa"/>
          </w:tblCellMar>
          <w:tblLook w:val="0000"/>
        </w:tblPrEx>
        <w:trPr>
          <w:trHeight w:val="259"/>
          <w:jc w:val="center"/>
        </w:trPr>
        <w:tc>
          <w:tcPr>
            <w:tcW w:w="1767" w:type="dxa"/>
            <w:tcBorders>
              <w:bottom w:val="single" w:sz="4" w:space="0" w:color="auto"/>
            </w:tcBorders>
          </w:tcPr>
          <w:p>
            <w:pPr>
              <w:rPr>
                <w:rFonts w:hint="eastAsia"/>
              </w:rPr>
            </w:pPr>
            <w:r>
              <w:rPr>
                <w:rFonts w:hint="eastAsia"/>
              </w:rPr>
              <w:t>4-1</w:t>
            </w:r>
            <w:r>
              <w:t>层</w:t>
            </w:r>
            <w:r>
              <w:rPr>
                <w:rFonts w:hint="eastAsia"/>
              </w:rPr>
              <w:t xml:space="preserve"> 粉质粘土</w:t>
            </w:r>
          </w:p>
        </w:tc>
        <w:tc>
          <w:tcPr>
            <w:tcW w:w="987" w:type="dxa"/>
            <w:tcBorders>
              <w:bottom w:val="single" w:sz="4" w:space="0" w:color="auto"/>
            </w:tcBorders>
            <w:vAlign w:val="center"/>
          </w:tcPr>
          <w:p>
            <w:pPr>
              <w:jc w:val="center"/>
              <w:rPr>
                <w:sz w:val="20"/>
                <w:szCs w:val="20"/>
              </w:rPr>
            </w:pPr>
            <w:r>
              <w:rPr>
                <w:rFonts w:hint="eastAsia"/>
                <w:sz w:val="20"/>
                <w:szCs w:val="20"/>
              </w:rPr>
              <w:t xml:space="preserve">19.27 </w:t>
            </w:r>
          </w:p>
        </w:tc>
        <w:tc>
          <w:tcPr>
            <w:tcW w:w="764" w:type="dxa"/>
            <w:tcBorders>
              <w:bottom w:val="single" w:sz="4" w:space="0" w:color="auto"/>
            </w:tcBorders>
            <w:vAlign w:val="center"/>
          </w:tcPr>
          <w:p>
            <w:pPr>
              <w:jc w:val="center"/>
              <w:rPr>
                <w:rFonts w:ascii="宋体" w:hAnsi="宋体" w:cs="宋体"/>
                <w:sz w:val="20"/>
                <w:szCs w:val="20"/>
              </w:rPr>
            </w:pPr>
            <w:r>
              <w:rPr>
                <w:rFonts w:hint="eastAsia"/>
                <w:sz w:val="20"/>
                <w:szCs w:val="20"/>
              </w:rPr>
              <w:t xml:space="preserve">36.4 </w:t>
            </w:r>
          </w:p>
        </w:tc>
        <w:tc>
          <w:tcPr>
            <w:tcW w:w="779" w:type="dxa"/>
            <w:tcBorders>
              <w:bottom w:val="single" w:sz="4" w:space="0" w:color="auto"/>
            </w:tcBorders>
            <w:vAlign w:val="center"/>
          </w:tcPr>
          <w:p>
            <w:pPr>
              <w:jc w:val="center"/>
              <w:rPr>
                <w:rFonts w:ascii="宋体" w:hAnsi="宋体" w:cs="宋体"/>
                <w:sz w:val="20"/>
                <w:szCs w:val="20"/>
              </w:rPr>
            </w:pPr>
            <w:r>
              <w:rPr>
                <w:rFonts w:hint="eastAsia"/>
                <w:sz w:val="20"/>
                <w:szCs w:val="20"/>
              </w:rPr>
              <w:t xml:space="preserve">0.862 </w:t>
            </w:r>
          </w:p>
        </w:tc>
        <w:tc>
          <w:tcPr>
            <w:tcW w:w="897" w:type="dxa"/>
            <w:tcBorders>
              <w:bottom w:val="single" w:sz="4" w:space="0" w:color="auto"/>
            </w:tcBorders>
            <w:vAlign w:val="center"/>
          </w:tcPr>
          <w:p>
            <w:pPr>
              <w:jc w:val="center"/>
              <w:rPr>
                <w:rFonts w:ascii="宋体" w:hAnsi="宋体" w:cs="宋体"/>
                <w:sz w:val="20"/>
                <w:szCs w:val="20"/>
              </w:rPr>
            </w:pPr>
            <w:r>
              <w:rPr>
                <w:rFonts w:hint="eastAsia"/>
                <w:sz w:val="20"/>
                <w:szCs w:val="20"/>
              </w:rPr>
              <w:t xml:space="preserve">42.9 </w:t>
            </w:r>
          </w:p>
        </w:tc>
        <w:tc>
          <w:tcPr>
            <w:tcW w:w="870" w:type="dxa"/>
            <w:tcBorders>
              <w:bottom w:val="single" w:sz="4" w:space="0" w:color="auto"/>
            </w:tcBorders>
            <w:vAlign w:val="center"/>
          </w:tcPr>
          <w:p>
            <w:pPr>
              <w:jc w:val="center"/>
              <w:rPr>
                <w:rFonts w:ascii="宋体" w:hAnsi="宋体" w:cs="宋体"/>
                <w:sz w:val="20"/>
                <w:szCs w:val="20"/>
              </w:rPr>
            </w:pPr>
            <w:r>
              <w:rPr>
                <w:rFonts w:hint="eastAsia"/>
                <w:sz w:val="20"/>
                <w:szCs w:val="20"/>
              </w:rPr>
              <w:t xml:space="preserve">12.3 </w:t>
            </w:r>
          </w:p>
        </w:tc>
        <w:tc>
          <w:tcPr>
            <w:tcW w:w="1284" w:type="dxa"/>
            <w:tcBorders>
              <w:bottom w:val="single" w:sz="4" w:space="0" w:color="auto"/>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1313" w:type="dxa"/>
            <w:tcBorders>
              <w:left w:val="single" w:sz="4" w:space="0" w:color="auto"/>
              <w:bottom w:val="single" w:sz="4" w:space="0" w:color="auto"/>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736" w:type="dxa"/>
            <w:tcBorders>
              <w:left w:val="single" w:sz="4" w:space="0" w:color="auto"/>
              <w:bottom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r>
      <w:tr>
        <w:tblPrEx>
          <w:tblW w:w="9397" w:type="dxa"/>
          <w:jc w:val="center"/>
          <w:tblInd w:w="-594" w:type="dxa"/>
          <w:tblLayout w:type="fixed"/>
          <w:tblCellMar>
            <w:top w:w="0" w:type="dxa"/>
            <w:left w:w="108" w:type="dxa"/>
            <w:bottom w:w="0" w:type="dxa"/>
            <w:right w:w="108" w:type="dxa"/>
          </w:tblCellMar>
          <w:tblLook w:val="0000"/>
        </w:tblPrEx>
        <w:trPr>
          <w:trHeight w:val="494"/>
          <w:jc w:val="center"/>
        </w:trPr>
        <w:tc>
          <w:tcPr>
            <w:tcW w:w="1767" w:type="dxa"/>
            <w:tcBorders>
              <w:top w:val="single" w:sz="4" w:space="0" w:color="auto"/>
              <w:bottom w:val="single" w:sz="4" w:space="0" w:color="auto"/>
            </w:tcBorders>
          </w:tcPr>
          <w:p>
            <w:pPr>
              <w:rPr>
                <w:rFonts w:hint="eastAsia"/>
              </w:rPr>
            </w:pPr>
            <w:r>
              <w:rPr>
                <w:rFonts w:hint="eastAsia"/>
              </w:rPr>
              <w:t>4-2</w:t>
            </w:r>
            <w:r>
              <w:t>层</w:t>
            </w:r>
            <w:r>
              <w:rPr>
                <w:rFonts w:hint="eastAsia"/>
              </w:rPr>
              <w:t xml:space="preserve"> 粘土</w:t>
            </w:r>
          </w:p>
        </w:tc>
        <w:tc>
          <w:tcPr>
            <w:tcW w:w="987" w:type="dxa"/>
            <w:tcBorders>
              <w:top w:val="single" w:sz="4" w:space="0" w:color="auto"/>
              <w:bottom w:val="single" w:sz="4" w:space="0" w:color="auto"/>
            </w:tcBorders>
            <w:vAlign w:val="center"/>
          </w:tcPr>
          <w:p>
            <w:pPr>
              <w:jc w:val="center"/>
              <w:rPr>
                <w:sz w:val="20"/>
                <w:szCs w:val="20"/>
              </w:rPr>
            </w:pPr>
            <w:r>
              <w:rPr>
                <w:rFonts w:hint="eastAsia"/>
                <w:sz w:val="20"/>
                <w:szCs w:val="20"/>
              </w:rPr>
              <w:t xml:space="preserve">17.66 </w:t>
            </w:r>
          </w:p>
        </w:tc>
        <w:tc>
          <w:tcPr>
            <w:tcW w:w="764"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50.1 </w:t>
            </w:r>
          </w:p>
        </w:tc>
        <w:tc>
          <w:tcPr>
            <w:tcW w:w="779"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1.285 </w:t>
            </w:r>
          </w:p>
        </w:tc>
        <w:tc>
          <w:tcPr>
            <w:tcW w:w="897"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28.8 </w:t>
            </w:r>
          </w:p>
        </w:tc>
        <w:tc>
          <w:tcPr>
            <w:tcW w:w="870"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10.4 </w:t>
            </w:r>
          </w:p>
        </w:tc>
        <w:tc>
          <w:tcPr>
            <w:tcW w:w="1284" w:type="dxa"/>
            <w:tcBorders>
              <w:top w:val="single" w:sz="4" w:space="0" w:color="auto"/>
              <w:bottom w:val="single" w:sz="4" w:space="0" w:color="auto"/>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1313" w:type="dxa"/>
            <w:tcBorders>
              <w:top w:val="single" w:sz="4" w:space="0" w:color="auto"/>
              <w:left w:val="single" w:sz="4" w:space="0" w:color="auto"/>
              <w:bottom w:val="single" w:sz="4" w:space="0" w:color="auto"/>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736" w:type="dxa"/>
            <w:tcBorders>
              <w:top w:val="single" w:sz="4" w:space="0" w:color="auto"/>
              <w:left w:val="single" w:sz="4" w:space="0" w:color="auto"/>
              <w:bottom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r>
      <w:tr>
        <w:tblPrEx>
          <w:tblW w:w="9397" w:type="dxa"/>
          <w:jc w:val="center"/>
          <w:tblInd w:w="-594" w:type="dxa"/>
          <w:tblLayout w:type="fixed"/>
          <w:tblCellMar>
            <w:top w:w="0" w:type="dxa"/>
            <w:left w:w="108" w:type="dxa"/>
            <w:bottom w:w="0" w:type="dxa"/>
            <w:right w:w="108" w:type="dxa"/>
          </w:tblCellMar>
          <w:tblLook w:val="0000"/>
        </w:tblPrEx>
        <w:trPr>
          <w:trHeight w:val="494"/>
          <w:jc w:val="center"/>
        </w:trPr>
        <w:tc>
          <w:tcPr>
            <w:tcW w:w="1767" w:type="dxa"/>
            <w:tcBorders>
              <w:top w:val="single" w:sz="4" w:space="0" w:color="auto"/>
              <w:bottom w:val="single" w:sz="4" w:space="0" w:color="auto"/>
            </w:tcBorders>
          </w:tcPr>
          <w:p>
            <w:pPr>
              <w:rPr>
                <w:rFonts w:hint="eastAsia"/>
              </w:rPr>
            </w:pPr>
            <w:r>
              <w:rPr>
                <w:rFonts w:hint="eastAsia"/>
              </w:rPr>
              <w:t>5</w:t>
            </w:r>
            <w:r>
              <w:t>层</w:t>
            </w:r>
            <w:r>
              <w:rPr>
                <w:rFonts w:hint="eastAsia"/>
              </w:rPr>
              <w:t xml:space="preserve"> 粉质粘土</w:t>
            </w:r>
          </w:p>
        </w:tc>
        <w:tc>
          <w:tcPr>
            <w:tcW w:w="987" w:type="dxa"/>
            <w:tcBorders>
              <w:top w:val="single" w:sz="4" w:space="0" w:color="auto"/>
              <w:bottom w:val="single" w:sz="4" w:space="0" w:color="auto"/>
            </w:tcBorders>
            <w:vAlign w:val="center"/>
          </w:tcPr>
          <w:p>
            <w:pPr>
              <w:jc w:val="center"/>
              <w:rPr>
                <w:sz w:val="20"/>
                <w:szCs w:val="20"/>
              </w:rPr>
            </w:pPr>
            <w:r>
              <w:rPr>
                <w:rFonts w:hint="eastAsia"/>
                <w:sz w:val="20"/>
                <w:szCs w:val="20"/>
              </w:rPr>
              <w:t xml:space="preserve">18.73 </w:t>
            </w:r>
          </w:p>
        </w:tc>
        <w:tc>
          <w:tcPr>
            <w:tcW w:w="764"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38.8 </w:t>
            </w:r>
          </w:p>
        </w:tc>
        <w:tc>
          <w:tcPr>
            <w:tcW w:w="779"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0.951 </w:t>
            </w:r>
          </w:p>
        </w:tc>
        <w:tc>
          <w:tcPr>
            <w:tcW w:w="897"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28.7 </w:t>
            </w:r>
          </w:p>
        </w:tc>
        <w:tc>
          <w:tcPr>
            <w:tcW w:w="870" w:type="dxa"/>
            <w:tcBorders>
              <w:top w:val="single" w:sz="4" w:space="0" w:color="auto"/>
              <w:bottom w:val="single" w:sz="4" w:space="0" w:color="auto"/>
            </w:tcBorders>
            <w:vAlign w:val="center"/>
          </w:tcPr>
          <w:p>
            <w:pPr>
              <w:jc w:val="center"/>
              <w:rPr>
                <w:rFonts w:ascii="宋体" w:hAnsi="宋体" w:cs="宋体"/>
                <w:sz w:val="20"/>
                <w:szCs w:val="20"/>
              </w:rPr>
            </w:pPr>
            <w:r>
              <w:rPr>
                <w:rFonts w:hint="eastAsia"/>
                <w:sz w:val="20"/>
                <w:szCs w:val="20"/>
              </w:rPr>
              <w:t xml:space="preserve">12.0 </w:t>
            </w:r>
          </w:p>
        </w:tc>
        <w:tc>
          <w:tcPr>
            <w:tcW w:w="1284" w:type="dxa"/>
            <w:tcBorders>
              <w:top w:val="single" w:sz="4" w:space="0" w:color="auto"/>
              <w:bottom w:val="single" w:sz="4" w:space="0" w:color="auto"/>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1313" w:type="dxa"/>
            <w:tcBorders>
              <w:top w:val="single" w:sz="4" w:space="0" w:color="auto"/>
              <w:left w:val="single" w:sz="4" w:space="0" w:color="auto"/>
              <w:bottom w:val="single" w:sz="4" w:space="0" w:color="auto"/>
              <w:right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c>
          <w:tcPr>
            <w:tcW w:w="736" w:type="dxa"/>
            <w:tcBorders>
              <w:top w:val="single" w:sz="4" w:space="0" w:color="auto"/>
              <w:left w:val="single" w:sz="4" w:space="0" w:color="auto"/>
              <w:bottom w:val="single" w:sz="4" w:space="0" w:color="auto"/>
            </w:tcBorders>
            <w:vAlign w:val="center"/>
          </w:tcPr>
          <w:p>
            <w:pPr>
              <w:snapToGrid w:val="0"/>
              <w:spacing w:after="78" w:afterLines="25" w:line="400" w:lineRule="exact"/>
              <w:jc w:val="center"/>
              <w:rPr>
                <w:rFonts w:hint="eastAsia"/>
                <w:snapToGrid w:val="0"/>
                <w:color w:val="FF0000"/>
                <w:spacing w:val="24"/>
                <w:sz w:val="24"/>
              </w:rPr>
            </w:pPr>
            <w:r>
              <w:rPr>
                <w:rFonts w:hint="eastAsia"/>
                <w:snapToGrid w:val="0"/>
                <w:spacing w:val="24"/>
                <w:sz w:val="24"/>
              </w:rPr>
              <w:t>－</w:t>
            </w:r>
          </w:p>
        </w:tc>
      </w:tr>
    </w:tbl>
    <w:p>
      <w:pPr>
        <w:sectPr>
          <w:footerReference w:type="even" r:id="rId10"/>
          <w:type w:val="nextPage"/>
          <w:pgSz w:w="11906" w:h="16838"/>
          <w:pgMar w:top="1440" w:right="1800" w:bottom="1440" w:left="1800" w:header="851" w:footer="992" w:gutter="0"/>
          <w:pgNumType w:start="7"/>
          <w:cols w:space="708"/>
          <w:titlePg w:val="0"/>
          <w:docGrid w:type="lines" w:linePitch="312"/>
        </w:sectPr>
      </w:pPr>
    </w:p>
    <w:p>
      <w:pPr>
        <w:pStyle w:val="222XW"/>
        <w:ind w:firstLine="706" w:firstLineChars="294"/>
        <w:rPr>
          <w:rFonts w:hint="eastAsia"/>
        </w:rPr>
      </w:pPr>
      <w:bookmarkStart w:id="6" w:name="_Toc298225594"/>
      <w:bookmarkStart w:id="7" w:name="_Toc306698524"/>
      <w:r>
        <w:rPr>
          <w:rFonts w:hint="eastAsia"/>
        </w:rPr>
        <w:t>第二节  地下水</w:t>
      </w:r>
      <w:bookmarkEnd w:id="5"/>
      <w:bookmarkEnd w:id="6"/>
      <w:bookmarkEnd w:id="7"/>
    </w:p>
    <w:p>
      <w:pPr>
        <w:spacing w:line="360" w:lineRule="auto"/>
        <w:ind w:firstLine="480" w:firstLineChars="200"/>
        <w:rPr>
          <w:rFonts w:ascii="宋体" w:hint="eastAsia"/>
          <w:sz w:val="24"/>
        </w:rPr>
      </w:pPr>
      <w:bookmarkStart w:id="8" w:name="_Toc146377306"/>
      <w:bookmarkStart w:id="9" w:name="_Toc306698525"/>
      <w:bookmarkStart w:id="10" w:name="_Toc298225595"/>
      <w:r>
        <w:rPr>
          <w:rFonts w:ascii="宋体" w:hint="eastAsia"/>
          <w:sz w:val="24"/>
        </w:rPr>
        <w:t>勘察场址地下水上部为孔隙潜水，其赋水介质为粘土、淤泥等粘性土，透水性差，水迳流条件差，水量一般，直接受大气降水补给，排泄以蒸发为主，勘察期间测得其潜水位埋深为0.25～0.5</w:t>
      </w:r>
      <w:r>
        <w:rPr>
          <w:rFonts w:ascii="宋体"/>
          <w:sz w:val="24"/>
        </w:rPr>
        <w:t>0m</w:t>
      </w:r>
      <w:r>
        <w:rPr>
          <w:rFonts w:ascii="宋体" w:hint="eastAsia"/>
          <w:sz w:val="24"/>
        </w:rPr>
        <w:t>（高程3.19～3.50</w:t>
      </w:r>
      <w:r>
        <w:rPr>
          <w:rFonts w:ascii="宋体"/>
          <w:sz w:val="24"/>
        </w:rPr>
        <w:t>m</w:t>
      </w:r>
      <w:r>
        <w:rPr>
          <w:rFonts w:ascii="宋体" w:hint="eastAsia"/>
          <w:sz w:val="24"/>
        </w:rPr>
        <w:t>）；下部为基岩裂隙水，水量贫乏。据区域水文地质资料，长期地下水位变幅一般为0.5～</w:t>
      </w:r>
      <w:r>
        <w:rPr>
          <w:rFonts w:ascii="宋体"/>
          <w:sz w:val="24"/>
        </w:rPr>
        <w:t>2</w:t>
      </w:r>
      <w:r>
        <w:rPr>
          <w:rFonts w:ascii="宋体" w:hint="eastAsia"/>
          <w:sz w:val="24"/>
        </w:rPr>
        <w:t>.0</w:t>
      </w:r>
      <w:r>
        <w:rPr>
          <w:rFonts w:ascii="宋体"/>
          <w:sz w:val="24"/>
        </w:rPr>
        <w:t>m</w:t>
      </w:r>
      <w:r>
        <w:rPr>
          <w:rFonts w:ascii="宋体" w:hint="eastAsia"/>
          <w:sz w:val="24"/>
        </w:rPr>
        <w:t>，雨季易发生地表浸水现象。场区地下水对桩基设计和施工影响不大，对基坑开挖有一定影响，应采取排水、降水措施。</w:t>
      </w:r>
      <w:r>
        <w:rPr>
          <w:rFonts w:ascii="宋体"/>
          <w:sz w:val="24"/>
        </w:rPr>
        <w:t xml:space="preserve"> </w:t>
      </w:r>
    </w:p>
    <w:p>
      <w:pPr>
        <w:spacing w:line="360" w:lineRule="auto"/>
        <w:ind w:firstLine="480" w:firstLineChars="200"/>
        <w:rPr>
          <w:rFonts w:cs="宋体" w:hint="eastAsia"/>
          <w:kern w:val="0"/>
          <w:sz w:val="28"/>
          <w:szCs w:val="28"/>
        </w:rPr>
      </w:pPr>
      <w:r>
        <w:rPr>
          <w:rFonts w:ascii="宋体" w:hint="eastAsia"/>
          <w:sz w:val="24"/>
        </w:rPr>
        <w:t>场区场内及周边无污染源，环境类型为</w:t>
      </w:r>
      <w:r>
        <w:rPr>
          <w:rFonts w:ascii="宋体"/>
          <w:sz w:val="24"/>
        </w:rPr>
        <w:fldChar w:fldCharType="begin"/>
      </w:r>
      <w:r>
        <w:rPr>
          <w:rFonts w:ascii="宋体"/>
          <w:sz w:val="24"/>
        </w:rPr>
        <w:instrText xml:space="preserve"> </w:instrText>
      </w:r>
      <w:r>
        <w:rPr>
          <w:rFonts w:ascii="宋体" w:hint="eastAsia"/>
          <w:sz w:val="24"/>
        </w:rPr>
        <w:instrText>= 2 \* ROMAN</w:instrText>
      </w:r>
      <w:r>
        <w:rPr>
          <w:rFonts w:ascii="宋体"/>
          <w:sz w:val="24"/>
        </w:rPr>
        <w:instrText xml:space="preserve"> </w:instrText>
      </w:r>
      <w:r>
        <w:rPr>
          <w:rFonts w:ascii="宋体"/>
          <w:sz w:val="24"/>
        </w:rPr>
        <w:fldChar w:fldCharType="separate"/>
      </w:r>
      <w:r>
        <w:rPr>
          <w:rFonts w:ascii="宋体"/>
          <w:sz w:val="24"/>
        </w:rPr>
        <w:t>II</w:t>
      </w:r>
      <w:r>
        <w:rPr>
          <w:rFonts w:ascii="宋体"/>
          <w:sz w:val="24"/>
        </w:rPr>
        <w:fldChar w:fldCharType="end"/>
      </w:r>
      <w:r>
        <w:rPr>
          <w:rFonts w:ascii="宋体" w:hint="eastAsia"/>
          <w:sz w:val="24"/>
        </w:rPr>
        <w:t>类，地层渗透性影响为B类。根据水试样检验报告，按《岩土工程勘察规范》GB50021</w:t>
      </w:r>
      <w:r>
        <w:rPr>
          <w:rFonts w:ascii="宋体" w:hint="eastAsia"/>
          <w:sz w:val="24"/>
        </w:rPr>
        <w:t>—</w:t>
      </w:r>
      <w:r>
        <w:rPr>
          <w:rFonts w:ascii="宋体" w:hint="eastAsia"/>
          <w:sz w:val="24"/>
          <w:lang w:eastAsia="zh-CN"/>
        </w:rPr>
        <w:t>201</w:t>
      </w:r>
      <w:r>
        <w:rPr>
          <w:rFonts w:ascii="宋体" w:hint="eastAsia"/>
          <w:sz w:val="24"/>
        </w:rPr>
        <w:t>1（</w:t>
      </w:r>
      <w:r>
        <w:rPr>
          <w:rFonts w:ascii="宋体" w:hint="eastAsia"/>
          <w:sz w:val="24"/>
          <w:lang w:eastAsia="zh-CN"/>
        </w:rPr>
        <w:t>201</w:t>
      </w:r>
      <w:r>
        <w:rPr>
          <w:rFonts w:ascii="宋体" w:hint="eastAsia"/>
          <w:sz w:val="24"/>
        </w:rPr>
        <w:t>9版）有关规定对拟建场地地下水腐蚀性评价见</w:t>
      </w:r>
      <w:r>
        <w:rPr>
          <w:rFonts w:cs="宋体" w:hint="eastAsia"/>
          <w:b/>
          <w:kern w:val="0"/>
          <w:sz w:val="28"/>
          <w:szCs w:val="28"/>
        </w:rPr>
        <w:t>表4-1</w:t>
      </w:r>
      <w:r>
        <w:rPr>
          <w:rFonts w:cs="宋体" w:hint="eastAsia"/>
          <w:kern w:val="0"/>
          <w:sz w:val="28"/>
          <w:szCs w:val="28"/>
        </w:rPr>
        <w:t>、</w:t>
      </w:r>
      <w:r>
        <w:rPr>
          <w:rFonts w:cs="宋体" w:hint="eastAsia"/>
          <w:b/>
          <w:kern w:val="0"/>
          <w:sz w:val="28"/>
          <w:szCs w:val="28"/>
        </w:rPr>
        <w:t>表4-2</w:t>
      </w:r>
      <w:r>
        <w:rPr>
          <w:rFonts w:cs="宋体" w:hint="eastAsia"/>
          <w:kern w:val="0"/>
          <w:sz w:val="28"/>
          <w:szCs w:val="28"/>
        </w:rPr>
        <w:t>、</w:t>
      </w:r>
      <w:r>
        <w:rPr>
          <w:rFonts w:cs="宋体" w:hint="eastAsia"/>
          <w:b/>
          <w:kern w:val="0"/>
          <w:sz w:val="28"/>
          <w:szCs w:val="28"/>
        </w:rPr>
        <w:t>表4-3</w:t>
      </w:r>
      <w:r>
        <w:rPr>
          <w:rFonts w:cs="宋体" w:hint="eastAsia"/>
          <w:kern w:val="0"/>
          <w:sz w:val="28"/>
          <w:szCs w:val="28"/>
        </w:rPr>
        <w:t>。</w:t>
      </w:r>
    </w:p>
    <w:p>
      <w:pPr>
        <w:ind w:firstLine="588" w:firstLineChars="245"/>
        <w:rPr>
          <w:rFonts w:hint="eastAsia"/>
          <w:b/>
          <w:sz w:val="24"/>
        </w:rPr>
      </w:pPr>
      <w:r>
        <w:rPr>
          <w:rFonts w:hint="eastAsia"/>
          <w:b/>
          <w:sz w:val="24"/>
        </w:rPr>
        <w:t>表 4-1.  按环境类型水对混凝土结构的腐蚀性：场地环境类别为</w:t>
      </w:r>
      <w:r>
        <w:rPr>
          <w:rFonts w:hint="eastAsia"/>
          <w:b/>
          <w:sz w:val="24"/>
        </w:rPr>
        <w:t>Ⅱ</w:t>
      </w:r>
      <w:r>
        <w:rPr>
          <w:rFonts w:hint="eastAsia"/>
          <w:b/>
          <w:sz w:val="24"/>
        </w:rPr>
        <w:t>类</w:t>
      </w:r>
    </w:p>
    <w:tbl>
      <w:tblPr>
        <w:tblStyle w:val="TableNormal"/>
        <w:tblW w:w="0" w:type="auto"/>
        <w:tblInd w:w="2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
      <w:tblGrid>
        <w:gridCol w:w="696"/>
        <w:gridCol w:w="967"/>
        <w:gridCol w:w="1290"/>
        <w:gridCol w:w="1315"/>
        <w:gridCol w:w="1290"/>
        <w:gridCol w:w="1344"/>
        <w:gridCol w:w="1412"/>
      </w:tblGrid>
      <w:tr>
        <w:tblPrEx>
          <w:tblW w:w="0" w:type="auto"/>
          <w:tblInd w:w="2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Ex>
        <w:trPr>
          <w:trHeight w:val="980"/>
        </w:trPr>
        <w:tc>
          <w:tcPr>
            <w:tcW w:w="1813" w:type="dxa"/>
            <w:gridSpan w:val="2"/>
            <w:vAlign w:val="center"/>
          </w:tcPr>
          <w:p>
            <w:pPr>
              <w:kinsoku w:val="0"/>
              <w:overflowPunct w:val="0"/>
              <w:autoSpaceDE w:val="0"/>
              <w:autoSpaceDN w:val="0"/>
              <w:spacing w:line="280" w:lineRule="exact"/>
              <w:jc w:val="center"/>
              <w:outlineLvl w:val="0"/>
              <w:rPr>
                <w:rFonts w:hint="eastAsia"/>
                <w:bCs/>
              </w:rPr>
            </w:pPr>
            <w:r>
              <w:rPr>
                <w:rFonts w:hint="eastAsia"/>
                <w:bCs/>
              </w:rPr>
              <w:t>腐蚀介质</w:t>
            </w:r>
          </w:p>
        </w:tc>
        <w:tc>
          <w:tcPr>
            <w:tcW w:w="1528" w:type="dxa"/>
            <w:vAlign w:val="center"/>
          </w:tcPr>
          <w:p>
            <w:pPr>
              <w:kinsoku w:val="0"/>
              <w:overflowPunct w:val="0"/>
              <w:autoSpaceDE w:val="0"/>
              <w:autoSpaceDN w:val="0"/>
              <w:spacing w:line="280" w:lineRule="exact"/>
              <w:jc w:val="center"/>
              <w:outlineLvl w:val="0"/>
              <w:rPr>
                <w:rFonts w:hint="eastAsia"/>
                <w:bCs/>
              </w:rPr>
            </w:pPr>
            <w:r>
              <w:rPr>
                <w:rFonts w:hint="eastAsia"/>
                <w:bCs/>
              </w:rPr>
              <w:t>硫酸盐SO</w:t>
            </w:r>
            <w:r>
              <w:rPr>
                <w:rFonts w:hint="eastAsia"/>
                <w:bCs/>
                <w:vertAlign w:val="subscript"/>
              </w:rPr>
              <w:t>4</w:t>
            </w:r>
            <w:r>
              <w:rPr>
                <w:rFonts w:hint="eastAsia"/>
                <w:bCs/>
                <w:vertAlign w:val="superscript"/>
              </w:rPr>
              <w:t>2-</w:t>
            </w:r>
          </w:p>
          <w:p>
            <w:pPr>
              <w:kinsoku w:val="0"/>
              <w:overflowPunct w:val="0"/>
              <w:autoSpaceDE w:val="0"/>
              <w:autoSpaceDN w:val="0"/>
              <w:spacing w:line="280" w:lineRule="exact"/>
              <w:jc w:val="center"/>
              <w:outlineLvl w:val="0"/>
              <w:rPr>
                <w:rFonts w:hint="eastAsia"/>
                <w:bCs/>
              </w:rPr>
            </w:pPr>
            <w:r>
              <w:rPr>
                <w:bCs/>
              </w:rPr>
              <w:t>(mg/ L)</w:t>
            </w:r>
          </w:p>
        </w:tc>
        <w:tc>
          <w:tcPr>
            <w:tcW w:w="1528" w:type="dxa"/>
            <w:vAlign w:val="center"/>
          </w:tcPr>
          <w:p>
            <w:pPr>
              <w:kinsoku w:val="0"/>
              <w:overflowPunct w:val="0"/>
              <w:autoSpaceDE w:val="0"/>
              <w:autoSpaceDN w:val="0"/>
              <w:spacing w:line="280" w:lineRule="exact"/>
              <w:jc w:val="center"/>
              <w:outlineLvl w:val="0"/>
              <w:rPr>
                <w:rFonts w:hint="eastAsia"/>
                <w:bCs/>
              </w:rPr>
            </w:pPr>
            <w:r>
              <w:rPr>
                <w:rFonts w:hint="eastAsia"/>
                <w:bCs/>
              </w:rPr>
              <w:t>镁盐Mg</w:t>
            </w:r>
            <w:r>
              <w:rPr>
                <w:rFonts w:hint="eastAsia"/>
                <w:bCs/>
                <w:vertAlign w:val="superscript"/>
              </w:rPr>
              <w:t>2+</w:t>
            </w:r>
          </w:p>
          <w:p>
            <w:pPr>
              <w:kinsoku w:val="0"/>
              <w:overflowPunct w:val="0"/>
              <w:autoSpaceDE w:val="0"/>
              <w:autoSpaceDN w:val="0"/>
              <w:spacing w:line="280" w:lineRule="exact"/>
              <w:jc w:val="center"/>
              <w:outlineLvl w:val="0"/>
              <w:rPr>
                <w:rFonts w:hint="eastAsia"/>
                <w:bCs/>
              </w:rPr>
            </w:pPr>
            <w:r>
              <w:rPr>
                <w:bCs/>
              </w:rPr>
              <w:t>(mg/ L)</w:t>
            </w:r>
          </w:p>
        </w:tc>
        <w:tc>
          <w:tcPr>
            <w:tcW w:w="1528" w:type="dxa"/>
            <w:vAlign w:val="center"/>
          </w:tcPr>
          <w:p>
            <w:pPr>
              <w:kinsoku w:val="0"/>
              <w:overflowPunct w:val="0"/>
              <w:autoSpaceDE w:val="0"/>
              <w:autoSpaceDN w:val="0"/>
              <w:spacing w:line="280" w:lineRule="exact"/>
              <w:jc w:val="center"/>
              <w:outlineLvl w:val="0"/>
              <w:rPr>
                <w:rFonts w:hint="eastAsia"/>
                <w:bCs/>
              </w:rPr>
            </w:pPr>
            <w:r>
              <w:rPr>
                <w:rFonts w:hint="eastAsia"/>
                <w:bCs/>
              </w:rPr>
              <w:t>铵盐NH</w:t>
            </w:r>
            <w:r>
              <w:rPr>
                <w:rFonts w:hint="eastAsia"/>
                <w:bCs/>
                <w:vertAlign w:val="subscript"/>
              </w:rPr>
              <w:t>4</w:t>
            </w:r>
            <w:r>
              <w:rPr>
                <w:rFonts w:hint="eastAsia"/>
                <w:bCs/>
                <w:vertAlign w:val="superscript"/>
              </w:rPr>
              <w:t>+</w:t>
            </w:r>
          </w:p>
          <w:p>
            <w:pPr>
              <w:kinsoku w:val="0"/>
              <w:overflowPunct w:val="0"/>
              <w:autoSpaceDE w:val="0"/>
              <w:autoSpaceDN w:val="0"/>
              <w:spacing w:line="280" w:lineRule="exact"/>
              <w:jc w:val="center"/>
              <w:outlineLvl w:val="0"/>
              <w:rPr>
                <w:rFonts w:hint="eastAsia"/>
                <w:bCs/>
              </w:rPr>
            </w:pPr>
            <w:r>
              <w:rPr>
                <w:bCs/>
              </w:rPr>
              <w:t>(mg/ L)</w:t>
            </w:r>
          </w:p>
        </w:tc>
        <w:tc>
          <w:tcPr>
            <w:tcW w:w="1528" w:type="dxa"/>
            <w:vAlign w:val="center"/>
          </w:tcPr>
          <w:p>
            <w:pPr>
              <w:kinsoku w:val="0"/>
              <w:overflowPunct w:val="0"/>
              <w:autoSpaceDE w:val="0"/>
              <w:autoSpaceDN w:val="0"/>
              <w:spacing w:line="280" w:lineRule="exact"/>
              <w:jc w:val="center"/>
              <w:outlineLvl w:val="0"/>
              <w:rPr>
                <w:rFonts w:hint="eastAsia"/>
                <w:bCs/>
              </w:rPr>
            </w:pPr>
            <w:r>
              <w:rPr>
                <w:rFonts w:hint="eastAsia"/>
                <w:bCs/>
              </w:rPr>
              <w:t>苛性碱OH</w:t>
            </w:r>
            <w:r>
              <w:rPr>
                <w:rFonts w:hint="eastAsia"/>
                <w:bCs/>
                <w:vertAlign w:val="superscript"/>
              </w:rPr>
              <w:t>-</w:t>
            </w:r>
          </w:p>
          <w:p>
            <w:pPr>
              <w:kinsoku w:val="0"/>
              <w:overflowPunct w:val="0"/>
              <w:autoSpaceDE w:val="0"/>
              <w:autoSpaceDN w:val="0"/>
              <w:spacing w:line="280" w:lineRule="exact"/>
              <w:jc w:val="center"/>
              <w:outlineLvl w:val="0"/>
              <w:rPr>
                <w:rFonts w:hint="eastAsia"/>
                <w:bCs/>
              </w:rPr>
            </w:pPr>
            <w:r>
              <w:rPr>
                <w:bCs/>
              </w:rPr>
              <w:t>(mg/ L)</w:t>
            </w:r>
          </w:p>
        </w:tc>
        <w:tc>
          <w:tcPr>
            <w:tcW w:w="1528" w:type="dxa"/>
            <w:vAlign w:val="center"/>
          </w:tcPr>
          <w:p>
            <w:pPr>
              <w:kinsoku w:val="0"/>
              <w:overflowPunct w:val="0"/>
              <w:autoSpaceDE w:val="0"/>
              <w:autoSpaceDN w:val="0"/>
              <w:spacing w:line="280" w:lineRule="exact"/>
              <w:jc w:val="center"/>
              <w:outlineLvl w:val="0"/>
              <w:rPr>
                <w:rFonts w:hint="eastAsia"/>
                <w:bCs/>
              </w:rPr>
            </w:pPr>
            <w:r>
              <w:rPr>
                <w:rFonts w:hint="eastAsia"/>
                <w:bCs/>
              </w:rPr>
              <w:t>总矿化度</w:t>
            </w:r>
          </w:p>
          <w:p>
            <w:pPr>
              <w:kinsoku w:val="0"/>
              <w:overflowPunct w:val="0"/>
              <w:autoSpaceDE w:val="0"/>
              <w:autoSpaceDN w:val="0"/>
              <w:spacing w:line="280" w:lineRule="exact"/>
              <w:jc w:val="center"/>
              <w:outlineLvl w:val="0"/>
              <w:rPr>
                <w:rFonts w:hint="eastAsia"/>
                <w:bCs/>
              </w:rPr>
            </w:pPr>
            <w:r>
              <w:rPr>
                <w:bCs/>
              </w:rPr>
              <w:t>(mg/ L)</w:t>
            </w:r>
          </w:p>
        </w:tc>
      </w:tr>
      <w:tr>
        <w:tblPrEx>
          <w:tblW w:w="0" w:type="auto"/>
          <w:tblInd w:w="208" w:type="dxa"/>
          <w:tblCellMar>
            <w:top w:w="0" w:type="dxa"/>
            <w:left w:w="108" w:type="dxa"/>
            <w:bottom w:w="0" w:type="dxa"/>
            <w:right w:w="108" w:type="dxa"/>
          </w:tblCellMar>
          <w:tblLook w:val="0000"/>
        </w:tblPrEx>
        <w:trPr>
          <w:cantSplit/>
          <w:trHeight w:hRule="exact" w:val="784"/>
        </w:trPr>
        <w:tc>
          <w:tcPr>
            <w:tcW w:w="1813" w:type="dxa"/>
            <w:gridSpan w:val="2"/>
            <w:vAlign w:val="center"/>
          </w:tcPr>
          <w:p>
            <w:pPr>
              <w:kinsoku w:val="0"/>
              <w:overflowPunct w:val="0"/>
              <w:autoSpaceDE w:val="0"/>
              <w:autoSpaceDN w:val="0"/>
              <w:spacing w:line="240" w:lineRule="exact"/>
              <w:jc w:val="center"/>
              <w:outlineLvl w:val="0"/>
              <w:rPr>
                <w:rFonts w:hint="eastAsia"/>
                <w:bCs/>
              </w:rPr>
            </w:pPr>
            <w:r>
              <w:rPr>
                <w:rFonts w:hint="eastAsia"/>
                <w:bCs/>
              </w:rPr>
              <w:t>腐蚀等级</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微</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微</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微</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微</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微</w:t>
            </w:r>
          </w:p>
        </w:tc>
      </w:tr>
      <w:tr>
        <w:tblPrEx>
          <w:tblW w:w="0" w:type="auto"/>
          <w:tblInd w:w="208" w:type="dxa"/>
          <w:tblCellMar>
            <w:top w:w="0" w:type="dxa"/>
            <w:left w:w="108" w:type="dxa"/>
            <w:bottom w:w="0" w:type="dxa"/>
            <w:right w:w="108" w:type="dxa"/>
          </w:tblCellMar>
          <w:tblLook w:val="0000"/>
        </w:tblPrEx>
        <w:trPr>
          <w:trHeight w:hRule="exact" w:val="666"/>
        </w:trPr>
        <w:tc>
          <w:tcPr>
            <w:tcW w:w="1813" w:type="dxa"/>
            <w:gridSpan w:val="2"/>
            <w:vAlign w:val="center"/>
          </w:tcPr>
          <w:p>
            <w:pPr>
              <w:kinsoku w:val="0"/>
              <w:overflowPunct w:val="0"/>
              <w:autoSpaceDE w:val="0"/>
              <w:autoSpaceDN w:val="0"/>
              <w:spacing w:line="240" w:lineRule="exact"/>
              <w:jc w:val="center"/>
              <w:outlineLvl w:val="0"/>
              <w:rPr>
                <w:rFonts w:hint="eastAsia"/>
                <w:bCs/>
              </w:rPr>
            </w:pPr>
            <w:r>
              <w:rPr>
                <w:rFonts w:hint="eastAsia"/>
                <w:bCs/>
              </w:rPr>
              <w:t>国标</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&lt;300</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&lt;</w:t>
            </w:r>
            <w:r>
              <w:rPr>
                <w:rFonts w:hint="eastAsia"/>
                <w:bCs/>
                <w:lang w:eastAsia="zh-CN"/>
              </w:rPr>
              <w:t>201</w:t>
            </w:r>
            <w:r>
              <w:rPr>
                <w:bCs/>
              </w:rPr>
              <w:t>0</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&lt;</w:t>
            </w:r>
            <w:r>
              <w:rPr>
                <w:bCs/>
              </w:rPr>
              <w:t>500</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&lt;</w:t>
            </w:r>
            <w:r>
              <w:rPr>
                <w:bCs/>
              </w:rPr>
              <w:t>43000</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&lt;</w:t>
            </w:r>
            <w:r>
              <w:rPr>
                <w:rFonts w:hint="eastAsia"/>
                <w:bCs/>
                <w:lang w:eastAsia="zh-CN"/>
              </w:rPr>
              <w:t>201</w:t>
            </w:r>
            <w:r>
              <w:rPr>
                <w:bCs/>
              </w:rPr>
              <w:t>00</w:t>
            </w:r>
          </w:p>
        </w:tc>
      </w:tr>
      <w:tr>
        <w:tblPrEx>
          <w:tblW w:w="0" w:type="auto"/>
          <w:tblInd w:w="208" w:type="dxa"/>
          <w:tblCellMar>
            <w:top w:w="0" w:type="dxa"/>
            <w:left w:w="108" w:type="dxa"/>
            <w:bottom w:w="0" w:type="dxa"/>
            <w:right w:w="108" w:type="dxa"/>
          </w:tblCellMar>
          <w:tblLook w:val="0000"/>
        </w:tblPrEx>
        <w:trPr>
          <w:cantSplit/>
          <w:trHeight w:hRule="exact" w:val="606"/>
        </w:trPr>
        <w:tc>
          <w:tcPr>
            <w:tcW w:w="799" w:type="dxa"/>
            <w:vMerge w:val="restart"/>
            <w:vAlign w:val="center"/>
          </w:tcPr>
          <w:p>
            <w:pPr>
              <w:kinsoku w:val="0"/>
              <w:overflowPunct w:val="0"/>
              <w:autoSpaceDE w:val="0"/>
              <w:autoSpaceDN w:val="0"/>
              <w:spacing w:line="240" w:lineRule="exact"/>
              <w:jc w:val="center"/>
              <w:outlineLvl w:val="0"/>
              <w:rPr>
                <w:rFonts w:hint="eastAsia"/>
                <w:bCs/>
              </w:rPr>
            </w:pPr>
            <w:r>
              <w:rPr>
                <w:rFonts w:hint="eastAsia"/>
                <w:bCs/>
              </w:rPr>
              <w:t>化验结果</w:t>
            </w:r>
          </w:p>
        </w:tc>
        <w:tc>
          <w:tcPr>
            <w:tcW w:w="1014" w:type="dxa"/>
            <w:vAlign w:val="center"/>
          </w:tcPr>
          <w:p>
            <w:pPr>
              <w:kinsoku w:val="0"/>
              <w:overflowPunct w:val="0"/>
              <w:autoSpaceDE w:val="0"/>
              <w:autoSpaceDN w:val="0"/>
              <w:spacing w:line="240" w:lineRule="exact"/>
              <w:jc w:val="center"/>
              <w:outlineLvl w:val="0"/>
              <w:rPr>
                <w:rFonts w:hint="eastAsia"/>
                <w:bCs/>
              </w:rPr>
            </w:pPr>
            <w:r>
              <w:rPr>
                <w:rFonts w:hint="eastAsia"/>
                <w:bCs/>
              </w:rPr>
              <w:t>S11144</w:t>
            </w:r>
          </w:p>
        </w:tc>
        <w:tc>
          <w:tcPr>
            <w:tcW w:w="1528" w:type="dxa"/>
            <w:vAlign w:val="center"/>
          </w:tcPr>
          <w:p>
            <w:pPr>
              <w:kinsoku w:val="0"/>
              <w:overflowPunct w:val="0"/>
              <w:autoSpaceDE w:val="0"/>
              <w:autoSpaceDN w:val="0"/>
              <w:spacing w:line="240" w:lineRule="exact"/>
              <w:outlineLvl w:val="0"/>
              <w:rPr>
                <w:rFonts w:hint="eastAsia"/>
                <w:bCs/>
              </w:rPr>
            </w:pPr>
            <w:r>
              <w:rPr>
                <w:rFonts w:hint="eastAsia"/>
                <w:bCs/>
              </w:rPr>
              <w:t xml:space="preserve">     60</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64.57</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w:t>
            </w:r>
          </w:p>
        </w:tc>
        <w:tc>
          <w:tcPr>
            <w:tcW w:w="1528" w:type="dxa"/>
            <w:vAlign w:val="center"/>
          </w:tcPr>
          <w:p>
            <w:pPr>
              <w:kinsoku w:val="0"/>
              <w:overflowPunct w:val="0"/>
              <w:autoSpaceDE w:val="0"/>
              <w:autoSpaceDN w:val="0"/>
              <w:spacing w:line="240" w:lineRule="exact"/>
              <w:ind w:firstLine="210" w:firstLineChars="100"/>
              <w:outlineLvl w:val="0"/>
              <w:rPr>
                <w:rFonts w:hint="eastAsia"/>
                <w:bCs/>
              </w:rPr>
            </w:pPr>
            <w:r>
              <w:rPr>
                <w:rFonts w:hint="eastAsia"/>
                <w:bCs/>
              </w:rPr>
              <w:t>1505.04</w:t>
            </w:r>
          </w:p>
        </w:tc>
      </w:tr>
      <w:tr>
        <w:tblPrEx>
          <w:tblW w:w="0" w:type="auto"/>
          <w:tblInd w:w="208" w:type="dxa"/>
          <w:tblCellMar>
            <w:top w:w="0" w:type="dxa"/>
            <w:left w:w="108" w:type="dxa"/>
            <w:bottom w:w="0" w:type="dxa"/>
            <w:right w:w="108" w:type="dxa"/>
          </w:tblCellMar>
          <w:tblLook w:val="0000"/>
        </w:tblPrEx>
        <w:trPr>
          <w:cantSplit/>
          <w:trHeight w:hRule="exact" w:val="546"/>
        </w:trPr>
        <w:tc>
          <w:tcPr>
            <w:tcW w:w="799" w:type="dxa"/>
            <w:vMerge/>
            <w:vAlign w:val="center"/>
          </w:tcPr>
          <w:p>
            <w:pPr>
              <w:kinsoku w:val="0"/>
              <w:overflowPunct w:val="0"/>
              <w:autoSpaceDE w:val="0"/>
              <w:autoSpaceDN w:val="0"/>
              <w:spacing w:line="240" w:lineRule="exact"/>
              <w:jc w:val="center"/>
              <w:outlineLvl w:val="0"/>
              <w:rPr>
                <w:rFonts w:hint="eastAsia"/>
                <w:bCs/>
              </w:rPr>
            </w:pPr>
          </w:p>
        </w:tc>
        <w:tc>
          <w:tcPr>
            <w:tcW w:w="1014" w:type="dxa"/>
            <w:vAlign w:val="center"/>
          </w:tcPr>
          <w:p>
            <w:pPr>
              <w:kinsoku w:val="0"/>
              <w:overflowPunct w:val="0"/>
              <w:autoSpaceDE w:val="0"/>
              <w:autoSpaceDN w:val="0"/>
              <w:spacing w:line="240" w:lineRule="exact"/>
              <w:jc w:val="center"/>
              <w:outlineLvl w:val="0"/>
              <w:rPr>
                <w:rFonts w:hint="eastAsia"/>
                <w:bCs/>
              </w:rPr>
            </w:pPr>
            <w:r>
              <w:rPr>
                <w:rFonts w:hint="eastAsia"/>
                <w:bCs/>
              </w:rPr>
              <w:t>S11145</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38</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58.00</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w:t>
            </w:r>
          </w:p>
        </w:tc>
        <w:tc>
          <w:tcPr>
            <w:tcW w:w="1528" w:type="dxa"/>
            <w:vAlign w:val="center"/>
          </w:tcPr>
          <w:p>
            <w:pPr>
              <w:kinsoku w:val="0"/>
              <w:overflowPunct w:val="0"/>
              <w:autoSpaceDE w:val="0"/>
              <w:autoSpaceDN w:val="0"/>
              <w:spacing w:line="240" w:lineRule="exact"/>
              <w:jc w:val="center"/>
              <w:outlineLvl w:val="0"/>
              <w:rPr>
                <w:rFonts w:hint="eastAsia"/>
                <w:bCs/>
              </w:rPr>
            </w:pPr>
            <w:r>
              <w:rPr>
                <w:rFonts w:hint="eastAsia"/>
                <w:bCs/>
              </w:rPr>
              <w:t>1408.36</w:t>
            </w:r>
          </w:p>
        </w:tc>
      </w:tr>
      <w:tr>
        <w:tblPrEx>
          <w:tblW w:w="0" w:type="auto"/>
          <w:tblInd w:w="208" w:type="dxa"/>
          <w:tblCellMar>
            <w:top w:w="0" w:type="dxa"/>
            <w:left w:w="108" w:type="dxa"/>
            <w:bottom w:w="0" w:type="dxa"/>
            <w:right w:w="108" w:type="dxa"/>
          </w:tblCellMar>
          <w:tblLook w:val="0000"/>
        </w:tblPrEx>
        <w:trPr>
          <w:trHeight w:hRule="exact" w:val="642"/>
        </w:trPr>
        <w:tc>
          <w:tcPr>
            <w:tcW w:w="1813" w:type="dxa"/>
            <w:gridSpan w:val="2"/>
            <w:vAlign w:val="center"/>
          </w:tcPr>
          <w:p>
            <w:pPr>
              <w:kinsoku w:val="0"/>
              <w:overflowPunct w:val="0"/>
              <w:autoSpaceDE w:val="0"/>
              <w:autoSpaceDN w:val="0"/>
              <w:spacing w:line="240" w:lineRule="exact"/>
              <w:jc w:val="center"/>
              <w:outlineLvl w:val="0"/>
              <w:rPr>
                <w:rFonts w:hint="eastAsia"/>
                <w:bCs/>
              </w:rPr>
            </w:pPr>
            <w:r>
              <w:rPr>
                <w:rFonts w:hint="eastAsia"/>
                <w:bCs/>
              </w:rPr>
              <w:t>判定结果</w:t>
            </w:r>
          </w:p>
        </w:tc>
        <w:tc>
          <w:tcPr>
            <w:tcW w:w="1528" w:type="dxa"/>
            <w:vAlign w:val="center"/>
          </w:tcPr>
          <w:p>
            <w:pPr>
              <w:jc w:val="center"/>
            </w:pPr>
            <w:r>
              <w:rPr>
                <w:rFonts w:hint="eastAsia"/>
                <w:bCs/>
              </w:rPr>
              <w:t>微</w:t>
            </w:r>
          </w:p>
        </w:tc>
        <w:tc>
          <w:tcPr>
            <w:tcW w:w="1528" w:type="dxa"/>
            <w:vAlign w:val="center"/>
          </w:tcPr>
          <w:p>
            <w:pPr>
              <w:jc w:val="center"/>
            </w:pPr>
            <w:r>
              <w:rPr>
                <w:rFonts w:hint="eastAsia"/>
                <w:bCs/>
              </w:rPr>
              <w:t>微</w:t>
            </w:r>
          </w:p>
        </w:tc>
        <w:tc>
          <w:tcPr>
            <w:tcW w:w="1528" w:type="dxa"/>
            <w:vAlign w:val="center"/>
          </w:tcPr>
          <w:p>
            <w:pPr>
              <w:jc w:val="center"/>
            </w:pPr>
            <w:r>
              <w:rPr>
                <w:rFonts w:hint="eastAsia"/>
                <w:bCs/>
              </w:rPr>
              <w:t>微</w:t>
            </w:r>
          </w:p>
        </w:tc>
        <w:tc>
          <w:tcPr>
            <w:tcW w:w="1528" w:type="dxa"/>
            <w:vAlign w:val="center"/>
          </w:tcPr>
          <w:p>
            <w:pPr>
              <w:jc w:val="center"/>
            </w:pPr>
            <w:r>
              <w:rPr>
                <w:rFonts w:hint="eastAsia"/>
                <w:bCs/>
              </w:rPr>
              <w:t>微</w:t>
            </w:r>
          </w:p>
        </w:tc>
        <w:tc>
          <w:tcPr>
            <w:tcW w:w="1528" w:type="dxa"/>
            <w:vAlign w:val="center"/>
          </w:tcPr>
          <w:p>
            <w:pPr>
              <w:jc w:val="center"/>
            </w:pPr>
            <w:r>
              <w:rPr>
                <w:rFonts w:hint="eastAsia"/>
                <w:bCs/>
              </w:rPr>
              <w:t>微</w:t>
            </w:r>
          </w:p>
        </w:tc>
      </w:tr>
    </w:tbl>
    <w:p>
      <w:pPr>
        <w:ind w:firstLine="588" w:firstLineChars="245"/>
        <w:rPr>
          <w:rFonts w:hint="eastAsia"/>
          <w:b/>
          <w:sz w:val="24"/>
        </w:rPr>
      </w:pPr>
      <w:r>
        <w:rPr>
          <w:rFonts w:hint="eastAsia"/>
          <w:b/>
          <w:sz w:val="24"/>
        </w:rPr>
        <w:t>表 4-2  按地层渗透性判定水对混凝土结构的腐蚀性：B 类弱透水层</w:t>
      </w:r>
    </w:p>
    <w:tbl>
      <w:tblPr>
        <w:tblStyle w:val="TableNormal"/>
        <w:tblW w:w="0" w:type="auto"/>
        <w:tblInd w:w="2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
      <w:tblGrid>
        <w:gridCol w:w="1012"/>
        <w:gridCol w:w="1557"/>
        <w:gridCol w:w="2910"/>
        <w:gridCol w:w="2835"/>
      </w:tblGrid>
      <w:tr>
        <w:tblPrEx>
          <w:tblW w:w="0" w:type="auto"/>
          <w:tblInd w:w="2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Ex>
        <w:trPr>
          <w:trHeight w:hRule="exact" w:val="755"/>
        </w:trPr>
        <w:tc>
          <w:tcPr>
            <w:tcW w:w="2866" w:type="dxa"/>
            <w:gridSpan w:val="2"/>
            <w:vAlign w:val="center"/>
          </w:tcPr>
          <w:p>
            <w:pPr>
              <w:kinsoku w:val="0"/>
              <w:overflowPunct w:val="0"/>
              <w:autoSpaceDE w:val="0"/>
              <w:autoSpaceDN w:val="0"/>
              <w:spacing w:line="260" w:lineRule="exact"/>
              <w:jc w:val="center"/>
              <w:outlineLvl w:val="0"/>
              <w:rPr>
                <w:rFonts w:hint="eastAsia"/>
                <w:bCs/>
              </w:rPr>
            </w:pPr>
            <w:r>
              <w:rPr>
                <w:rFonts w:hint="eastAsia"/>
                <w:bCs/>
              </w:rPr>
              <w:t>腐蚀介质</w:t>
            </w:r>
          </w:p>
        </w:tc>
        <w:tc>
          <w:tcPr>
            <w:tcW w:w="3439" w:type="dxa"/>
            <w:vAlign w:val="center"/>
          </w:tcPr>
          <w:p>
            <w:pPr>
              <w:kinsoku w:val="0"/>
              <w:overflowPunct w:val="0"/>
              <w:autoSpaceDE w:val="0"/>
              <w:autoSpaceDN w:val="0"/>
              <w:spacing w:line="260" w:lineRule="exact"/>
              <w:jc w:val="center"/>
              <w:outlineLvl w:val="0"/>
              <w:rPr>
                <w:rFonts w:hint="eastAsia"/>
                <w:bCs/>
              </w:rPr>
            </w:pPr>
            <w:r>
              <w:rPr>
                <w:rFonts w:hint="eastAsia"/>
                <w:bCs/>
              </w:rPr>
              <w:t>PH值</w:t>
            </w:r>
          </w:p>
        </w:tc>
        <w:tc>
          <w:tcPr>
            <w:tcW w:w="3325" w:type="dxa"/>
            <w:vAlign w:val="center"/>
          </w:tcPr>
          <w:p>
            <w:pPr>
              <w:kinsoku w:val="0"/>
              <w:overflowPunct w:val="0"/>
              <w:autoSpaceDE w:val="0"/>
              <w:autoSpaceDN w:val="0"/>
              <w:spacing w:line="260" w:lineRule="exact"/>
              <w:jc w:val="center"/>
              <w:outlineLvl w:val="0"/>
              <w:rPr>
                <w:rFonts w:hint="eastAsia"/>
                <w:bCs/>
              </w:rPr>
            </w:pPr>
            <w:r>
              <w:rPr>
                <w:rFonts w:hint="eastAsia"/>
                <w:bCs/>
              </w:rPr>
              <w:t>侵蚀性CO</w:t>
            </w:r>
            <w:r>
              <w:rPr>
                <w:rFonts w:hint="eastAsia"/>
                <w:bCs/>
                <w:vertAlign w:val="subscript"/>
              </w:rPr>
              <w:t>2</w:t>
            </w:r>
          </w:p>
          <w:p>
            <w:pPr>
              <w:kinsoku w:val="0"/>
              <w:overflowPunct w:val="0"/>
              <w:autoSpaceDE w:val="0"/>
              <w:autoSpaceDN w:val="0"/>
              <w:spacing w:line="260" w:lineRule="exact"/>
              <w:jc w:val="center"/>
              <w:outlineLvl w:val="0"/>
              <w:rPr>
                <w:rFonts w:hint="eastAsia"/>
                <w:bCs/>
              </w:rPr>
            </w:pPr>
            <w:r>
              <w:rPr>
                <w:bCs/>
              </w:rPr>
              <w:t>(mg/ L)</w:t>
            </w:r>
          </w:p>
        </w:tc>
      </w:tr>
      <w:tr>
        <w:tblPrEx>
          <w:tblW w:w="0" w:type="auto"/>
          <w:tblInd w:w="208" w:type="dxa"/>
          <w:tblCellMar>
            <w:top w:w="0" w:type="dxa"/>
            <w:left w:w="108" w:type="dxa"/>
            <w:bottom w:w="0" w:type="dxa"/>
            <w:right w:w="108" w:type="dxa"/>
          </w:tblCellMar>
          <w:tblLook w:val="0000"/>
        </w:tblPrEx>
        <w:trPr>
          <w:cantSplit/>
          <w:trHeight w:hRule="exact" w:val="549"/>
        </w:trPr>
        <w:tc>
          <w:tcPr>
            <w:tcW w:w="2866" w:type="dxa"/>
            <w:gridSpan w:val="2"/>
            <w:vAlign w:val="center"/>
          </w:tcPr>
          <w:p>
            <w:pPr>
              <w:kinsoku w:val="0"/>
              <w:overflowPunct w:val="0"/>
              <w:autoSpaceDE w:val="0"/>
              <w:autoSpaceDN w:val="0"/>
              <w:spacing w:line="260" w:lineRule="exact"/>
              <w:jc w:val="center"/>
              <w:outlineLvl w:val="0"/>
              <w:rPr>
                <w:rFonts w:hint="eastAsia"/>
                <w:bCs/>
              </w:rPr>
            </w:pPr>
            <w:r>
              <w:rPr>
                <w:rFonts w:hint="eastAsia"/>
                <w:bCs/>
              </w:rPr>
              <w:t>腐蚀等级</w:t>
            </w:r>
          </w:p>
        </w:tc>
        <w:tc>
          <w:tcPr>
            <w:tcW w:w="3439" w:type="dxa"/>
            <w:vAlign w:val="center"/>
          </w:tcPr>
          <w:p>
            <w:pPr>
              <w:kinsoku w:val="0"/>
              <w:overflowPunct w:val="0"/>
              <w:autoSpaceDE w:val="0"/>
              <w:autoSpaceDN w:val="0"/>
              <w:spacing w:line="260" w:lineRule="exact"/>
              <w:jc w:val="center"/>
              <w:outlineLvl w:val="0"/>
              <w:rPr>
                <w:rFonts w:hint="eastAsia"/>
                <w:bCs/>
              </w:rPr>
            </w:pPr>
            <w:r>
              <w:rPr>
                <w:rFonts w:hint="eastAsia"/>
                <w:bCs/>
              </w:rPr>
              <w:t>微</w:t>
            </w:r>
          </w:p>
        </w:tc>
        <w:tc>
          <w:tcPr>
            <w:tcW w:w="3325" w:type="dxa"/>
            <w:vAlign w:val="center"/>
          </w:tcPr>
          <w:p>
            <w:pPr>
              <w:kinsoku w:val="0"/>
              <w:overflowPunct w:val="0"/>
              <w:autoSpaceDE w:val="0"/>
              <w:autoSpaceDN w:val="0"/>
              <w:spacing w:line="260" w:lineRule="exact"/>
              <w:jc w:val="center"/>
              <w:outlineLvl w:val="0"/>
              <w:rPr>
                <w:rFonts w:hint="eastAsia"/>
                <w:bCs/>
              </w:rPr>
            </w:pPr>
            <w:r>
              <w:rPr>
                <w:rFonts w:hint="eastAsia"/>
                <w:bCs/>
              </w:rPr>
              <w:t>微</w:t>
            </w:r>
          </w:p>
        </w:tc>
      </w:tr>
      <w:tr>
        <w:tblPrEx>
          <w:tblW w:w="0" w:type="auto"/>
          <w:tblInd w:w="208" w:type="dxa"/>
          <w:tblCellMar>
            <w:top w:w="0" w:type="dxa"/>
            <w:left w:w="108" w:type="dxa"/>
            <w:bottom w:w="0" w:type="dxa"/>
            <w:right w:w="108" w:type="dxa"/>
          </w:tblCellMar>
          <w:tblLook w:val="0000"/>
        </w:tblPrEx>
        <w:trPr>
          <w:trHeight w:hRule="exact" w:val="549"/>
        </w:trPr>
        <w:tc>
          <w:tcPr>
            <w:tcW w:w="2866" w:type="dxa"/>
            <w:gridSpan w:val="2"/>
            <w:vAlign w:val="center"/>
          </w:tcPr>
          <w:p>
            <w:pPr>
              <w:kinsoku w:val="0"/>
              <w:overflowPunct w:val="0"/>
              <w:autoSpaceDE w:val="0"/>
              <w:autoSpaceDN w:val="0"/>
              <w:spacing w:line="260" w:lineRule="exact"/>
              <w:jc w:val="center"/>
              <w:outlineLvl w:val="0"/>
              <w:rPr>
                <w:rFonts w:hint="eastAsia"/>
                <w:bCs/>
              </w:rPr>
            </w:pPr>
            <w:r>
              <w:rPr>
                <w:rFonts w:hint="eastAsia"/>
                <w:bCs/>
              </w:rPr>
              <w:t>国标</w:t>
            </w:r>
          </w:p>
        </w:tc>
        <w:tc>
          <w:tcPr>
            <w:tcW w:w="3439" w:type="dxa"/>
            <w:vAlign w:val="center"/>
          </w:tcPr>
          <w:p>
            <w:pPr>
              <w:kinsoku w:val="0"/>
              <w:overflowPunct w:val="0"/>
              <w:autoSpaceDE w:val="0"/>
              <w:autoSpaceDN w:val="0"/>
              <w:spacing w:line="260" w:lineRule="exact"/>
              <w:jc w:val="center"/>
              <w:outlineLvl w:val="0"/>
              <w:rPr>
                <w:rFonts w:hint="eastAsia"/>
                <w:bCs/>
              </w:rPr>
            </w:pPr>
            <w:r>
              <w:rPr>
                <w:rFonts w:hint="eastAsia"/>
                <w:bCs/>
              </w:rPr>
              <w:t>&gt;</w:t>
            </w:r>
            <w:r>
              <w:rPr>
                <w:bCs/>
              </w:rPr>
              <w:t>5.0</w:t>
            </w:r>
          </w:p>
        </w:tc>
        <w:tc>
          <w:tcPr>
            <w:tcW w:w="3325" w:type="dxa"/>
            <w:vAlign w:val="center"/>
          </w:tcPr>
          <w:p>
            <w:pPr>
              <w:kinsoku w:val="0"/>
              <w:overflowPunct w:val="0"/>
              <w:autoSpaceDE w:val="0"/>
              <w:autoSpaceDN w:val="0"/>
              <w:spacing w:line="260" w:lineRule="exact"/>
              <w:jc w:val="center"/>
              <w:outlineLvl w:val="0"/>
              <w:rPr>
                <w:rFonts w:hint="eastAsia"/>
                <w:bCs/>
              </w:rPr>
            </w:pPr>
            <w:r>
              <w:rPr>
                <w:rFonts w:hint="eastAsia"/>
                <w:bCs/>
              </w:rPr>
              <w:t>&lt;</w:t>
            </w:r>
            <w:r>
              <w:rPr>
                <w:bCs/>
              </w:rPr>
              <w:t>30</w:t>
            </w:r>
          </w:p>
        </w:tc>
      </w:tr>
      <w:tr>
        <w:tblPrEx>
          <w:tblW w:w="0" w:type="auto"/>
          <w:tblInd w:w="208" w:type="dxa"/>
          <w:tblCellMar>
            <w:top w:w="0" w:type="dxa"/>
            <w:left w:w="108" w:type="dxa"/>
            <w:bottom w:w="0" w:type="dxa"/>
            <w:right w:w="108" w:type="dxa"/>
          </w:tblCellMar>
          <w:tblLook w:val="0000"/>
        </w:tblPrEx>
        <w:trPr>
          <w:cantSplit/>
          <w:trHeight w:hRule="exact" w:val="549"/>
        </w:trPr>
        <w:tc>
          <w:tcPr>
            <w:tcW w:w="1146" w:type="dxa"/>
            <w:vMerge w:val="restart"/>
            <w:vAlign w:val="center"/>
          </w:tcPr>
          <w:p>
            <w:pPr>
              <w:kinsoku w:val="0"/>
              <w:overflowPunct w:val="0"/>
              <w:autoSpaceDE w:val="0"/>
              <w:autoSpaceDN w:val="0"/>
              <w:spacing w:line="260" w:lineRule="exact"/>
              <w:jc w:val="center"/>
              <w:outlineLvl w:val="0"/>
              <w:rPr>
                <w:rFonts w:hint="eastAsia"/>
                <w:bCs/>
              </w:rPr>
            </w:pPr>
            <w:r>
              <w:rPr>
                <w:rFonts w:hint="eastAsia"/>
                <w:bCs/>
              </w:rPr>
              <w:t>化验</w:t>
            </w:r>
          </w:p>
          <w:p>
            <w:pPr>
              <w:kinsoku w:val="0"/>
              <w:overflowPunct w:val="0"/>
              <w:autoSpaceDE w:val="0"/>
              <w:autoSpaceDN w:val="0"/>
              <w:spacing w:line="260" w:lineRule="exact"/>
              <w:jc w:val="center"/>
              <w:outlineLvl w:val="0"/>
              <w:rPr>
                <w:rFonts w:hint="eastAsia"/>
                <w:bCs/>
              </w:rPr>
            </w:pPr>
            <w:r>
              <w:rPr>
                <w:rFonts w:hint="eastAsia"/>
                <w:bCs/>
              </w:rPr>
              <w:t>结果</w:t>
            </w:r>
          </w:p>
        </w:tc>
        <w:tc>
          <w:tcPr>
            <w:tcW w:w="1720" w:type="dxa"/>
            <w:vAlign w:val="center"/>
          </w:tcPr>
          <w:p>
            <w:pPr>
              <w:kinsoku w:val="0"/>
              <w:overflowPunct w:val="0"/>
              <w:autoSpaceDE w:val="0"/>
              <w:autoSpaceDN w:val="0"/>
              <w:spacing w:line="240" w:lineRule="exact"/>
              <w:jc w:val="center"/>
              <w:outlineLvl w:val="0"/>
              <w:rPr>
                <w:rFonts w:hint="eastAsia"/>
                <w:bCs/>
              </w:rPr>
            </w:pPr>
            <w:r>
              <w:rPr>
                <w:rFonts w:hint="eastAsia"/>
                <w:bCs/>
              </w:rPr>
              <w:t>S11144</w:t>
            </w:r>
          </w:p>
        </w:tc>
        <w:tc>
          <w:tcPr>
            <w:tcW w:w="3439" w:type="dxa"/>
            <w:vAlign w:val="center"/>
          </w:tcPr>
          <w:p>
            <w:pPr>
              <w:kinsoku w:val="0"/>
              <w:overflowPunct w:val="0"/>
              <w:autoSpaceDE w:val="0"/>
              <w:autoSpaceDN w:val="0"/>
              <w:spacing w:line="260" w:lineRule="exact"/>
              <w:jc w:val="center"/>
              <w:outlineLvl w:val="0"/>
              <w:rPr>
                <w:rFonts w:hint="eastAsia"/>
                <w:bCs/>
              </w:rPr>
            </w:pPr>
            <w:r>
              <w:rPr>
                <w:rFonts w:hint="eastAsia"/>
                <w:bCs/>
              </w:rPr>
              <w:t>7.38</w:t>
            </w:r>
          </w:p>
        </w:tc>
        <w:tc>
          <w:tcPr>
            <w:tcW w:w="3325" w:type="dxa"/>
            <w:vAlign w:val="center"/>
          </w:tcPr>
          <w:p>
            <w:pPr>
              <w:kinsoku w:val="0"/>
              <w:overflowPunct w:val="0"/>
              <w:autoSpaceDE w:val="0"/>
              <w:autoSpaceDN w:val="0"/>
              <w:spacing w:line="260" w:lineRule="exact"/>
              <w:jc w:val="center"/>
              <w:outlineLvl w:val="0"/>
              <w:rPr>
                <w:rFonts w:hint="eastAsia"/>
                <w:bCs/>
              </w:rPr>
            </w:pPr>
            <w:r>
              <w:rPr>
                <w:rFonts w:hint="eastAsia"/>
                <w:bCs/>
              </w:rPr>
              <w:t>3.50</w:t>
            </w:r>
          </w:p>
        </w:tc>
      </w:tr>
      <w:tr>
        <w:tblPrEx>
          <w:tblW w:w="0" w:type="auto"/>
          <w:tblInd w:w="208" w:type="dxa"/>
          <w:tblCellMar>
            <w:top w:w="0" w:type="dxa"/>
            <w:left w:w="108" w:type="dxa"/>
            <w:bottom w:w="0" w:type="dxa"/>
            <w:right w:w="108" w:type="dxa"/>
          </w:tblCellMar>
          <w:tblLook w:val="0000"/>
        </w:tblPrEx>
        <w:trPr>
          <w:cantSplit/>
          <w:trHeight w:hRule="exact" w:val="549"/>
        </w:trPr>
        <w:tc>
          <w:tcPr>
            <w:tcW w:w="1146" w:type="dxa"/>
            <w:vMerge/>
            <w:vAlign w:val="center"/>
          </w:tcPr>
          <w:p>
            <w:pPr>
              <w:kinsoku w:val="0"/>
              <w:overflowPunct w:val="0"/>
              <w:autoSpaceDE w:val="0"/>
              <w:autoSpaceDN w:val="0"/>
              <w:spacing w:line="260" w:lineRule="exact"/>
              <w:jc w:val="center"/>
              <w:outlineLvl w:val="0"/>
              <w:rPr>
                <w:rFonts w:hint="eastAsia"/>
                <w:bCs/>
              </w:rPr>
            </w:pPr>
          </w:p>
        </w:tc>
        <w:tc>
          <w:tcPr>
            <w:tcW w:w="1720" w:type="dxa"/>
            <w:vAlign w:val="center"/>
          </w:tcPr>
          <w:p>
            <w:pPr>
              <w:kinsoku w:val="0"/>
              <w:overflowPunct w:val="0"/>
              <w:autoSpaceDE w:val="0"/>
              <w:autoSpaceDN w:val="0"/>
              <w:spacing w:line="240" w:lineRule="exact"/>
              <w:jc w:val="center"/>
              <w:outlineLvl w:val="0"/>
              <w:rPr>
                <w:rFonts w:hint="eastAsia"/>
                <w:bCs/>
              </w:rPr>
            </w:pPr>
            <w:r>
              <w:rPr>
                <w:rFonts w:hint="eastAsia"/>
                <w:bCs/>
              </w:rPr>
              <w:t>S11145</w:t>
            </w:r>
          </w:p>
        </w:tc>
        <w:tc>
          <w:tcPr>
            <w:tcW w:w="3439" w:type="dxa"/>
            <w:vAlign w:val="center"/>
          </w:tcPr>
          <w:p>
            <w:pPr>
              <w:kinsoku w:val="0"/>
              <w:overflowPunct w:val="0"/>
              <w:autoSpaceDE w:val="0"/>
              <w:autoSpaceDN w:val="0"/>
              <w:spacing w:line="260" w:lineRule="exact"/>
              <w:jc w:val="center"/>
              <w:outlineLvl w:val="0"/>
              <w:rPr>
                <w:rFonts w:hint="eastAsia"/>
                <w:bCs/>
              </w:rPr>
            </w:pPr>
            <w:r>
              <w:rPr>
                <w:rFonts w:hint="eastAsia"/>
                <w:bCs/>
              </w:rPr>
              <w:t>7.45</w:t>
            </w:r>
          </w:p>
        </w:tc>
        <w:tc>
          <w:tcPr>
            <w:tcW w:w="3325" w:type="dxa"/>
            <w:vAlign w:val="center"/>
          </w:tcPr>
          <w:p>
            <w:pPr>
              <w:kinsoku w:val="0"/>
              <w:overflowPunct w:val="0"/>
              <w:autoSpaceDE w:val="0"/>
              <w:autoSpaceDN w:val="0"/>
              <w:spacing w:line="260" w:lineRule="exact"/>
              <w:jc w:val="center"/>
              <w:outlineLvl w:val="0"/>
              <w:rPr>
                <w:rFonts w:hint="eastAsia"/>
                <w:bCs/>
              </w:rPr>
            </w:pPr>
            <w:r>
              <w:rPr>
                <w:rFonts w:hint="eastAsia"/>
                <w:bCs/>
              </w:rPr>
              <w:t>16.34</w:t>
            </w:r>
          </w:p>
        </w:tc>
      </w:tr>
      <w:tr>
        <w:tblPrEx>
          <w:tblW w:w="0" w:type="auto"/>
          <w:tblInd w:w="208" w:type="dxa"/>
          <w:tblCellMar>
            <w:top w:w="0" w:type="dxa"/>
            <w:left w:w="108" w:type="dxa"/>
            <w:bottom w:w="0" w:type="dxa"/>
            <w:right w:w="108" w:type="dxa"/>
          </w:tblCellMar>
          <w:tblLook w:val="0000"/>
        </w:tblPrEx>
        <w:trPr>
          <w:trHeight w:hRule="exact" w:val="549"/>
        </w:trPr>
        <w:tc>
          <w:tcPr>
            <w:tcW w:w="2866" w:type="dxa"/>
            <w:gridSpan w:val="2"/>
            <w:vAlign w:val="center"/>
          </w:tcPr>
          <w:p>
            <w:pPr>
              <w:kinsoku w:val="0"/>
              <w:overflowPunct w:val="0"/>
              <w:autoSpaceDE w:val="0"/>
              <w:autoSpaceDN w:val="0"/>
              <w:spacing w:line="260" w:lineRule="exact"/>
              <w:jc w:val="center"/>
              <w:outlineLvl w:val="0"/>
              <w:rPr>
                <w:rFonts w:hint="eastAsia"/>
                <w:bCs/>
              </w:rPr>
            </w:pPr>
            <w:r>
              <w:rPr>
                <w:rFonts w:hint="eastAsia"/>
                <w:bCs/>
              </w:rPr>
              <w:t>判定结果</w:t>
            </w:r>
          </w:p>
        </w:tc>
        <w:tc>
          <w:tcPr>
            <w:tcW w:w="3439" w:type="dxa"/>
            <w:vAlign w:val="center"/>
          </w:tcPr>
          <w:p>
            <w:pPr>
              <w:kinsoku w:val="0"/>
              <w:overflowPunct w:val="0"/>
              <w:autoSpaceDE w:val="0"/>
              <w:autoSpaceDN w:val="0"/>
              <w:spacing w:line="260" w:lineRule="exact"/>
              <w:jc w:val="center"/>
              <w:outlineLvl w:val="0"/>
              <w:rPr>
                <w:rFonts w:hint="eastAsia"/>
                <w:bCs/>
              </w:rPr>
            </w:pPr>
            <w:r>
              <w:rPr>
                <w:rFonts w:hint="eastAsia"/>
                <w:bCs/>
              </w:rPr>
              <w:t>微</w:t>
            </w:r>
          </w:p>
        </w:tc>
        <w:tc>
          <w:tcPr>
            <w:tcW w:w="3325" w:type="dxa"/>
            <w:vAlign w:val="center"/>
          </w:tcPr>
          <w:p>
            <w:pPr>
              <w:kinsoku w:val="0"/>
              <w:overflowPunct w:val="0"/>
              <w:autoSpaceDE w:val="0"/>
              <w:autoSpaceDN w:val="0"/>
              <w:spacing w:line="260" w:lineRule="exact"/>
              <w:jc w:val="center"/>
              <w:outlineLvl w:val="0"/>
              <w:rPr>
                <w:rFonts w:hint="eastAsia"/>
                <w:bCs/>
              </w:rPr>
            </w:pPr>
            <w:r>
              <w:rPr>
                <w:rFonts w:hint="eastAsia"/>
                <w:bCs/>
              </w:rPr>
              <w:t>微</w:t>
            </w:r>
          </w:p>
        </w:tc>
      </w:tr>
    </w:tbl>
    <w:p>
      <w:pPr>
        <w:ind w:firstLine="588" w:firstLineChars="245"/>
        <w:rPr>
          <w:b/>
          <w:sz w:val="24"/>
        </w:rPr>
        <w:sectPr>
          <w:footerReference w:type="even" r:id="rId11"/>
          <w:type w:val="nextPage"/>
          <w:pgSz w:w="11906" w:h="16838"/>
          <w:pgMar w:top="1440" w:right="1800" w:bottom="1440" w:left="1800" w:header="851" w:footer="992" w:gutter="0"/>
          <w:pgNumType w:start="8"/>
          <w:cols w:space="708"/>
          <w:titlePg w:val="0"/>
          <w:docGrid w:type="lines" w:linePitch="312"/>
        </w:sectPr>
      </w:pPr>
      <w:r>
        <w:rPr>
          <w:rFonts w:hint="eastAsia"/>
          <w:b/>
          <w:sz w:val="24"/>
        </w:rPr>
        <w:t>表 4-3       水对钢筋混凝土结构中钢筋的腐蚀性</w:t>
      </w:r>
    </w:p>
    <w:tbl>
      <w:tblPr>
        <w:tblStyle w:val="TableNormal"/>
        <w:tblW w:w="0" w:type="auto"/>
        <w:tblInd w:w="2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
      <w:tblGrid>
        <w:gridCol w:w="1294"/>
        <w:gridCol w:w="1534"/>
        <w:gridCol w:w="2757"/>
        <w:gridCol w:w="2729"/>
      </w:tblGrid>
      <w:tr>
        <w:tblPrEx>
          <w:tblW w:w="0" w:type="auto"/>
          <w:tblInd w:w="2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517"/>
        </w:trPr>
        <w:tc>
          <w:tcPr>
            <w:tcW w:w="3195" w:type="dxa"/>
            <w:gridSpan w:val="2"/>
            <w:vMerge w:val="restart"/>
            <w:vAlign w:val="center"/>
          </w:tcPr>
          <w:p>
            <w:pPr>
              <w:autoSpaceDE w:val="0"/>
              <w:autoSpaceDN w:val="0"/>
              <w:spacing w:line="260" w:lineRule="exact"/>
              <w:jc w:val="center"/>
              <w:outlineLvl w:val="0"/>
              <w:rPr>
                <w:rFonts w:hint="eastAsia"/>
              </w:rPr>
            </w:pPr>
            <w:r>
              <w:rPr>
                <w:rFonts w:hint="eastAsia"/>
              </w:rPr>
              <w:t>腐蚀介质</w:t>
            </w:r>
          </w:p>
        </w:tc>
        <w:tc>
          <w:tcPr>
            <w:tcW w:w="6317" w:type="dxa"/>
            <w:gridSpan w:val="2"/>
            <w:vAlign w:val="center"/>
          </w:tcPr>
          <w:p>
            <w:pPr>
              <w:autoSpaceDE w:val="0"/>
              <w:autoSpaceDN w:val="0"/>
              <w:spacing w:line="260" w:lineRule="exact"/>
              <w:jc w:val="center"/>
              <w:outlineLvl w:val="0"/>
              <w:rPr>
                <w:rFonts w:hint="eastAsia"/>
              </w:rPr>
            </w:pPr>
            <w:r>
              <w:rPr>
                <w:rFonts w:hint="eastAsia"/>
              </w:rPr>
              <w:t>水中的Cl</w:t>
            </w:r>
            <w:r>
              <w:rPr>
                <w:rFonts w:hint="eastAsia"/>
                <w:vertAlign w:val="superscript"/>
              </w:rPr>
              <w:t>-</w:t>
            </w:r>
            <w:r>
              <w:rPr>
                <w:rFonts w:hint="eastAsia"/>
              </w:rPr>
              <w:t xml:space="preserve"> (mg/ L) </w:t>
            </w:r>
          </w:p>
        </w:tc>
      </w:tr>
      <w:tr>
        <w:tblPrEx>
          <w:tblW w:w="0" w:type="auto"/>
          <w:tblInd w:w="208" w:type="dxa"/>
          <w:tblCellMar>
            <w:top w:w="0" w:type="dxa"/>
            <w:left w:w="108" w:type="dxa"/>
            <w:bottom w:w="0" w:type="dxa"/>
            <w:right w:w="108" w:type="dxa"/>
          </w:tblCellMar>
          <w:tblLook w:val="0000"/>
        </w:tblPrEx>
        <w:trPr>
          <w:cantSplit/>
          <w:trHeight w:hRule="exact" w:val="515"/>
        </w:trPr>
        <w:tc>
          <w:tcPr>
            <w:tcW w:w="3195" w:type="dxa"/>
            <w:gridSpan w:val="2"/>
            <w:vMerge/>
            <w:vAlign w:val="center"/>
          </w:tcPr>
          <w:p>
            <w:pPr>
              <w:autoSpaceDE w:val="0"/>
              <w:autoSpaceDN w:val="0"/>
              <w:spacing w:line="260" w:lineRule="exact"/>
              <w:jc w:val="center"/>
              <w:outlineLvl w:val="0"/>
              <w:rPr>
                <w:rFonts w:hint="eastAsia"/>
              </w:rPr>
            </w:pPr>
          </w:p>
        </w:tc>
        <w:tc>
          <w:tcPr>
            <w:tcW w:w="3203" w:type="dxa"/>
            <w:vAlign w:val="center"/>
          </w:tcPr>
          <w:p>
            <w:pPr>
              <w:autoSpaceDE w:val="0"/>
              <w:autoSpaceDN w:val="0"/>
              <w:spacing w:line="260" w:lineRule="exact"/>
              <w:jc w:val="center"/>
              <w:outlineLvl w:val="0"/>
              <w:rPr>
                <w:rFonts w:hint="eastAsia"/>
              </w:rPr>
            </w:pPr>
            <w:r>
              <w:rPr>
                <w:rFonts w:hint="eastAsia"/>
              </w:rPr>
              <w:t>长期浸水</w:t>
            </w:r>
          </w:p>
        </w:tc>
        <w:tc>
          <w:tcPr>
            <w:tcW w:w="3114" w:type="dxa"/>
            <w:vAlign w:val="center"/>
          </w:tcPr>
          <w:p>
            <w:pPr>
              <w:autoSpaceDE w:val="0"/>
              <w:autoSpaceDN w:val="0"/>
              <w:spacing w:line="260" w:lineRule="exact"/>
              <w:jc w:val="center"/>
              <w:outlineLvl w:val="0"/>
              <w:rPr>
                <w:rFonts w:hint="eastAsia"/>
              </w:rPr>
            </w:pPr>
            <w:r>
              <w:rPr>
                <w:rFonts w:hint="eastAsia"/>
              </w:rPr>
              <w:t>干湿交替</w:t>
            </w:r>
          </w:p>
        </w:tc>
      </w:tr>
      <w:tr>
        <w:tblPrEx>
          <w:tblW w:w="0" w:type="auto"/>
          <w:tblInd w:w="208" w:type="dxa"/>
          <w:tblCellMar>
            <w:top w:w="0" w:type="dxa"/>
            <w:left w:w="108" w:type="dxa"/>
            <w:bottom w:w="0" w:type="dxa"/>
            <w:right w:w="108" w:type="dxa"/>
          </w:tblCellMar>
          <w:tblLook w:val="0000"/>
        </w:tblPrEx>
        <w:trPr>
          <w:cantSplit/>
          <w:trHeight w:hRule="exact" w:val="612"/>
        </w:trPr>
        <w:tc>
          <w:tcPr>
            <w:tcW w:w="3195" w:type="dxa"/>
            <w:gridSpan w:val="2"/>
            <w:vAlign w:val="center"/>
          </w:tcPr>
          <w:p>
            <w:pPr>
              <w:autoSpaceDE w:val="0"/>
              <w:autoSpaceDN w:val="0"/>
              <w:spacing w:line="260" w:lineRule="exact"/>
              <w:jc w:val="center"/>
              <w:outlineLvl w:val="0"/>
              <w:rPr>
                <w:rFonts w:hint="eastAsia"/>
              </w:rPr>
            </w:pPr>
            <w:r>
              <w:rPr>
                <w:rFonts w:hint="eastAsia"/>
                <w:bCs/>
              </w:rPr>
              <w:t>腐蚀等级</w:t>
            </w:r>
          </w:p>
        </w:tc>
        <w:tc>
          <w:tcPr>
            <w:tcW w:w="3203" w:type="dxa"/>
            <w:vAlign w:val="center"/>
          </w:tcPr>
          <w:p>
            <w:pPr>
              <w:autoSpaceDE w:val="0"/>
              <w:autoSpaceDN w:val="0"/>
              <w:spacing w:line="260" w:lineRule="exact"/>
              <w:jc w:val="center"/>
              <w:outlineLvl w:val="0"/>
              <w:rPr>
                <w:rFonts w:hint="eastAsia"/>
              </w:rPr>
            </w:pPr>
            <w:r>
              <w:rPr>
                <w:rFonts w:hint="eastAsia"/>
              </w:rPr>
              <w:t>微</w:t>
            </w:r>
          </w:p>
        </w:tc>
        <w:tc>
          <w:tcPr>
            <w:tcW w:w="3114" w:type="dxa"/>
            <w:vAlign w:val="center"/>
          </w:tcPr>
          <w:p>
            <w:pPr>
              <w:autoSpaceDE w:val="0"/>
              <w:autoSpaceDN w:val="0"/>
              <w:spacing w:line="260" w:lineRule="exact"/>
              <w:jc w:val="center"/>
              <w:outlineLvl w:val="0"/>
              <w:rPr>
                <w:rFonts w:hint="eastAsia"/>
              </w:rPr>
            </w:pPr>
            <w:r>
              <w:rPr>
                <w:rFonts w:hint="eastAsia"/>
              </w:rPr>
              <w:t>中</w:t>
            </w:r>
          </w:p>
        </w:tc>
      </w:tr>
      <w:tr>
        <w:tblPrEx>
          <w:tblW w:w="0" w:type="auto"/>
          <w:tblInd w:w="208" w:type="dxa"/>
          <w:tblCellMar>
            <w:top w:w="0" w:type="dxa"/>
            <w:left w:w="108" w:type="dxa"/>
            <w:bottom w:w="0" w:type="dxa"/>
            <w:right w:w="108" w:type="dxa"/>
          </w:tblCellMar>
          <w:tblLook w:val="0000"/>
        </w:tblPrEx>
        <w:trPr>
          <w:trHeight w:hRule="exact" w:val="612"/>
        </w:trPr>
        <w:tc>
          <w:tcPr>
            <w:tcW w:w="3195" w:type="dxa"/>
            <w:gridSpan w:val="2"/>
            <w:vAlign w:val="center"/>
          </w:tcPr>
          <w:p>
            <w:pPr>
              <w:autoSpaceDE w:val="0"/>
              <w:autoSpaceDN w:val="0"/>
              <w:spacing w:line="260" w:lineRule="exact"/>
              <w:jc w:val="center"/>
              <w:outlineLvl w:val="0"/>
              <w:rPr>
                <w:rFonts w:hint="eastAsia"/>
              </w:rPr>
            </w:pPr>
            <w:r>
              <w:rPr>
                <w:rFonts w:hint="eastAsia"/>
                <w:bCs/>
              </w:rPr>
              <w:t>国标</w:t>
            </w:r>
          </w:p>
        </w:tc>
        <w:tc>
          <w:tcPr>
            <w:tcW w:w="3203" w:type="dxa"/>
            <w:vAlign w:val="center"/>
          </w:tcPr>
          <w:p>
            <w:pPr>
              <w:autoSpaceDE w:val="0"/>
              <w:autoSpaceDN w:val="0"/>
              <w:spacing w:line="260" w:lineRule="exact"/>
              <w:jc w:val="center"/>
              <w:outlineLvl w:val="0"/>
              <w:rPr>
                <w:rFonts w:hint="eastAsia"/>
              </w:rPr>
            </w:pPr>
            <w:r>
              <w:rPr>
                <w:rFonts w:hint="eastAsia"/>
              </w:rPr>
              <w:t>&lt;10</w:t>
            </w:r>
            <w:r>
              <w:t>000</w:t>
            </w:r>
          </w:p>
        </w:tc>
        <w:tc>
          <w:tcPr>
            <w:tcW w:w="3114" w:type="dxa"/>
            <w:vAlign w:val="center"/>
          </w:tcPr>
          <w:p>
            <w:pPr>
              <w:autoSpaceDE w:val="0"/>
              <w:autoSpaceDN w:val="0"/>
              <w:spacing w:line="260" w:lineRule="exact"/>
              <w:jc w:val="center"/>
              <w:outlineLvl w:val="0"/>
              <w:rPr>
                <w:rFonts w:hint="eastAsia"/>
              </w:rPr>
            </w:pPr>
            <w:r>
              <w:rPr>
                <w:rFonts w:hint="eastAsia"/>
              </w:rPr>
              <w:t>500--5000</w:t>
            </w:r>
          </w:p>
        </w:tc>
      </w:tr>
      <w:tr>
        <w:tblPrEx>
          <w:tblW w:w="0" w:type="auto"/>
          <w:tblInd w:w="208" w:type="dxa"/>
          <w:tblCellMar>
            <w:top w:w="0" w:type="dxa"/>
            <w:left w:w="108" w:type="dxa"/>
            <w:bottom w:w="0" w:type="dxa"/>
            <w:right w:w="108" w:type="dxa"/>
          </w:tblCellMar>
          <w:tblLook w:val="0000"/>
        </w:tblPrEx>
        <w:trPr>
          <w:cantSplit/>
          <w:trHeight w:hRule="exact" w:val="612"/>
        </w:trPr>
        <w:tc>
          <w:tcPr>
            <w:tcW w:w="1498" w:type="dxa"/>
            <w:vMerge w:val="restart"/>
            <w:vAlign w:val="center"/>
          </w:tcPr>
          <w:p>
            <w:pPr>
              <w:kinsoku w:val="0"/>
              <w:overflowPunct w:val="0"/>
              <w:autoSpaceDE w:val="0"/>
              <w:autoSpaceDN w:val="0"/>
              <w:spacing w:line="260" w:lineRule="exact"/>
              <w:jc w:val="center"/>
              <w:outlineLvl w:val="0"/>
              <w:rPr>
                <w:rFonts w:hint="eastAsia"/>
                <w:bCs/>
              </w:rPr>
            </w:pPr>
            <w:r>
              <w:rPr>
                <w:rFonts w:hint="eastAsia"/>
                <w:bCs/>
              </w:rPr>
              <w:t>化验</w:t>
            </w:r>
          </w:p>
          <w:p>
            <w:pPr>
              <w:autoSpaceDE w:val="0"/>
              <w:autoSpaceDN w:val="0"/>
              <w:spacing w:line="260" w:lineRule="exact"/>
              <w:jc w:val="center"/>
              <w:outlineLvl w:val="0"/>
              <w:rPr>
                <w:rFonts w:hint="eastAsia"/>
              </w:rPr>
            </w:pPr>
            <w:r>
              <w:rPr>
                <w:rFonts w:hint="eastAsia"/>
                <w:bCs/>
              </w:rPr>
              <w:t>结果</w:t>
            </w:r>
          </w:p>
        </w:tc>
        <w:tc>
          <w:tcPr>
            <w:tcW w:w="1697" w:type="dxa"/>
            <w:vAlign w:val="center"/>
          </w:tcPr>
          <w:p>
            <w:pPr>
              <w:kinsoku w:val="0"/>
              <w:overflowPunct w:val="0"/>
              <w:autoSpaceDE w:val="0"/>
              <w:autoSpaceDN w:val="0"/>
              <w:spacing w:line="240" w:lineRule="exact"/>
              <w:jc w:val="center"/>
              <w:outlineLvl w:val="0"/>
              <w:rPr>
                <w:rFonts w:hint="eastAsia"/>
                <w:bCs/>
              </w:rPr>
            </w:pPr>
            <w:r>
              <w:rPr>
                <w:rFonts w:hint="eastAsia"/>
                <w:bCs/>
              </w:rPr>
              <w:t>S11144</w:t>
            </w:r>
          </w:p>
        </w:tc>
        <w:tc>
          <w:tcPr>
            <w:tcW w:w="3203" w:type="dxa"/>
            <w:vAlign w:val="center"/>
          </w:tcPr>
          <w:p>
            <w:pPr>
              <w:autoSpaceDE w:val="0"/>
              <w:autoSpaceDN w:val="0"/>
              <w:spacing w:line="260" w:lineRule="exact"/>
              <w:jc w:val="center"/>
              <w:outlineLvl w:val="0"/>
              <w:rPr>
                <w:rFonts w:hint="eastAsia"/>
              </w:rPr>
            </w:pPr>
            <w:r>
              <w:rPr>
                <w:rFonts w:hint="eastAsia"/>
              </w:rPr>
              <w:t>685.39</w:t>
            </w:r>
          </w:p>
        </w:tc>
        <w:tc>
          <w:tcPr>
            <w:tcW w:w="3114" w:type="dxa"/>
            <w:vAlign w:val="center"/>
          </w:tcPr>
          <w:p>
            <w:pPr>
              <w:autoSpaceDE w:val="0"/>
              <w:autoSpaceDN w:val="0"/>
              <w:spacing w:line="260" w:lineRule="exact"/>
              <w:jc w:val="center"/>
              <w:outlineLvl w:val="0"/>
              <w:rPr>
                <w:rFonts w:hint="eastAsia"/>
              </w:rPr>
            </w:pPr>
            <w:r>
              <w:rPr>
                <w:rFonts w:hint="eastAsia"/>
              </w:rPr>
              <w:t>685.39</w:t>
            </w:r>
          </w:p>
        </w:tc>
      </w:tr>
      <w:tr>
        <w:tblPrEx>
          <w:tblW w:w="0" w:type="auto"/>
          <w:tblInd w:w="208" w:type="dxa"/>
          <w:tblCellMar>
            <w:top w:w="0" w:type="dxa"/>
            <w:left w:w="108" w:type="dxa"/>
            <w:bottom w:w="0" w:type="dxa"/>
            <w:right w:w="108" w:type="dxa"/>
          </w:tblCellMar>
          <w:tblLook w:val="0000"/>
        </w:tblPrEx>
        <w:trPr>
          <w:cantSplit/>
          <w:trHeight w:hRule="exact" w:val="612"/>
        </w:trPr>
        <w:tc>
          <w:tcPr>
            <w:tcW w:w="1498" w:type="dxa"/>
            <w:vMerge/>
            <w:vAlign w:val="center"/>
          </w:tcPr>
          <w:p>
            <w:pPr>
              <w:autoSpaceDE w:val="0"/>
              <w:autoSpaceDN w:val="0"/>
              <w:spacing w:line="260" w:lineRule="exact"/>
              <w:jc w:val="center"/>
              <w:outlineLvl w:val="0"/>
              <w:rPr>
                <w:rFonts w:hint="eastAsia"/>
              </w:rPr>
            </w:pPr>
          </w:p>
        </w:tc>
        <w:tc>
          <w:tcPr>
            <w:tcW w:w="1697" w:type="dxa"/>
            <w:vAlign w:val="center"/>
          </w:tcPr>
          <w:p>
            <w:pPr>
              <w:kinsoku w:val="0"/>
              <w:overflowPunct w:val="0"/>
              <w:autoSpaceDE w:val="0"/>
              <w:autoSpaceDN w:val="0"/>
              <w:spacing w:line="240" w:lineRule="exact"/>
              <w:jc w:val="center"/>
              <w:outlineLvl w:val="0"/>
              <w:rPr>
                <w:rFonts w:hint="eastAsia"/>
                <w:bCs/>
              </w:rPr>
            </w:pPr>
            <w:r>
              <w:rPr>
                <w:rFonts w:hint="eastAsia"/>
                <w:bCs/>
              </w:rPr>
              <w:t>S11145</w:t>
            </w:r>
          </w:p>
        </w:tc>
        <w:tc>
          <w:tcPr>
            <w:tcW w:w="3203" w:type="dxa"/>
            <w:vAlign w:val="center"/>
          </w:tcPr>
          <w:p>
            <w:pPr>
              <w:autoSpaceDE w:val="0"/>
              <w:autoSpaceDN w:val="0"/>
              <w:spacing w:line="260" w:lineRule="exact"/>
              <w:jc w:val="center"/>
              <w:outlineLvl w:val="0"/>
              <w:rPr>
                <w:rFonts w:hint="eastAsia"/>
              </w:rPr>
            </w:pPr>
            <w:r>
              <w:rPr>
                <w:rFonts w:hint="eastAsia"/>
              </w:rPr>
              <w:t>566.09</w:t>
            </w:r>
          </w:p>
        </w:tc>
        <w:tc>
          <w:tcPr>
            <w:tcW w:w="3114" w:type="dxa"/>
            <w:vAlign w:val="center"/>
          </w:tcPr>
          <w:p>
            <w:pPr>
              <w:autoSpaceDE w:val="0"/>
              <w:autoSpaceDN w:val="0"/>
              <w:spacing w:line="260" w:lineRule="exact"/>
              <w:jc w:val="center"/>
              <w:outlineLvl w:val="0"/>
              <w:rPr>
                <w:rFonts w:hint="eastAsia"/>
              </w:rPr>
            </w:pPr>
            <w:r>
              <w:rPr>
                <w:rFonts w:hint="eastAsia"/>
              </w:rPr>
              <w:t>566.09</w:t>
            </w:r>
          </w:p>
        </w:tc>
      </w:tr>
      <w:tr>
        <w:tblPrEx>
          <w:tblW w:w="0" w:type="auto"/>
          <w:tblInd w:w="208" w:type="dxa"/>
          <w:tblCellMar>
            <w:top w:w="0" w:type="dxa"/>
            <w:left w:w="108" w:type="dxa"/>
            <w:bottom w:w="0" w:type="dxa"/>
            <w:right w:w="108" w:type="dxa"/>
          </w:tblCellMar>
          <w:tblLook w:val="0000"/>
        </w:tblPrEx>
        <w:trPr>
          <w:trHeight w:hRule="exact" w:val="612"/>
        </w:trPr>
        <w:tc>
          <w:tcPr>
            <w:tcW w:w="3195" w:type="dxa"/>
            <w:gridSpan w:val="2"/>
            <w:vAlign w:val="center"/>
          </w:tcPr>
          <w:p>
            <w:pPr>
              <w:autoSpaceDE w:val="0"/>
              <w:autoSpaceDN w:val="0"/>
              <w:spacing w:line="260" w:lineRule="exact"/>
              <w:jc w:val="center"/>
              <w:outlineLvl w:val="0"/>
              <w:rPr>
                <w:rFonts w:hint="eastAsia"/>
              </w:rPr>
            </w:pPr>
            <w:r>
              <w:rPr>
                <w:rFonts w:hint="eastAsia"/>
                <w:bCs/>
              </w:rPr>
              <w:t>判定结果</w:t>
            </w:r>
          </w:p>
        </w:tc>
        <w:tc>
          <w:tcPr>
            <w:tcW w:w="3203" w:type="dxa"/>
            <w:vAlign w:val="center"/>
          </w:tcPr>
          <w:p>
            <w:pPr>
              <w:autoSpaceDE w:val="0"/>
              <w:autoSpaceDN w:val="0"/>
              <w:spacing w:line="260" w:lineRule="exact"/>
              <w:jc w:val="center"/>
              <w:outlineLvl w:val="0"/>
              <w:rPr>
                <w:rFonts w:hint="eastAsia"/>
              </w:rPr>
            </w:pPr>
            <w:r>
              <w:rPr>
                <w:rFonts w:hint="eastAsia"/>
              </w:rPr>
              <w:t>微</w:t>
            </w:r>
          </w:p>
        </w:tc>
        <w:tc>
          <w:tcPr>
            <w:tcW w:w="3114" w:type="dxa"/>
            <w:vAlign w:val="center"/>
          </w:tcPr>
          <w:p>
            <w:pPr>
              <w:autoSpaceDE w:val="0"/>
              <w:autoSpaceDN w:val="0"/>
              <w:spacing w:line="260" w:lineRule="exact"/>
              <w:jc w:val="center"/>
              <w:outlineLvl w:val="0"/>
              <w:rPr>
                <w:rFonts w:hint="eastAsia"/>
              </w:rPr>
            </w:pPr>
            <w:r>
              <w:rPr>
                <w:rFonts w:hint="eastAsia"/>
              </w:rPr>
              <w:t>中</w:t>
            </w:r>
          </w:p>
        </w:tc>
      </w:tr>
    </w:tbl>
    <w:p>
      <w:pPr>
        <w:spacing w:line="360" w:lineRule="auto"/>
        <w:ind w:firstLine="480" w:firstLineChars="200"/>
        <w:rPr>
          <w:rFonts w:ascii="宋体" w:hint="eastAsia"/>
          <w:sz w:val="24"/>
        </w:rPr>
      </w:pPr>
      <w:r>
        <w:rPr>
          <w:rFonts w:ascii="宋体" w:hint="eastAsia"/>
          <w:sz w:val="24"/>
        </w:rPr>
        <w:t>综合以上各项分析评价，场地环境类型为</w:t>
      </w:r>
      <w:r>
        <w:rPr>
          <w:rFonts w:ascii="宋体" w:hint="eastAsia"/>
          <w:sz w:val="24"/>
        </w:rPr>
        <w:t>Ⅱ</w:t>
      </w:r>
      <w:r>
        <w:rPr>
          <w:rFonts w:ascii="宋体" w:hint="eastAsia"/>
          <w:sz w:val="24"/>
        </w:rPr>
        <w:t>类，地层渗透性影响为</w:t>
      </w:r>
      <w:r>
        <w:rPr>
          <w:rFonts w:ascii="宋体"/>
          <w:sz w:val="24"/>
        </w:rPr>
        <w:t>B</w:t>
      </w:r>
      <w:r>
        <w:rPr>
          <w:rFonts w:ascii="宋体" w:hint="eastAsia"/>
          <w:sz w:val="24"/>
        </w:rPr>
        <w:t>类。据水质分析成果资料及区域水文资料，地下水对混凝土结构具微腐蚀性，对长期浸水的混凝土结构中的钢筋具微腐蚀性；对干湿交替的混凝土结构中的钢筋具中等腐蚀性。鉴于本场址周边水、土均未受污染，因此场址水、土对混凝土结构具微腐蚀性，对长期浸水的混凝土结构中的钢筋具微腐蚀性；对干湿交替的混凝土结构中的钢筋具中等腐蚀性</w:t>
      </w:r>
    </w:p>
    <w:p>
      <w:pPr>
        <w:pStyle w:val="222XW"/>
        <w:ind w:firstLine="706" w:firstLineChars="294"/>
        <w:rPr>
          <w:rFonts w:hint="eastAsia"/>
        </w:rPr>
      </w:pPr>
      <w:r>
        <w:rPr>
          <w:rFonts w:hint="eastAsia"/>
        </w:rPr>
        <w:t>第三节  周围环境</w:t>
      </w:r>
      <w:bookmarkEnd w:id="8"/>
      <w:bookmarkEnd w:id="9"/>
      <w:bookmarkEnd w:id="10"/>
    </w:p>
    <w:p>
      <w:pPr>
        <w:spacing w:line="360" w:lineRule="auto"/>
        <w:ind w:firstLine="480" w:firstLineChars="200"/>
        <w:rPr>
          <w:rFonts w:ascii="宋体" w:hint="eastAsia"/>
          <w:sz w:val="24"/>
        </w:rPr>
      </w:pPr>
      <w:r>
        <w:rPr>
          <w:rFonts w:ascii="宋体" w:hint="eastAsia"/>
          <w:sz w:val="24"/>
        </w:rPr>
        <w:t>一、周围环境</w:t>
      </w:r>
    </w:p>
    <w:p>
      <w:pPr>
        <w:spacing w:line="360" w:lineRule="auto"/>
        <w:ind w:firstLine="540" w:firstLineChars="225"/>
        <w:jc w:val="left"/>
        <w:rPr>
          <w:rFonts w:ascii="宋体" w:hint="eastAsia"/>
          <w:sz w:val="24"/>
        </w:rPr>
      </w:pPr>
      <w:r>
        <w:rPr>
          <w:rFonts w:ascii="宋体" w:hint="eastAsia"/>
          <w:sz w:val="24"/>
        </w:rPr>
        <w:t>基坑</w:t>
      </w:r>
      <w:r>
        <w:rPr>
          <w:rFonts w:hint="eastAsia"/>
          <w:sz w:val="24"/>
        </w:rPr>
        <w:t>现场基本为开阔农田</w:t>
      </w:r>
      <w:r>
        <w:rPr>
          <w:rFonts w:ascii="宋体" w:hint="eastAsia"/>
          <w:sz w:val="24"/>
        </w:rPr>
        <w:t xml:space="preserve">，地形平坦。场地东侧为规划东溪路；北侧离地下室外墙15m外为瑞枫大道,有重型车辆开过，但对基坑影响较小。其余各侧目前均为开阔农田,场地周边没有受影响建筑物。根据目前了解的情况场地四周两倍开挖深度范围内无市政管线,地下室施工前需进行核实。施工前应对周边环境情况进行复查，包括地下管线及重要建构筑物。 </w:t>
      </w:r>
    </w:p>
    <w:p>
      <w:pPr>
        <w:spacing w:line="360" w:lineRule="auto"/>
        <w:ind w:left="570"/>
        <w:jc w:val="left"/>
        <w:rPr>
          <w:rFonts w:ascii="宋体" w:hint="eastAsia"/>
          <w:sz w:val="24"/>
        </w:rPr>
      </w:pPr>
      <w:r>
        <w:rPr>
          <w:rFonts w:ascii="宋体" w:hint="eastAsia"/>
          <w:sz w:val="24"/>
        </w:rPr>
        <w:t>二、不良地质作用</w:t>
      </w:r>
    </w:p>
    <w:p>
      <w:pPr>
        <w:spacing w:line="360" w:lineRule="auto"/>
        <w:ind w:firstLine="480" w:firstLineChars="200"/>
        <w:rPr>
          <w:rFonts w:ascii="宋体" w:hint="eastAsia"/>
          <w:sz w:val="24"/>
        </w:rPr>
      </w:pPr>
      <w:r>
        <w:rPr>
          <w:rFonts w:ascii="宋体" w:hint="eastAsia"/>
          <w:sz w:val="24"/>
        </w:rPr>
        <w:t>勘察场区内未发现不良地质作用和暗塘、暗浜、墓穴、洞室等对工程不利的地下埋藏物。场区Z3孔、Z4孔、Z8、Z9孔、Z11、Z15孔、Z16孔、Z21孔、Z23孔 、Z24、Z26、Z27等孔发现有块石零星分布，对工程有不利影响。场区北面为瑞枫大道，东面为规划东溪路，其余西面及南面为空地，周围无边坡等地质灾害隐患。本次勘察场区内未发现墓穴、洞室等对工程不利的地下埋藏物。</w:t>
      </w:r>
    </w:p>
    <w:p>
      <w:pPr>
        <w:pStyle w:val="222XW"/>
        <w:ind w:firstLine="701" w:firstLineChars="292"/>
        <w:rPr>
          <w:rFonts w:hint="eastAsia"/>
        </w:rPr>
      </w:pPr>
      <w:r>
        <w:rPr>
          <w:rFonts w:hint="eastAsia"/>
        </w:rPr>
        <w:t>第四节   自然地理与区域地质概况</w:t>
      </w:r>
    </w:p>
    <w:p>
      <w:pPr>
        <w:spacing w:line="360" w:lineRule="auto"/>
        <w:ind w:firstLine="540" w:firstLineChars="225"/>
        <w:jc w:val="left"/>
        <w:rPr>
          <w:rFonts w:ascii="宋体" w:hint="eastAsia"/>
          <w:sz w:val="24"/>
        </w:rPr>
        <w:sectPr>
          <w:footerReference w:type="even" r:id="rId12"/>
          <w:type w:val="nextPage"/>
          <w:pgSz w:w="11906" w:h="16838"/>
          <w:pgMar w:top="1440" w:right="1800" w:bottom="1440" w:left="1800" w:header="851" w:footer="992" w:gutter="0"/>
          <w:pgNumType w:start="9"/>
          <w:cols w:space="708"/>
          <w:titlePg w:val="0"/>
          <w:docGrid w:type="lines" w:linePitch="312"/>
        </w:sectPr>
      </w:pPr>
    </w:p>
    <w:p>
      <w:pPr>
        <w:spacing w:line="360" w:lineRule="auto"/>
        <w:ind w:firstLine="540" w:firstLineChars="225"/>
        <w:jc w:val="left"/>
        <w:rPr>
          <w:rFonts w:ascii="宋体" w:hint="eastAsia"/>
          <w:sz w:val="24"/>
        </w:rPr>
      </w:pPr>
      <w:r>
        <w:rPr>
          <w:rFonts w:ascii="宋体" w:hint="eastAsia"/>
          <w:sz w:val="24"/>
        </w:rPr>
        <w:t>场区属亚热带海洋型季风气候，温暖湿润、雨量充沛、四季分明，全年无严寒酷暑。年平均气温</w:t>
      </w:r>
      <w:r>
        <w:rPr>
          <w:rFonts w:ascii="宋体"/>
          <w:sz w:val="24"/>
        </w:rPr>
        <w:t>17.9</w:t>
      </w:r>
      <w:r>
        <w:rPr>
          <w:rFonts w:ascii="宋体" w:hint="eastAsia"/>
          <w:sz w:val="24"/>
        </w:rPr>
        <w:t>℃</w:t>
      </w:r>
      <w:r>
        <w:rPr>
          <w:rFonts w:ascii="宋体" w:hint="eastAsia"/>
          <w:sz w:val="24"/>
        </w:rPr>
        <w:t>，年温差一般为20</w:t>
      </w:r>
      <w:r>
        <w:rPr>
          <w:rFonts w:ascii="宋体" w:hint="eastAsia"/>
          <w:sz w:val="24"/>
        </w:rPr>
        <w:t>℃</w:t>
      </w:r>
      <w:r>
        <w:rPr>
          <w:rFonts w:ascii="宋体" w:hint="eastAsia"/>
          <w:sz w:val="24"/>
        </w:rPr>
        <w:t>，多年平均降雨量为1735</w:t>
      </w:r>
      <w:r>
        <w:rPr>
          <w:rFonts w:ascii="宋体"/>
          <w:sz w:val="24"/>
        </w:rPr>
        <w:t>mm</w:t>
      </w:r>
      <w:r>
        <w:rPr>
          <w:rFonts w:ascii="宋体" w:hint="eastAsia"/>
          <w:sz w:val="24"/>
        </w:rPr>
        <w:t>，日最大降雨量256.61mm。地下水变幅一般为0.5～</w:t>
      </w:r>
      <w:r>
        <w:rPr>
          <w:rFonts w:ascii="宋体"/>
          <w:sz w:val="24"/>
        </w:rPr>
        <w:t>2m</w:t>
      </w:r>
      <w:r>
        <w:rPr>
          <w:rFonts w:ascii="宋体" w:hint="eastAsia"/>
          <w:sz w:val="24"/>
        </w:rPr>
        <w:t>，雨季易发生地表浸水现象。场区台风较为频繁，一般发生在</w:t>
      </w:r>
      <w:r>
        <w:rPr>
          <w:rFonts w:ascii="宋体"/>
          <w:sz w:val="24"/>
        </w:rPr>
        <w:t>7</w:t>
      </w:r>
      <w:r>
        <w:rPr>
          <w:rFonts w:ascii="宋体" w:hint="eastAsia"/>
          <w:sz w:val="24"/>
        </w:rPr>
        <w:t>～</w:t>
      </w:r>
      <w:r>
        <w:rPr>
          <w:rFonts w:ascii="宋体"/>
          <w:sz w:val="24"/>
        </w:rPr>
        <w:t>9</w:t>
      </w:r>
      <w:r>
        <w:rPr>
          <w:rFonts w:ascii="宋体" w:hint="eastAsia"/>
          <w:sz w:val="24"/>
        </w:rPr>
        <w:t>月份，多年台风统计频率为</w:t>
      </w:r>
      <w:r>
        <w:rPr>
          <w:rFonts w:ascii="宋体"/>
          <w:sz w:val="24"/>
        </w:rPr>
        <w:t>2.4</w:t>
      </w:r>
      <w:r>
        <w:rPr>
          <w:rFonts w:ascii="宋体" w:hint="eastAsia"/>
          <w:sz w:val="24"/>
        </w:rPr>
        <w:t>次</w:t>
      </w:r>
      <w:r>
        <w:rPr>
          <w:rFonts w:ascii="宋体"/>
          <w:sz w:val="24"/>
        </w:rPr>
        <w:t>/</w:t>
      </w:r>
      <w:r>
        <w:rPr>
          <w:rFonts w:ascii="宋体" w:hint="eastAsia"/>
          <w:sz w:val="24"/>
        </w:rPr>
        <w:t>年，最大平均风速达</w:t>
      </w:r>
      <w:r>
        <w:rPr>
          <w:rFonts w:ascii="宋体"/>
          <w:sz w:val="24"/>
        </w:rPr>
        <w:t>15</w:t>
      </w:r>
      <w:r>
        <w:rPr>
          <w:rFonts w:ascii="宋体" w:hint="eastAsia"/>
          <w:sz w:val="24"/>
        </w:rPr>
        <w:t>～</w:t>
      </w:r>
      <w:r>
        <w:rPr>
          <w:rFonts w:ascii="宋体"/>
          <w:sz w:val="24"/>
        </w:rPr>
        <w:t>28</w:t>
      </w:r>
      <w:r>
        <w:rPr>
          <w:rFonts w:ascii="宋体" w:hint="eastAsia"/>
          <w:sz w:val="24"/>
        </w:rPr>
        <w:t>米</w:t>
      </w:r>
      <w:r>
        <w:rPr>
          <w:rFonts w:ascii="宋体"/>
          <w:sz w:val="24"/>
        </w:rPr>
        <w:t>/</w:t>
      </w:r>
      <w:r>
        <w:rPr>
          <w:rFonts w:ascii="宋体" w:hint="eastAsia"/>
          <w:sz w:val="24"/>
        </w:rPr>
        <w:t>秒，</w:t>
      </w:r>
      <w:r>
        <w:rPr>
          <w:rFonts w:ascii="宋体"/>
          <w:sz w:val="24"/>
        </w:rPr>
        <w:t xml:space="preserve"> </w:t>
      </w:r>
      <w:r>
        <w:rPr>
          <w:rFonts w:ascii="宋体" w:hint="eastAsia"/>
          <w:sz w:val="24"/>
        </w:rPr>
        <w:t>风向一般为西北偏西方向移动，最大风力达</w:t>
      </w:r>
      <w:r>
        <w:rPr>
          <w:rFonts w:ascii="宋体"/>
          <w:sz w:val="24"/>
        </w:rPr>
        <w:t>12</w:t>
      </w:r>
      <w:r>
        <w:rPr>
          <w:rFonts w:ascii="宋体" w:hint="eastAsia"/>
          <w:sz w:val="24"/>
        </w:rPr>
        <w:t xml:space="preserve">级以上。平均相对湿度较大，一般在80%左右。                                          </w:t>
      </w:r>
    </w:p>
    <w:p>
      <w:pPr>
        <w:spacing w:line="360" w:lineRule="auto"/>
        <w:ind w:firstLine="480" w:firstLineChars="200"/>
        <w:jc w:val="left"/>
        <w:rPr>
          <w:rFonts w:ascii="宋体" w:hint="eastAsia"/>
          <w:sz w:val="24"/>
        </w:rPr>
      </w:pPr>
      <w:r>
        <w:rPr>
          <w:rFonts w:ascii="宋体" w:hint="eastAsia"/>
          <w:sz w:val="24"/>
        </w:rPr>
        <w:t>本区区域构造隶属新华夏系第二隆起带南段东侧，NNE向构造为其主要的构造。区域内断裂构造主要有：NNE向镇海-温州断裂带和象山-乐清湾断裂带。其中镇海-温州大断裂和淳安-温州大断裂分别在本区西北侧通过，均形成于燕山中晚期，其埋深较大，现代虽有活动但强度较微弱。</w:t>
      </w:r>
    </w:p>
    <w:p>
      <w:pPr>
        <w:spacing w:line="360" w:lineRule="auto"/>
        <w:ind w:firstLine="540" w:firstLineChars="225"/>
        <w:jc w:val="left"/>
        <w:rPr>
          <w:rFonts w:ascii="宋体"/>
          <w:sz w:val="24"/>
        </w:rPr>
      </w:pPr>
      <w:r>
        <w:rPr>
          <w:rFonts w:ascii="宋体" w:hint="eastAsia"/>
          <w:sz w:val="24"/>
        </w:rPr>
        <w:t>按全国地震区带划分，场区属东南沿海二等地震区东北段，接近三等地震区，为少震、弱震区。远场地震波的波及影响是本区的主要震害特征。按1990年国家地震局编制的《中国地震烈度区划报告》，本地区为基本稳定区，地震基本烈度为</w:t>
      </w:r>
      <w:r>
        <w:rPr>
          <w:rFonts w:ascii="宋体"/>
          <w:sz w:val="24"/>
        </w:rPr>
        <w:t>6</w:t>
      </w:r>
      <w:r>
        <w:rPr>
          <w:rFonts w:ascii="宋体" w:hint="eastAsia"/>
          <w:sz w:val="24"/>
        </w:rPr>
        <w:t>度。根据《中国地震动参数区划图》(GB18306-</w:t>
      </w:r>
      <w:r>
        <w:rPr>
          <w:rFonts w:ascii="宋体" w:hint="eastAsia"/>
          <w:sz w:val="24"/>
          <w:lang w:eastAsia="zh-CN"/>
        </w:rPr>
        <w:t>201</w:t>
      </w:r>
      <w:r>
        <w:rPr>
          <w:rFonts w:ascii="宋体" w:hint="eastAsia"/>
          <w:sz w:val="24"/>
        </w:rPr>
        <w:t>1)，本区地震峰值加速度为0.05g。</w:t>
      </w:r>
    </w:p>
    <w:p>
      <w:pPr>
        <w:spacing w:line="440" w:lineRule="exact"/>
        <w:ind w:firstLine="480" w:firstLineChars="200"/>
        <w:rPr>
          <w:rFonts w:hint="eastAsia"/>
          <w:sz w:val="24"/>
        </w:rPr>
      </w:pPr>
      <w:r>
        <w:rPr>
          <w:rFonts w:ascii="宋体" w:hint="eastAsia"/>
          <w:sz w:val="24"/>
        </w:rPr>
        <w:t>场区地貌单元山前冲海积平原。据区域地质资料，分布有数十米厚的第四系沉积物，上部2</w:t>
      </w:r>
      <w:r>
        <w:rPr>
          <w:rFonts w:ascii="宋体"/>
          <w:sz w:val="24"/>
        </w:rPr>
        <w:t>0</w:t>
      </w:r>
      <w:r>
        <w:rPr>
          <w:rFonts w:ascii="宋体" w:hint="eastAsia"/>
          <w:sz w:val="24"/>
        </w:rPr>
        <w:t>-50米左右为软土，属海相沉积物，土性为粘土、淤泥、淤泥质粘土等，时代为第四系全新统（</w:t>
      </w:r>
      <w:r>
        <w:rPr>
          <w:rFonts w:ascii="宋体"/>
          <w:sz w:val="24"/>
        </w:rPr>
        <w:t>Q4</w:t>
      </w:r>
      <w:r>
        <w:rPr>
          <w:rFonts w:ascii="宋体" w:hint="eastAsia"/>
          <w:sz w:val="24"/>
        </w:rPr>
        <w:t>）和上更新统（</w:t>
      </w:r>
      <w:r>
        <w:rPr>
          <w:rFonts w:ascii="宋体"/>
          <w:sz w:val="24"/>
        </w:rPr>
        <w:t>Q3</w:t>
      </w:r>
      <w:r>
        <w:rPr>
          <w:rFonts w:ascii="宋体" w:hint="eastAsia"/>
          <w:sz w:val="24"/>
        </w:rPr>
        <w:t xml:space="preserve">）地层；下部为前第四系（AnQ）基岩，属上侏罗统高坞组（J3g），岩性为青灰色流纹质晶屑玻屑凝灰岩，局部为岩屑凝灰岩。  </w:t>
      </w:r>
    </w:p>
    <w:p>
      <w:pPr>
        <w:spacing w:line="560" w:lineRule="exact"/>
        <w:ind w:left="899" w:leftChars="428"/>
        <w:rPr>
          <w:rFonts w:hint="eastAsia"/>
          <w:color w:val="000000"/>
          <w:sz w:val="24"/>
        </w:rPr>
      </w:pPr>
    </w:p>
    <w:p>
      <w:pPr>
        <w:spacing w:line="560" w:lineRule="exact"/>
        <w:ind w:left="899" w:leftChars="428"/>
        <w:rPr>
          <w:rFonts w:hint="eastAsia"/>
          <w:color w:val="000000"/>
          <w:sz w:val="24"/>
        </w:rPr>
      </w:pPr>
    </w:p>
    <w:p>
      <w:pPr>
        <w:spacing w:line="560" w:lineRule="exact"/>
        <w:ind w:left="899" w:leftChars="428"/>
        <w:rPr>
          <w:rFonts w:hint="eastAsia"/>
          <w:color w:val="000000"/>
          <w:sz w:val="24"/>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w:type="even" r:id="rId13"/>
          <w:type w:val="nextPage"/>
          <w:pgSz w:w="11906" w:h="16838"/>
          <w:pgMar w:top="1440" w:right="1800" w:bottom="1440" w:left="1800" w:header="851" w:footer="992" w:gutter="0"/>
          <w:pgNumType w:start="10"/>
          <w:cols w:space="708"/>
          <w:titlePg w:val="0"/>
          <w:docGrid w:type="lines" w:linePitch="312"/>
        </w:sectPr>
      </w:pPr>
    </w:p>
    <w:p>
      <w:pPr>
        <w:pStyle w:val="Heading2"/>
        <w:jc w:val="center"/>
        <w:rPr>
          <w:rFonts w:ascii="黑体" w:hint="eastAsia"/>
          <w:color w:val="000000"/>
          <w:sz w:val="28"/>
          <w:szCs w:val="28"/>
        </w:rPr>
      </w:pPr>
      <w:bookmarkStart w:id="11" w:name="_Toc306698526"/>
      <w:r>
        <w:rPr>
          <w:rFonts w:ascii="黑体" w:hint="eastAsia"/>
          <w:color w:val="000000"/>
          <w:sz w:val="28"/>
          <w:szCs w:val="28"/>
        </w:rPr>
        <w:t>第四章 围护结构设计概况</w:t>
      </w:r>
      <w:bookmarkEnd w:id="11"/>
    </w:p>
    <w:p>
      <w:pPr>
        <w:pStyle w:val="222XW"/>
        <w:ind w:firstLine="706" w:firstLineChars="294"/>
        <w:rPr>
          <w:rFonts w:hint="eastAsia"/>
        </w:rPr>
      </w:pPr>
      <w:bookmarkStart w:id="12" w:name="_Toc306698527"/>
      <w:r>
        <w:rPr>
          <w:rFonts w:hint="eastAsia"/>
        </w:rPr>
        <w:t>第一节 围护结构情况：</w:t>
      </w:r>
      <w:bookmarkEnd w:id="12"/>
    </w:p>
    <w:p>
      <w:pPr>
        <w:spacing w:line="360" w:lineRule="auto"/>
        <w:ind w:firstLine="360" w:firstLineChars="150"/>
        <w:rPr>
          <w:rFonts w:hint="eastAsia"/>
          <w:color w:val="000000"/>
          <w:sz w:val="24"/>
        </w:rPr>
      </w:pPr>
      <w:r>
        <w:rPr>
          <w:rFonts w:hint="eastAsia"/>
          <w:color w:val="000000"/>
          <w:sz w:val="24"/>
        </w:rPr>
        <w:t>1、本工程</w:t>
      </w:r>
      <w:r>
        <w:rPr>
          <w:rFonts w:hint="eastAsia"/>
          <w:snapToGrid w:val="0"/>
          <w:sz w:val="24"/>
        </w:rPr>
        <w:t>主要采用混凝土排桩加一道钢筋混凝土支撑梁的围护方案。混凝土排桩外侧设一道水泥搅拌桩止水帷幕。</w:t>
      </w:r>
      <w:r>
        <w:rPr>
          <w:rFonts w:hint="eastAsia"/>
          <w:color w:val="000000"/>
          <w:sz w:val="24"/>
        </w:rPr>
        <w:t>支撑梁上部采用1：1坡度放坡，坡面钢筋混凝土护坡防护。内配</w:t>
      </w:r>
      <w:r>
        <w:rPr>
          <w:rFonts w:ascii="宋体" w:hAnsi="宋体" w:hint="eastAsia"/>
          <w:snapToGrid w:val="0"/>
          <w:sz w:val="24"/>
        </w:rPr>
        <w:t>Φ</w:t>
      </w:r>
      <w:r>
        <w:rPr>
          <w:rFonts w:ascii="宋体" w:hAnsi="宋体" w:hint="eastAsia"/>
          <w:snapToGrid w:val="0"/>
          <w:sz w:val="24"/>
        </w:rPr>
        <w:t>6.5 250*250钢筋网</w:t>
      </w:r>
      <w:r>
        <w:rPr>
          <w:rFonts w:hint="eastAsia"/>
          <w:color w:val="000000"/>
          <w:sz w:val="24"/>
        </w:rPr>
        <w:t>。</w:t>
      </w:r>
    </w:p>
    <w:p>
      <w:pPr>
        <w:spacing w:line="360" w:lineRule="auto"/>
        <w:ind w:firstLine="360" w:firstLineChars="150"/>
        <w:rPr>
          <w:rFonts w:hint="eastAsia"/>
          <w:snapToGrid w:val="0"/>
          <w:sz w:val="24"/>
        </w:rPr>
      </w:pPr>
      <w:r>
        <w:rPr>
          <w:rFonts w:hint="eastAsia"/>
          <w:snapToGrid w:val="0"/>
          <w:sz w:val="24"/>
        </w:rPr>
        <w:t>2、围护桩为回旋钻孔灌注桩，桩径为</w:t>
      </w:r>
      <w:r>
        <w:rPr>
          <w:rFonts w:ascii="宋体" w:hAnsi="宋体" w:hint="eastAsia"/>
          <w:snapToGrid w:val="0"/>
          <w:sz w:val="24"/>
        </w:rPr>
        <w:t>Φ</w:t>
      </w:r>
      <w:r>
        <w:rPr>
          <w:rFonts w:hint="eastAsia"/>
          <w:snapToGrid w:val="0"/>
          <w:sz w:val="24"/>
        </w:rPr>
        <w:t>600/</w:t>
      </w:r>
      <w:r>
        <w:rPr>
          <w:rFonts w:ascii="宋体" w:hAnsi="宋体" w:hint="eastAsia"/>
          <w:snapToGrid w:val="0"/>
          <w:sz w:val="24"/>
        </w:rPr>
        <w:t>Φ</w:t>
      </w:r>
      <w:r>
        <w:rPr>
          <w:rFonts w:hint="eastAsia"/>
          <w:snapToGrid w:val="0"/>
          <w:sz w:val="24"/>
        </w:rPr>
        <w:t>700/</w:t>
      </w:r>
      <w:r>
        <w:rPr>
          <w:rFonts w:ascii="宋体" w:hAnsi="宋体" w:hint="eastAsia"/>
          <w:snapToGrid w:val="0"/>
          <w:sz w:val="24"/>
        </w:rPr>
        <w:t>Φ</w:t>
      </w:r>
      <w:r>
        <w:rPr>
          <w:rFonts w:hint="eastAsia"/>
          <w:snapToGrid w:val="0"/>
          <w:sz w:val="24"/>
        </w:rPr>
        <w:t>800，桩身混凝土强度等级C25，钢筋笼采用焊接，主筋保护层厚度为35。桩位水平偏差不得大于50，垂直度偏差不得大于0.5%，充盈系数</w:t>
      </w:r>
      <w:r>
        <w:rPr>
          <w:rFonts w:hint="eastAsia"/>
          <w:snapToGrid w:val="0"/>
          <w:sz w:val="24"/>
        </w:rPr>
        <w:t>≥</w:t>
      </w:r>
      <w:r>
        <w:rPr>
          <w:rFonts w:hint="eastAsia"/>
          <w:snapToGrid w:val="0"/>
          <w:sz w:val="24"/>
        </w:rPr>
        <w:t>1.1，沉渣厚度</w:t>
      </w:r>
      <w:r>
        <w:rPr>
          <w:rFonts w:hint="eastAsia"/>
          <w:snapToGrid w:val="0"/>
          <w:sz w:val="24"/>
        </w:rPr>
        <w:t>≤</w:t>
      </w:r>
      <w:r>
        <w:rPr>
          <w:rFonts w:hint="eastAsia"/>
          <w:snapToGrid w:val="0"/>
          <w:sz w:val="24"/>
          <w:lang w:eastAsia="zh-CN"/>
        </w:rPr>
        <w:t>201</w:t>
      </w:r>
      <w:r>
        <w:rPr>
          <w:rFonts w:hint="eastAsia"/>
          <w:snapToGrid w:val="0"/>
          <w:sz w:val="24"/>
        </w:rPr>
        <w:t>，超灌长度1000，施工应严格按有关规范和规程进行，不允许出现桩身缩颈、裂缝、断裂等现象；桩顶应嵌入冠梁中50mm。</w:t>
      </w:r>
    </w:p>
    <w:p>
      <w:pPr>
        <w:spacing w:line="360" w:lineRule="auto"/>
        <w:ind w:firstLine="360" w:firstLineChars="150"/>
        <w:rPr>
          <w:rFonts w:hint="eastAsia"/>
          <w:snapToGrid w:val="0"/>
          <w:sz w:val="24"/>
        </w:rPr>
      </w:pPr>
      <w:r>
        <w:rPr>
          <w:rFonts w:hint="eastAsia"/>
          <w:snapToGrid w:val="0"/>
          <w:sz w:val="24"/>
        </w:rPr>
        <w:t>3、水泥搅拌桩桩径为 600，桩长为8.85米~10.85米，搅拌桩桩间搭接150；搅拌桩采用42.5普通硅酸盐新鲜水泥，水泥掺量暂定为15％（被加固土的重量按18kN/m3计），木质素磺酸钙掺量为水泥的0.2%，三乙醇胺为水泥的0.05%，浆液水灰比为0.45~0.55。围护桩施工完毕应做动测试验，数量为总桩数的20%。</w:t>
      </w:r>
    </w:p>
    <w:p>
      <w:pPr>
        <w:spacing w:line="360" w:lineRule="auto"/>
        <w:ind w:firstLine="360" w:firstLineChars="150"/>
        <w:rPr>
          <w:rFonts w:hint="eastAsia"/>
          <w:snapToGrid w:val="0"/>
          <w:sz w:val="24"/>
        </w:rPr>
      </w:pPr>
      <w:r>
        <w:rPr>
          <w:rFonts w:hint="eastAsia"/>
          <w:snapToGrid w:val="0"/>
          <w:sz w:val="24"/>
        </w:rPr>
        <w:t>4、立柱桩施工工艺同工程桩，基坑内共新打29根</w:t>
      </w:r>
      <w:r>
        <w:rPr>
          <w:rFonts w:ascii="宋体" w:hAnsi="宋体" w:hint="eastAsia"/>
          <w:snapToGrid w:val="0"/>
          <w:sz w:val="24"/>
        </w:rPr>
        <w:t>Φ</w:t>
      </w:r>
      <w:r>
        <w:rPr>
          <w:rFonts w:hint="eastAsia"/>
          <w:snapToGrid w:val="0"/>
          <w:sz w:val="24"/>
        </w:rPr>
        <w:t>700钻孔灌注桩(另外利用5根工程桩做立柱桩)，立柱桩沉渣厚度</w:t>
      </w:r>
      <w:r>
        <w:rPr>
          <w:rFonts w:hint="eastAsia"/>
          <w:snapToGrid w:val="0"/>
          <w:sz w:val="24"/>
        </w:rPr>
        <w:t>≤</w:t>
      </w:r>
      <w:r>
        <w:rPr>
          <w:rFonts w:hint="eastAsia"/>
          <w:snapToGrid w:val="0"/>
          <w:sz w:val="24"/>
        </w:rPr>
        <w:t>100，其余质量要求同工程桩，详见</w:t>
      </w:r>
      <w:r>
        <w:rPr>
          <w:rFonts w:hint="eastAsia"/>
          <w:snapToGrid w:val="0"/>
          <w:sz w:val="24"/>
        </w:rPr>
        <w:t>“</w:t>
      </w:r>
      <w:r>
        <w:rPr>
          <w:rFonts w:hint="eastAsia"/>
          <w:snapToGrid w:val="0"/>
          <w:sz w:val="24"/>
        </w:rPr>
        <w:t>围施-09</w:t>
      </w:r>
      <w:r>
        <w:rPr>
          <w:rFonts w:hint="eastAsia"/>
          <w:snapToGrid w:val="0"/>
          <w:sz w:val="24"/>
        </w:rPr>
        <w:t>”</w:t>
      </w:r>
      <w:r>
        <w:rPr>
          <w:rFonts w:hint="eastAsia"/>
          <w:snapToGrid w:val="0"/>
          <w:sz w:val="24"/>
        </w:rPr>
        <w:t>。</w:t>
      </w:r>
    </w:p>
    <w:p>
      <w:pPr>
        <w:tabs>
          <w:tab w:val="left" w:pos="900"/>
        </w:tabs>
        <w:spacing w:line="360" w:lineRule="auto"/>
        <w:ind w:firstLine="360" w:firstLineChars="150"/>
        <w:rPr>
          <w:rFonts w:hint="eastAsia"/>
          <w:color w:val="000000"/>
          <w:sz w:val="24"/>
        </w:rPr>
      </w:pPr>
      <w:r>
        <w:rPr>
          <w:rFonts w:hint="eastAsia"/>
          <w:color w:val="000000"/>
          <w:sz w:val="24"/>
        </w:rPr>
        <w:t>5、水平支撑梁及冠梁均为混凝土结构，标号为C30。待基础和换撑构件达到80%设计强度后，拆除支撑，支撑应采用人工凿除，先凿除联系梁，后凿除主撑，凿除支撑时应对称进行。</w:t>
      </w:r>
    </w:p>
    <w:p>
      <w:pPr>
        <w:snapToGrid w:val="0"/>
        <w:spacing w:line="360" w:lineRule="auto"/>
        <w:ind w:firstLine="360" w:firstLineChars="150"/>
        <w:rPr>
          <w:rFonts w:hint="eastAsia"/>
          <w:snapToGrid w:val="0"/>
          <w:sz w:val="24"/>
        </w:rPr>
      </w:pPr>
      <w:r>
        <w:rPr>
          <w:rFonts w:hint="eastAsia"/>
          <w:color w:val="000000"/>
          <w:sz w:val="24"/>
        </w:rPr>
        <w:t>6、</w:t>
      </w:r>
      <w:r>
        <w:rPr>
          <w:rFonts w:hint="eastAsia"/>
          <w:snapToGrid w:val="0"/>
          <w:sz w:val="24"/>
        </w:rPr>
        <w:t xml:space="preserve"> 本工程周边均无已建建筑，北侧为城市道路，有重型车辆通过。但距离基坑为15米，对基坑影响较小。</w:t>
      </w:r>
    </w:p>
    <w:p>
      <w:pPr>
        <w:snapToGrid w:val="0"/>
        <w:spacing w:line="360" w:lineRule="auto"/>
        <w:ind w:firstLine="360" w:firstLineChars="150"/>
        <w:rPr>
          <w:rFonts w:hint="eastAsia"/>
          <w:snapToGrid w:val="0"/>
          <w:sz w:val="24"/>
        </w:rPr>
      </w:pPr>
      <w:r>
        <w:rPr>
          <w:rFonts w:hint="eastAsia"/>
          <w:snapToGrid w:val="0"/>
          <w:sz w:val="24"/>
        </w:rPr>
        <w:t>7、坑中坑主要采用水泥搅拌桩支护，靠近教学楼处汽车坡道开挖采用钢板桩等进行支护，保证基坑施工安全。</w:t>
      </w:r>
    </w:p>
    <w:p>
      <w:pPr>
        <w:pStyle w:val="222XW"/>
        <w:ind w:firstLine="706" w:firstLineChars="294"/>
        <w:rPr>
          <w:rFonts w:hint="eastAsia"/>
        </w:rPr>
      </w:pPr>
      <w:bookmarkStart w:id="13" w:name="_Toc306698528"/>
      <w:r>
        <w:rPr>
          <w:rFonts w:hint="eastAsia"/>
        </w:rPr>
        <w:t>第二节 降排水措施</w:t>
      </w:r>
      <w:bookmarkEnd w:id="13"/>
    </w:p>
    <w:p>
      <w:pPr>
        <w:spacing w:line="360" w:lineRule="auto"/>
        <w:rPr>
          <w:rFonts w:hint="eastAsia"/>
          <w:color w:val="000000"/>
          <w:sz w:val="24"/>
        </w:rPr>
      </w:pPr>
      <w:r>
        <w:rPr>
          <w:rFonts w:hint="eastAsia"/>
          <w:color w:val="000000"/>
          <w:sz w:val="24"/>
        </w:rPr>
        <w:t xml:space="preserve">   1、基坑顶部设置贯通的300x400（H）地面排水沟截流，将地面雨水、施工废水集中并经沉淀后排入城市下水管网。</w:t>
      </w:r>
    </w:p>
    <w:p>
      <w:pPr>
        <w:spacing w:line="360" w:lineRule="auto"/>
        <w:rPr>
          <w:rFonts w:hint="eastAsia"/>
          <w:color w:val="000000"/>
          <w:sz w:val="24"/>
        </w:rPr>
        <w:sectPr>
          <w:footerReference w:type="even" r:id="rId14"/>
          <w:type w:val="nextPage"/>
          <w:pgSz w:w="11906" w:h="16838"/>
          <w:pgMar w:top="1440" w:right="1800" w:bottom="1440" w:left="1800" w:header="851" w:footer="992" w:gutter="0"/>
          <w:pgNumType w:start="11"/>
          <w:cols w:space="708"/>
          <w:titlePg w:val="0"/>
          <w:docGrid w:type="lines" w:linePitch="312"/>
        </w:sectPr>
      </w:pPr>
      <w:r>
        <w:rPr>
          <w:rFonts w:hint="eastAsia"/>
          <w:color w:val="000000"/>
          <w:sz w:val="24"/>
        </w:rPr>
        <w:t xml:space="preserve">  </w:t>
      </w:r>
    </w:p>
    <w:p>
      <w:pPr>
        <w:spacing w:line="360" w:lineRule="auto"/>
        <w:rPr>
          <w:rFonts w:hint="eastAsia"/>
          <w:color w:val="000000"/>
          <w:sz w:val="24"/>
        </w:rPr>
      </w:pPr>
      <w:r>
        <w:rPr>
          <w:rFonts w:hint="eastAsia"/>
          <w:color w:val="000000"/>
          <w:sz w:val="24"/>
        </w:rPr>
        <w:t xml:space="preserve"> 2、坑内挖土时可采用临时明沟、集水坑方式排水，临时的排水沟和集水坑在坑内距离围护结构坡脚不得小于4m。基坑开挖至坑底后，土建施工单位可据现场实际情况在坑底做砖砌排水沟和集水井，排水沟的设置不得影响垫层对围护结构的支挡作用。</w:t>
      </w:r>
    </w:p>
    <w:p>
      <w:pPr>
        <w:pStyle w:val="222XW"/>
        <w:ind w:firstLine="706" w:firstLineChars="294"/>
        <w:rPr>
          <w:rFonts w:hint="eastAsia"/>
        </w:rPr>
      </w:pPr>
      <w:bookmarkStart w:id="14" w:name="_Toc306698529"/>
      <w:r>
        <w:rPr>
          <w:rFonts w:hint="eastAsia"/>
        </w:rPr>
        <w:t>第三节  基坑监测</w:t>
      </w:r>
      <w:bookmarkEnd w:id="14"/>
    </w:p>
    <w:p>
      <w:pPr>
        <w:spacing w:line="360" w:lineRule="auto"/>
        <w:ind w:firstLine="360" w:firstLineChars="150"/>
        <w:rPr>
          <w:rFonts w:hint="eastAsia"/>
          <w:snapToGrid w:val="0"/>
          <w:sz w:val="24"/>
        </w:rPr>
      </w:pPr>
      <w:r>
        <w:rPr>
          <w:rFonts w:hint="eastAsia"/>
          <w:snapToGrid w:val="0"/>
          <w:sz w:val="24"/>
        </w:rPr>
        <w:t>一、根据本基坑工程的实际情况，基坑监测项目主要为周围环境监测：</w:t>
      </w:r>
    </w:p>
    <w:p>
      <w:pPr>
        <w:spacing w:line="360" w:lineRule="auto"/>
        <w:ind w:firstLine="360" w:firstLineChars="150"/>
        <w:rPr>
          <w:rFonts w:hint="eastAsia"/>
          <w:snapToGrid w:val="0"/>
          <w:sz w:val="24"/>
        </w:rPr>
      </w:pPr>
      <w:r>
        <w:rPr>
          <w:rFonts w:hint="eastAsia"/>
          <w:snapToGrid w:val="0"/>
          <w:sz w:val="24"/>
        </w:rPr>
        <w:t>(1)测斜孔：现场共设11只，CX2孔深均为18m,CX5孔深均为24m,其余孔深均为17m。，以观测开挖过程中土体深层位移的变化情况；</w:t>
      </w:r>
    </w:p>
    <w:p>
      <w:pPr>
        <w:spacing w:line="360" w:lineRule="auto"/>
        <w:ind w:firstLine="360" w:firstLineChars="150"/>
        <w:rPr>
          <w:rFonts w:hint="eastAsia"/>
          <w:snapToGrid w:val="0"/>
          <w:sz w:val="24"/>
        </w:rPr>
      </w:pPr>
      <w:r>
        <w:rPr>
          <w:rFonts w:hint="eastAsia"/>
          <w:snapToGrid w:val="0"/>
          <w:sz w:val="24"/>
        </w:rPr>
        <w:t xml:space="preserve">(2)地下水位监测点：共设3点，埋深均为9m，以监测水位的变化情况； </w:t>
      </w:r>
    </w:p>
    <w:p>
      <w:pPr>
        <w:spacing w:line="360" w:lineRule="auto"/>
        <w:ind w:firstLine="360" w:firstLineChars="150"/>
        <w:rPr>
          <w:rFonts w:hint="eastAsia"/>
          <w:snapToGrid w:val="0"/>
          <w:sz w:val="24"/>
        </w:rPr>
      </w:pPr>
      <w:r>
        <w:rPr>
          <w:rFonts w:hint="eastAsia"/>
          <w:snapToGrid w:val="0"/>
          <w:sz w:val="24"/>
        </w:rPr>
        <w:t>(3)水平及沉降观测点：坡顶、周边路面坡顶、周边路面每隔20m左右设置,具体视现场情况而定。以观测地面及管线的沉降位移情况。</w:t>
      </w:r>
    </w:p>
    <w:p>
      <w:pPr>
        <w:snapToGrid w:val="0"/>
        <w:spacing w:line="360" w:lineRule="auto"/>
        <w:ind w:firstLine="420" w:firstLineChars="200"/>
        <w:rPr>
          <w:rFonts w:hint="eastAsia"/>
          <w:snapToGrid w:val="0"/>
          <w:sz w:val="24"/>
        </w:rPr>
      </w:pPr>
      <w:bookmarkStart w:id="15" w:name="_Toc146377337"/>
      <w:bookmarkStart w:id="16" w:name="_Toc298225614"/>
      <w:r>
        <w:rPr>
          <w:rFonts w:hint="eastAsia"/>
        </w:rPr>
        <w:t>二、</w:t>
      </w:r>
      <w:bookmarkEnd w:id="15"/>
      <w:bookmarkEnd w:id="16"/>
      <w:r>
        <w:rPr>
          <w:rFonts w:hint="eastAsia"/>
          <w:snapToGrid w:val="0"/>
          <w:sz w:val="24"/>
        </w:rPr>
        <w:t>预警指标：测斜孔累计位移超过45mm，或日位移速率连续三天超过3mm；或日位移量超过5mm；坑外地面沉降：日位移达5mm，累计达50mm；立柱竖向位移：日位移达5mm，累计达40mm；墙顶水平位移：日位移达5mm，累计达35mm；地下室水位：日变化500mm，累计变化达1000mm；当监测项目的变化速率连续3天超过报警值的70%%%，应报警。</w:t>
      </w:r>
    </w:p>
    <w:p>
      <w:pPr>
        <w:snapToGrid w:val="0"/>
        <w:spacing w:line="360" w:lineRule="auto"/>
        <w:ind w:firstLine="480" w:firstLineChars="200"/>
        <w:rPr>
          <w:rFonts w:hint="eastAsia"/>
          <w:snapToGrid w:val="0"/>
          <w:sz w:val="24"/>
        </w:rPr>
      </w:pPr>
      <w:r>
        <w:rPr>
          <w:rFonts w:hint="eastAsia"/>
          <w:snapToGrid w:val="0"/>
          <w:sz w:val="24"/>
        </w:rPr>
        <w:t>轴力监测报警值：ZL1报警值为3150kN，ZL2报警值为1850kN，ZL3报警值为4500kN，ZL4报警值为1000kN(拉力)，ZL5报警值为2600kN，ZL6报警值为1550kN,ZL6报警值为2150kN。</w:t>
      </w:r>
    </w:p>
    <w:p>
      <w:pPr>
        <w:snapToGrid w:val="0"/>
        <w:spacing w:line="360" w:lineRule="auto"/>
        <w:ind w:firstLine="480" w:firstLineChars="200"/>
        <w:rPr>
          <w:rFonts w:hint="eastAsia"/>
          <w:sz w:val="24"/>
        </w:rPr>
      </w:pP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pPr>
      <w:r>
        <w:rPr>
          <w:rFonts w:hint="eastAsia"/>
          <w:snapToGrid w:val="0"/>
          <w:sz w:val="24"/>
        </w:rPr>
        <w:t xml:space="preserve"> </w:t>
      </w: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pPr>
    </w:p>
    <w:p>
      <w:pPr>
        <w:spacing w:line="360" w:lineRule="auto"/>
        <w:rPr>
          <w:rFonts w:hint="eastAsia"/>
          <w:snapToGrid w:val="0"/>
          <w:sz w:val="24"/>
        </w:rPr>
        <w:sectPr>
          <w:footerReference w:type="even" r:id="rId15"/>
          <w:type w:val="nextPage"/>
          <w:pgSz w:w="11906" w:h="16838"/>
          <w:pgMar w:top="1440" w:right="1800" w:bottom="1440" w:left="1800" w:header="851" w:footer="992" w:gutter="0"/>
          <w:pgNumType w:start="12"/>
          <w:cols w:space="708"/>
          <w:titlePg w:val="0"/>
          <w:docGrid w:type="lines" w:linePitch="312"/>
        </w:sectPr>
      </w:pPr>
    </w:p>
    <w:p>
      <w:pPr>
        <w:pStyle w:val="Heading2"/>
        <w:jc w:val="center"/>
        <w:rPr>
          <w:rFonts w:ascii="黑体" w:hint="eastAsia"/>
          <w:color w:val="000000"/>
          <w:sz w:val="28"/>
          <w:szCs w:val="28"/>
        </w:rPr>
      </w:pPr>
      <w:bookmarkStart w:id="17" w:name="_Toc306698530"/>
      <w:r>
        <w:rPr>
          <w:rFonts w:ascii="黑体" w:hint="eastAsia"/>
          <w:color w:val="000000"/>
          <w:sz w:val="28"/>
          <w:szCs w:val="28"/>
        </w:rPr>
        <w:t>第五章  施工部署</w:t>
      </w:r>
      <w:bookmarkEnd w:id="17"/>
    </w:p>
    <w:p>
      <w:pPr>
        <w:pStyle w:val="222XW"/>
        <w:ind w:firstLine="706" w:firstLineChars="294"/>
        <w:rPr>
          <w:rFonts w:hint="eastAsia"/>
        </w:rPr>
      </w:pPr>
      <w:bookmarkStart w:id="18" w:name="_Toc306698531"/>
      <w:r>
        <w:rPr>
          <w:rFonts w:hint="eastAsia"/>
        </w:rPr>
        <w:t>第一节 管理目标及管理机构</w:t>
      </w:r>
      <w:bookmarkEnd w:id="18"/>
    </w:p>
    <w:p>
      <w:pPr>
        <w:spacing w:line="360" w:lineRule="auto"/>
        <w:rPr>
          <w:rFonts w:hint="eastAsia"/>
          <w:color w:val="000000"/>
          <w:sz w:val="24"/>
        </w:rPr>
      </w:pPr>
      <w:r>
        <w:rPr>
          <w:rFonts w:hint="eastAsia"/>
          <w:color w:val="000000"/>
          <w:sz w:val="24"/>
        </w:rPr>
        <w:t xml:space="preserve">     我公司通过ISO9001质量体系认证，在实施过程中，将严格贯彻体系的要求，加强质量管理，同时严格按照网络工期目标加快施工进度，确保施工安全、工程质量、工期，文明施工要求。</w:t>
      </w:r>
    </w:p>
    <w:p>
      <w:pPr>
        <w:spacing w:line="360" w:lineRule="auto"/>
        <w:ind w:firstLine="600" w:firstLineChars="250"/>
        <w:rPr>
          <w:rFonts w:hint="eastAsia"/>
          <w:color w:val="000000"/>
          <w:sz w:val="24"/>
        </w:rPr>
      </w:pPr>
      <w:r>
        <w:rPr>
          <w:rFonts w:hint="eastAsia"/>
          <w:color w:val="000000"/>
          <w:sz w:val="24"/>
        </w:rPr>
        <w:t>一、总体管理目标如下：</w:t>
      </w:r>
    </w:p>
    <w:p>
      <w:pPr>
        <w:spacing w:line="360" w:lineRule="auto"/>
        <w:rPr>
          <w:rFonts w:hint="eastAsia"/>
          <w:color w:val="000000"/>
          <w:sz w:val="24"/>
        </w:rPr>
      </w:pPr>
      <w:r>
        <w:rPr>
          <w:rFonts w:hint="eastAsia"/>
          <w:color w:val="000000"/>
          <w:sz w:val="24"/>
        </w:rPr>
        <w:t xml:space="preserve">     </w:t>
      </w:r>
      <w:r>
        <w:rPr>
          <w:rFonts w:hint="eastAsia"/>
          <w:b/>
          <w:color w:val="000000"/>
          <w:sz w:val="24"/>
        </w:rPr>
        <w:t>质量目标</w:t>
      </w:r>
      <w:r>
        <w:rPr>
          <w:rFonts w:hint="eastAsia"/>
          <w:color w:val="000000"/>
          <w:sz w:val="24"/>
        </w:rPr>
        <w:t>：符合国家验收规范的合格标准及本工程设计要求。</w:t>
      </w:r>
    </w:p>
    <w:p>
      <w:pPr>
        <w:spacing w:line="360" w:lineRule="auto"/>
        <w:rPr>
          <w:rFonts w:hint="eastAsia"/>
          <w:color w:val="000000"/>
          <w:sz w:val="24"/>
        </w:rPr>
      </w:pPr>
      <w:r>
        <w:rPr>
          <w:rFonts w:hint="eastAsia"/>
          <w:color w:val="000000"/>
          <w:sz w:val="24"/>
        </w:rPr>
        <w:t xml:space="preserve">     </w:t>
      </w:r>
      <w:r>
        <w:rPr>
          <w:rFonts w:hint="eastAsia"/>
          <w:b/>
          <w:color w:val="000000"/>
          <w:sz w:val="24"/>
        </w:rPr>
        <w:t>工期目标</w:t>
      </w:r>
      <w:r>
        <w:rPr>
          <w:rFonts w:hint="eastAsia"/>
          <w:color w:val="000000"/>
          <w:sz w:val="24"/>
        </w:rPr>
        <w:t>：土方开挖在45天完成，其中围护桩在桩基阶段完成。</w:t>
      </w:r>
    </w:p>
    <w:p>
      <w:pPr>
        <w:spacing w:line="360" w:lineRule="auto"/>
        <w:rPr>
          <w:rFonts w:hint="eastAsia"/>
          <w:color w:val="000000"/>
          <w:sz w:val="24"/>
        </w:rPr>
      </w:pPr>
      <w:r>
        <w:rPr>
          <w:rFonts w:hint="eastAsia"/>
          <w:color w:val="000000"/>
          <w:sz w:val="24"/>
        </w:rPr>
        <w:t xml:space="preserve">     </w:t>
      </w:r>
      <w:r>
        <w:rPr>
          <w:rFonts w:hint="eastAsia"/>
          <w:b/>
          <w:color w:val="000000"/>
          <w:sz w:val="24"/>
        </w:rPr>
        <w:t>安全生产及文明施工目标</w:t>
      </w:r>
      <w:r>
        <w:rPr>
          <w:rFonts w:hint="eastAsia"/>
          <w:color w:val="000000"/>
          <w:sz w:val="24"/>
        </w:rPr>
        <w:t xml:space="preserve">：创双标化样板工地， </w:t>
      </w:r>
    </w:p>
    <w:p>
      <w:pPr>
        <w:spacing w:line="360" w:lineRule="auto"/>
        <w:rPr>
          <w:rFonts w:hint="eastAsia"/>
          <w:color w:val="000000"/>
          <w:sz w:val="24"/>
        </w:rPr>
      </w:pPr>
      <w:r>
        <w:rPr>
          <w:rFonts w:hint="eastAsia"/>
          <w:color w:val="000000"/>
          <w:sz w:val="24"/>
        </w:rPr>
        <w:t xml:space="preserve">     二、施工管理机构</w:t>
      </w:r>
    </w:p>
    <w:p>
      <w:pPr>
        <w:spacing w:line="360" w:lineRule="auto"/>
        <w:ind w:firstLine="600" w:firstLineChars="250"/>
        <w:rPr>
          <w:rFonts w:hint="eastAsia"/>
          <w:color w:val="000000"/>
          <w:sz w:val="24"/>
        </w:rPr>
      </w:pPr>
      <w:r>
        <w:rPr>
          <w:rFonts w:hint="eastAsia"/>
          <w:color w:val="000000"/>
          <w:sz w:val="24"/>
        </w:rPr>
        <w:t>本工程将选派我公司得力的人员组成项目管理班子，本工程将建立以项目经理为第一责任人的项目部，另外选派有资质的管理人员组成项目管理体系。具体详见人员机构组织表。其中管理组织图如下：</w:t>
      </w:r>
    </w:p>
    <w:p>
      <w:pPr>
        <w:spacing w:line="360" w:lineRule="auto"/>
        <w:ind w:firstLine="2520" w:firstLineChars="1050"/>
        <w:rPr>
          <w:rFonts w:hint="eastAsia"/>
          <w:b/>
          <w:color w:val="000000"/>
          <w:sz w:val="24"/>
        </w:rPr>
      </w:pPr>
      <w:r>
        <w:rPr>
          <w:rFonts w:hint="eastAsia"/>
          <w:color w:val="000000"/>
          <w:sz w:val="24"/>
        </w:rPr>
        <w:t xml:space="preserve">  </w:t>
      </w:r>
      <w:r>
        <w:rPr>
          <w:rFonts w:hint="eastAsia"/>
          <w:b/>
          <w:color w:val="000000"/>
          <w:sz w:val="24"/>
        </w:rPr>
        <w:t xml:space="preserve"> 项目管理和组织结构图</w:t>
      </w:r>
    </w:p>
    <w:p>
      <w:pPr>
        <w:rPr>
          <w:rFonts w:ascii="宋体" w:hAnsi="宋体" w:cs="宋体"/>
          <w:kern w:val="0"/>
          <w:sz w:val="24"/>
        </w:rPr>
        <w:sectPr>
          <w:footerReference w:type="even" r:id="rId16"/>
          <w:type w:val="nextPage"/>
          <w:pgSz w:w="11906" w:h="16838"/>
          <w:pgMar w:top="1440" w:right="1800" w:bottom="1440" w:left="1800" w:header="851" w:footer="992" w:gutter="0"/>
          <w:pgNumType w:start="13"/>
          <w:cols w:space="708"/>
          <w:titlePg w:val="0"/>
          <w:docGrid w:type="lines" w:linePitch="312"/>
        </w:sectPr>
      </w:pPr>
      <w:r>
        <w:rPr>
          <w:rFonts w:hint="eastAsia"/>
          <w:color w:val="000000"/>
          <w:sz w:val="24"/>
        </w:rPr>
        <w:t xml:space="preserve">     </w:t>
      </w: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43.25pt;height:318pt;mso-position-horizontal-relative:page;mso-position-vertical-relative:page;mso-wrap-style:square" filled="f" stroked="f">
            <v:stroke linestyle="single"/>
            <v:imagedata r:id="rId17" r:href="rId18" o:title="OIB96]$M41XX1(ZOA@AAJU6"/>
            <v:path o:extrusionok="f"/>
            <o:lock v:ext="edit" aspectratio="t"/>
          </v:shape>
        </w:pict>
      </w:r>
    </w:p>
    <w:p>
      <w:pPr>
        <w:tabs>
          <w:tab w:val="left" w:pos="900"/>
        </w:tabs>
        <w:spacing w:line="360" w:lineRule="auto"/>
        <w:rPr>
          <w:rFonts w:hint="eastAsia"/>
          <w:color w:val="000000"/>
          <w:sz w:val="24"/>
        </w:rPr>
      </w:pPr>
      <w:r>
        <w:rPr>
          <w:rFonts w:hint="eastAsia"/>
          <w:color w:val="000000"/>
          <w:sz w:val="24"/>
        </w:rPr>
        <w:t xml:space="preserve">  以上具体人员见投标书。</w:t>
      </w:r>
    </w:p>
    <w:p>
      <w:pPr>
        <w:pStyle w:val="222XW"/>
        <w:ind w:firstLine="706" w:firstLineChars="294"/>
        <w:rPr>
          <w:rFonts w:hint="eastAsia"/>
        </w:rPr>
      </w:pPr>
      <w:bookmarkStart w:id="19" w:name="_Toc306698532"/>
      <w:r>
        <w:rPr>
          <w:rFonts w:hint="eastAsia"/>
        </w:rPr>
        <w:t>第二节  进度安排：</w:t>
      </w:r>
      <w:bookmarkEnd w:id="19"/>
    </w:p>
    <w:p>
      <w:pPr>
        <w:spacing w:line="360" w:lineRule="auto"/>
        <w:rPr>
          <w:rFonts w:hint="eastAsia"/>
          <w:color w:val="000000"/>
          <w:sz w:val="24"/>
        </w:rPr>
      </w:pPr>
      <w:r>
        <w:rPr>
          <w:rFonts w:hint="eastAsia"/>
          <w:color w:val="000000"/>
          <w:sz w:val="24"/>
        </w:rPr>
        <w:t xml:space="preserve">     深基坑施工的进度安排充分考虑了总工期的要求，并按照流水工程施工的原则进行合理安排。需要说明的是总体施工安排本着先深后浅的原则。先施工地下室，然后在开始教学楼地面结构施工。</w:t>
      </w:r>
    </w:p>
    <w:p>
      <w:pPr>
        <w:spacing w:line="360" w:lineRule="auto"/>
        <w:ind w:firstLine="600" w:firstLineChars="250"/>
        <w:rPr>
          <w:rFonts w:hint="eastAsia"/>
          <w:color w:val="000000"/>
          <w:sz w:val="24"/>
        </w:rPr>
      </w:pPr>
      <w:r>
        <w:rPr>
          <w:rFonts w:hint="eastAsia"/>
          <w:color w:val="000000"/>
          <w:sz w:val="24"/>
        </w:rPr>
        <w:t>本工程分为两个区，以地下室J轴后浇带为界。1区分为两端，以10轴后浇带为界。由东向西划分为1、2两个施工段，由东向西开挖，先挖第一施工段，后挖第二施工段。在竖向上，分为三层。-1.1~-2.6米、-2.6--.5.4米、-5.4米以下。详见施工方案。进度计划如下：</w:t>
      </w:r>
    </w:p>
    <w:p>
      <w:pPr>
        <w:spacing w:line="360" w:lineRule="auto"/>
        <w:rPr>
          <w:rFonts w:hint="eastAsia"/>
          <w:color w:val="000000"/>
          <w:sz w:val="24"/>
        </w:rPr>
      </w:pPr>
      <w:r>
        <w:rPr>
          <w:rFonts w:ascii="宋体" w:hAnsi="宋体" w:cs="宋体"/>
          <w:kern w:val="0"/>
          <w:sz w:val="24"/>
        </w:rPr>
        <w:pict>
          <v:shape id="图片 2" o:spid="_x0000_i1026" type="#_x0000_t75" style="width:413.62pt;height:382.5pt;mso-position-horizontal-relative:page;mso-position-vertical-relative:page;mso-wrap-style:square" filled="f" stroked="f">
            <v:stroke linestyle="single"/>
            <v:imagedata r:id="rId19" r:href="rId20" o:title="{{CZD44)GF`ZA$NPYOSOF~G"/>
            <v:path o:extrusionok="f"/>
            <o:lock v:ext="edit" aspectratio="t"/>
          </v:shape>
        </w:pict>
      </w:r>
    </w:p>
    <w:p>
      <w:pPr>
        <w:spacing w:line="360" w:lineRule="auto"/>
        <w:ind w:firstLine="480"/>
        <w:rPr>
          <w:rFonts w:hint="eastAsia"/>
          <w:color w:val="000000"/>
          <w:sz w:val="24"/>
        </w:rPr>
      </w:pPr>
      <w:r>
        <w:rPr>
          <w:rFonts w:hint="eastAsia"/>
          <w:color w:val="000000"/>
          <w:sz w:val="24"/>
        </w:rPr>
        <w:t>注：土方开挖施工为期45天，围护桩施工在桩基施工阶段完成。</w:t>
      </w:r>
    </w:p>
    <w:p>
      <w:pPr>
        <w:spacing w:line="360" w:lineRule="auto"/>
        <w:ind w:firstLine="480"/>
        <w:rPr>
          <w:rFonts w:hint="eastAsia"/>
          <w:color w:val="000000"/>
          <w:sz w:val="24"/>
        </w:rPr>
        <w:sectPr>
          <w:footerReference w:type="even" r:id="rId21"/>
          <w:type w:val="nextPage"/>
          <w:pgSz w:w="11906" w:h="16838"/>
          <w:pgMar w:top="1440" w:right="1800" w:bottom="1440" w:left="1800" w:header="851" w:footer="992" w:gutter="0"/>
          <w:pgNumType w:start="14"/>
          <w:cols w:space="708"/>
          <w:titlePg w:val="0"/>
          <w:docGrid w:type="lines" w:linePitch="312"/>
        </w:sectPr>
      </w:pPr>
      <w:r>
        <w:rPr>
          <w:rFonts w:hint="eastAsia"/>
          <w:color w:val="000000"/>
          <w:sz w:val="24"/>
        </w:rPr>
        <w:t>本工程基坑围护桩施工阶段为一个月，这个阶段与桩基施工搭接进行，支撑梁拆除与地下室施工搭接进行。搭接过程中，采取有效措施，避免相互影响。土方开挖阶段为45天，基础施工在施工一段开挖完成即进入施工。</w:t>
      </w:r>
    </w:p>
    <w:p>
      <w:pPr>
        <w:spacing w:line="360" w:lineRule="auto"/>
        <w:ind w:firstLine="600" w:firstLineChars="250"/>
        <w:rPr>
          <w:rFonts w:hint="eastAsia"/>
          <w:color w:val="000000"/>
          <w:sz w:val="24"/>
        </w:rPr>
      </w:pPr>
      <w:r>
        <w:rPr>
          <w:rFonts w:hint="eastAsia"/>
          <w:color w:val="000000"/>
          <w:sz w:val="24"/>
        </w:rPr>
        <w:t>本工程挖土量约4万立方米，本工程分两个班组施工，以地下室J轴后浇带为界。其产量为2.5万立方米和1.5万立方米。根据现场情况，本工程配备2台挖掘机，1台小型挖掘机，15自卸汽车。</w:t>
      </w:r>
    </w:p>
    <w:p>
      <w:pPr>
        <w:spacing w:line="360" w:lineRule="auto"/>
        <w:ind w:firstLine="600" w:firstLineChars="250"/>
        <w:rPr>
          <w:rFonts w:hint="eastAsia"/>
          <w:color w:val="000000"/>
          <w:sz w:val="24"/>
        </w:rPr>
      </w:pPr>
      <w:r>
        <w:rPr>
          <w:rFonts w:ascii="宋体" w:hAnsi="宋体" w:cs="宋体" w:hint="eastAsia"/>
          <w:color w:val="000000"/>
          <w:kern w:val="0"/>
          <w:sz w:val="24"/>
        </w:rPr>
        <w:t>一区总方量25000立方米，每台挖土机每小时装5车，每天按照12小时工作时间计算，每车10方，每天出土约12*5*10=600立方，考虑其它不利因素，每天按照600立方的出土量计算，共需要工期25000/600=42天，考虑其他影响因素地下室土方安排工期45天。</w:t>
      </w:r>
      <w:r>
        <w:rPr>
          <w:rFonts w:hint="eastAsia"/>
          <w:color w:val="000000"/>
          <w:sz w:val="24"/>
        </w:rPr>
        <w:t>，完全能够满足要求。</w:t>
      </w:r>
    </w:p>
    <w:p>
      <w:pPr>
        <w:pStyle w:val="222XW"/>
        <w:ind w:firstLine="706" w:firstLineChars="294"/>
        <w:rPr>
          <w:rFonts w:hint="eastAsia"/>
        </w:rPr>
      </w:pPr>
      <w:bookmarkStart w:id="20" w:name="_Toc306698533"/>
      <w:r>
        <w:rPr>
          <w:rFonts w:hint="eastAsia"/>
        </w:rPr>
        <w:t>第三节  施工准备</w:t>
      </w:r>
      <w:bookmarkEnd w:id="20"/>
    </w:p>
    <w:p>
      <w:pPr>
        <w:widowControl/>
        <w:shd w:val="clear" w:color="auto" w:fill="FFFFFF"/>
        <w:spacing w:line="520" w:lineRule="exact"/>
        <w:ind w:firstLine="480" w:firstLineChars="200"/>
        <w:jc w:val="left"/>
        <w:rPr>
          <w:rFonts w:hint="eastAsia"/>
          <w:color w:val="000000"/>
          <w:sz w:val="24"/>
        </w:rPr>
      </w:pPr>
      <w:r>
        <w:rPr>
          <w:rFonts w:hint="eastAsia"/>
          <w:color w:val="000000"/>
          <w:sz w:val="24"/>
        </w:rPr>
        <w:t>本工程施工前，将召开施工人员的安全技术交底会议，强调施工质量的重要性，并做好技术交底。各种人机料均准备到位，施工测量工作做好，洒好灰线，在进行施工。</w:t>
      </w:r>
    </w:p>
    <w:p>
      <w:pPr>
        <w:numPr>
          <w:ilvl w:val="0"/>
          <w:numId w:val="4"/>
        </w:numPr>
        <w:tabs>
          <w:tab w:val="left" w:pos="1181"/>
        </w:tabs>
        <w:spacing w:line="360" w:lineRule="auto"/>
        <w:rPr>
          <w:rFonts w:hint="eastAsia"/>
          <w:b/>
          <w:color w:val="000000"/>
          <w:sz w:val="24"/>
        </w:rPr>
      </w:pPr>
      <w:r>
        <w:rPr>
          <w:rFonts w:hint="eastAsia"/>
          <w:b/>
          <w:color w:val="000000"/>
          <w:sz w:val="24"/>
        </w:rPr>
        <w:t>劳动力计划情况</w:t>
      </w:r>
    </w:p>
    <w:p>
      <w:pPr>
        <w:widowControl/>
        <w:shd w:val="clear" w:color="auto" w:fill="FFFFFF"/>
        <w:spacing w:line="520" w:lineRule="exact"/>
        <w:ind w:firstLine="480" w:firstLineChars="200"/>
        <w:jc w:val="left"/>
        <w:rPr>
          <w:rFonts w:hint="eastAsia"/>
          <w:color w:val="000000"/>
          <w:sz w:val="24"/>
        </w:rPr>
      </w:pPr>
      <w:r>
        <w:rPr>
          <w:rFonts w:hint="eastAsia"/>
          <w:color w:val="000000"/>
          <w:sz w:val="24"/>
        </w:rPr>
        <w:t>施工劳动力是工程施工的直接操作者，也是工程质量、进度、安全和文明施工的直接保证者。因此，劳动力配备是整个工程实施的又一大关键因素。</w:t>
      </w:r>
    </w:p>
    <w:p>
      <w:pPr>
        <w:widowControl/>
        <w:shd w:val="clear" w:color="auto" w:fill="FFFFFF"/>
        <w:spacing w:line="520" w:lineRule="exact"/>
        <w:ind w:firstLine="480" w:firstLineChars="200"/>
        <w:jc w:val="left"/>
        <w:rPr>
          <w:rFonts w:hint="eastAsia"/>
          <w:color w:val="000000"/>
          <w:sz w:val="24"/>
        </w:rPr>
      </w:pPr>
      <w:r>
        <w:rPr>
          <w:rFonts w:hint="eastAsia"/>
          <w:color w:val="000000"/>
          <w:sz w:val="24"/>
        </w:rPr>
        <w:t>为确保工程顺利进行施工，在本工程劳动力组织时，将从劳务公司中抽出具有良好的质量和安全意识强的、技术素质高的、身体健康，且有类似工程施工经验的一线操作工人安排进场施工，施工人员进场前统一经过公司劳务技能及质量、安全技术等培训，考核合格后上岗挂牌施工。</w:t>
      </w:r>
    </w:p>
    <w:p>
      <w:pPr>
        <w:widowControl/>
        <w:shd w:val="clear" w:color="auto" w:fill="FFFFFF"/>
        <w:spacing w:line="520" w:lineRule="exact"/>
        <w:ind w:firstLine="480" w:firstLineChars="200"/>
        <w:jc w:val="left"/>
        <w:rPr>
          <w:rFonts w:hint="eastAsia"/>
          <w:color w:val="000000"/>
          <w:sz w:val="24"/>
        </w:rPr>
      </w:pPr>
      <w:r>
        <w:rPr>
          <w:rFonts w:hint="eastAsia"/>
          <w:color w:val="000000"/>
          <w:sz w:val="24"/>
        </w:rPr>
        <w:t>施工劳动力的投入按工程施工进度的需要，逐步到位，做好思想动员和采取经济措施使得春节休假期间保证足够劳动力，以确保工程施工进度。</w:t>
      </w:r>
    </w:p>
    <w:p>
      <w:pPr>
        <w:widowControl/>
        <w:shd w:val="clear" w:color="auto" w:fill="FFFFFF"/>
        <w:spacing w:line="520" w:lineRule="exact"/>
        <w:ind w:firstLine="480" w:firstLineChars="200"/>
        <w:jc w:val="left"/>
        <w:rPr>
          <w:rFonts w:hint="eastAsia"/>
          <w:color w:val="000000"/>
          <w:sz w:val="24"/>
        </w:rPr>
      </w:pPr>
      <w:r>
        <w:rPr>
          <w:rFonts w:hint="eastAsia"/>
          <w:color w:val="000000"/>
          <w:sz w:val="24"/>
        </w:rPr>
        <w:t>本工程劳动力组织及投入均由劳务公司根据项目月度劳动力计划表，在本公司内部进行合理调配，确保项目部对各种劳动力的需要，确保施工进度计划能够按期完成。</w:t>
      </w:r>
    </w:p>
    <w:p>
      <w:pPr>
        <w:spacing w:after="156" w:afterLines="50"/>
        <w:ind w:firstLine="412" w:firstLineChars="196"/>
        <w:rPr>
          <w:rFonts w:ascii="Arial" w:hAnsi="Arial" w:cs="Arial"/>
          <w:b/>
          <w:bCs/>
        </w:rPr>
      </w:pPr>
      <w:r>
        <w:rPr>
          <w:rFonts w:ascii="Arial" w:hAnsi="Arial" w:cs="Arial" w:hint="eastAsia"/>
          <w:b/>
          <w:bCs/>
        </w:rPr>
        <w:t xml:space="preserve">附表                     </w:t>
      </w:r>
      <w:r>
        <w:rPr>
          <w:rFonts w:ascii="Arial" w:hAnsi="Arial" w:cs="Arial"/>
          <w:b/>
          <w:bCs/>
        </w:rPr>
        <w:t>劳动力计划表</w:t>
      </w:r>
    </w:p>
    <w:p>
      <w:pPr>
        <w:spacing w:after="156" w:afterLines="50"/>
        <w:ind w:left="629"/>
        <w:jc w:val="center"/>
        <w:rPr>
          <w:rFonts w:ascii="Arial" w:hAnsi="Arial" w:cs="Arial" w:hint="eastAsia"/>
          <w:sz w:val="24"/>
        </w:rPr>
      </w:pPr>
      <w:r>
        <w:rPr>
          <w:rFonts w:ascii="Arial" w:hAnsi="Arial" w:cs="Arial"/>
          <w:sz w:val="24"/>
        </w:rPr>
        <w:t>单位：人</w:t>
      </w:r>
    </w:p>
    <w:tbl>
      <w:tblPr>
        <w:tblStyle w:val="TableNormal"/>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02"/>
        <w:gridCol w:w="1624"/>
        <w:gridCol w:w="1801"/>
        <w:gridCol w:w="1621"/>
        <w:gridCol w:w="1473"/>
      </w:tblGrid>
      <w:tr>
        <w:tblPrEx>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8"/>
          <w:jc w:val="center"/>
        </w:trPr>
        <w:tc>
          <w:tcPr>
            <w:tcW w:w="1083" w:type="pct"/>
            <w:vMerge w:val="restart"/>
            <w:vAlign w:val="center"/>
          </w:tcPr>
          <w:p>
            <w:pPr>
              <w:pStyle w:val="215"/>
              <w:tabs>
                <w:tab w:val="left" w:pos="2187"/>
              </w:tabs>
              <w:rPr>
                <w:rFonts w:hint="eastAsia"/>
              </w:rPr>
            </w:pPr>
            <w:r>
              <w:rPr>
                <w:rFonts w:hint="eastAsia"/>
              </w:rPr>
              <w:t>工种</w:t>
            </w:r>
          </w:p>
        </w:tc>
        <w:tc>
          <w:tcPr>
            <w:tcW w:w="3917" w:type="pct"/>
            <w:gridSpan w:val="4"/>
            <w:vAlign w:val="center"/>
          </w:tcPr>
          <w:p>
            <w:pPr>
              <w:pStyle w:val="215"/>
              <w:tabs>
                <w:tab w:val="left" w:pos="2187"/>
              </w:tabs>
              <w:rPr>
                <w:rFonts w:hint="eastAsia"/>
              </w:rPr>
            </w:pPr>
            <w:r>
              <w:rPr>
                <w:rFonts w:hint="eastAsia"/>
              </w:rPr>
              <w:t>按工程施工阶段投入劳动力情况</w:t>
            </w: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Merge/>
            <w:vAlign w:val="center"/>
          </w:tcPr>
          <w:p>
            <w:pPr>
              <w:pStyle w:val="BodyText"/>
              <w:spacing w:line="360" w:lineRule="auto"/>
              <w:ind w:firstLine="560"/>
              <w:rPr>
                <w:rFonts w:hAnsi="宋体" w:hint="eastAsia"/>
                <w:color w:val="000000"/>
                <w:szCs w:val="28"/>
              </w:rPr>
            </w:pPr>
          </w:p>
        </w:tc>
        <w:tc>
          <w:tcPr>
            <w:tcW w:w="976" w:type="pct"/>
            <w:vAlign w:val="center"/>
          </w:tcPr>
          <w:p>
            <w:pPr>
              <w:pStyle w:val="215"/>
              <w:tabs>
                <w:tab w:val="left" w:pos="2187"/>
              </w:tabs>
              <w:spacing w:after="0"/>
              <w:rPr>
                <w:rFonts w:hint="eastAsia"/>
              </w:rPr>
            </w:pPr>
          </w:p>
        </w:tc>
        <w:tc>
          <w:tcPr>
            <w:tcW w:w="1082" w:type="pct"/>
            <w:vAlign w:val="center"/>
          </w:tcPr>
          <w:p>
            <w:pPr>
              <w:pStyle w:val="215"/>
              <w:tabs>
                <w:tab w:val="left" w:pos="2187"/>
              </w:tabs>
              <w:spacing w:after="0"/>
              <w:rPr>
                <w:rFonts w:hint="eastAsia"/>
              </w:rPr>
            </w:pPr>
          </w:p>
        </w:tc>
        <w:tc>
          <w:tcPr>
            <w:tcW w:w="974" w:type="pct"/>
            <w:vAlign w:val="center"/>
          </w:tcPr>
          <w:p>
            <w:pPr>
              <w:pStyle w:val="215"/>
              <w:tabs>
                <w:tab w:val="left" w:pos="2187"/>
              </w:tabs>
              <w:rPr>
                <w:rFonts w:hint="eastAsia"/>
              </w:rPr>
            </w:pPr>
          </w:p>
        </w:tc>
        <w:tc>
          <w:tcPr>
            <w:tcW w:w="885" w:type="pct"/>
            <w:vAlign w:val="center"/>
          </w:tcPr>
          <w:p>
            <w:pPr>
              <w:pStyle w:val="215"/>
              <w:tabs>
                <w:tab w:val="left" w:pos="2187"/>
              </w:tabs>
              <w:rPr>
                <w:rFonts w:hint="eastAsia"/>
              </w:rPr>
            </w:pPr>
          </w:p>
        </w:tc>
      </w:tr>
    </w:tbl>
    <w:p>
      <w:pPr>
        <w:sectPr>
          <w:footerReference w:type="even" r:id="rId22"/>
          <w:type w:val="nextPage"/>
          <w:pgSz w:w="11906" w:h="16838"/>
          <w:pgMar w:top="1440" w:right="1800" w:bottom="1440" w:left="1800" w:header="851" w:footer="992" w:gutter="0"/>
          <w:pgNumType w:start="15"/>
          <w:cols w:space="708"/>
          <w:titlePg w:val="0"/>
          <w:docGrid w:type="lines" w:linePitch="312"/>
        </w:sectPr>
      </w:pPr>
    </w:p>
    <w:tbl>
      <w:tblPr>
        <w:tblStyle w:val="TableNormal"/>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02"/>
        <w:gridCol w:w="1624"/>
        <w:gridCol w:w="1801"/>
        <w:gridCol w:w="1621"/>
        <w:gridCol w:w="1473"/>
      </w:tblGrid>
      <w:tr>
        <w:tblPrEx>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8"/>
          <w:jc w:val="center"/>
        </w:trPr>
        <w:tc>
          <w:tcPr>
            <w:tcW w:w="1083" w:type="pct"/>
            <w:vAlign w:val="center"/>
          </w:tcPr>
          <w:p/>
        </w:tc>
        <w:tc>
          <w:tcPr>
            <w:tcW w:w="976" w:type="pct"/>
            <w:vAlign w:val="center"/>
          </w:tcPr>
          <w:p>
            <w:pPr>
              <w:pStyle w:val="215"/>
              <w:tabs>
                <w:tab w:val="left" w:pos="2187"/>
              </w:tabs>
              <w:spacing w:before="0"/>
              <w:rPr>
                <w:rFonts w:hint="eastAsia"/>
              </w:rPr>
            </w:pPr>
            <w:r>
              <w:rPr>
                <w:rFonts w:hint="eastAsia"/>
              </w:rPr>
              <w:t>围护桩施工阶段</w:t>
            </w:r>
          </w:p>
        </w:tc>
        <w:tc>
          <w:tcPr>
            <w:tcW w:w="1082" w:type="pct"/>
            <w:vAlign w:val="center"/>
          </w:tcPr>
          <w:p>
            <w:pPr>
              <w:pStyle w:val="215"/>
              <w:tabs>
                <w:tab w:val="left" w:pos="2187"/>
              </w:tabs>
              <w:spacing w:before="0"/>
              <w:rPr>
                <w:rFonts w:hint="eastAsia"/>
              </w:rPr>
            </w:pPr>
            <w:r>
              <w:rPr>
                <w:rFonts w:hint="eastAsia"/>
              </w:rPr>
              <w:t>土方开挖施工阶段</w:t>
            </w:r>
          </w:p>
        </w:tc>
        <w:tc>
          <w:tcPr>
            <w:tcW w:w="974" w:type="pct"/>
            <w:vAlign w:val="center"/>
          </w:tcPr>
          <w:p/>
        </w:tc>
        <w:tc>
          <w:tcPr>
            <w:tcW w:w="885" w:type="pct"/>
            <w:vAlign w:val="center"/>
          </w:tc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混凝土工</w:t>
            </w:r>
          </w:p>
        </w:tc>
        <w:tc>
          <w:tcPr>
            <w:tcW w:w="976" w:type="pct"/>
            <w:vAlign w:val="center"/>
          </w:tcPr>
          <w:p>
            <w:pPr>
              <w:rPr>
                <w:rFonts w:hint="eastAsia"/>
              </w:rPr>
            </w:pPr>
          </w:p>
        </w:tc>
        <w:tc>
          <w:tcPr>
            <w:tcW w:w="1082" w:type="pct"/>
            <w:vAlign w:val="center"/>
          </w:tcPr>
          <w:p>
            <w:pPr>
              <w:rPr>
                <w:rFonts w:hint="eastAsia"/>
              </w:rPr>
            </w:pPr>
            <w:r>
              <w:rPr>
                <w:rFonts w:hint="eastAsia"/>
              </w:rPr>
              <w:t>15</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电焊工</w:t>
            </w:r>
          </w:p>
        </w:tc>
        <w:tc>
          <w:tcPr>
            <w:tcW w:w="976" w:type="pct"/>
            <w:vAlign w:val="center"/>
          </w:tcPr>
          <w:p>
            <w:pPr>
              <w:rPr>
                <w:rFonts w:hint="eastAsia"/>
              </w:rPr>
            </w:pPr>
            <w:r>
              <w:rPr>
                <w:rFonts w:hint="eastAsia"/>
              </w:rPr>
              <w:t>5</w:t>
            </w:r>
          </w:p>
        </w:tc>
        <w:tc>
          <w:tcPr>
            <w:tcW w:w="1082" w:type="pct"/>
            <w:vAlign w:val="center"/>
          </w:tcPr>
          <w:p>
            <w:pPr>
              <w:rPr>
                <w:rFonts w:hint="eastAsia"/>
              </w:rPr>
            </w:pPr>
            <w:r>
              <w:rPr>
                <w:rFonts w:hint="eastAsia"/>
              </w:rPr>
              <w:t>9</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桩机操作工</w:t>
            </w:r>
          </w:p>
        </w:tc>
        <w:tc>
          <w:tcPr>
            <w:tcW w:w="976" w:type="pct"/>
            <w:vAlign w:val="center"/>
          </w:tcPr>
          <w:p>
            <w:pPr>
              <w:rPr>
                <w:rFonts w:hint="eastAsia"/>
              </w:rPr>
            </w:pPr>
            <w:r>
              <w:rPr>
                <w:rFonts w:hint="eastAsia"/>
              </w:rPr>
              <w:t>16</w:t>
            </w:r>
          </w:p>
        </w:tc>
        <w:tc>
          <w:tcPr>
            <w:tcW w:w="1082" w:type="pct"/>
            <w:vAlign w:val="center"/>
          </w:tcPr>
          <w:p>
            <w:pPr>
              <w:rPr>
                <w:rFonts w:hint="eastAsia"/>
              </w:rPr>
            </w:pP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木工</w:t>
            </w:r>
          </w:p>
        </w:tc>
        <w:tc>
          <w:tcPr>
            <w:tcW w:w="976" w:type="pct"/>
            <w:vAlign w:val="center"/>
          </w:tcPr>
          <w:p>
            <w:pPr>
              <w:rPr>
                <w:rFonts w:hint="eastAsia"/>
              </w:rPr>
            </w:pPr>
          </w:p>
        </w:tc>
        <w:tc>
          <w:tcPr>
            <w:tcW w:w="1082" w:type="pct"/>
            <w:vAlign w:val="center"/>
          </w:tcPr>
          <w:p>
            <w:pPr>
              <w:rPr>
                <w:rFonts w:hint="eastAsia"/>
              </w:rPr>
            </w:pPr>
            <w:r>
              <w:rPr>
                <w:rFonts w:hint="eastAsia"/>
              </w:rPr>
              <w:t>25</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钢筋工</w:t>
            </w:r>
          </w:p>
        </w:tc>
        <w:tc>
          <w:tcPr>
            <w:tcW w:w="976" w:type="pct"/>
            <w:vAlign w:val="center"/>
          </w:tcPr>
          <w:p>
            <w:pPr>
              <w:rPr>
                <w:rFonts w:hint="eastAsia"/>
              </w:rPr>
            </w:pPr>
            <w:r>
              <w:rPr>
                <w:rFonts w:hint="eastAsia"/>
              </w:rPr>
              <w:t>10</w:t>
            </w:r>
          </w:p>
        </w:tc>
        <w:tc>
          <w:tcPr>
            <w:tcW w:w="1082" w:type="pct"/>
            <w:vAlign w:val="center"/>
          </w:tcPr>
          <w:p>
            <w:pPr>
              <w:rPr>
                <w:rFonts w:hint="eastAsia"/>
              </w:rPr>
            </w:pPr>
            <w:r>
              <w:rPr>
                <w:rFonts w:hint="eastAsia"/>
              </w:rPr>
              <w:t>15</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挖土工</w:t>
            </w:r>
          </w:p>
        </w:tc>
        <w:tc>
          <w:tcPr>
            <w:tcW w:w="976" w:type="pct"/>
            <w:vAlign w:val="center"/>
          </w:tcPr>
          <w:p>
            <w:pPr>
              <w:rPr>
                <w:rFonts w:hint="eastAsia"/>
              </w:rPr>
            </w:pPr>
          </w:p>
        </w:tc>
        <w:tc>
          <w:tcPr>
            <w:tcW w:w="1082" w:type="pct"/>
            <w:vAlign w:val="center"/>
          </w:tcPr>
          <w:p>
            <w:pPr>
              <w:rPr>
                <w:rFonts w:hint="eastAsia"/>
              </w:rPr>
            </w:pPr>
            <w:r>
              <w:rPr>
                <w:rFonts w:hint="eastAsia"/>
              </w:rPr>
              <w:t>50</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普工</w:t>
            </w:r>
          </w:p>
        </w:tc>
        <w:tc>
          <w:tcPr>
            <w:tcW w:w="976" w:type="pct"/>
            <w:vAlign w:val="center"/>
          </w:tcPr>
          <w:p>
            <w:pPr>
              <w:rPr>
                <w:rFonts w:hint="eastAsia"/>
              </w:rPr>
            </w:pPr>
            <w:r>
              <w:rPr>
                <w:rFonts w:hint="eastAsia"/>
              </w:rPr>
              <w:t>10</w:t>
            </w:r>
          </w:p>
        </w:tc>
        <w:tc>
          <w:tcPr>
            <w:tcW w:w="1082" w:type="pct"/>
            <w:vAlign w:val="center"/>
          </w:tcPr>
          <w:p>
            <w:pPr>
              <w:rPr>
                <w:rFonts w:hint="eastAsia"/>
              </w:rPr>
            </w:pPr>
            <w:r>
              <w:rPr>
                <w:rFonts w:hint="eastAsia"/>
              </w:rPr>
              <w:t>20</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架子工</w:t>
            </w:r>
          </w:p>
        </w:tc>
        <w:tc>
          <w:tcPr>
            <w:tcW w:w="976" w:type="pct"/>
            <w:vAlign w:val="center"/>
          </w:tcPr>
          <w:p>
            <w:pPr>
              <w:rPr>
                <w:rFonts w:hint="eastAsia"/>
              </w:rPr>
            </w:pPr>
          </w:p>
        </w:tc>
        <w:tc>
          <w:tcPr>
            <w:tcW w:w="1082" w:type="pct"/>
            <w:vAlign w:val="center"/>
          </w:tcPr>
          <w:p>
            <w:pPr>
              <w:rPr>
                <w:rFonts w:hint="eastAsia"/>
              </w:rPr>
            </w:pPr>
            <w:r>
              <w:rPr>
                <w:rFonts w:hint="eastAsia"/>
              </w:rPr>
              <w:t>10</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喷射砼工</w:t>
            </w:r>
          </w:p>
        </w:tc>
        <w:tc>
          <w:tcPr>
            <w:tcW w:w="976" w:type="pct"/>
            <w:vAlign w:val="center"/>
          </w:tcPr>
          <w:p>
            <w:pPr>
              <w:rPr>
                <w:rFonts w:hint="eastAsia"/>
              </w:rPr>
            </w:pPr>
          </w:p>
        </w:tc>
        <w:tc>
          <w:tcPr>
            <w:tcW w:w="1082" w:type="pct"/>
            <w:vAlign w:val="center"/>
          </w:tcPr>
          <w:p>
            <w:pPr>
              <w:rPr>
                <w:rFonts w:hint="eastAsia"/>
              </w:rPr>
            </w:pPr>
            <w:r>
              <w:rPr>
                <w:rFonts w:hint="eastAsia"/>
              </w:rPr>
              <w:t>10</w:t>
            </w:r>
          </w:p>
        </w:tc>
        <w:tc>
          <w:tcPr>
            <w:tcW w:w="974" w:type="pct"/>
            <w:vAlign w:val="center"/>
          </w:tcPr>
          <w:p>
            <w:pPr>
              <w:rPr>
                <w:rFonts w:hint="eastAsia"/>
              </w:rPr>
            </w:pPr>
          </w:p>
        </w:tc>
        <w:tc>
          <w:tcPr>
            <w:tcW w:w="885" w:type="pct"/>
            <w:vAlign w:val="center"/>
          </w:tcPr>
          <w:p>
            <w:pPr>
              <w:rPr>
                <w:rFonts w:hint="eastAsia"/>
              </w:rPr>
            </w:pPr>
          </w:p>
        </w:tc>
      </w:tr>
      <w:tr>
        <w:tblPrEx>
          <w:tblW w:w="8321" w:type="dxa"/>
          <w:jc w:val="center"/>
          <w:tblLayout w:type="fixed"/>
          <w:tblCellMar>
            <w:top w:w="0" w:type="dxa"/>
            <w:left w:w="108" w:type="dxa"/>
            <w:bottom w:w="0" w:type="dxa"/>
            <w:right w:w="108" w:type="dxa"/>
          </w:tblCellMar>
          <w:tblLook w:val="0000"/>
        </w:tblPrEx>
        <w:trPr>
          <w:trHeight w:val="578"/>
          <w:jc w:val="center"/>
        </w:trPr>
        <w:tc>
          <w:tcPr>
            <w:tcW w:w="1083" w:type="pct"/>
            <w:vAlign w:val="center"/>
          </w:tcPr>
          <w:p>
            <w:pPr>
              <w:pStyle w:val="215"/>
              <w:tabs>
                <w:tab w:val="left" w:pos="2187"/>
              </w:tabs>
              <w:rPr>
                <w:rFonts w:hint="eastAsia"/>
              </w:rPr>
            </w:pPr>
            <w:r>
              <w:rPr>
                <w:rFonts w:hint="eastAsia"/>
              </w:rPr>
              <w:t>合计</w:t>
            </w:r>
          </w:p>
        </w:tc>
        <w:tc>
          <w:tcPr>
            <w:tcW w:w="976" w:type="pct"/>
            <w:vAlign w:val="center"/>
          </w:tcPr>
          <w:p>
            <w:pPr>
              <w:rPr>
                <w:rFonts w:hint="eastAsia"/>
              </w:rPr>
            </w:pPr>
          </w:p>
        </w:tc>
        <w:tc>
          <w:tcPr>
            <w:tcW w:w="1082" w:type="pct"/>
            <w:vAlign w:val="center"/>
          </w:tcPr>
          <w:p>
            <w:pPr>
              <w:rPr>
                <w:rFonts w:hint="eastAsia"/>
              </w:rPr>
            </w:pPr>
            <w:r>
              <w:rPr>
                <w:rFonts w:hint="eastAsia"/>
              </w:rPr>
              <w:t>144</w:t>
            </w:r>
          </w:p>
        </w:tc>
        <w:tc>
          <w:tcPr>
            <w:tcW w:w="974" w:type="pct"/>
            <w:vAlign w:val="center"/>
          </w:tcPr>
          <w:p>
            <w:pPr>
              <w:rPr>
                <w:rFonts w:hint="eastAsia"/>
              </w:rPr>
            </w:pPr>
          </w:p>
        </w:tc>
        <w:tc>
          <w:tcPr>
            <w:tcW w:w="885" w:type="pct"/>
            <w:vAlign w:val="center"/>
          </w:tcPr>
          <w:p>
            <w:pPr>
              <w:rPr>
                <w:rFonts w:hint="eastAsia"/>
              </w:rPr>
            </w:pPr>
          </w:p>
        </w:tc>
      </w:tr>
    </w:tbl>
    <w:p>
      <w:pPr>
        <w:spacing w:line="360" w:lineRule="auto"/>
        <w:ind w:firstLine="420" w:firstLineChars="200"/>
        <w:rPr>
          <w:rFonts w:hAnsi="宋体" w:hint="eastAsia"/>
          <w:szCs w:val="21"/>
        </w:rPr>
      </w:pPr>
      <w:r>
        <w:rPr>
          <w:rFonts w:hAnsi="宋体" w:hint="eastAsia"/>
          <w:szCs w:val="21"/>
        </w:rPr>
        <w:t>注：1、表内数据为暂定，施工时将根据工程需要，随时由我公司劳务抽调人员支援</w:t>
      </w:r>
    </w:p>
    <w:p>
      <w:pPr>
        <w:spacing w:line="360" w:lineRule="auto"/>
        <w:ind w:firstLine="420" w:firstLineChars="200"/>
        <w:rPr>
          <w:rFonts w:hAnsi="宋体" w:hint="eastAsia"/>
          <w:szCs w:val="21"/>
        </w:rPr>
      </w:pPr>
      <w:r>
        <w:rPr>
          <w:rFonts w:hAnsi="宋体" w:hint="eastAsia"/>
          <w:szCs w:val="21"/>
        </w:rPr>
        <w:t xml:space="preserve">    2、以上表格为土方开挖有关施工人员，基础施工人员未计入内。</w:t>
      </w:r>
    </w:p>
    <w:p>
      <w:pPr>
        <w:spacing w:line="360" w:lineRule="auto"/>
        <w:ind w:left="420"/>
        <w:rPr>
          <w:rFonts w:hint="eastAsia"/>
          <w:b/>
          <w:color w:val="000000"/>
          <w:sz w:val="24"/>
        </w:rPr>
      </w:pPr>
      <w:r>
        <w:rPr>
          <w:rFonts w:hint="eastAsia"/>
          <w:b/>
          <w:color w:val="000000"/>
          <w:sz w:val="24"/>
        </w:rPr>
        <w:t>二、施工机械准备情况：</w:t>
      </w:r>
    </w:p>
    <w:p>
      <w:pPr>
        <w:spacing w:line="360" w:lineRule="auto"/>
        <w:ind w:firstLine="425" w:firstLineChars="177"/>
        <w:rPr>
          <w:rFonts w:hint="eastAsia"/>
          <w:color w:val="000000"/>
          <w:sz w:val="24"/>
        </w:rPr>
      </w:pPr>
      <w:r>
        <w:rPr>
          <w:rFonts w:hint="eastAsia"/>
          <w:color w:val="000000"/>
          <w:sz w:val="24"/>
        </w:rPr>
        <w:t>本基坑挖土以机械挖土为主，人工为辅，根据本工程基坑挖土工作的实际情况，本工程土方开挖主要采用临时坡道出土方式，人工挖土配合塔吊运输。本工程配备塔吊2台。其中，教学楼布置1台（在基坑影响范围外），基坑处布置1台，具体位置见总平面布置图。配置主要机械设备如下：</w:t>
      </w:r>
    </w:p>
    <w:p>
      <w:pPr>
        <w:ind w:firstLine="1029" w:firstLineChars="490"/>
        <w:rPr>
          <w:rFonts w:ascii="黑体" w:eastAsia="黑体" w:hAnsi="宋体" w:hint="eastAsia"/>
          <w:b/>
          <w:sz w:val="32"/>
          <w:szCs w:val="32"/>
        </w:rPr>
      </w:pPr>
      <w:r>
        <w:rPr>
          <w:rFonts w:ascii="黑体" w:eastAsia="黑体" w:hAnsi="宋体" w:hint="eastAsia"/>
          <w:b/>
          <w:szCs w:val="28"/>
        </w:rPr>
        <w:t>拟投入的主要施工机械设备情况，及主要设备进场计划表</w:t>
      </w:r>
    </w:p>
    <w:tbl>
      <w:tblPr>
        <w:tblStyle w:val="TableNormal"/>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873"/>
        <w:gridCol w:w="2174"/>
        <w:gridCol w:w="1204"/>
        <w:gridCol w:w="729"/>
        <w:gridCol w:w="966"/>
        <w:gridCol w:w="1449"/>
        <w:gridCol w:w="1006"/>
      </w:tblGrid>
      <w:tr>
        <w:tblPrEx>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613"/>
        </w:trPr>
        <w:tc>
          <w:tcPr>
            <w:tcW w:w="873"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序号</w:t>
            </w:r>
          </w:p>
        </w:tc>
        <w:tc>
          <w:tcPr>
            <w:tcW w:w="2174"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机械或</w:t>
            </w:r>
          </w:p>
          <w:p>
            <w:pPr>
              <w:jc w:val="center"/>
              <w:rPr>
                <w:color w:val="000000"/>
                <w:szCs w:val="21"/>
              </w:rPr>
            </w:pPr>
            <w:r>
              <w:rPr>
                <w:rFonts w:hint="eastAsia"/>
                <w:color w:val="000000"/>
                <w:szCs w:val="21"/>
              </w:rPr>
              <w:t>设备名称</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型号规格</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数量</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国别产地</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制造年份</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备注</w:t>
            </w: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spacing w:line="240" w:lineRule="atLeast"/>
              <w:jc w:val="center"/>
              <w:rPr>
                <w:rFonts w:hAnsi="宋体" w:hint="eastAsia"/>
                <w:color w:val="000000"/>
                <w:szCs w:val="21"/>
              </w:rPr>
            </w:pPr>
            <w:r>
              <w:rPr>
                <w:rFonts w:hAnsi="宋体" w:hint="eastAsia"/>
                <w:color w:val="000000"/>
                <w:szCs w:val="21"/>
              </w:rPr>
              <w:t>1</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挖掘机</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rFonts w:eastAsia="宋体" w:hAnsi="宋体" w:hint="eastAsia"/>
                <w:szCs w:val="21"/>
              </w:rPr>
            </w:pPr>
            <w:r>
              <w:rPr>
                <w:rFonts w:hAnsi="宋体" w:hint="eastAsia"/>
                <w:szCs w:val="21"/>
              </w:rPr>
              <w:t>PC-</w:t>
            </w:r>
            <w:r>
              <w:rPr>
                <w:rFonts w:hAnsi="宋体" w:hint="eastAsia"/>
                <w:szCs w:val="21"/>
                <w:lang w:eastAsia="zh-CN"/>
              </w:rPr>
              <w:t>201</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日本</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7</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Cs w:val="21"/>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spacing w:line="240" w:lineRule="atLeast"/>
              <w:jc w:val="center"/>
              <w:rPr>
                <w:rFonts w:hAnsi="宋体" w:hint="eastAsia"/>
                <w:color w:val="000000"/>
                <w:szCs w:val="21"/>
              </w:rPr>
            </w:pPr>
            <w:r>
              <w:rPr>
                <w:rFonts w:hAnsi="宋体" w:hint="eastAsia"/>
                <w:color w:val="000000"/>
                <w:szCs w:val="21"/>
              </w:rPr>
              <w:t>2</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小型挖掘机</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ZX-70</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日本</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7</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Cs w:val="21"/>
                <w:highlight w:val="yellow"/>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spacing w:line="240" w:lineRule="atLeast"/>
              <w:jc w:val="center"/>
              <w:rPr>
                <w:rFonts w:hAnsi="宋体" w:hint="eastAsia"/>
                <w:color w:val="000000"/>
                <w:szCs w:val="21"/>
              </w:rPr>
            </w:pPr>
            <w:r>
              <w:rPr>
                <w:rFonts w:hAnsi="宋体" w:hint="eastAsia"/>
                <w:color w:val="000000"/>
                <w:szCs w:val="21"/>
              </w:rPr>
              <w:t>3</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自卸汽车</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20t</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15</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9</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Cs w:val="21"/>
                <w:highlight w:val="yellow"/>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4</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int="eastAsia"/>
              </w:rPr>
            </w:pPr>
            <w:r>
              <w:rPr>
                <w:rFonts w:hint="eastAsia"/>
              </w:rPr>
              <w:t>潜水泵：</w:t>
            </w:r>
            <w:r>
              <w:t xml:space="preserve">         </w:t>
            </w:r>
            <w:r>
              <w:rPr>
                <w:rFonts w:hint="eastAsia"/>
              </w:rPr>
              <w:t xml:space="preserve"> </w:t>
            </w:r>
            <w:r>
              <w:t xml:space="preserve"> </w:t>
            </w:r>
          </w:p>
        </w:tc>
        <w:tc>
          <w:tcPr>
            <w:tcW w:w="1204" w:type="dxa"/>
            <w:tcBorders>
              <w:top w:val="single" w:sz="4" w:space="0" w:color="auto"/>
              <w:left w:val="single" w:sz="4" w:space="0" w:color="auto"/>
              <w:bottom w:val="single" w:sz="4" w:space="0" w:color="auto"/>
              <w:right w:val="single" w:sz="4" w:space="0" w:color="auto"/>
            </w:tcBorders>
            <w:vAlign w:val="center"/>
          </w:tcPr>
          <w:p>
            <w:pPr>
              <w:ind w:firstLine="210" w:firstLineChars="100"/>
              <w:rPr>
                <w:rFonts w:hint="eastAsia"/>
              </w:rPr>
            </w:pPr>
            <w:r>
              <w:t>4BA-B</w:t>
            </w:r>
          </w:p>
        </w:tc>
        <w:tc>
          <w:tcPr>
            <w:tcW w:w="729" w:type="dxa"/>
            <w:tcBorders>
              <w:top w:val="single" w:sz="4" w:space="0" w:color="auto"/>
              <w:left w:val="single" w:sz="4" w:space="0" w:color="auto"/>
              <w:bottom w:val="single" w:sz="4" w:space="0" w:color="auto"/>
              <w:right w:val="single" w:sz="4" w:space="0" w:color="auto"/>
            </w:tcBorders>
            <w:vAlign w:val="center"/>
          </w:tcPr>
          <w:p>
            <w:pPr>
              <w:ind w:firstLine="210" w:firstLineChars="100"/>
              <w:rPr>
                <w:rFonts w:hint="eastAsia"/>
              </w:rPr>
            </w:pPr>
            <w:r>
              <w:rPr>
                <w:rFonts w:hint="eastAsia"/>
              </w:rPr>
              <w:t>12</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8</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Cs w:val="21"/>
                <w:highlight w:val="yellow"/>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5</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轻型井点设备</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6</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Cs w:val="21"/>
              </w:rPr>
            </w:pPr>
            <w:r>
              <w:rPr>
                <w:rFonts w:hint="eastAsia"/>
                <w:color w:val="000000"/>
                <w:szCs w:val="21"/>
              </w:rPr>
              <w:t>备用</w:t>
            </w: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6</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旋挖桩机</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GPS-10</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5</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7</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两轴搅拌桩机</w:t>
            </w:r>
          </w:p>
        </w:tc>
        <w:tc>
          <w:tcPr>
            <w:tcW w:w="120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 xml:space="preserve">  SBJ-2</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1</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2010</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8</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混凝土喷射机</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int="eastAsia"/>
              </w:rPr>
              <w:t>HP-6</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1</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8</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p>
        </w:tc>
      </w:tr>
    </w:tbl>
    <w:p>
      <w:pPr>
        <w:sectPr>
          <w:footerReference w:type="even" r:id="rId23"/>
          <w:type w:val="nextPage"/>
          <w:pgSz w:w="11906" w:h="16838"/>
          <w:pgMar w:top="1440" w:right="1800" w:bottom="1440" w:left="1800" w:header="851" w:footer="992" w:gutter="0"/>
          <w:pgNumType w:start="16"/>
          <w:cols w:space="708"/>
          <w:titlePg w:val="0"/>
          <w:docGrid w:type="lines" w:linePitch="312"/>
        </w:sectPr>
      </w:pPr>
    </w:p>
    <w:tbl>
      <w:tblPr>
        <w:tblStyle w:val="TableNormal"/>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873"/>
        <w:gridCol w:w="2174"/>
        <w:gridCol w:w="1204"/>
        <w:gridCol w:w="729"/>
        <w:gridCol w:w="966"/>
        <w:gridCol w:w="1449"/>
        <w:gridCol w:w="1006"/>
      </w:tblGrid>
      <w:tr>
        <w:tblPrEx>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9</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ascii="宋体" w:hAnsi="宋体" w:hint="eastAsia"/>
                <w:szCs w:val="28"/>
              </w:rPr>
              <w:t>水准仪</w:t>
            </w:r>
          </w:p>
        </w:tc>
        <w:tc>
          <w:tcPr>
            <w:tcW w:w="1204" w:type="dxa"/>
            <w:tcBorders>
              <w:top w:val="single" w:sz="4" w:space="0" w:color="auto"/>
              <w:left w:val="single" w:sz="4" w:space="0" w:color="auto"/>
              <w:bottom w:val="single" w:sz="4" w:space="0" w:color="auto"/>
              <w:right w:val="single" w:sz="4" w:space="0" w:color="auto"/>
            </w:tcBorders>
            <w:vAlign w:val="center"/>
          </w:tcPr>
          <w:p>
            <w:pPr>
              <w:ind w:firstLine="210" w:firstLineChars="100"/>
              <w:rPr>
                <w:rFonts w:ascii="宋体" w:hAnsi="宋体" w:hint="eastAsia"/>
                <w:szCs w:val="28"/>
              </w:rPr>
            </w:pPr>
            <w:r>
              <w:rPr>
                <w:rFonts w:ascii="宋体" w:hAnsi="宋体" w:hint="eastAsia"/>
                <w:szCs w:val="28"/>
              </w:rPr>
              <w:t>S3-d</w:t>
            </w:r>
          </w:p>
        </w:tc>
        <w:tc>
          <w:tcPr>
            <w:tcW w:w="729" w:type="dxa"/>
            <w:tcBorders>
              <w:top w:val="single" w:sz="4" w:space="0" w:color="auto"/>
              <w:left w:val="single" w:sz="4" w:space="0" w:color="auto"/>
              <w:bottom w:val="single" w:sz="4" w:space="0" w:color="auto"/>
              <w:right w:val="single" w:sz="4" w:space="0" w:color="auto"/>
            </w:tcBorders>
            <w:vAlign w:val="center"/>
          </w:tcPr>
          <w:p>
            <w:pPr>
              <w:ind w:firstLine="105" w:firstLineChars="50"/>
              <w:rPr>
                <w:rFonts w:ascii="宋体" w:hAnsi="宋体" w:hint="eastAsia"/>
                <w:szCs w:val="28"/>
              </w:rPr>
            </w:pPr>
            <w:r>
              <w:rPr>
                <w:rFonts w:ascii="宋体" w:hAnsi="宋体" w:hint="eastAsia"/>
                <w:szCs w:val="28"/>
              </w:rPr>
              <w:t xml:space="preserve"> 2  </w:t>
            </w:r>
          </w:p>
        </w:tc>
        <w:tc>
          <w:tcPr>
            <w:tcW w:w="966" w:type="dxa"/>
            <w:tcBorders>
              <w:top w:val="single" w:sz="4" w:space="0" w:color="auto"/>
              <w:left w:val="single" w:sz="4" w:space="0" w:color="auto"/>
              <w:bottom w:val="single" w:sz="4" w:space="0" w:color="auto"/>
              <w:right w:val="single" w:sz="4" w:space="0" w:color="auto"/>
            </w:tcBorders>
            <w:vAlign w:val="center"/>
          </w:tcPr>
          <w:p>
            <w:pPr>
              <w:ind w:firstLine="105" w:firstLineChars="50"/>
              <w:rPr>
                <w:rFonts w:ascii="宋体" w:hAnsi="宋体" w:hint="eastAsia"/>
                <w:szCs w:val="28"/>
              </w:rPr>
            </w:pPr>
            <w:r>
              <w:rPr>
                <w:rFonts w:ascii="宋体" w:hAnsi="宋体" w:hint="eastAsia"/>
                <w:szCs w:val="28"/>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6</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10</w:t>
            </w:r>
          </w:p>
        </w:tc>
        <w:tc>
          <w:tcPr>
            <w:tcW w:w="2174" w:type="dxa"/>
            <w:tcBorders>
              <w:top w:val="single" w:sz="4" w:space="0" w:color="auto"/>
              <w:left w:val="single" w:sz="4" w:space="0" w:color="auto"/>
              <w:bottom w:val="single" w:sz="4" w:space="0" w:color="auto"/>
              <w:right w:val="single" w:sz="4" w:space="0" w:color="auto"/>
            </w:tcBorders>
            <w:vAlign w:val="center"/>
          </w:tcPr>
          <w:p>
            <w:pPr>
              <w:rPr>
                <w:rFonts w:ascii="宋体" w:hAnsi="宋体" w:hint="eastAsia"/>
                <w:szCs w:val="28"/>
              </w:rPr>
            </w:pPr>
            <w:r>
              <w:rPr>
                <w:rFonts w:ascii="宋体" w:hAnsi="宋体" w:hint="eastAsia"/>
                <w:szCs w:val="28"/>
              </w:rPr>
              <w:t>经纬仪</w:t>
            </w:r>
          </w:p>
        </w:tc>
        <w:tc>
          <w:tcPr>
            <w:tcW w:w="1204" w:type="dxa"/>
            <w:tcBorders>
              <w:top w:val="single" w:sz="4" w:space="0" w:color="auto"/>
              <w:left w:val="single" w:sz="4" w:space="0" w:color="auto"/>
              <w:bottom w:val="single" w:sz="4" w:space="0" w:color="auto"/>
              <w:right w:val="single" w:sz="4" w:space="0" w:color="auto"/>
            </w:tcBorders>
            <w:vAlign w:val="center"/>
          </w:tcPr>
          <w:p>
            <w:pPr>
              <w:ind w:firstLine="420" w:firstLineChars="200"/>
              <w:rPr>
                <w:rFonts w:ascii="宋体" w:hAnsi="宋体" w:hint="eastAsia"/>
                <w:szCs w:val="28"/>
              </w:rPr>
            </w:pPr>
            <w:r>
              <w:rPr>
                <w:rFonts w:ascii="宋体" w:hAnsi="宋体" w:hint="eastAsia"/>
                <w:szCs w:val="28"/>
              </w:rPr>
              <w:t>J2</w:t>
            </w:r>
          </w:p>
        </w:tc>
        <w:tc>
          <w:tcPr>
            <w:tcW w:w="729" w:type="dxa"/>
            <w:tcBorders>
              <w:top w:val="single" w:sz="4" w:space="0" w:color="auto"/>
              <w:left w:val="single" w:sz="4" w:space="0" w:color="auto"/>
              <w:bottom w:val="single" w:sz="4" w:space="0" w:color="auto"/>
              <w:right w:val="single" w:sz="4" w:space="0" w:color="auto"/>
            </w:tcBorders>
            <w:vAlign w:val="center"/>
          </w:tcPr>
          <w:p>
            <w:pPr>
              <w:ind w:firstLine="210" w:firstLineChars="100"/>
              <w:rPr>
                <w:rFonts w:ascii="宋体" w:hAnsi="宋体" w:hint="eastAsia"/>
                <w:szCs w:val="28"/>
              </w:rPr>
            </w:pPr>
            <w:r>
              <w:rPr>
                <w:rFonts w:ascii="宋体" w:hAnsi="宋体" w:hint="eastAsia"/>
                <w:szCs w:val="28"/>
              </w:rPr>
              <w:t>2</w:t>
            </w:r>
          </w:p>
        </w:tc>
        <w:tc>
          <w:tcPr>
            <w:tcW w:w="966" w:type="dxa"/>
            <w:tcBorders>
              <w:top w:val="single" w:sz="4" w:space="0" w:color="auto"/>
              <w:left w:val="single" w:sz="4" w:space="0" w:color="auto"/>
              <w:bottom w:val="single" w:sz="4" w:space="0" w:color="auto"/>
              <w:right w:val="single" w:sz="4" w:space="0" w:color="auto"/>
            </w:tcBorders>
            <w:vAlign w:val="center"/>
          </w:tcPr>
          <w:p>
            <w:pPr>
              <w:rPr>
                <w:rFonts w:ascii="宋体" w:hAnsi="宋体" w:hint="eastAsia"/>
                <w:szCs w:val="28"/>
              </w:rPr>
            </w:pPr>
            <w:r>
              <w:rPr>
                <w:rFonts w:ascii="宋体" w:hAnsi="宋体" w:hint="eastAsia"/>
                <w:szCs w:val="28"/>
              </w:rPr>
              <w:t xml:space="preserve"> 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6</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11</w:t>
            </w:r>
          </w:p>
        </w:tc>
        <w:tc>
          <w:tcPr>
            <w:tcW w:w="2174"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Cs w:val="21"/>
              </w:rPr>
            </w:pPr>
            <w:r>
              <w:rPr>
                <w:rFonts w:hAnsi="宋体" w:hint="eastAsia"/>
                <w:color w:val="000000"/>
                <w:szCs w:val="21"/>
              </w:rPr>
              <w:t>塔吊</w:t>
            </w:r>
          </w:p>
        </w:tc>
        <w:tc>
          <w:tcPr>
            <w:tcW w:w="1204"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QTZ-63</w:t>
            </w:r>
          </w:p>
        </w:tc>
        <w:tc>
          <w:tcPr>
            <w:tcW w:w="72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2</w:t>
            </w:r>
          </w:p>
        </w:tc>
        <w:tc>
          <w:tcPr>
            <w:tcW w:w="966"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rPr>
              <w:t>国产</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Cs w:val="21"/>
              </w:rPr>
            </w:pPr>
            <w:r>
              <w:rPr>
                <w:rFonts w:hAnsi="宋体" w:hint="eastAsia"/>
                <w:color w:val="000000"/>
                <w:szCs w:val="21"/>
                <w:lang w:eastAsia="zh-CN"/>
              </w:rPr>
              <w:t>201</w:t>
            </w:r>
            <w:r>
              <w:rPr>
                <w:rFonts w:hAnsi="宋体" w:hint="eastAsia"/>
                <w:color w:val="000000"/>
                <w:szCs w:val="21"/>
              </w:rPr>
              <w:t>8</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p>
        </w:tc>
      </w:tr>
    </w:tbl>
    <w:p>
      <w:pPr>
        <w:spacing w:line="360" w:lineRule="auto"/>
        <w:rPr>
          <w:rFonts w:hint="eastAsia"/>
          <w:color w:val="000000"/>
          <w:sz w:val="24"/>
        </w:rPr>
      </w:pPr>
      <w:r>
        <w:rPr>
          <w:rFonts w:hint="eastAsia"/>
          <w:color w:val="000000"/>
          <w:sz w:val="24"/>
        </w:rPr>
        <w:t xml:space="preserve">   以上机械为暂定，施工时我公司会根据工程进度要求随时准备机械支援，确保工期要求。</w:t>
      </w:r>
    </w:p>
    <w:p>
      <w:pPr>
        <w:spacing w:line="360" w:lineRule="auto"/>
        <w:ind w:left="420"/>
        <w:rPr>
          <w:rFonts w:hint="eastAsia"/>
          <w:b/>
          <w:color w:val="000000"/>
          <w:sz w:val="24"/>
        </w:rPr>
      </w:pPr>
      <w:r>
        <w:rPr>
          <w:rFonts w:hint="eastAsia"/>
          <w:b/>
          <w:color w:val="000000"/>
          <w:sz w:val="24"/>
        </w:rPr>
        <w:t>三、 材料供应和管理</w:t>
      </w:r>
    </w:p>
    <w:p>
      <w:pPr>
        <w:spacing w:line="360" w:lineRule="auto"/>
        <w:ind w:firstLine="480" w:firstLineChars="200"/>
        <w:rPr>
          <w:rFonts w:ascii="宋体" w:hAnsi="宋体" w:hint="eastAsia"/>
          <w:sz w:val="24"/>
        </w:rPr>
      </w:pPr>
      <w:r>
        <w:rPr>
          <w:rFonts w:ascii="宋体" w:hAnsi="宋体" w:hint="eastAsia"/>
          <w:sz w:val="24"/>
        </w:rPr>
        <w:t>（1）物资采购必须实行质量优先，确保采购物资的质量符合设计、规范和使用要求。</w:t>
      </w:r>
    </w:p>
    <w:p>
      <w:pPr>
        <w:spacing w:line="360" w:lineRule="auto"/>
        <w:ind w:firstLine="480" w:firstLineChars="200"/>
        <w:rPr>
          <w:rFonts w:ascii="宋体" w:hAnsi="宋体" w:hint="eastAsia"/>
          <w:sz w:val="24"/>
        </w:rPr>
      </w:pPr>
      <w:r>
        <w:rPr>
          <w:rFonts w:ascii="宋体" w:hAnsi="宋体" w:hint="eastAsia"/>
          <w:sz w:val="24"/>
        </w:rPr>
        <w:t>（2）物资采购的供方由项目部自行选择但必须进行供方评价，由项目部向供方索取有关评价资料。</w:t>
      </w:r>
    </w:p>
    <w:p>
      <w:pPr>
        <w:spacing w:line="360" w:lineRule="auto"/>
        <w:ind w:firstLine="480" w:firstLineChars="200"/>
        <w:rPr>
          <w:rFonts w:ascii="宋体" w:hAnsi="宋体" w:hint="eastAsia"/>
          <w:sz w:val="24"/>
        </w:rPr>
      </w:pPr>
      <w:r>
        <w:rPr>
          <w:rFonts w:ascii="宋体" w:hAnsi="宋体" w:hint="eastAsia"/>
          <w:sz w:val="24"/>
        </w:rPr>
        <w:t>（3）供方评价的主要资料是营业执照、生产经营资质证、生产许可证、产品合格证、质量体系认证书、企业简介及有关企业资信的资料。</w:t>
      </w:r>
    </w:p>
    <w:p>
      <w:pPr>
        <w:spacing w:line="360" w:lineRule="auto"/>
        <w:ind w:firstLine="480" w:firstLineChars="200"/>
        <w:rPr>
          <w:rFonts w:ascii="宋体" w:hAnsi="宋体" w:hint="eastAsia"/>
          <w:sz w:val="24"/>
        </w:rPr>
      </w:pPr>
      <w:r>
        <w:rPr>
          <w:rFonts w:ascii="宋体" w:hAnsi="宋体" w:hint="eastAsia"/>
          <w:sz w:val="24"/>
        </w:rPr>
        <w:t>（4）依据法律、法规必须签订书面合同，或供需双方约定签订书面合同的由项目部会同供方起草采购合同，报公司工程管理科审核，由公司签订。</w:t>
      </w:r>
    </w:p>
    <w:p>
      <w:pPr>
        <w:spacing w:line="360" w:lineRule="auto"/>
        <w:ind w:firstLine="480" w:firstLineChars="200"/>
        <w:rPr>
          <w:rFonts w:ascii="宋体" w:hAnsi="宋体" w:hint="eastAsia"/>
          <w:sz w:val="24"/>
        </w:rPr>
      </w:pPr>
      <w:r>
        <w:rPr>
          <w:rFonts w:ascii="宋体" w:hAnsi="宋体" w:hint="eastAsia"/>
          <w:sz w:val="24"/>
        </w:rPr>
        <w:t>（5）由建设方提供的物资，应以合同或协议等书面形式加以约定，明确规定提供物资的名称、规格、数量、质量、时间和款项结算等。</w:t>
      </w:r>
    </w:p>
    <w:p>
      <w:pPr>
        <w:spacing w:line="360" w:lineRule="auto"/>
        <w:ind w:firstLine="480" w:firstLineChars="200"/>
        <w:rPr>
          <w:rFonts w:ascii="宋体" w:hAnsi="宋体" w:hint="eastAsia"/>
          <w:sz w:val="24"/>
        </w:rPr>
      </w:pPr>
      <w:r>
        <w:rPr>
          <w:rFonts w:ascii="宋体" w:hAnsi="宋体" w:hint="eastAsia"/>
          <w:sz w:val="24"/>
        </w:rPr>
        <w:t>（6）建设单位提供的物资进场时，项目部材料员和相关管理人员要严格按照合同约定进行验证。检验所提供的物资的名称、规格、数量积产品合格证、质保单等相关质保材料，查验外观质量有否受损。</w:t>
      </w:r>
    </w:p>
    <w:p>
      <w:pPr>
        <w:spacing w:line="360" w:lineRule="auto"/>
        <w:ind w:firstLine="480" w:firstLineChars="200"/>
        <w:rPr>
          <w:rFonts w:ascii="宋体" w:hAnsi="宋体" w:hint="eastAsia"/>
          <w:sz w:val="24"/>
        </w:rPr>
      </w:pPr>
      <w:r>
        <w:rPr>
          <w:rFonts w:ascii="宋体" w:hAnsi="宋体" w:hint="eastAsia"/>
          <w:sz w:val="24"/>
        </w:rPr>
        <w:t>（7）建设单位提供的物资，按规定应做取样试验的必须取样试验。并做好登记以利识别、管理和追溯。</w:t>
      </w:r>
    </w:p>
    <w:p>
      <w:pPr>
        <w:spacing w:line="360" w:lineRule="auto"/>
        <w:ind w:firstLine="480" w:firstLineChars="200"/>
        <w:rPr>
          <w:rFonts w:ascii="宋体" w:hAnsi="宋体" w:hint="eastAsia"/>
          <w:sz w:val="24"/>
        </w:rPr>
      </w:pPr>
      <w:r>
        <w:rPr>
          <w:rFonts w:ascii="宋体" w:hAnsi="宋体" w:hint="eastAsia"/>
          <w:sz w:val="24"/>
        </w:rPr>
        <w:t>（8）所有进场物资，必须由材料员和相关管理人员进行验证。按规范要求进行二次取样，会同监理人员进行现场取样，体验物资的名称、规格、数量和质量。按规定应经监理人员进行验证的，应从其规定。</w:t>
      </w:r>
    </w:p>
    <w:p>
      <w:pPr>
        <w:spacing w:line="360" w:lineRule="auto"/>
        <w:ind w:firstLine="480" w:firstLineChars="200"/>
        <w:rPr>
          <w:rFonts w:ascii="宋体" w:hAnsi="宋体" w:hint="eastAsia"/>
          <w:sz w:val="24"/>
        </w:rPr>
      </w:pPr>
      <w:r>
        <w:rPr>
          <w:rFonts w:ascii="宋体" w:hAnsi="宋体" w:hint="eastAsia"/>
          <w:sz w:val="24"/>
        </w:rPr>
        <w:t>（9）进场物资应随货提供相关质量证书或资料，材料员应及时索取，以便验证。</w:t>
      </w:r>
    </w:p>
    <w:p>
      <w:pPr>
        <w:spacing w:line="360" w:lineRule="auto"/>
        <w:ind w:firstLine="600" w:firstLineChars="250"/>
        <w:rPr>
          <w:rFonts w:ascii="宋体" w:hAnsi="宋体" w:hint="eastAsia"/>
          <w:sz w:val="24"/>
        </w:rPr>
      </w:pPr>
      <w:r>
        <w:rPr>
          <w:rFonts w:ascii="宋体" w:hAnsi="宋体" w:hint="eastAsia"/>
          <w:sz w:val="24"/>
        </w:rPr>
        <w:t>（10）项目部的自行验证或监理人员的验证，均应及时办理签证手续。</w:t>
      </w:r>
    </w:p>
    <w:p>
      <w:pPr>
        <w:spacing w:line="360" w:lineRule="auto"/>
        <w:ind w:firstLine="600" w:firstLineChars="250"/>
        <w:rPr>
          <w:rFonts w:ascii="宋体" w:hAnsi="宋体" w:hint="eastAsia"/>
          <w:sz w:val="24"/>
        </w:rPr>
      </w:pPr>
      <w:r>
        <w:rPr>
          <w:rFonts w:ascii="宋体" w:hAnsi="宋体" w:hint="eastAsia"/>
          <w:sz w:val="24"/>
        </w:rPr>
        <w:t>（11</w:t>
      </w:r>
      <w:r>
        <w:rPr>
          <w:rFonts w:ascii="宋体" w:hAnsi="宋体"/>
          <w:sz w:val="24"/>
        </w:rPr>
        <w:t>）</w:t>
      </w:r>
      <w:r>
        <w:rPr>
          <w:rFonts w:ascii="宋体" w:hAnsi="宋体" w:hint="eastAsia"/>
          <w:sz w:val="24"/>
        </w:rPr>
        <w:t>对进场物资中不符合质量标准或合同约定的货物，应拒收入库内，并做好标识，以防止误用。</w:t>
      </w:r>
    </w:p>
    <w:p>
      <w:pPr>
        <w:spacing w:line="360" w:lineRule="auto"/>
        <w:ind w:firstLine="600" w:firstLineChars="250"/>
        <w:rPr>
          <w:rFonts w:ascii="宋体" w:hAnsi="宋体" w:hint="eastAsia"/>
          <w:sz w:val="24"/>
        </w:rPr>
        <w:sectPr>
          <w:footerReference w:type="even" r:id="rId24"/>
          <w:type w:val="nextPage"/>
          <w:pgSz w:w="11906" w:h="16838"/>
          <w:pgMar w:top="1440" w:right="1800" w:bottom="1440" w:left="1800" w:header="851" w:footer="992" w:gutter="0"/>
          <w:pgNumType w:start="17"/>
          <w:cols w:space="708"/>
          <w:titlePg w:val="0"/>
          <w:docGrid w:type="lines" w:linePitch="312"/>
        </w:sectPr>
      </w:pPr>
    </w:p>
    <w:p>
      <w:pPr>
        <w:spacing w:line="360" w:lineRule="auto"/>
        <w:ind w:firstLine="600" w:firstLineChars="250"/>
        <w:rPr>
          <w:rFonts w:ascii="宋体" w:hAnsi="宋体" w:hint="eastAsia"/>
          <w:sz w:val="24"/>
        </w:rPr>
      </w:pPr>
      <w:r>
        <w:rPr>
          <w:rFonts w:ascii="宋体" w:hAnsi="宋体" w:hint="eastAsia"/>
          <w:sz w:val="24"/>
        </w:rPr>
        <w:t>（12）在露天存放的大宗物资，应根据场布图堆放，按品种、规格堆放整齐有序。并案规定标识。</w:t>
      </w:r>
    </w:p>
    <w:p>
      <w:pPr>
        <w:spacing w:line="360" w:lineRule="auto"/>
        <w:ind w:firstLine="600" w:firstLineChars="250"/>
        <w:rPr>
          <w:rFonts w:ascii="宋体" w:hAnsi="宋体" w:hint="eastAsia"/>
          <w:sz w:val="24"/>
        </w:rPr>
      </w:pPr>
      <w:r>
        <w:rPr>
          <w:rFonts w:ascii="宋体" w:hAnsi="宋体" w:hint="eastAsia"/>
          <w:sz w:val="24"/>
        </w:rPr>
        <w:t>（13）进场的易燃易爆等危险品，应专库存放，专人负责保管，配备必要的灭火器材，悬挂危险警示牌。</w:t>
      </w:r>
    </w:p>
    <w:p>
      <w:pPr>
        <w:spacing w:line="360" w:lineRule="auto"/>
        <w:ind w:firstLine="600" w:firstLineChars="250"/>
        <w:rPr>
          <w:rFonts w:ascii="宋体" w:hAnsi="宋体" w:hint="eastAsia"/>
          <w:sz w:val="24"/>
        </w:rPr>
      </w:pPr>
      <w:r>
        <w:rPr>
          <w:rFonts w:ascii="宋体" w:hAnsi="宋体" w:hint="eastAsia"/>
          <w:sz w:val="24"/>
        </w:rPr>
        <w:t>（14）露天或室外保存的物资，应根据不同的特性，做好防火、防盗及防水等防范工作，以免损坏物资，影响质量。</w:t>
      </w:r>
    </w:p>
    <w:p>
      <w:pPr>
        <w:spacing w:line="360" w:lineRule="auto"/>
        <w:ind w:firstLine="600" w:firstLineChars="250"/>
        <w:rPr>
          <w:rFonts w:ascii="宋体" w:hAnsi="宋体" w:hint="eastAsia"/>
          <w:sz w:val="24"/>
        </w:rPr>
      </w:pPr>
      <w:r>
        <w:rPr>
          <w:rFonts w:ascii="宋体" w:hAnsi="宋体" w:hint="eastAsia"/>
          <w:sz w:val="24"/>
        </w:rPr>
        <w:t>（15）项目部要加强对作业班组的检查监督，合理使用原材料，并及时整理回收剩余物资，做到工完料清。</w:t>
      </w:r>
    </w:p>
    <w:p>
      <w:pPr>
        <w:spacing w:line="360" w:lineRule="auto"/>
        <w:ind w:firstLine="600" w:firstLineChars="250"/>
        <w:rPr>
          <w:rFonts w:ascii="宋体" w:hAnsi="宋体" w:hint="eastAsia"/>
          <w:sz w:val="24"/>
        </w:rPr>
      </w:pPr>
    </w:p>
    <w:p>
      <w:pPr>
        <w:spacing w:line="360" w:lineRule="auto"/>
        <w:ind w:left="420" w:firstLine="118" w:leftChars="200" w:firstLineChars="49"/>
        <w:rPr>
          <w:rFonts w:hint="eastAsia"/>
          <w:b/>
          <w:color w:val="000000"/>
          <w:sz w:val="24"/>
        </w:rPr>
      </w:pPr>
      <w:r>
        <w:rPr>
          <w:rFonts w:hint="eastAsia"/>
          <w:b/>
          <w:color w:val="000000"/>
          <w:sz w:val="24"/>
        </w:rPr>
        <w:t>四、施工平面布置与用电设计</w:t>
      </w:r>
    </w:p>
    <w:p>
      <w:pPr>
        <w:spacing w:line="360" w:lineRule="auto"/>
        <w:ind w:firstLine="478" w:firstLineChars="199"/>
        <w:rPr>
          <w:rFonts w:ascii="宋体" w:hAnsi="宋体" w:hint="eastAsia"/>
          <w:sz w:val="24"/>
        </w:rPr>
      </w:pPr>
      <w:r>
        <w:rPr>
          <w:rFonts w:ascii="宋体" w:hAnsi="宋体" w:hint="eastAsia"/>
          <w:sz w:val="24"/>
        </w:rPr>
        <w:t>1、本工程设出土口两个个，分别在北侧和东侧，详见挖土路线图，现场共布置塔吊2台，一台在基坑内，设在综合楼旁，塔吊的详图见后面塔吊基础布置图。本工程的生活区等布置见后面附图：总平面布置图。临时设施离开基坑边两倍深度，基坑周边及生活区全部采取混凝土硬化。土方开挖路线及临时道路见土方开挖路线图。</w:t>
      </w:r>
    </w:p>
    <w:p>
      <w:pPr>
        <w:adjustRightInd w:val="0"/>
        <w:snapToGrid w:val="0"/>
        <w:spacing w:line="360" w:lineRule="auto"/>
        <w:ind w:firstLine="480" w:firstLineChars="200"/>
        <w:rPr>
          <w:rFonts w:ascii="宋体" w:hAnsi="宋体" w:hint="eastAsia"/>
          <w:sz w:val="24"/>
        </w:rPr>
      </w:pPr>
      <w:bookmarkStart w:id="21" w:name="_Toc266355915"/>
      <w:r>
        <w:rPr>
          <w:rFonts w:ascii="宋体" w:hAnsi="宋体" w:hint="eastAsia"/>
          <w:sz w:val="24"/>
        </w:rPr>
        <w:t>1.1人员上下通道</w:t>
      </w:r>
      <w:bookmarkEnd w:id="21"/>
    </w:p>
    <w:p>
      <w:pPr>
        <w:adjustRightInd w:val="0"/>
        <w:snapToGrid w:val="0"/>
        <w:spacing w:line="360" w:lineRule="auto"/>
        <w:ind w:firstLine="480" w:firstLineChars="200"/>
        <w:rPr>
          <w:rFonts w:ascii="宋体" w:hAnsi="宋体" w:hint="eastAsia"/>
          <w:sz w:val="24"/>
        </w:rPr>
      </w:pPr>
      <w:r>
        <w:rPr>
          <w:rFonts w:ascii="宋体" w:hAnsi="宋体" w:hint="eastAsia"/>
          <w:sz w:val="24"/>
        </w:rPr>
        <w:t>沿各基坑每隔50米设置一个人员上下通道，同时根据现场实际需要，适时增加或者减少通道。人员通道采用钢管搭设，与地面成60</w:t>
      </w:r>
      <w:r>
        <w:rPr>
          <w:rFonts w:ascii="宋体" w:hAnsi="宋体" w:hint="eastAsia"/>
          <w:sz w:val="24"/>
        </w:rPr>
        <w:t>°</w:t>
      </w:r>
      <w:r>
        <w:rPr>
          <w:rFonts w:ascii="宋体" w:hAnsi="宋体" w:hint="eastAsia"/>
          <w:sz w:val="24"/>
        </w:rPr>
        <w:t>夹角，宽度1.2m，踏步铺设松木板并钉防滑条，钢管护栏高度1.2米并用安全网封闭。</w:t>
      </w:r>
    </w:p>
    <w:p>
      <w:pPr>
        <w:adjustRightInd w:val="0"/>
        <w:snapToGrid w:val="0"/>
        <w:spacing w:line="360" w:lineRule="auto"/>
        <w:ind w:firstLine="480" w:firstLineChars="200"/>
        <w:rPr>
          <w:rFonts w:ascii="宋体" w:hAnsi="宋体" w:hint="eastAsia"/>
          <w:sz w:val="24"/>
        </w:rPr>
      </w:pPr>
      <w:bookmarkStart w:id="22" w:name="_Toc266355916"/>
      <w:r>
        <w:rPr>
          <w:rFonts w:ascii="宋体" w:hAnsi="宋体" w:hint="eastAsia"/>
          <w:sz w:val="24"/>
        </w:rPr>
        <w:t>1.2</w:t>
      </w:r>
      <w:bookmarkEnd w:id="22"/>
      <w:r>
        <w:rPr>
          <w:rFonts w:ascii="宋体" w:hAnsi="宋体" w:hint="eastAsia"/>
          <w:sz w:val="24"/>
        </w:rPr>
        <w:t>坑边硬化</w:t>
      </w:r>
    </w:p>
    <w:p>
      <w:pPr>
        <w:adjustRightInd w:val="0"/>
        <w:snapToGrid w:val="0"/>
        <w:spacing w:line="360" w:lineRule="auto"/>
        <w:ind w:firstLine="480" w:firstLineChars="200"/>
        <w:rPr>
          <w:rFonts w:ascii="宋体" w:hAnsi="宋体" w:hint="eastAsia"/>
          <w:sz w:val="24"/>
        </w:rPr>
      </w:pPr>
      <w:r>
        <w:rPr>
          <w:rFonts w:ascii="宋体" w:hAnsi="宋体" w:hint="eastAsia"/>
          <w:sz w:val="24"/>
        </w:rPr>
        <w:t>基坑周边地面应硬化处理并设置散水，防止水下渗。硬化层混凝土厚度60mm，强度等级C20，硬化范围不小于3m。供人员和翻斗车通行，如场地较小，基坑已到围墙边缘时，用钢管搭设临时便道供人员通行。</w:t>
      </w:r>
    </w:p>
    <w:p>
      <w:pPr>
        <w:adjustRightInd w:val="0"/>
        <w:snapToGrid w:val="0"/>
        <w:spacing w:line="360" w:lineRule="auto"/>
        <w:ind w:firstLine="480" w:firstLineChars="200"/>
        <w:rPr>
          <w:rFonts w:ascii="宋体" w:hAnsi="宋体" w:hint="eastAsia"/>
          <w:sz w:val="24"/>
        </w:rPr>
      </w:pPr>
      <w:bookmarkStart w:id="23" w:name="_Toc266355918"/>
      <w:r>
        <w:rPr>
          <w:rFonts w:ascii="宋体" w:hAnsi="宋体" w:hint="eastAsia"/>
          <w:sz w:val="24"/>
        </w:rPr>
        <w:t>1.3堆场设置</w:t>
      </w:r>
      <w:bookmarkEnd w:id="23"/>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由于本工程场地狭小，场地内不允许土方堆场，所有土方一律外运。钢筋、模板、钢管等材料堆场临时考虑设置在围墙边上，使得尽量远离基坑，确保基坑围护安全。</w:t>
      </w:r>
    </w:p>
    <w:p>
      <w:pPr>
        <w:adjustRightInd w:val="0"/>
        <w:snapToGrid w:val="0"/>
        <w:spacing w:line="360" w:lineRule="auto"/>
        <w:ind w:firstLine="480" w:firstLineChars="200"/>
        <w:rPr>
          <w:rFonts w:ascii="宋体" w:hAnsi="宋体" w:hint="eastAsia"/>
          <w:sz w:val="24"/>
        </w:rPr>
      </w:pPr>
      <w:bookmarkStart w:id="24" w:name="_Toc266355919"/>
      <w:r>
        <w:rPr>
          <w:rFonts w:ascii="宋体" w:hAnsi="宋体" w:hint="eastAsia"/>
          <w:sz w:val="24"/>
        </w:rPr>
        <w:t>1.4施工出入口安全文明布置</w:t>
      </w:r>
      <w:bookmarkEnd w:id="24"/>
    </w:p>
    <w:p>
      <w:pPr>
        <w:adjustRightInd w:val="0"/>
        <w:snapToGrid w:val="0"/>
        <w:spacing w:line="360" w:lineRule="auto"/>
        <w:ind w:firstLine="480" w:firstLineChars="200"/>
        <w:rPr>
          <w:rFonts w:ascii="宋体" w:hAnsi="宋体" w:hint="eastAsia"/>
          <w:sz w:val="24"/>
        </w:rPr>
        <w:sectPr>
          <w:footerReference w:type="even" r:id="rId25"/>
          <w:type w:val="nextPage"/>
          <w:pgSz w:w="11906" w:h="16838"/>
          <w:pgMar w:top="1440" w:right="1800" w:bottom="1440" w:left="1800" w:header="851" w:footer="992" w:gutter="0"/>
          <w:pgNumType w:start="18"/>
          <w:cols w:space="708"/>
          <w:titlePg w:val="0"/>
          <w:docGrid w:type="lines" w:linePitch="312"/>
        </w:sectPr>
      </w:pPr>
    </w:p>
    <w:p>
      <w:pPr>
        <w:adjustRightInd w:val="0"/>
        <w:snapToGrid w:val="0"/>
        <w:spacing w:line="360" w:lineRule="auto"/>
        <w:ind w:firstLine="480" w:firstLineChars="200"/>
        <w:rPr>
          <w:rFonts w:ascii="宋体" w:hAnsi="宋体" w:hint="eastAsia"/>
          <w:sz w:val="24"/>
        </w:rPr>
      </w:pPr>
      <w:r>
        <w:rPr>
          <w:rFonts w:ascii="宋体" w:hAnsi="宋体" w:hint="eastAsia"/>
          <w:sz w:val="24"/>
        </w:rPr>
        <w:t>考虑到基坑开挖时出土方量大，到时在施工现场东西两侧各增设一个临时出口。施工区各出入口处设置汽车冲洗设备，对所有出场车辆进行清洗，泥浆水通过四周截水沟汇集到沉淀池，再排入市政排水管网，沉淀池每隔一段时间清理一次泥浆。</w:t>
      </w:r>
    </w:p>
    <w:p>
      <w:pPr>
        <w:adjustRightInd w:val="0"/>
        <w:snapToGrid w:val="0"/>
        <w:spacing w:line="360" w:lineRule="auto"/>
        <w:ind w:firstLine="480" w:firstLineChars="200"/>
        <w:rPr>
          <w:rFonts w:ascii="宋体" w:hAnsi="宋体" w:hint="eastAsia"/>
          <w:sz w:val="24"/>
        </w:rPr>
      </w:pPr>
      <w:r>
        <w:rPr>
          <w:rFonts w:ascii="宋体" w:hAnsi="宋体" w:hint="eastAsia"/>
          <w:sz w:val="24"/>
        </w:rPr>
        <w:t>所有车辆进入施工场地限速10公里/小时，施工道路出口放置警示标志并安排专人进行交通指挥和疏通。所有土方车辆出场全部采用油布覆盖严实。</w:t>
      </w:r>
    </w:p>
    <w:p>
      <w:pPr>
        <w:adjustRightInd w:val="0"/>
        <w:snapToGrid w:val="0"/>
        <w:spacing w:line="360" w:lineRule="auto"/>
        <w:ind w:firstLine="600" w:firstLineChars="250"/>
        <w:rPr>
          <w:rFonts w:ascii="宋体" w:hAnsi="宋体" w:hint="eastAsia"/>
          <w:sz w:val="24"/>
        </w:rPr>
      </w:pPr>
      <w:r>
        <w:rPr>
          <w:rFonts w:ascii="宋体" w:hAnsi="宋体" w:hint="eastAsia"/>
          <w:sz w:val="24"/>
        </w:rPr>
        <w:t>1.5临设、加工操作棚、运输通道、水泥罐等详见基础施工总平面布置图</w:t>
      </w:r>
    </w:p>
    <w:p>
      <w:pPr>
        <w:spacing w:line="480" w:lineRule="auto"/>
        <w:ind w:firstLine="478" w:firstLineChars="199"/>
        <w:rPr>
          <w:rFonts w:ascii="宋体" w:hAnsi="宋体" w:hint="eastAsia"/>
          <w:color w:val="000000"/>
          <w:sz w:val="24"/>
        </w:rPr>
      </w:pPr>
      <w:r>
        <w:rPr>
          <w:rFonts w:ascii="宋体" w:hAnsi="宋体" w:hint="eastAsia"/>
          <w:sz w:val="24"/>
        </w:rPr>
        <w:t>2</w:t>
      </w:r>
      <w:r>
        <w:rPr>
          <w:rFonts w:ascii="宋体" w:hAnsi="宋体" w:hint="eastAsia"/>
          <w:color w:val="FF0000"/>
          <w:sz w:val="24"/>
        </w:rPr>
        <w:t>、</w:t>
      </w:r>
      <w:r>
        <w:rPr>
          <w:rFonts w:ascii="宋体" w:hAnsi="宋体" w:hint="eastAsia"/>
          <w:color w:val="000000"/>
          <w:sz w:val="24"/>
        </w:rPr>
        <w:t>用电专项设计：</w:t>
      </w:r>
    </w:p>
    <w:p>
      <w:pPr>
        <w:adjustRightInd w:val="0"/>
        <w:snapToGrid w:val="0"/>
        <w:spacing w:line="360" w:lineRule="auto"/>
        <w:ind w:firstLine="480" w:firstLineChars="200"/>
        <w:rPr>
          <w:rFonts w:ascii="宋体" w:hAnsi="宋体" w:hint="eastAsia"/>
          <w:sz w:val="24"/>
        </w:rPr>
      </w:pPr>
      <w:bookmarkStart w:id="25" w:name="_Toc32337"/>
      <w:r>
        <w:rPr>
          <w:rFonts w:ascii="宋体" w:hAnsi="宋体" w:hint="eastAsia"/>
          <w:sz w:val="24"/>
        </w:rPr>
        <w:t xml:space="preserve">2.1配电线路布置 </w:t>
      </w:r>
      <w:bookmarkEnd w:id="25"/>
    </w:p>
    <w:p>
      <w:pPr>
        <w:adjustRightInd w:val="0"/>
        <w:snapToGrid w:val="0"/>
        <w:spacing w:line="360" w:lineRule="auto"/>
        <w:ind w:firstLine="480" w:firstLineChars="200"/>
        <w:rPr>
          <w:rFonts w:ascii="宋体" w:hAnsi="宋体" w:hint="eastAsia"/>
          <w:sz w:val="24"/>
        </w:rPr>
      </w:pPr>
      <w:r>
        <w:rPr>
          <w:rFonts w:ascii="宋体" w:hAnsi="宋体" w:hint="eastAsia"/>
          <w:sz w:val="24"/>
        </w:rPr>
        <w:t>施工用电采用三相五线制配线，用电主线路使用五芯电缆从业主提供的两个变压器位置拉接，入地敷设。根据本工程的施工总平面布置原则及场地特点，施工用电平面与立面分开布设，生活区用电设置在施工现场之外，因此还要分开另行布设。考虑到室外工程的施工，用电线路沿施工围墙布设，避免室外工程施工时二次翻设，影响工期。</w:t>
      </w:r>
    </w:p>
    <w:p>
      <w:pPr>
        <w:adjustRightInd w:val="0"/>
        <w:snapToGrid w:val="0"/>
        <w:spacing w:line="360" w:lineRule="auto"/>
        <w:ind w:firstLine="480" w:firstLineChars="200"/>
        <w:rPr>
          <w:rFonts w:ascii="宋体" w:hAnsi="宋体" w:hint="eastAsia"/>
          <w:sz w:val="24"/>
        </w:rPr>
      </w:pPr>
      <w:bookmarkStart w:id="26" w:name="_Toc12256"/>
      <w:r>
        <w:rPr>
          <w:rFonts w:ascii="宋体" w:hAnsi="宋体" w:hint="eastAsia"/>
          <w:sz w:val="24"/>
        </w:rPr>
        <w:t xml:space="preserve">2.2总配电室布置 </w:t>
      </w:r>
      <w:bookmarkEnd w:id="26"/>
    </w:p>
    <w:p>
      <w:pPr>
        <w:adjustRightInd w:val="0"/>
        <w:snapToGrid w:val="0"/>
        <w:spacing w:line="360" w:lineRule="auto"/>
        <w:ind w:firstLine="480" w:firstLineChars="200"/>
        <w:rPr>
          <w:rFonts w:ascii="宋体" w:hAnsi="宋体" w:hint="eastAsia"/>
          <w:sz w:val="24"/>
        </w:rPr>
      </w:pPr>
      <w:r>
        <w:rPr>
          <w:rFonts w:ascii="宋体" w:hAnsi="宋体" w:hint="eastAsia"/>
          <w:sz w:val="24"/>
        </w:rPr>
        <w:t>（1）设置两个配电室，分别在施工现场的北面和西面，靠近电源业主提供的电源接入位置。</w:t>
      </w:r>
    </w:p>
    <w:p>
      <w:pPr>
        <w:adjustRightInd w:val="0"/>
        <w:snapToGrid w:val="0"/>
        <w:spacing w:line="360" w:lineRule="auto"/>
        <w:ind w:firstLine="480" w:firstLineChars="200"/>
        <w:rPr>
          <w:rFonts w:ascii="宋体" w:hAnsi="宋体" w:hint="eastAsia"/>
          <w:sz w:val="24"/>
        </w:rPr>
      </w:pPr>
      <w:r>
        <w:rPr>
          <w:rFonts w:ascii="宋体" w:hAnsi="宋体" w:hint="eastAsia"/>
          <w:sz w:val="24"/>
        </w:rPr>
        <w:t>（2）配电室的尺寸为3</w:t>
      </w:r>
      <w:r>
        <w:rPr>
          <w:rFonts w:ascii="宋体" w:hAnsi="宋体" w:hint="eastAsia"/>
          <w:sz w:val="24"/>
          <w:lang w:eastAsia="zh-CN"/>
        </w:rPr>
        <w:t>201</w:t>
      </w:r>
      <w:r>
        <w:rPr>
          <w:rFonts w:ascii="宋体" w:hAnsi="宋体" w:hint="eastAsia"/>
          <w:sz w:val="24"/>
        </w:rPr>
        <w:t>×</w:t>
      </w:r>
      <w:r>
        <w:rPr>
          <w:rFonts w:ascii="宋体" w:hAnsi="宋体" w:hint="eastAsia"/>
          <w:sz w:val="24"/>
        </w:rPr>
        <w:t>3500，顶棚与地面的距离为3m；顶部用彩钢板封盖,并搭设两层防护棚。</w:t>
      </w:r>
    </w:p>
    <w:p>
      <w:pPr>
        <w:adjustRightInd w:val="0"/>
        <w:snapToGrid w:val="0"/>
        <w:spacing w:line="360" w:lineRule="auto"/>
        <w:ind w:firstLine="480" w:firstLineChars="200"/>
        <w:rPr>
          <w:rFonts w:ascii="宋体" w:hAnsi="宋体" w:hint="eastAsia"/>
          <w:sz w:val="24"/>
        </w:rPr>
      </w:pPr>
      <w:r>
        <w:rPr>
          <w:rFonts w:ascii="宋体" w:hAnsi="宋体" w:hint="eastAsia"/>
          <w:sz w:val="24"/>
        </w:rPr>
        <w:t xml:space="preserve">（3）配电室围栏上端与其正上方带电部分的净距不小O.075m； </w:t>
      </w:r>
    </w:p>
    <w:p>
      <w:pPr>
        <w:adjustRightInd w:val="0"/>
        <w:snapToGrid w:val="0"/>
        <w:spacing w:line="360" w:lineRule="auto"/>
        <w:ind w:firstLine="480" w:firstLineChars="200"/>
        <w:rPr>
          <w:rFonts w:ascii="宋体" w:hAnsi="宋体" w:hint="eastAsia"/>
          <w:sz w:val="24"/>
        </w:rPr>
      </w:pPr>
      <w:r>
        <w:rPr>
          <w:rFonts w:ascii="宋体" w:hAnsi="宋体" w:hint="eastAsia"/>
          <w:sz w:val="24"/>
        </w:rPr>
        <w:t xml:space="preserve">（4）配电装置的上端距顶棚不小于0.5m； </w:t>
      </w:r>
    </w:p>
    <w:p>
      <w:pPr>
        <w:adjustRightInd w:val="0"/>
        <w:snapToGrid w:val="0"/>
        <w:spacing w:line="360" w:lineRule="auto"/>
        <w:ind w:firstLine="480" w:firstLineChars="200"/>
        <w:rPr>
          <w:rFonts w:ascii="宋体" w:hAnsi="宋体" w:hint="eastAsia"/>
          <w:sz w:val="24"/>
        </w:rPr>
      </w:pPr>
      <w:r>
        <w:rPr>
          <w:rFonts w:ascii="宋体" w:hAnsi="宋体" w:hint="eastAsia"/>
          <w:sz w:val="24"/>
        </w:rPr>
        <w:t xml:space="preserve">（5）配电室的建筑物和构筑物的耐火等级不低于3级，室内配电砂箱和可用于扑灭电气火灾的灭火器。 </w:t>
      </w:r>
    </w:p>
    <w:p>
      <w:pPr>
        <w:adjustRightInd w:val="0"/>
        <w:snapToGrid w:val="0"/>
        <w:spacing w:line="360" w:lineRule="auto"/>
        <w:ind w:firstLine="480" w:firstLineChars="200"/>
        <w:rPr>
          <w:rFonts w:ascii="宋体" w:hAnsi="宋体" w:hint="eastAsia"/>
          <w:sz w:val="24"/>
        </w:rPr>
      </w:pPr>
      <w:bookmarkStart w:id="27" w:name="_Toc31563"/>
      <w:r>
        <w:rPr>
          <w:rFonts w:ascii="宋体" w:hAnsi="宋体" w:hint="eastAsia"/>
          <w:sz w:val="24"/>
        </w:rPr>
        <w:t xml:space="preserve">2.3配电系统布置 </w:t>
      </w:r>
      <w:bookmarkEnd w:id="27"/>
    </w:p>
    <w:p>
      <w:pPr>
        <w:adjustRightInd w:val="0"/>
        <w:snapToGrid w:val="0"/>
        <w:spacing w:line="360" w:lineRule="auto"/>
        <w:ind w:firstLine="480" w:firstLineChars="200"/>
        <w:rPr>
          <w:rFonts w:ascii="宋体" w:hAnsi="宋体" w:hint="eastAsia"/>
          <w:sz w:val="24"/>
        </w:rPr>
      </w:pPr>
      <w:r>
        <w:rPr>
          <w:rFonts w:ascii="宋体" w:hAnsi="宋体" w:hint="eastAsia"/>
          <w:sz w:val="24"/>
        </w:rPr>
        <w:t>配电系统应设置总配电箱、分配电箱、开关箱，实行三级配电。施工用电采用三相五线制配线。总配电箱设在靠近电源处，分配电箱设在用电设备或负荷相对集中的区域，分配电箱与开关箱的距离不超过30m，开关箱与其控制的固定式用电设备的水平距离不超过3m。</w:t>
      </w:r>
    </w:p>
    <w:p>
      <w:pPr>
        <w:spacing w:line="360" w:lineRule="auto"/>
        <w:ind w:firstLine="478" w:firstLineChars="199"/>
        <w:rPr>
          <w:rFonts w:ascii="宋体" w:hAnsi="宋体" w:hint="eastAsia"/>
          <w:color w:val="000000"/>
          <w:sz w:val="24"/>
        </w:rPr>
      </w:pPr>
      <w:r>
        <w:rPr>
          <w:rFonts w:ascii="宋体" w:hAnsi="宋体" w:hint="eastAsia"/>
          <w:color w:val="000000"/>
          <w:sz w:val="24"/>
        </w:rPr>
        <w:t>2.4本工程拟采用用电设备如下：</w:t>
      </w:r>
    </w:p>
    <w:p>
      <w:pPr>
        <w:ind w:firstLine="360" w:firstLineChars="150"/>
        <w:jc w:val="center"/>
        <w:rPr>
          <w:rFonts w:ascii="宋体" w:hAnsi="宋体" w:hint="eastAsia"/>
          <w:b/>
          <w:sz w:val="24"/>
        </w:rPr>
      </w:pPr>
      <w:r>
        <w:rPr>
          <w:rFonts w:ascii="宋体" w:hAnsi="宋体" w:hint="eastAsia"/>
          <w:b/>
          <w:sz w:val="24"/>
        </w:rPr>
        <w:t>施工机械用电一览表</w:t>
      </w:r>
    </w:p>
    <w:tbl>
      <w:tblPr>
        <w:tblStyle w:val="TableNormal"/>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873"/>
        <w:gridCol w:w="1756"/>
        <w:gridCol w:w="1622"/>
        <w:gridCol w:w="1695"/>
        <w:gridCol w:w="1449"/>
        <w:gridCol w:w="1006"/>
      </w:tblGrid>
      <w:tr>
        <w:tblPrEx>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613"/>
        </w:trPr>
        <w:tc>
          <w:tcPr>
            <w:tcW w:w="873"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r>
              <w:rPr>
                <w:rFonts w:hint="eastAsia"/>
                <w:color w:val="000000"/>
                <w:sz w:val="24"/>
              </w:rPr>
              <w:t>序号</w:t>
            </w:r>
          </w:p>
        </w:tc>
        <w:tc>
          <w:tcPr>
            <w:tcW w:w="175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r>
              <w:rPr>
                <w:rFonts w:hint="eastAsia"/>
                <w:color w:val="000000"/>
                <w:sz w:val="24"/>
              </w:rPr>
              <w:t>机械或</w:t>
            </w:r>
          </w:p>
          <w:p>
            <w:pPr>
              <w:jc w:val="center"/>
              <w:rPr>
                <w:color w:val="000000"/>
                <w:sz w:val="24"/>
              </w:rPr>
            </w:pPr>
            <w:r>
              <w:rPr>
                <w:rFonts w:hint="eastAsia"/>
                <w:color w:val="000000"/>
                <w:sz w:val="24"/>
              </w:rPr>
              <w:t>设备名称</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r>
              <w:rPr>
                <w:rFonts w:hint="eastAsia"/>
                <w:color w:val="000000"/>
                <w:sz w:val="24"/>
              </w:rPr>
              <w:t>功率（kw）</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r>
              <w:rPr>
                <w:rFonts w:hint="eastAsia"/>
                <w:color w:val="000000"/>
                <w:sz w:val="24"/>
              </w:rPr>
              <w:t>数量</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r>
              <w:rPr>
                <w:rFonts w:hint="eastAsia"/>
                <w:color w:val="000000"/>
                <w:sz w:val="24"/>
              </w:rPr>
              <w:t>总功率（kw）</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r>
              <w:rPr>
                <w:rFonts w:hint="eastAsia"/>
                <w:color w:val="000000"/>
                <w:sz w:val="24"/>
              </w:rPr>
              <w:t>备注</w:t>
            </w: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4</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int="eastAsia"/>
                <w:sz w:val="24"/>
              </w:rPr>
            </w:pPr>
            <w:r>
              <w:rPr>
                <w:rFonts w:hint="eastAsia"/>
                <w:sz w:val="24"/>
              </w:rPr>
              <w:t>潜水泵</w:t>
            </w:r>
            <w:r>
              <w:rPr>
                <w:sz w:val="24"/>
              </w:rPr>
              <w:t xml:space="preserve">        </w:t>
            </w:r>
            <w:r>
              <w:rPr>
                <w:rFonts w:hint="eastAsia"/>
                <w:sz w:val="24"/>
              </w:rPr>
              <w:t xml:space="preserve"> </w:t>
            </w:r>
            <w:r>
              <w:rPr>
                <w:sz w:val="24"/>
              </w:rPr>
              <w:t xml:space="preserve"> </w:t>
            </w:r>
          </w:p>
        </w:tc>
        <w:tc>
          <w:tcPr>
            <w:tcW w:w="1622" w:type="dxa"/>
            <w:tcBorders>
              <w:top w:val="single" w:sz="4" w:space="0" w:color="auto"/>
              <w:left w:val="single" w:sz="4" w:space="0" w:color="auto"/>
              <w:bottom w:val="single" w:sz="4" w:space="0" w:color="auto"/>
              <w:right w:val="single" w:sz="4" w:space="0" w:color="auto"/>
            </w:tcBorders>
            <w:vAlign w:val="center"/>
          </w:tcPr>
          <w:p>
            <w:pPr>
              <w:ind w:firstLine="600" w:firstLineChars="250"/>
              <w:rPr>
                <w:rFonts w:hint="eastAsia"/>
                <w:sz w:val="24"/>
              </w:rPr>
            </w:pPr>
            <w:r>
              <w:rPr>
                <w:rFonts w:hint="eastAsia"/>
                <w:sz w:val="24"/>
              </w:rPr>
              <w:t>2</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12</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24</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 w:val="24"/>
                <w:highlight w:val="yellow"/>
              </w:rPr>
            </w:pPr>
          </w:p>
        </w:tc>
      </w:tr>
    </w:tbl>
    <w:p>
      <w:pPr>
        <w:sectPr>
          <w:footerReference w:type="even" r:id="rId26"/>
          <w:type w:val="nextPage"/>
          <w:pgSz w:w="11906" w:h="16838"/>
          <w:pgMar w:top="1440" w:right="1800" w:bottom="1440" w:left="1800" w:header="851" w:footer="992" w:gutter="0"/>
          <w:pgNumType w:start="19"/>
          <w:cols w:space="708"/>
          <w:titlePg w:val="0"/>
          <w:docGrid w:type="lines" w:linePitch="312"/>
        </w:sectPr>
      </w:pPr>
    </w:p>
    <w:tbl>
      <w:tblPr>
        <w:tblStyle w:val="TableNormal"/>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873"/>
        <w:gridCol w:w="1756"/>
        <w:gridCol w:w="1622"/>
        <w:gridCol w:w="1695"/>
        <w:gridCol w:w="1449"/>
        <w:gridCol w:w="1006"/>
      </w:tblGrid>
      <w:tr>
        <w:tblPrEx>
          <w:tblW w:w="8401" w:type="dxa"/>
          <w:tblInd w:w="-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5</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轻型井点设备</w:t>
            </w:r>
          </w:p>
        </w:tc>
        <w:tc>
          <w:tcPr>
            <w:tcW w:w="1622" w:type="dxa"/>
            <w:tcBorders>
              <w:top w:val="single" w:sz="4" w:space="0" w:color="auto"/>
              <w:left w:val="single" w:sz="4" w:space="0" w:color="auto"/>
              <w:bottom w:val="single" w:sz="4" w:space="0" w:color="auto"/>
              <w:right w:val="single" w:sz="4" w:space="0" w:color="auto"/>
            </w:tcBorders>
            <w:vAlign w:val="center"/>
          </w:tcPr>
          <w:p>
            <w:pPr>
              <w:rPr>
                <w:rFonts w:hAnsi="宋体" w:hint="eastAsia"/>
                <w:sz w:val="24"/>
              </w:rPr>
            </w:pPr>
            <w:r>
              <w:rPr>
                <w:rFonts w:hAnsi="宋体" w:hint="eastAsia"/>
                <w:sz w:val="24"/>
              </w:rPr>
              <w:t xml:space="preserve">     7.5</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7.5</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6</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旋挖桩机</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 w:val="24"/>
              </w:rPr>
            </w:pPr>
            <w:r>
              <w:rPr>
                <w:rFonts w:hAnsi="宋体" w:hint="eastAsia"/>
                <w:sz w:val="24"/>
              </w:rPr>
              <w:t>37</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3</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111</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7</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两轴搅拌桩机</w:t>
            </w:r>
          </w:p>
        </w:tc>
        <w:tc>
          <w:tcPr>
            <w:tcW w:w="1622"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 xml:space="preserve">     100</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100</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8</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注浆机</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9</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混凝土喷射机</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5.5</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11</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12</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塔吊（QTZ</w:t>
            </w:r>
            <w:r>
              <w:rPr>
                <w:rFonts w:hAnsi="宋体" w:hint="eastAsia"/>
                <w:color w:val="000000"/>
                <w:sz w:val="24"/>
              </w:rPr>
              <w:t>—</w:t>
            </w:r>
            <w:r>
              <w:rPr>
                <w:rFonts w:hAnsi="宋体" w:hint="eastAsia"/>
                <w:color w:val="000000"/>
                <w:sz w:val="24"/>
              </w:rPr>
              <w:t>63）</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37.5</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75</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13</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两轴搅拌桩机配套设备</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20</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20</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spacing w:line="240" w:lineRule="atLeast"/>
              <w:jc w:val="center"/>
              <w:rPr>
                <w:rFonts w:hAnsi="宋体" w:hint="eastAsia"/>
                <w:color w:val="000000"/>
                <w:sz w:val="24"/>
              </w:rPr>
            </w:pPr>
            <w:r>
              <w:rPr>
                <w:rFonts w:hAnsi="宋体" w:hint="eastAsia"/>
                <w:color w:val="000000"/>
                <w:sz w:val="24"/>
              </w:rPr>
              <w:t>14</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 xml:space="preserve"> 空气压缩机</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5.5</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11</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 w:val="24"/>
              </w:rPr>
            </w:pPr>
          </w:p>
        </w:tc>
      </w:tr>
      <w:tr>
        <w:tblPrEx>
          <w:tblW w:w="8401" w:type="dxa"/>
          <w:tblInd w:w="-1" w:type="dxa"/>
          <w:tblLayout w:type="fixed"/>
          <w:tblCellMar>
            <w:top w:w="0" w:type="dxa"/>
            <w:left w:w="108" w:type="dxa"/>
            <w:bottom w:w="0" w:type="dxa"/>
            <w:right w:w="108" w:type="dxa"/>
          </w:tblCellMar>
          <w:tblLook w:val="0000"/>
        </w:tblPrEx>
        <w:trPr>
          <w:trHeight w:val="396"/>
        </w:trPr>
        <w:tc>
          <w:tcPr>
            <w:tcW w:w="873" w:type="dxa"/>
            <w:tcBorders>
              <w:top w:val="single" w:sz="4" w:space="0" w:color="auto"/>
              <w:left w:val="single" w:sz="4" w:space="0" w:color="auto"/>
              <w:bottom w:val="single" w:sz="4" w:space="0" w:color="auto"/>
              <w:right w:val="single" w:sz="4" w:space="0" w:color="auto"/>
            </w:tcBorders>
            <w:vAlign w:val="center"/>
          </w:tcPr>
          <w:p>
            <w:pPr>
              <w:spacing w:line="240" w:lineRule="atLeast"/>
              <w:jc w:val="center"/>
              <w:rPr>
                <w:rFonts w:hAnsi="宋体" w:hint="eastAsia"/>
                <w:color w:val="000000"/>
                <w:sz w:val="24"/>
              </w:rPr>
            </w:pPr>
            <w:r>
              <w:rPr>
                <w:rFonts w:hAnsi="宋体" w:hint="eastAsia"/>
                <w:color w:val="000000"/>
                <w:sz w:val="24"/>
              </w:rPr>
              <w:t>15</w:t>
            </w:r>
          </w:p>
        </w:tc>
        <w:tc>
          <w:tcPr>
            <w:tcW w:w="1756" w:type="dxa"/>
            <w:tcBorders>
              <w:top w:val="single" w:sz="4" w:space="0" w:color="auto"/>
              <w:left w:val="single" w:sz="4" w:space="0" w:color="auto"/>
              <w:bottom w:val="single" w:sz="4" w:space="0" w:color="auto"/>
              <w:right w:val="single" w:sz="4" w:space="0" w:color="auto"/>
            </w:tcBorders>
            <w:vAlign w:val="center"/>
          </w:tcPr>
          <w:p>
            <w:pPr>
              <w:rPr>
                <w:rFonts w:hAnsi="宋体" w:hint="eastAsia"/>
                <w:color w:val="000000"/>
                <w:sz w:val="24"/>
              </w:rPr>
            </w:pPr>
            <w:r>
              <w:rPr>
                <w:rFonts w:hAnsi="宋体" w:hint="eastAsia"/>
                <w:color w:val="000000"/>
                <w:sz w:val="24"/>
              </w:rPr>
              <w:t xml:space="preserve"> 电焊机</w:t>
            </w:r>
          </w:p>
        </w:tc>
        <w:tc>
          <w:tcPr>
            <w:tcW w:w="162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24</w:t>
            </w:r>
          </w:p>
        </w:tc>
        <w:tc>
          <w:tcPr>
            <w:tcW w:w="169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4</w:t>
            </w:r>
          </w:p>
        </w:tc>
        <w:tc>
          <w:tcPr>
            <w:tcW w:w="1449"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color w:val="000000"/>
                <w:sz w:val="24"/>
              </w:rPr>
            </w:pPr>
            <w:r>
              <w:rPr>
                <w:rFonts w:hAnsi="宋体" w:hint="eastAsia"/>
                <w:color w:val="000000"/>
                <w:sz w:val="24"/>
              </w:rPr>
              <w:t>96</w:t>
            </w:r>
          </w:p>
        </w:tc>
        <w:tc>
          <w:tcPr>
            <w:tcW w:w="1006" w:type="dxa"/>
            <w:tcBorders>
              <w:top w:val="single" w:sz="4" w:space="0" w:color="auto"/>
              <w:left w:val="single" w:sz="4" w:space="0" w:color="auto"/>
              <w:bottom w:val="single" w:sz="4" w:space="0" w:color="auto"/>
              <w:right w:val="single" w:sz="4" w:space="0" w:color="auto"/>
            </w:tcBorders>
            <w:vAlign w:val="center"/>
          </w:tcPr>
          <w:p>
            <w:pPr>
              <w:jc w:val="center"/>
              <w:rPr>
                <w:rFonts w:hint="eastAsia"/>
                <w:color w:val="000000"/>
                <w:sz w:val="24"/>
              </w:rPr>
            </w:pPr>
          </w:p>
        </w:tc>
      </w:tr>
    </w:tbl>
    <w:p>
      <w:pPr>
        <w:rPr>
          <w:rFonts w:ascii="宋体" w:hAnsi="宋体" w:hint="eastAsia"/>
          <w:sz w:val="24"/>
        </w:rPr>
      </w:pPr>
    </w:p>
    <w:p>
      <w:pPr>
        <w:spacing w:line="360" w:lineRule="auto"/>
        <w:ind w:firstLine="480" w:firstLineChars="200"/>
        <w:rPr>
          <w:rFonts w:ascii="宋体" w:hAnsi="宋体" w:hint="eastAsia"/>
          <w:sz w:val="24"/>
        </w:rPr>
      </w:pPr>
      <w:r>
        <w:rPr>
          <w:rFonts w:ascii="宋体" w:hAnsi="宋体" w:hint="eastAsia"/>
          <w:sz w:val="24"/>
        </w:rPr>
        <w:t>上列施工主要机械设备表计算用电量</w:t>
      </w:r>
    </w:p>
    <w:p>
      <w:pPr>
        <w:spacing w:line="360" w:lineRule="auto"/>
        <w:ind w:firstLine="480" w:firstLineChars="200"/>
        <w:rPr>
          <w:rFonts w:ascii="宋体" w:hAnsi="宋体" w:hint="eastAsia"/>
          <w:sz w:val="24"/>
        </w:rPr>
      </w:pPr>
      <w:r>
        <w:rPr>
          <w:rFonts w:ascii="宋体" w:hAnsi="宋体" w:hint="eastAsia"/>
          <w:sz w:val="24"/>
        </w:rPr>
        <w:t>总用电量计算:</w:t>
      </w:r>
    </w:p>
    <w:p>
      <w:pPr>
        <w:spacing w:line="360" w:lineRule="auto"/>
        <w:ind w:firstLine="480" w:firstLineChars="200"/>
        <w:rPr>
          <w:rFonts w:ascii="宋体" w:hAnsi="宋体" w:hint="eastAsia"/>
          <w:sz w:val="24"/>
        </w:rPr>
      </w:pPr>
      <w:r>
        <w:rPr>
          <w:rFonts w:ascii="宋体" w:hAnsi="宋体" w:hint="eastAsia"/>
          <w:sz w:val="24"/>
        </w:rPr>
        <w:t>P=1.05~1.10</w:t>
      </w:r>
      <w:r>
        <w:rPr>
          <w:rFonts w:ascii="宋体" w:hAnsi="宋体"/>
          <w:position w:val="-14"/>
          <w:sz w:val="24"/>
        </w:rPr>
        <w:object>
          <v:shape id="Object 3" o:spid="_x0000_i1027" type="#_x0000_t75" style="width:253pt;height:20.01pt;mso-position-horizontal-relative:page;mso-position-vertical-relative:page;mso-wrap-style:square" o:ole="" o:preferrelative="t" filled="f" stroked="f">
            <v:stroke linestyle="single"/>
            <v:imagedata r:id="rId27" o:title=""/>
            <v:path o:extrusionok="f"/>
            <o:lock v:ext="edit" aspectratio="t"/>
          </v:shape>
          <o:OLEObject Type="Embed" ProgID="Equation.3" ShapeID="Object 3" DrawAspect="Content" ObjectID="_1234567890" r:id="rId28"/>
        </w:object>
      </w:r>
    </w:p>
    <w:p>
      <w:pPr>
        <w:spacing w:line="360" w:lineRule="auto"/>
        <w:ind w:firstLine="480" w:firstLineChars="200"/>
        <w:rPr>
          <w:rFonts w:ascii="宋体" w:hAnsi="宋体" w:hint="eastAsia"/>
          <w:sz w:val="24"/>
        </w:rPr>
      </w:pPr>
      <w:r>
        <w:rPr>
          <w:rFonts w:ascii="宋体" w:hAnsi="宋体" w:hint="eastAsia"/>
          <w:sz w:val="24"/>
        </w:rPr>
        <w:t>式中  P</w:t>
      </w:r>
      <w:r>
        <w:rPr>
          <w:rFonts w:ascii="宋体" w:hAnsi="宋体" w:hint="eastAsia"/>
          <w:sz w:val="24"/>
        </w:rPr>
        <w:t>—</w:t>
      </w:r>
      <w:r>
        <w:rPr>
          <w:rFonts w:ascii="宋体" w:hAnsi="宋体" w:hint="eastAsia"/>
          <w:sz w:val="24"/>
        </w:rPr>
        <w:t>供电设备总需要容量（KVA</w:t>
      </w:r>
      <w:r>
        <w:rPr>
          <w:rFonts w:ascii="宋体" w:hAnsi="宋体"/>
          <w:sz w:val="24"/>
        </w:rPr>
        <w:t>）</w:t>
      </w:r>
      <w:r>
        <w:rPr>
          <w:rFonts w:ascii="宋体" w:hAnsi="宋体" w:hint="eastAsia"/>
          <w:sz w:val="24"/>
        </w:rPr>
        <w:t>；</w:t>
      </w:r>
    </w:p>
    <w:p>
      <w:pPr>
        <w:spacing w:line="360" w:lineRule="auto"/>
        <w:rPr>
          <w:rFonts w:ascii="宋体" w:hAnsi="宋体" w:hint="eastAsia"/>
          <w:sz w:val="24"/>
        </w:rPr>
      </w:pPr>
      <w:r>
        <w:rPr>
          <w:rFonts w:ascii="宋体" w:hAnsi="宋体" w:hint="eastAsia"/>
          <w:sz w:val="24"/>
        </w:rPr>
        <w:t xml:space="preserve">      P1</w:t>
      </w:r>
      <w:r>
        <w:rPr>
          <w:rFonts w:ascii="宋体" w:hAnsi="宋体" w:hint="eastAsia"/>
          <w:sz w:val="24"/>
        </w:rPr>
        <w:t>—</w:t>
      </w:r>
      <w:r>
        <w:rPr>
          <w:rFonts w:ascii="宋体" w:hAnsi="宋体" w:hint="eastAsia"/>
          <w:sz w:val="24"/>
        </w:rPr>
        <w:t>电动机额定功率（KW）；</w:t>
      </w:r>
    </w:p>
    <w:p>
      <w:pPr>
        <w:spacing w:line="360" w:lineRule="auto"/>
        <w:rPr>
          <w:rFonts w:ascii="宋体" w:hAnsi="宋体" w:hint="eastAsia"/>
          <w:sz w:val="24"/>
        </w:rPr>
      </w:pPr>
      <w:r>
        <w:rPr>
          <w:rFonts w:ascii="宋体" w:hAnsi="宋体" w:hint="eastAsia"/>
          <w:sz w:val="24"/>
        </w:rPr>
        <w:t xml:space="preserve">      P2</w:t>
      </w:r>
      <w:r>
        <w:rPr>
          <w:rFonts w:ascii="宋体" w:hAnsi="宋体" w:hint="eastAsia"/>
          <w:sz w:val="24"/>
        </w:rPr>
        <w:t>—</w:t>
      </w:r>
      <w:r>
        <w:rPr>
          <w:rFonts w:ascii="宋体" w:hAnsi="宋体" w:hint="eastAsia"/>
          <w:sz w:val="24"/>
        </w:rPr>
        <w:t>电焊机额定功率（KW</w:t>
      </w:r>
      <w:r>
        <w:rPr>
          <w:rFonts w:ascii="宋体" w:hAnsi="宋体"/>
          <w:sz w:val="24"/>
        </w:rPr>
        <w:t>）</w:t>
      </w:r>
      <w:r>
        <w:rPr>
          <w:rFonts w:ascii="宋体" w:hAnsi="宋体" w:hint="eastAsia"/>
          <w:sz w:val="24"/>
        </w:rPr>
        <w:t>；</w:t>
      </w:r>
    </w:p>
    <w:p>
      <w:pPr>
        <w:spacing w:line="360" w:lineRule="auto"/>
        <w:rPr>
          <w:rFonts w:ascii="宋体" w:hAnsi="宋体" w:hint="eastAsia"/>
          <w:sz w:val="24"/>
        </w:rPr>
      </w:pPr>
      <w:r>
        <w:rPr>
          <w:rFonts w:ascii="宋体" w:hAnsi="宋体" w:hint="eastAsia"/>
          <w:sz w:val="24"/>
        </w:rPr>
        <w:t xml:space="preserve">      P3</w:t>
      </w:r>
      <w:r>
        <w:rPr>
          <w:rFonts w:ascii="宋体" w:hAnsi="宋体" w:hint="eastAsia"/>
          <w:sz w:val="24"/>
        </w:rPr>
        <w:t>—</w:t>
      </w:r>
      <w:r>
        <w:rPr>
          <w:rFonts w:ascii="宋体" w:hAnsi="宋体" w:hint="eastAsia"/>
          <w:sz w:val="24"/>
        </w:rPr>
        <w:t>室内照明容量（KW</w:t>
      </w:r>
      <w:r>
        <w:rPr>
          <w:rFonts w:ascii="宋体" w:hAnsi="宋体"/>
          <w:sz w:val="24"/>
        </w:rPr>
        <w:t>）</w:t>
      </w:r>
      <w:r>
        <w:rPr>
          <w:rFonts w:ascii="宋体" w:hAnsi="宋体" w:hint="eastAsia"/>
          <w:sz w:val="24"/>
        </w:rPr>
        <w:t>；</w:t>
      </w:r>
    </w:p>
    <w:p>
      <w:pPr>
        <w:spacing w:line="360" w:lineRule="auto"/>
        <w:rPr>
          <w:rFonts w:ascii="宋体" w:hAnsi="宋体" w:hint="eastAsia"/>
          <w:sz w:val="24"/>
        </w:rPr>
      </w:pPr>
      <w:r>
        <w:rPr>
          <w:rFonts w:ascii="宋体" w:hAnsi="宋体" w:hint="eastAsia"/>
          <w:sz w:val="24"/>
        </w:rPr>
        <w:t xml:space="preserve">      P4</w:t>
      </w:r>
      <w:r>
        <w:rPr>
          <w:rFonts w:ascii="宋体" w:hAnsi="宋体" w:hint="eastAsia"/>
          <w:sz w:val="24"/>
        </w:rPr>
        <w:t>—</w:t>
      </w:r>
      <w:r>
        <w:rPr>
          <w:rFonts w:ascii="宋体" w:hAnsi="宋体" w:hint="eastAsia"/>
          <w:sz w:val="24"/>
        </w:rPr>
        <w:t>室外照明容量（KW</w:t>
      </w:r>
      <w:r>
        <w:rPr>
          <w:rFonts w:ascii="宋体" w:hAnsi="宋体"/>
          <w:sz w:val="24"/>
        </w:rPr>
        <w:t>）</w:t>
      </w:r>
      <w:r>
        <w:rPr>
          <w:rFonts w:ascii="宋体" w:hAnsi="宋体" w:hint="eastAsia"/>
          <w:sz w:val="24"/>
        </w:rPr>
        <w:t>；</w:t>
      </w:r>
    </w:p>
    <w:p>
      <w:pPr>
        <w:spacing w:line="360" w:lineRule="auto"/>
        <w:rPr>
          <w:rFonts w:ascii="宋体" w:hAnsi="宋体" w:hint="eastAsia"/>
          <w:sz w:val="24"/>
        </w:rPr>
      </w:pPr>
      <w:r>
        <w:rPr>
          <w:rFonts w:ascii="宋体" w:hAnsi="宋体" w:hint="eastAsia"/>
          <w:sz w:val="24"/>
        </w:rPr>
        <w:t xml:space="preserve">      </w:t>
      </w:r>
      <w:r>
        <w:rPr>
          <w:rFonts w:ascii="宋体" w:hAnsi="宋体"/>
          <w:sz w:val="24"/>
        </w:rPr>
        <w:t>C</w:t>
      </w:r>
      <w:r>
        <w:rPr>
          <w:rFonts w:ascii="宋体" w:hAnsi="宋体" w:hint="eastAsia"/>
          <w:sz w:val="24"/>
        </w:rPr>
        <w:t>os</w:t>
      </w:r>
      <w:r>
        <w:rPr>
          <w:rFonts w:ascii="宋体" w:hAnsi="宋体"/>
          <w:position w:val="-10"/>
          <w:sz w:val="24"/>
        </w:rPr>
        <w:object>
          <v:shape id="Object 4" o:spid="_x0000_i1028" type="#_x0000_t75" style="width:10.02pt;height:15.98pt;mso-position-horizontal-relative:page;mso-position-vertical-relative:page;mso-wrap-style:square" o:ole="" o:preferrelative="t" filled="f" stroked="f">
            <v:stroke linestyle="single"/>
            <v:imagedata r:id="rId29" o:title=""/>
            <v:path o:extrusionok="f"/>
            <o:lock v:ext="edit" aspectratio="t"/>
          </v:shape>
          <o:OLEObject Type="Embed" ProgID="Equation.3" ShapeID="Object 4" DrawAspect="Content" ObjectID="_1234567891" r:id="rId30"/>
        </w:object>
      </w:r>
      <w:r>
        <w:rPr>
          <w:rFonts w:ascii="宋体" w:hAnsi="宋体" w:hint="eastAsia"/>
          <w:sz w:val="24"/>
        </w:rPr>
        <w:t>—</w:t>
      </w:r>
      <w:r>
        <w:rPr>
          <w:rFonts w:ascii="宋体" w:hAnsi="宋体" w:hint="eastAsia"/>
          <w:sz w:val="24"/>
        </w:rPr>
        <w:t>电动机的平均功率因素；</w:t>
      </w:r>
    </w:p>
    <w:p>
      <w:pPr>
        <w:spacing w:line="360" w:lineRule="auto"/>
        <w:rPr>
          <w:rFonts w:ascii="宋体" w:hAnsi="宋体" w:hint="eastAsia"/>
          <w:sz w:val="24"/>
        </w:rPr>
      </w:pPr>
      <w:r>
        <w:rPr>
          <w:rFonts w:ascii="宋体" w:hAnsi="宋体" w:hint="eastAsia"/>
          <w:sz w:val="24"/>
        </w:rPr>
        <w:t xml:space="preserve">      K1、K2、K3、K4</w:t>
      </w:r>
      <w:r>
        <w:rPr>
          <w:rFonts w:ascii="宋体" w:hAnsi="宋体" w:hint="eastAsia"/>
          <w:sz w:val="24"/>
        </w:rPr>
        <w:t>—</w:t>
      </w:r>
      <w:r>
        <w:rPr>
          <w:rFonts w:ascii="宋体" w:hAnsi="宋体" w:hint="eastAsia"/>
          <w:sz w:val="24"/>
        </w:rPr>
        <w:t>需要系数。</w:t>
      </w:r>
    </w:p>
    <w:p>
      <w:pPr>
        <w:spacing w:line="360" w:lineRule="auto"/>
        <w:ind w:firstLine="360" w:firstLineChars="150"/>
        <w:rPr>
          <w:rFonts w:ascii="宋体" w:hAnsi="宋体" w:hint="eastAsia"/>
          <w:sz w:val="24"/>
        </w:rPr>
      </w:pPr>
      <w:r>
        <w:rPr>
          <w:rFonts w:ascii="宋体" w:hAnsi="宋体" w:hint="eastAsia"/>
          <w:sz w:val="24"/>
        </w:rPr>
        <w:t>根据设备投入用电情况：</w:t>
      </w:r>
    </w:p>
    <w:p>
      <w:pPr>
        <w:spacing w:line="360" w:lineRule="auto"/>
        <w:ind w:firstLine="360" w:firstLineChars="150"/>
        <w:rPr>
          <w:rFonts w:ascii="宋体" w:hAnsi="宋体" w:hint="eastAsia"/>
          <w:sz w:val="24"/>
        </w:rPr>
      </w:pPr>
      <w:r>
        <w:rPr>
          <w:rFonts w:ascii="宋体" w:hAnsi="宋体" w:hint="eastAsia"/>
          <w:sz w:val="24"/>
        </w:rPr>
        <w:t>∑</w:t>
      </w:r>
      <w:r>
        <w:rPr>
          <w:rFonts w:ascii="宋体" w:hAnsi="宋体" w:hint="eastAsia"/>
          <w:sz w:val="24"/>
        </w:rPr>
        <w:t xml:space="preserve">P1=361.5   </w:t>
      </w:r>
      <w:r>
        <w:rPr>
          <w:rFonts w:ascii="宋体" w:hAnsi="宋体" w:hint="eastAsia"/>
          <w:sz w:val="24"/>
        </w:rPr>
        <w:t>∑</w:t>
      </w:r>
      <w:r>
        <w:rPr>
          <w:rFonts w:ascii="宋体" w:hAnsi="宋体" w:hint="eastAsia"/>
          <w:sz w:val="24"/>
        </w:rPr>
        <w:t>P2=96      P3、P4按动力10%计算</w:t>
      </w:r>
    </w:p>
    <w:p>
      <w:pPr>
        <w:spacing w:line="360" w:lineRule="auto"/>
        <w:rPr>
          <w:rFonts w:ascii="宋体" w:hAnsi="宋体" w:hint="eastAsia"/>
          <w:sz w:val="24"/>
        </w:rPr>
      </w:pPr>
      <w:r>
        <w:rPr>
          <w:rFonts w:ascii="宋体" w:hAnsi="宋体" w:hint="eastAsia"/>
          <w:sz w:val="24"/>
        </w:rPr>
        <w:t xml:space="preserve">   取K1=0.5    K2=0.6   Cos</w:t>
      </w:r>
      <w:r>
        <w:rPr>
          <w:rFonts w:ascii="宋体" w:hAnsi="宋体"/>
          <w:position w:val="-10"/>
          <w:sz w:val="24"/>
        </w:rPr>
        <w:object>
          <v:shape id="Object 5" o:spid="_x0000_i1029" type="#_x0000_t75" style="width:10.02pt;height:15.98pt;mso-position-horizontal-relative:page;mso-position-vertical-relative:page;mso-wrap-style:square" o:ole="" o:preferrelative="t" filled="f" stroked="f">
            <v:stroke linestyle="single"/>
            <v:imagedata r:id="rId31" o:title=""/>
            <v:path o:extrusionok="f"/>
            <o:lock v:ext="edit" aspectratio="t"/>
          </v:shape>
          <o:OLEObject Type="Embed" ProgID="Equation.3" ShapeID="Object 5" DrawAspect="Content" ObjectID="_1234567892" r:id="rId32"/>
        </w:object>
      </w:r>
      <w:r>
        <w:rPr>
          <w:rFonts w:ascii="宋体" w:hAnsi="宋体" w:hint="eastAsia"/>
          <w:sz w:val="24"/>
        </w:rPr>
        <w:t>=0.75</w:t>
      </w:r>
    </w:p>
    <w:p>
      <w:pPr>
        <w:spacing w:line="360" w:lineRule="auto"/>
        <w:ind w:firstLine="720" w:firstLineChars="300"/>
        <w:rPr>
          <w:rFonts w:ascii="宋体" w:hAnsi="宋体" w:hint="eastAsia"/>
          <w:sz w:val="24"/>
        </w:rPr>
      </w:pPr>
      <w:r>
        <w:rPr>
          <w:rFonts w:ascii="宋体" w:hAnsi="宋体" w:hint="eastAsia"/>
          <w:sz w:val="24"/>
        </w:rPr>
        <w:t xml:space="preserve">则总用电量：    </w:t>
      </w:r>
    </w:p>
    <w:p>
      <w:pPr>
        <w:spacing w:line="360" w:lineRule="auto"/>
        <w:ind w:firstLine="720" w:firstLineChars="300"/>
        <w:rPr>
          <w:rFonts w:ascii="宋体" w:hAnsi="宋体" w:hint="eastAsia"/>
          <w:sz w:val="24"/>
        </w:rPr>
      </w:pPr>
      <w:r>
        <w:rPr>
          <w:rFonts w:ascii="宋体" w:hAnsi="宋体" w:hint="eastAsia"/>
          <w:sz w:val="24"/>
        </w:rPr>
        <w:t>P=1.05</w:t>
      </w:r>
      <w:r>
        <w:rPr>
          <w:rFonts w:ascii="宋体" w:hAnsi="宋体" w:hint="eastAsia"/>
          <w:sz w:val="24"/>
        </w:rPr>
        <w:t>×</w:t>
      </w:r>
      <w:r>
        <w:rPr>
          <w:rFonts w:ascii="宋体" w:hAnsi="宋体" w:hint="eastAsia"/>
          <w:sz w:val="24"/>
        </w:rPr>
        <w:t>(0.5</w:t>
      </w:r>
      <w:r>
        <w:rPr>
          <w:rFonts w:ascii="宋体" w:hAnsi="宋体" w:hint="eastAsia"/>
          <w:sz w:val="24"/>
        </w:rPr>
        <w:t>×</w:t>
      </w:r>
      <w:r>
        <w:rPr>
          <w:rFonts w:ascii="宋体" w:hAnsi="宋体" w:hint="eastAsia"/>
          <w:sz w:val="24"/>
        </w:rPr>
        <w:t>361.5/0.75+0.6</w:t>
      </w:r>
      <w:r>
        <w:rPr>
          <w:rFonts w:ascii="宋体" w:hAnsi="宋体" w:hint="eastAsia"/>
          <w:sz w:val="24"/>
        </w:rPr>
        <w:t>×</w:t>
      </w:r>
      <w:r>
        <w:rPr>
          <w:rFonts w:ascii="宋体" w:hAnsi="宋体" w:hint="eastAsia"/>
          <w:sz w:val="24"/>
        </w:rPr>
        <w:t xml:space="preserve">96) </w:t>
      </w:r>
      <w:r>
        <w:rPr>
          <w:rFonts w:ascii="宋体" w:hAnsi="宋体" w:hint="eastAsia"/>
          <w:sz w:val="24"/>
        </w:rPr>
        <w:t>×</w:t>
      </w:r>
      <w:r>
        <w:rPr>
          <w:rFonts w:ascii="宋体" w:hAnsi="宋体" w:hint="eastAsia"/>
          <w:sz w:val="24"/>
        </w:rPr>
        <w:t>1.1</w:t>
      </w:r>
    </w:p>
    <w:p>
      <w:pPr>
        <w:spacing w:line="360" w:lineRule="auto"/>
        <w:rPr>
          <w:rFonts w:ascii="宋体" w:hAnsi="宋体" w:hint="eastAsia"/>
          <w:sz w:val="24"/>
        </w:rPr>
      </w:pPr>
      <w:r>
        <w:rPr>
          <w:rFonts w:ascii="宋体" w:hAnsi="宋体" w:hint="eastAsia"/>
          <w:sz w:val="24"/>
        </w:rPr>
        <w:t xml:space="preserve">       =1.05</w:t>
      </w:r>
      <w:r>
        <w:rPr>
          <w:rFonts w:ascii="宋体" w:hAnsi="宋体" w:hint="eastAsia"/>
          <w:sz w:val="24"/>
        </w:rPr>
        <w:t>×</w:t>
      </w:r>
      <w:r>
        <w:rPr>
          <w:rFonts w:ascii="宋体" w:hAnsi="宋体" w:hint="eastAsia"/>
          <w:sz w:val="24"/>
        </w:rPr>
        <w:t>448.6</w:t>
      </w:r>
      <w:r>
        <w:rPr>
          <w:rFonts w:ascii="宋体" w:hAnsi="宋体" w:hint="eastAsia"/>
          <w:sz w:val="24"/>
        </w:rPr>
        <w:t>×</w:t>
      </w:r>
      <w:r>
        <w:rPr>
          <w:rFonts w:ascii="宋体" w:hAnsi="宋体" w:hint="eastAsia"/>
          <w:sz w:val="24"/>
        </w:rPr>
        <w:t>1.1</w:t>
      </w:r>
    </w:p>
    <w:p>
      <w:pPr>
        <w:spacing w:line="360" w:lineRule="auto"/>
        <w:rPr>
          <w:rFonts w:ascii="宋体" w:hAnsi="宋体" w:hint="eastAsia"/>
          <w:sz w:val="24"/>
        </w:rPr>
      </w:pPr>
      <w:r>
        <w:rPr>
          <w:rFonts w:ascii="宋体" w:hAnsi="宋体" w:hint="eastAsia"/>
          <w:sz w:val="24"/>
        </w:rPr>
        <w:t xml:space="preserve">       =345KVA</w:t>
      </w:r>
    </w:p>
    <w:p>
      <w:pPr>
        <w:spacing w:line="360" w:lineRule="auto"/>
        <w:rPr>
          <w:rFonts w:ascii="宋体" w:hAnsi="宋体" w:hint="eastAsia"/>
          <w:sz w:val="24"/>
        </w:rPr>
      </w:pPr>
      <w:r>
        <w:rPr>
          <w:rFonts w:ascii="宋体" w:hAnsi="宋体" w:hint="eastAsia"/>
          <w:sz w:val="24"/>
        </w:rPr>
        <w:t xml:space="preserve">    根据计算，本工程需提供345KVA以上的总电源方可满足基坑施工需要。</w:t>
      </w:r>
    </w:p>
    <w:p>
      <w:pPr>
        <w:spacing w:line="360" w:lineRule="auto"/>
        <w:ind w:left="420" w:firstLine="118" w:leftChars="200" w:firstLineChars="49"/>
        <w:rPr>
          <w:rFonts w:hint="eastAsia"/>
          <w:b/>
          <w:color w:val="000000"/>
          <w:sz w:val="24"/>
        </w:rPr>
        <w:sectPr>
          <w:footerReference w:type="even" r:id="rId33"/>
          <w:type w:val="nextPage"/>
          <w:pgSz w:w="11906" w:h="16838"/>
          <w:pgMar w:top="1440" w:right="1800" w:bottom="1440" w:left="1800" w:header="851" w:footer="992" w:gutter="0"/>
          <w:pgNumType w:start="20"/>
          <w:cols w:space="708"/>
          <w:titlePg w:val="0"/>
          <w:docGrid w:type="lines" w:linePitch="312"/>
        </w:sectPr>
      </w:pPr>
      <w:r>
        <w:rPr>
          <w:rFonts w:hint="eastAsia"/>
          <w:b/>
          <w:color w:val="000000"/>
          <w:sz w:val="24"/>
        </w:rPr>
        <w:t>五、塔吊基础简介</w:t>
      </w:r>
    </w:p>
    <w:p>
      <w:pPr>
        <w:adjustRightInd w:val="0"/>
        <w:snapToGrid w:val="0"/>
        <w:spacing w:line="360" w:lineRule="auto"/>
        <w:ind w:firstLine="480" w:firstLineChars="200"/>
        <w:rPr>
          <w:rFonts w:ascii="宋体" w:hAnsi="宋体" w:hint="eastAsia"/>
          <w:sz w:val="24"/>
        </w:rPr>
      </w:pPr>
      <w:r>
        <w:rPr>
          <w:rFonts w:ascii="宋体" w:hAnsi="宋体" w:hint="eastAsia"/>
          <w:sz w:val="24"/>
        </w:rPr>
        <w:t>1、塔吊基础专项方案</w:t>
      </w:r>
    </w:p>
    <w:p>
      <w:pPr>
        <w:adjustRightInd w:val="0"/>
        <w:snapToGrid w:val="0"/>
        <w:spacing w:line="360" w:lineRule="auto"/>
        <w:ind w:firstLine="480" w:firstLineChars="200"/>
        <w:rPr>
          <w:rFonts w:ascii="宋体" w:hAnsi="宋体" w:hint="eastAsia"/>
          <w:sz w:val="24"/>
        </w:rPr>
      </w:pPr>
      <w:r>
        <w:rPr>
          <w:rFonts w:ascii="宋体" w:hAnsi="宋体" w:hint="eastAsia"/>
          <w:sz w:val="24"/>
        </w:rPr>
        <w:t>根据工程需要，在土方开挖前施工现场先安装2台QTZ63塔吊，其中一台布置在基坑内，具体位置见塔吊布置图。提供垂直运输使用。基础施工过程中所有材料全部用塔吊进行水平和垂直运输，施工前进行塔吊基础的施工和做好塔吊的进场安装调试的准备工作。</w:t>
      </w:r>
      <w:bookmarkStart w:id="28" w:name="_Toc169317877"/>
    </w:p>
    <w:p>
      <w:pPr>
        <w:adjustRightInd w:val="0"/>
        <w:snapToGrid w:val="0"/>
        <w:spacing w:line="360" w:lineRule="auto"/>
        <w:ind w:firstLine="480" w:firstLineChars="200"/>
        <w:rPr>
          <w:rFonts w:ascii="宋体" w:hAnsi="宋体" w:hint="eastAsia"/>
          <w:sz w:val="24"/>
        </w:rPr>
      </w:pPr>
      <w:r>
        <w:rPr>
          <w:rFonts w:ascii="宋体" w:hAnsi="宋体" w:hint="eastAsia"/>
          <w:sz w:val="24"/>
        </w:rPr>
        <w:t>2、塔吊基础施工流程：</w:t>
      </w:r>
      <w:bookmarkEnd w:id="28"/>
    </w:p>
    <w:p>
      <w:pPr>
        <w:adjustRightInd w:val="0"/>
        <w:snapToGrid w:val="0"/>
        <w:spacing w:line="360" w:lineRule="auto"/>
        <w:ind w:firstLine="480" w:firstLineChars="200"/>
        <w:rPr>
          <w:rFonts w:ascii="宋体" w:hAnsi="宋体" w:hint="eastAsia"/>
          <w:sz w:val="24"/>
        </w:rPr>
      </w:pPr>
      <w:r>
        <w:rPr>
          <w:rFonts w:ascii="宋体" w:hAnsi="宋体" w:hint="eastAsia"/>
          <w:sz w:val="24"/>
        </w:rPr>
        <w:pict>
          <v:line id="直线 93" o:spid="_x0000_s1030" style="mso-wrap-style:square;position:absolute;z-index:251660288" from="107.1pt,17.45pt" to="126pt,17.45pt" stroked="f">
            <v:stroke linestyle="single"/>
            <o:lock v:ext="edit" aspectratio="f"/>
          </v:line>
        </w:pict>
      </w:r>
      <w:r>
        <w:rPr>
          <w:rFonts w:ascii="宋体" w:hAnsi="宋体" w:hint="eastAsia"/>
          <w:sz w:val="24"/>
        </w:rPr>
        <w:pict>
          <v:line id="直线 92" o:spid="_x0000_s1031" style="mso-wrap-style:square;position:absolute;z-index:251659264" from="107.1pt,27.4pt" to="119.7pt,27.4pt" stroked="f">
            <v:stroke linestyle="single"/>
            <o:lock v:ext="edit" aspectratio="f"/>
          </v:line>
        </w:pict>
      </w:r>
      <w:r>
        <w:rPr>
          <w:rFonts w:ascii="宋体" w:hAnsi="宋体" w:hint="eastAsia"/>
          <w:sz w:val="24"/>
        </w:rPr>
        <w:pict>
          <v:line id="直线 91" o:spid="_x0000_s1032" style="mso-wrap-style:square;position:absolute;z-index:251658240" from="107.1pt,17.45pt" to="113.4pt,17.45pt" stroked="f">
            <v:stroke linestyle="single"/>
            <o:lock v:ext="edit" aspectratio="f"/>
          </v:line>
        </w:pict>
      </w:r>
      <w:r>
        <w:rPr>
          <w:rFonts w:ascii="宋体" w:hAnsi="宋体" w:hint="eastAsia"/>
          <w:sz w:val="24"/>
        </w:rPr>
        <w:t>①</w:t>
      </w:r>
      <w:r>
        <w:rPr>
          <w:rFonts w:ascii="宋体" w:hAnsi="宋体" w:hint="eastAsia"/>
          <w:sz w:val="24"/>
        </w:rPr>
        <w:t xml:space="preserve">塔基土方开挖   </w:t>
      </w:r>
      <w:r>
        <w:rPr>
          <w:rFonts w:ascii="宋体" w:hAnsi="宋体" w:hint="eastAsia"/>
          <w:sz w:val="24"/>
        </w:rPr>
        <w:t>②</w:t>
      </w:r>
      <w:r>
        <w:rPr>
          <w:rFonts w:ascii="宋体" w:hAnsi="宋体" w:hint="eastAsia"/>
          <w:sz w:val="24"/>
        </w:rPr>
        <w:t xml:space="preserve">垫层施工  </w:t>
      </w:r>
      <w:r>
        <w:rPr>
          <w:rFonts w:ascii="宋体" w:hAnsi="宋体" w:hint="eastAsia"/>
          <w:sz w:val="24"/>
        </w:rPr>
        <w:t>③</w:t>
      </w:r>
      <w:r>
        <w:rPr>
          <w:rFonts w:ascii="宋体" w:hAnsi="宋体" w:hint="eastAsia"/>
          <w:sz w:val="24"/>
        </w:rPr>
        <w:t xml:space="preserve">砖胎模施工  </w:t>
      </w:r>
      <w:r>
        <w:rPr>
          <w:rFonts w:ascii="宋体" w:hAnsi="宋体" w:hint="eastAsia"/>
          <w:sz w:val="24"/>
        </w:rPr>
        <w:t>④</w:t>
      </w:r>
      <w:r>
        <w:rPr>
          <w:rFonts w:ascii="宋体" w:hAnsi="宋体" w:hint="eastAsia"/>
          <w:sz w:val="24"/>
        </w:rPr>
        <w:t xml:space="preserve">塔基砖胎模周边回填  </w:t>
      </w:r>
      <w:r>
        <w:rPr>
          <w:rFonts w:ascii="宋体" w:hAnsi="宋体" w:hint="eastAsia"/>
          <w:sz w:val="24"/>
        </w:rPr>
        <w:t>⑤</w:t>
      </w:r>
      <w:r>
        <w:rPr>
          <w:rFonts w:ascii="宋体" w:hAnsi="宋体" w:hint="eastAsia"/>
          <w:sz w:val="24"/>
        </w:rPr>
        <w:t xml:space="preserve">塔基施工  </w:t>
      </w:r>
      <w:r>
        <w:rPr>
          <w:rFonts w:ascii="宋体" w:hAnsi="宋体" w:hint="eastAsia"/>
          <w:sz w:val="24"/>
        </w:rPr>
        <w:t>⑥</w:t>
      </w:r>
      <w:r>
        <w:rPr>
          <w:rFonts w:ascii="宋体" w:hAnsi="宋体" w:hint="eastAsia"/>
          <w:sz w:val="24"/>
        </w:rPr>
        <w:t xml:space="preserve">塔吊焊接基础节安装  </w:t>
      </w:r>
      <w:r>
        <w:rPr>
          <w:rFonts w:ascii="宋体" w:hAnsi="宋体" w:hint="eastAsia"/>
          <w:sz w:val="24"/>
        </w:rPr>
        <w:t>⑦</w:t>
      </w:r>
      <w:r>
        <w:rPr>
          <w:rFonts w:ascii="宋体" w:hAnsi="宋体" w:hint="eastAsia"/>
          <w:sz w:val="24"/>
        </w:rPr>
        <w:t xml:space="preserve">塔基混凝土施工   </w:t>
      </w:r>
      <w:r>
        <w:rPr>
          <w:rFonts w:ascii="宋体" w:hAnsi="宋体" w:hint="eastAsia"/>
          <w:sz w:val="24"/>
        </w:rPr>
        <w:t>⑧</w:t>
      </w:r>
      <w:r>
        <w:rPr>
          <w:rFonts w:ascii="宋体" w:hAnsi="宋体" w:hint="eastAsia"/>
          <w:sz w:val="24"/>
        </w:rPr>
        <w:t xml:space="preserve">塔吊安装塔吊塔基回填  </w:t>
      </w:r>
      <w:r>
        <w:rPr>
          <w:rFonts w:ascii="宋体" w:hAnsi="宋体" w:hint="eastAsia"/>
          <w:sz w:val="24"/>
        </w:rPr>
        <w:t>⑨</w:t>
      </w:r>
      <w:r>
        <w:rPr>
          <w:rFonts w:ascii="宋体" w:hAnsi="宋体" w:hint="eastAsia"/>
          <w:sz w:val="24"/>
        </w:rPr>
        <w:t xml:space="preserve">地下室垫层  </w:t>
      </w:r>
      <w:r>
        <w:rPr>
          <w:rFonts w:ascii="宋体" w:hAnsi="宋体" w:hint="eastAsia"/>
          <w:sz w:val="24"/>
        </w:rPr>
        <w:t>⑩</w:t>
      </w:r>
      <w:r>
        <w:rPr>
          <w:rFonts w:ascii="宋体" w:hAnsi="宋体" w:hint="eastAsia"/>
          <w:sz w:val="24"/>
        </w:rPr>
        <w:t>地下室底板</w:t>
      </w:r>
    </w:p>
    <w:p>
      <w:pPr>
        <w:adjustRightInd w:val="0"/>
        <w:snapToGrid w:val="0"/>
        <w:spacing w:line="360" w:lineRule="auto"/>
        <w:ind w:firstLine="480" w:firstLineChars="200"/>
        <w:rPr>
          <w:rFonts w:ascii="宋体" w:hAnsi="宋体" w:hint="eastAsia"/>
          <w:sz w:val="24"/>
        </w:rPr>
      </w:pPr>
      <w:r>
        <w:rPr>
          <w:rFonts w:ascii="宋体" w:hAnsi="宋体" w:hint="eastAsia"/>
          <w:sz w:val="24"/>
        </w:rPr>
        <w:t>3、塔吊基础详情</w:t>
      </w:r>
    </w:p>
    <w:p>
      <w:pPr>
        <w:adjustRightInd w:val="0"/>
        <w:snapToGrid w:val="0"/>
        <w:spacing w:line="360" w:lineRule="auto"/>
        <w:ind w:firstLine="480" w:firstLineChars="200"/>
        <w:rPr>
          <w:rFonts w:ascii="宋体" w:hAnsi="宋体" w:hint="eastAsia"/>
          <w:sz w:val="24"/>
        </w:rPr>
      </w:pPr>
      <w:r>
        <w:rPr>
          <w:rFonts w:ascii="宋体" w:hAnsi="宋体" w:hint="eastAsia"/>
          <w:sz w:val="24"/>
        </w:rPr>
        <w:t>根据本工程地质情况及平面布置情况，确定塔吊基础采用钢筋砼承台结合灌注桩基础形式，基础断面尺寸为3.2</w:t>
      </w:r>
      <w:r>
        <w:rPr>
          <w:rFonts w:ascii="宋体" w:hAnsi="宋体" w:hint="eastAsia"/>
          <w:sz w:val="24"/>
        </w:rPr>
        <w:t>×</w:t>
      </w:r>
      <w:r>
        <w:rPr>
          <w:rFonts w:ascii="宋体" w:hAnsi="宋体" w:hint="eastAsia"/>
          <w:sz w:val="24"/>
        </w:rPr>
        <w:t>3.2</w:t>
      </w:r>
      <w:r>
        <w:rPr>
          <w:rFonts w:ascii="宋体" w:hAnsi="宋体" w:hint="eastAsia"/>
          <w:sz w:val="24"/>
        </w:rPr>
        <w:t>×</w:t>
      </w:r>
      <w:r>
        <w:rPr>
          <w:rFonts w:ascii="宋体" w:hAnsi="宋体" w:hint="eastAsia"/>
          <w:sz w:val="24"/>
        </w:rPr>
        <w:t>0.4米，承台基础混凝土为C35，钢筋采用二级钢。桩基础采用4根</w:t>
      </w:r>
      <w:r>
        <w:rPr>
          <w:rFonts w:ascii="宋体" w:hAnsi="宋体" w:hint="eastAsia"/>
          <w:sz w:val="24"/>
        </w:rPr>
        <w:t>Φ</w:t>
      </w:r>
      <w:r>
        <w:rPr>
          <w:rFonts w:ascii="宋体" w:hAnsi="宋体" w:hint="eastAsia"/>
          <w:sz w:val="24"/>
        </w:rPr>
        <w:t>600钻孔灌注桩，桩长约30米。塔吊穿基础底板楼板时，设钢止水带。为保证施工质量，塔吊基础顶面承台低于基础底板。</w:t>
      </w:r>
    </w:p>
    <w:p>
      <w:pPr>
        <w:adjustRightInd w:val="0"/>
        <w:snapToGrid w:val="0"/>
        <w:spacing w:line="360" w:lineRule="auto"/>
        <w:ind w:firstLine="480" w:firstLineChars="200"/>
        <w:rPr>
          <w:rFonts w:ascii="宋体" w:hAnsi="宋体" w:hint="eastAsia"/>
          <w:sz w:val="24"/>
        </w:rPr>
      </w:pPr>
      <w:r>
        <w:rPr>
          <w:rFonts w:ascii="宋体" w:hAnsi="宋体" w:hint="eastAsia"/>
          <w:sz w:val="24"/>
        </w:rPr>
        <w:t>4、塔吊基础开挖时桩的保护</w:t>
      </w:r>
    </w:p>
    <w:p>
      <w:pPr>
        <w:adjustRightInd w:val="0"/>
        <w:snapToGrid w:val="0"/>
        <w:spacing w:line="360" w:lineRule="auto"/>
        <w:ind w:firstLine="480" w:firstLineChars="200"/>
        <w:rPr>
          <w:rFonts w:ascii="宋体" w:hAnsi="宋体" w:hint="eastAsia"/>
          <w:sz w:val="24"/>
        </w:rPr>
      </w:pPr>
      <w:r>
        <w:rPr>
          <w:rFonts w:ascii="宋体" w:hAnsi="宋体" w:hint="eastAsia"/>
          <w:sz w:val="24"/>
        </w:rPr>
        <w:t>塔吊基础开挖时，挖土应分层进行，挖机要慢下轻抬，坑内土方坡度应放缓，防止土体划移导致桩移位、断桩等问题产生，桩两侧土体高差不得超过1m。</w:t>
      </w:r>
    </w:p>
    <w:p>
      <w:pPr>
        <w:adjustRightInd w:val="0"/>
        <w:snapToGrid w:val="0"/>
        <w:spacing w:line="360" w:lineRule="auto"/>
        <w:ind w:firstLine="480" w:firstLineChars="200"/>
        <w:rPr>
          <w:rFonts w:ascii="宋体" w:hAnsi="宋体" w:hint="eastAsia"/>
          <w:sz w:val="24"/>
        </w:rPr>
      </w:pPr>
      <w:r>
        <w:rPr>
          <w:rFonts w:ascii="宋体" w:hAnsi="宋体" w:hint="eastAsia"/>
          <w:sz w:val="24"/>
        </w:rPr>
        <w:t>挖掘机施工中除司机外应派专人在旁看护，保证挖掘机回转半径中塔吊桩的安全。具体详见《塔吊基础施工专项方案》</w:t>
      </w:r>
    </w:p>
    <w:p>
      <w:pPr>
        <w:spacing w:line="360" w:lineRule="auto"/>
        <w:ind w:left="420" w:firstLine="118" w:leftChars="200" w:firstLineChars="49"/>
        <w:rPr>
          <w:rFonts w:hint="eastAsia"/>
          <w:b/>
          <w:color w:val="000000"/>
          <w:sz w:val="24"/>
        </w:rPr>
      </w:pPr>
      <w:r>
        <w:rPr>
          <w:rFonts w:hint="eastAsia"/>
          <w:b/>
          <w:color w:val="000000"/>
          <w:sz w:val="24"/>
        </w:rPr>
        <w:t>六、针对工程难点的应对措施</w:t>
      </w:r>
    </w:p>
    <w:p>
      <w:pPr>
        <w:spacing w:line="360" w:lineRule="auto"/>
        <w:ind w:firstLine="360" w:firstLineChars="150"/>
        <w:rPr>
          <w:rFonts w:hint="eastAsia"/>
          <w:color w:val="000000"/>
          <w:sz w:val="24"/>
        </w:rPr>
      </w:pPr>
      <w:r>
        <w:rPr>
          <w:rFonts w:hint="eastAsia"/>
          <w:color w:val="000000"/>
          <w:sz w:val="24"/>
        </w:rPr>
        <w:t>本工程开挖深度在5米左右，局部加深至7.15米，为深基坑。但现场土质情况较差，开挖土层主要为淤泥质粘土。为流塑质。当有动载，土层承载力变得非常低，这给基坑开挖带来一定难度，同时给施工基坑围护安全带来了不利影响。</w:t>
      </w:r>
    </w:p>
    <w:p>
      <w:pPr>
        <w:adjustRightInd w:val="0"/>
        <w:snapToGrid w:val="0"/>
        <w:spacing w:line="360" w:lineRule="auto"/>
        <w:ind w:firstLine="480" w:firstLineChars="200"/>
        <w:rPr>
          <w:rFonts w:hint="eastAsia"/>
          <w:color w:val="000000"/>
          <w:sz w:val="24"/>
        </w:rPr>
      </w:pPr>
      <w:r>
        <w:rPr>
          <w:rFonts w:hint="eastAsia"/>
          <w:color w:val="000000"/>
          <w:sz w:val="24"/>
        </w:rPr>
        <w:t>首先，淤泥质土首先给土方运输带来了难题，在车辆运输的时候，容易发生陷车甚至翻车等事故。本工程将准备若干的，在车辆运输过程中，如遇采取塘渣回填不能满足要求的时候，将在塘渣车道上铺垫钢构件垫梁，增大车轮承压面，以提高道路的通行能力。保证工期和车辆安全。</w:t>
      </w:r>
    </w:p>
    <w:p>
      <w:pPr>
        <w:adjustRightInd w:val="0"/>
        <w:snapToGrid w:val="0"/>
        <w:spacing w:line="360" w:lineRule="auto"/>
        <w:ind w:firstLine="480" w:firstLineChars="200"/>
        <w:rPr>
          <w:rFonts w:ascii="宋体" w:hAnsi="宋体" w:hint="eastAsia"/>
          <w:sz w:val="24"/>
        </w:rPr>
        <w:sectPr>
          <w:footerReference w:type="even" r:id="rId34"/>
          <w:type w:val="nextPage"/>
          <w:pgSz w:w="11906" w:h="16838"/>
          <w:pgMar w:top="1440" w:right="1800" w:bottom="1440" w:left="1800" w:header="851" w:footer="992" w:gutter="0"/>
          <w:pgNumType w:start="21"/>
          <w:cols w:space="708"/>
          <w:titlePg w:val="0"/>
          <w:docGrid w:type="lines" w:linePitch="312"/>
        </w:sectPr>
      </w:pPr>
    </w:p>
    <w:p>
      <w:pPr>
        <w:adjustRightInd w:val="0"/>
        <w:snapToGrid w:val="0"/>
        <w:spacing w:line="360" w:lineRule="auto"/>
        <w:ind w:firstLine="480" w:firstLineChars="200"/>
        <w:rPr>
          <w:rFonts w:ascii="宋体" w:hAnsi="宋体" w:hint="eastAsia"/>
          <w:sz w:val="24"/>
        </w:rPr>
      </w:pPr>
      <w:r>
        <w:rPr>
          <w:rFonts w:ascii="宋体" w:hAnsi="宋体" w:hint="eastAsia"/>
          <w:sz w:val="24"/>
        </w:rPr>
        <w:t>基坑内设置临时汽车运输坡道，坡道宽8米，路面采用50cm建筑垃圾填筑夯实，再铺设10cm碎石，坡道两边及采用45度1:1自然放坡，正面出土坡道采用1：6放坡，土层用挖机夯实，在土方开挖施工时，要定时对汽车坡道进行检查，防止坡道土方松散、出现滑坡现象。</w:t>
      </w:r>
    </w:p>
    <w:p>
      <w:pPr>
        <w:adjustRightInd w:val="0"/>
        <w:snapToGrid w:val="0"/>
        <w:spacing w:line="360" w:lineRule="auto"/>
        <w:ind w:firstLine="480" w:firstLineChars="200"/>
        <w:rPr>
          <w:rFonts w:ascii="宋体" w:hAnsi="宋体" w:hint="eastAsia"/>
          <w:sz w:val="24"/>
        </w:rPr>
      </w:pPr>
      <w:r>
        <w:rPr>
          <w:rFonts w:ascii="宋体" w:hAnsi="宋体" w:hint="eastAsia"/>
          <w:sz w:val="24"/>
        </w:rPr>
        <w:t>其次，淤泥质土在土方开挖过程中，遇动载的时候，容易受到扰动，因此在土方开挖中，将严格按照保持50公分的保护土层，采用人工开挖。防止地基土受到扰动，同时在开挖完成后，立即进行垫层施工，防止长时间暴露。</w:t>
      </w:r>
    </w:p>
    <w:p>
      <w:pPr>
        <w:adjustRightInd w:val="0"/>
        <w:snapToGrid w:val="0"/>
        <w:spacing w:line="360" w:lineRule="auto"/>
        <w:ind w:firstLine="480" w:firstLineChars="200"/>
        <w:rPr>
          <w:rFonts w:ascii="宋体" w:hAnsi="宋体" w:hint="eastAsia"/>
          <w:sz w:val="24"/>
        </w:rPr>
      </w:pPr>
      <w:r>
        <w:rPr>
          <w:rFonts w:ascii="宋体" w:hAnsi="宋体" w:hint="eastAsia"/>
          <w:sz w:val="24"/>
        </w:rPr>
        <w:t>再次，流塑质土容易滑移，容易对工程桩造成挤压效应，因此在施工中，应严格控制土方开挖每层高度，在立柱桩周围采取四周均匀开挖，开挖的最大高差不大于1米。同时在施工中，第二层施工中（2.8米厚）宜分成两小层施工。防止土方滑动造成施工事故。</w:t>
      </w:r>
    </w:p>
    <w:p>
      <w:pPr>
        <w:adjustRightInd w:val="0"/>
        <w:snapToGrid w:val="0"/>
        <w:spacing w:line="360" w:lineRule="auto"/>
        <w:ind w:firstLine="480" w:firstLineChars="200"/>
        <w:rPr>
          <w:rFonts w:ascii="宋体" w:hAnsi="宋体" w:hint="eastAsia"/>
          <w:sz w:val="24"/>
        </w:rPr>
      </w:pPr>
      <w:r>
        <w:rPr>
          <w:rFonts w:ascii="宋体" w:hAnsi="宋体" w:hint="eastAsia"/>
          <w:sz w:val="24"/>
        </w:rPr>
        <w:t>为保证土方开挖的顺利进行，还应着重做好一下几个方面：</w:t>
      </w:r>
    </w:p>
    <w:p>
      <w:pPr>
        <w:adjustRightInd w:val="0"/>
        <w:snapToGrid w:val="0"/>
        <w:spacing w:line="360" w:lineRule="auto"/>
        <w:ind w:firstLine="480" w:firstLineChars="200"/>
        <w:rPr>
          <w:rFonts w:ascii="宋体" w:hAnsi="宋体" w:hint="eastAsia"/>
          <w:sz w:val="24"/>
        </w:rPr>
      </w:pPr>
      <w:r>
        <w:rPr>
          <w:rFonts w:ascii="宋体" w:hAnsi="宋体" w:hint="eastAsia"/>
          <w:sz w:val="24"/>
        </w:rPr>
        <w:t>1、选择良好的土方施工班组，在下沙当地挑选信誉好、作业优的施工队伍。</w:t>
      </w:r>
    </w:p>
    <w:p>
      <w:pPr>
        <w:adjustRightInd w:val="0"/>
        <w:snapToGrid w:val="0"/>
        <w:spacing w:line="360" w:lineRule="auto"/>
        <w:ind w:firstLine="480" w:firstLineChars="200"/>
        <w:rPr>
          <w:rFonts w:ascii="宋体" w:hAnsi="宋体" w:hint="eastAsia"/>
          <w:sz w:val="24"/>
        </w:rPr>
      </w:pPr>
      <w:r>
        <w:rPr>
          <w:rFonts w:ascii="宋体" w:hAnsi="宋体" w:hint="eastAsia"/>
          <w:sz w:val="24"/>
        </w:rPr>
        <w:t>2、合理安排施工进度及流程，形成流水施工作业。</w:t>
      </w:r>
    </w:p>
    <w:p>
      <w:pPr>
        <w:adjustRightInd w:val="0"/>
        <w:snapToGrid w:val="0"/>
        <w:spacing w:line="360" w:lineRule="auto"/>
        <w:ind w:firstLine="480" w:firstLineChars="200"/>
        <w:rPr>
          <w:rFonts w:ascii="宋体" w:hAnsi="宋体" w:hint="eastAsia"/>
          <w:sz w:val="24"/>
        </w:rPr>
      </w:pPr>
      <w:r>
        <w:rPr>
          <w:rFonts w:ascii="宋体" w:hAnsi="宋体" w:hint="eastAsia"/>
          <w:sz w:val="24"/>
        </w:rPr>
        <w:t>3、基坑土方开挖，严格按施工图纸及施工方案的要求进行。按挖土顺序控制好各层土的开挖深度、开挖范围，并根据基坑监测情况，及时掌握周边建筑、土体沉降、边坡位移等情况。</w:t>
      </w:r>
    </w:p>
    <w:p>
      <w:pPr>
        <w:adjustRightInd w:val="0"/>
        <w:snapToGrid w:val="0"/>
        <w:spacing w:line="360" w:lineRule="auto"/>
        <w:ind w:firstLine="480" w:firstLineChars="200"/>
        <w:rPr>
          <w:rFonts w:ascii="宋体" w:hAnsi="宋体" w:hint="eastAsia"/>
          <w:sz w:val="24"/>
        </w:rPr>
      </w:pPr>
      <w:r>
        <w:rPr>
          <w:rFonts w:ascii="宋体" w:hAnsi="宋体" w:hint="eastAsia"/>
          <w:sz w:val="24"/>
        </w:rPr>
        <w:t>4、安排专人负责场内道路的修整，排除基坑内的明水，安排电工做好夜间施工的照明。安排专人指挥场内道路交通。</w:t>
      </w:r>
    </w:p>
    <w:p>
      <w:pPr>
        <w:spacing w:line="360" w:lineRule="auto"/>
        <w:ind w:firstLine="360" w:firstLineChars="150"/>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pPr>
    </w:p>
    <w:p>
      <w:pPr>
        <w:spacing w:line="360" w:lineRule="auto"/>
        <w:rPr>
          <w:rFonts w:hint="eastAsia"/>
          <w:color w:val="000000"/>
          <w:sz w:val="24"/>
        </w:rPr>
        <w:sectPr>
          <w:footerReference w:type="even" r:id="rId35"/>
          <w:type w:val="nextPage"/>
          <w:pgSz w:w="11906" w:h="16838"/>
          <w:pgMar w:top="1440" w:right="1800" w:bottom="1440" w:left="1800" w:header="851" w:footer="992" w:gutter="0"/>
          <w:pgNumType w:start="22"/>
          <w:cols w:space="708"/>
          <w:titlePg w:val="0"/>
          <w:docGrid w:type="lines" w:linePitch="312"/>
        </w:sectPr>
      </w:pPr>
    </w:p>
    <w:p>
      <w:pPr>
        <w:pStyle w:val="Heading2"/>
        <w:jc w:val="center"/>
        <w:rPr>
          <w:rFonts w:ascii="黑体" w:hint="eastAsia"/>
          <w:color w:val="000000"/>
          <w:sz w:val="28"/>
          <w:szCs w:val="28"/>
        </w:rPr>
      </w:pPr>
      <w:bookmarkStart w:id="29" w:name="_Toc306698534"/>
      <w:r>
        <w:rPr>
          <w:rFonts w:ascii="黑体" w:hint="eastAsia"/>
          <w:color w:val="000000"/>
          <w:sz w:val="28"/>
          <w:szCs w:val="28"/>
        </w:rPr>
        <w:t>第六章  施工方法和技术措施</w:t>
      </w:r>
      <w:bookmarkEnd w:id="29"/>
    </w:p>
    <w:p>
      <w:pPr>
        <w:pStyle w:val="222XW"/>
        <w:ind w:firstLine="706" w:firstLineChars="294"/>
        <w:rPr>
          <w:rFonts w:hint="eastAsia"/>
        </w:rPr>
      </w:pPr>
      <w:bookmarkStart w:id="30" w:name="_Toc306698535"/>
      <w:r>
        <w:rPr>
          <w:rFonts w:hint="eastAsia"/>
        </w:rPr>
        <w:t>第一节  围护结构施工方案</w:t>
      </w:r>
      <w:bookmarkEnd w:id="30"/>
    </w:p>
    <w:p>
      <w:pPr>
        <w:spacing w:line="360" w:lineRule="auto"/>
        <w:ind w:firstLine="480" w:firstLineChars="200"/>
        <w:rPr>
          <w:rFonts w:hint="eastAsia"/>
          <w:color w:val="000000"/>
          <w:sz w:val="24"/>
        </w:rPr>
      </w:pPr>
      <w:r>
        <w:rPr>
          <w:rFonts w:hint="eastAsia"/>
          <w:color w:val="000000"/>
          <w:sz w:val="24"/>
        </w:rPr>
        <w:t>一、钢筋混凝土护坡施工工艺</w:t>
      </w:r>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1、素喷施工方案</w:t>
      </w:r>
    </w:p>
    <w:p>
      <w:pPr>
        <w:adjustRightInd w:val="0"/>
        <w:snapToGrid w:val="0"/>
        <w:spacing w:line="360" w:lineRule="auto"/>
        <w:ind w:firstLine="480" w:firstLineChars="200"/>
        <w:rPr>
          <w:rFonts w:ascii="宋体" w:hAnsi="宋体" w:hint="eastAsia"/>
          <w:color w:val="000000"/>
          <w:sz w:val="24"/>
        </w:rPr>
      </w:pPr>
      <w:bookmarkStart w:id="31" w:name="_Toc246056360"/>
      <w:r>
        <w:rPr>
          <w:rFonts w:ascii="宋体" w:hAnsi="宋体" w:hint="eastAsia"/>
          <w:color w:val="000000"/>
          <w:sz w:val="24"/>
        </w:rPr>
        <w:t>本工程基坑围护冠梁上部土方开挖采用放坡素喷围护，深度85公分，坡度1：1。分层开挖，为保护坡面不受扰动，即时进行边坡素喷围护。</w:t>
      </w:r>
      <w:bookmarkEnd w:id="31"/>
    </w:p>
    <w:p>
      <w:pPr>
        <w:adjustRightInd w:val="0"/>
        <w:snapToGrid w:val="0"/>
        <w:spacing w:line="360" w:lineRule="auto"/>
        <w:rPr>
          <w:rFonts w:ascii="宋体" w:hAnsi="宋体" w:hint="eastAsia"/>
          <w:color w:val="000000"/>
          <w:sz w:val="24"/>
        </w:rPr>
      </w:pPr>
      <w:bookmarkStart w:id="32" w:name="_Toc246056361"/>
      <w:bookmarkStart w:id="33" w:name="_Toc266355933"/>
      <w:r>
        <w:rPr>
          <w:rFonts w:ascii="宋体" w:hAnsi="宋体" w:hint="eastAsia"/>
          <w:color w:val="000000"/>
          <w:sz w:val="24"/>
        </w:rPr>
        <w:t xml:space="preserve">    1.1工艺流程</w:t>
      </w:r>
      <w:bookmarkEnd w:id="32"/>
      <w:bookmarkEnd w:id="33"/>
    </w:p>
    <w:p>
      <w:pPr>
        <w:adjustRightInd w:val="0"/>
        <w:snapToGrid w:val="0"/>
        <w:spacing w:line="360" w:lineRule="auto"/>
        <w:ind w:firstLine="480" w:firstLineChars="200"/>
        <w:rPr>
          <w:rFonts w:ascii="宋体" w:hAnsi="宋体" w:hint="eastAsia"/>
          <w:color w:val="000000"/>
          <w:sz w:val="24"/>
        </w:rPr>
      </w:pPr>
      <w:bookmarkStart w:id="34" w:name="_Toc246056362"/>
      <w:r>
        <w:rPr>
          <w:rFonts w:ascii="宋体" w:hAnsi="宋体" w:hint="eastAsia"/>
          <w:color w:val="000000"/>
          <w:sz w:val="24"/>
        </w:rPr>
        <w:t>1）修整边坡，埋设喷射砼厚度控制标志。</w:t>
      </w:r>
      <w:bookmarkStart w:id="35" w:name="_Toc246056363"/>
      <w:bookmarkEnd w:id="34"/>
      <w:r>
        <w:rPr>
          <w:rFonts w:ascii="宋体" w:hAnsi="宋体" w:hint="eastAsia"/>
          <w:color w:val="000000"/>
          <w:sz w:val="24"/>
        </w:rPr>
        <w:t>2）喷射第一层砼。</w:t>
      </w:r>
      <w:bookmarkStart w:id="36" w:name="_Toc246056364"/>
      <w:bookmarkEnd w:id="35"/>
      <w:r>
        <w:rPr>
          <w:rFonts w:ascii="宋体" w:hAnsi="宋体" w:hint="eastAsia"/>
          <w:color w:val="000000"/>
          <w:sz w:val="24"/>
        </w:rPr>
        <w:t>3）挂网</w:t>
      </w:r>
      <w:bookmarkStart w:id="37" w:name="_Toc246056365"/>
      <w:bookmarkEnd w:id="36"/>
      <w:r>
        <w:rPr>
          <w:rFonts w:ascii="宋体" w:hAnsi="宋体" w:hint="eastAsia"/>
          <w:color w:val="000000"/>
          <w:sz w:val="24"/>
        </w:rPr>
        <w:t>4）喷射第二层砼</w:t>
      </w:r>
      <w:bookmarkStart w:id="38" w:name="_Toc246056366"/>
      <w:bookmarkEnd w:id="37"/>
      <w:r>
        <w:rPr>
          <w:rFonts w:ascii="宋体" w:hAnsi="宋体" w:hint="eastAsia"/>
          <w:color w:val="000000"/>
          <w:sz w:val="24"/>
        </w:rPr>
        <w:t>5）设置坡顶排水系统</w:t>
      </w:r>
      <w:bookmarkEnd w:id="38"/>
    </w:p>
    <w:p>
      <w:pPr>
        <w:adjustRightInd w:val="0"/>
        <w:snapToGrid w:val="0"/>
        <w:spacing w:line="360" w:lineRule="auto"/>
        <w:rPr>
          <w:rFonts w:ascii="宋体" w:hAnsi="宋体" w:hint="eastAsia"/>
          <w:color w:val="000000"/>
          <w:sz w:val="24"/>
        </w:rPr>
      </w:pPr>
      <w:bookmarkStart w:id="39" w:name="_Toc246056367"/>
      <w:bookmarkStart w:id="40" w:name="_Toc266355934"/>
      <w:r>
        <w:rPr>
          <w:rFonts w:ascii="宋体" w:hAnsi="宋体" w:hint="eastAsia"/>
          <w:color w:val="000000"/>
          <w:sz w:val="24"/>
        </w:rPr>
        <w:t xml:space="preserve">    1.2素喷范围</w:t>
      </w:r>
      <w:bookmarkEnd w:id="39"/>
      <w:bookmarkEnd w:id="40"/>
    </w:p>
    <w:p>
      <w:pPr>
        <w:adjustRightInd w:val="0"/>
        <w:snapToGrid w:val="0"/>
        <w:spacing w:line="360" w:lineRule="auto"/>
        <w:ind w:firstLine="480" w:firstLineChars="200"/>
        <w:rPr>
          <w:rFonts w:ascii="宋体" w:hAnsi="宋体" w:hint="eastAsia"/>
          <w:color w:val="000000"/>
          <w:sz w:val="24"/>
        </w:rPr>
      </w:pPr>
      <w:bookmarkStart w:id="41" w:name="_Toc246056368"/>
      <w:r>
        <w:rPr>
          <w:rFonts w:ascii="宋体" w:hAnsi="宋体" w:hint="eastAsia"/>
          <w:color w:val="000000"/>
          <w:sz w:val="24"/>
        </w:rPr>
        <w:t>坡面至-1.95m支撑梁范围采用素喷混凝土支护，放坡系数1：1</w:t>
      </w:r>
      <w:bookmarkEnd w:id="41"/>
      <w:r>
        <w:rPr>
          <w:rFonts w:ascii="宋体" w:hAnsi="宋体" w:hint="eastAsia"/>
          <w:color w:val="000000"/>
          <w:sz w:val="24"/>
        </w:rPr>
        <w:t>。素喷范围沿基坑四周，喷射高度为0.85米。</w:t>
      </w:r>
    </w:p>
    <w:p>
      <w:pPr>
        <w:adjustRightInd w:val="0"/>
        <w:snapToGrid w:val="0"/>
        <w:spacing w:line="360" w:lineRule="auto"/>
        <w:rPr>
          <w:rFonts w:ascii="宋体" w:hAnsi="宋体" w:hint="eastAsia"/>
          <w:color w:val="000000"/>
          <w:sz w:val="24"/>
        </w:rPr>
      </w:pPr>
      <w:bookmarkStart w:id="42" w:name="_Toc246056374"/>
      <w:bookmarkStart w:id="43" w:name="_Toc266355935"/>
      <w:r>
        <w:rPr>
          <w:rFonts w:ascii="宋体" w:hAnsi="宋体" w:hint="eastAsia"/>
          <w:color w:val="000000"/>
          <w:sz w:val="24"/>
        </w:rPr>
        <w:t xml:space="preserve">    1.3工艺要求</w:t>
      </w:r>
      <w:bookmarkEnd w:id="42"/>
      <w:bookmarkEnd w:id="43"/>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面层采用C20喷射混凝土，素喷厚度为60，配双向钢筋网片</w:t>
      </w:r>
      <w:r>
        <w:rPr>
          <w:rFonts w:ascii="宋体" w:hAnsi="宋体" w:hint="eastAsia"/>
          <w:color w:val="000000"/>
          <w:sz w:val="24"/>
        </w:rPr>
        <w:t>ф</w:t>
      </w:r>
      <w:r>
        <w:rPr>
          <w:rFonts w:ascii="宋体" w:hAnsi="宋体" w:hint="eastAsia"/>
          <w:color w:val="000000"/>
          <w:sz w:val="24"/>
        </w:rPr>
        <w:t>6.5＠250*250。喷射混凝土采用干喷法，分二层施工。喷射第一层混凝土厚度为30-50mm完成后，绑扎钢筋网片，然后喷射第二层混凝土至设计厚度。钢筋网片钢筋的搭接长度为300mm，横向加强连接筋的搭接采用焊接。</w:t>
      </w:r>
    </w:p>
    <w:p>
      <w:pPr>
        <w:adjustRightInd w:val="0"/>
        <w:snapToGrid w:val="0"/>
        <w:spacing w:line="360" w:lineRule="auto"/>
        <w:rPr>
          <w:rFonts w:ascii="宋体" w:hAnsi="宋体" w:hint="eastAsia"/>
          <w:color w:val="000000"/>
          <w:sz w:val="24"/>
        </w:rPr>
      </w:pPr>
      <w:bookmarkStart w:id="44" w:name="_Toc246056376"/>
      <w:bookmarkStart w:id="45" w:name="_Toc266355936"/>
      <w:r>
        <w:rPr>
          <w:rFonts w:ascii="宋体" w:hAnsi="宋体" w:hint="eastAsia"/>
          <w:color w:val="000000"/>
          <w:sz w:val="24"/>
        </w:rPr>
        <w:t xml:space="preserve">    1.4施工要点</w:t>
      </w:r>
      <w:bookmarkEnd w:id="44"/>
      <w:bookmarkEnd w:id="45"/>
    </w:p>
    <w:p>
      <w:pPr>
        <w:adjustRightInd w:val="0"/>
        <w:snapToGrid w:val="0"/>
        <w:spacing w:line="360" w:lineRule="auto"/>
        <w:ind w:firstLine="480" w:firstLineChars="200"/>
        <w:rPr>
          <w:rFonts w:ascii="宋体" w:hAnsi="宋体" w:hint="eastAsia"/>
          <w:color w:val="000000"/>
          <w:sz w:val="24"/>
        </w:rPr>
      </w:pPr>
      <w:bookmarkStart w:id="46" w:name="_Toc246056377"/>
      <w:r>
        <w:rPr>
          <w:rFonts w:ascii="宋体" w:hAnsi="宋体" w:hint="eastAsia"/>
          <w:color w:val="000000"/>
          <w:sz w:val="24"/>
        </w:rPr>
        <w:t>①</w:t>
      </w:r>
      <w:r>
        <w:rPr>
          <w:rFonts w:ascii="宋体" w:hAnsi="宋体" w:hint="eastAsia"/>
          <w:color w:val="000000"/>
          <w:sz w:val="24"/>
        </w:rPr>
        <w:t>￠6.5@250</w:t>
      </w:r>
      <w:r>
        <w:rPr>
          <w:rFonts w:ascii="宋体" w:hAnsi="宋体" w:hint="eastAsia"/>
          <w:color w:val="000000"/>
          <w:sz w:val="24"/>
        </w:rPr>
        <w:t>×</w:t>
      </w:r>
      <w:r>
        <w:rPr>
          <w:rFonts w:ascii="宋体" w:hAnsi="宋体" w:hint="eastAsia"/>
          <w:color w:val="000000"/>
          <w:sz w:val="24"/>
        </w:rPr>
        <w:t>250钢筋网片，网片用插入土中的钢筋固定，并与加强筋焊接牢固，端部应与加强筋互相焊接牢固。每步钢筋网片均应与上步搭接，给下步留茬，两步的钢筋网片接头应上下错开焊接，横向压筋交叉与锚杆焊接在一起。</w:t>
      </w:r>
      <w:bookmarkEnd w:id="46"/>
    </w:p>
    <w:p>
      <w:pPr>
        <w:adjustRightInd w:val="0"/>
        <w:snapToGrid w:val="0"/>
        <w:spacing w:line="360" w:lineRule="auto"/>
        <w:ind w:firstLine="480" w:firstLineChars="200"/>
        <w:rPr>
          <w:rFonts w:ascii="宋体" w:hAnsi="宋体" w:hint="eastAsia"/>
          <w:color w:val="000000"/>
          <w:sz w:val="24"/>
        </w:rPr>
      </w:pPr>
      <w:bookmarkStart w:id="47" w:name="_Toc246056378"/>
      <w:r>
        <w:rPr>
          <w:rFonts w:ascii="宋体" w:hAnsi="宋体" w:hint="eastAsia"/>
          <w:color w:val="000000"/>
          <w:sz w:val="24"/>
        </w:rPr>
        <w:t>②</w:t>
      </w:r>
      <w:r>
        <w:rPr>
          <w:rFonts w:ascii="宋体" w:hAnsi="宋体" w:hint="eastAsia"/>
          <w:color w:val="000000"/>
          <w:sz w:val="24"/>
        </w:rPr>
        <w:t>面层内的钢筋网片应牢固固定在边壁上并符合规定的保护层厚度要求，经检验合格后进行面层喷射混凝土施工，表面平整，喷完后按规范进行养护。</w:t>
      </w:r>
      <w:bookmarkEnd w:id="47"/>
    </w:p>
    <w:p>
      <w:pPr>
        <w:adjustRightInd w:val="0"/>
        <w:snapToGrid w:val="0"/>
        <w:spacing w:line="360" w:lineRule="auto"/>
        <w:ind w:firstLine="480" w:firstLineChars="200"/>
        <w:rPr>
          <w:rFonts w:ascii="宋体" w:hAnsi="宋体" w:hint="eastAsia"/>
          <w:color w:val="000000"/>
          <w:sz w:val="24"/>
        </w:rPr>
      </w:pPr>
      <w:bookmarkStart w:id="48" w:name="_Toc246056379"/>
      <w:r>
        <w:rPr>
          <w:rFonts w:ascii="宋体" w:hAnsi="宋体" w:hint="eastAsia"/>
          <w:color w:val="000000"/>
          <w:sz w:val="24"/>
        </w:rPr>
        <w:t>③</w:t>
      </w:r>
      <w:r>
        <w:rPr>
          <w:rFonts w:ascii="宋体" w:hAnsi="宋体" w:hint="eastAsia"/>
          <w:color w:val="000000"/>
          <w:sz w:val="24"/>
        </w:rPr>
        <w:t>本工程上部素喷范围内，土方开挖分段进行，修整后的裸露边坡能在规定时间内保持自立并在限定的时间内完成支护，对稳定性不好部位必须立即进行支护。</w:t>
      </w:r>
      <w:bookmarkEnd w:id="48"/>
    </w:p>
    <w:p>
      <w:pPr>
        <w:adjustRightInd w:val="0"/>
        <w:snapToGrid w:val="0"/>
        <w:spacing w:line="360" w:lineRule="auto"/>
        <w:ind w:firstLine="480" w:firstLineChars="200"/>
        <w:rPr>
          <w:rFonts w:ascii="宋体" w:hAnsi="宋体" w:hint="eastAsia"/>
          <w:color w:val="000000"/>
          <w:sz w:val="24"/>
        </w:rPr>
      </w:pPr>
      <w:bookmarkStart w:id="49" w:name="_Toc246056380"/>
      <w:r>
        <w:rPr>
          <w:rFonts w:ascii="宋体" w:hAnsi="宋体" w:hint="eastAsia"/>
          <w:color w:val="000000"/>
          <w:sz w:val="24"/>
        </w:rPr>
        <w:t>④</w:t>
      </w:r>
      <w:r>
        <w:rPr>
          <w:rFonts w:ascii="宋体" w:hAnsi="宋体" w:hint="eastAsia"/>
          <w:color w:val="000000"/>
          <w:sz w:val="24"/>
        </w:rPr>
        <w:t>喷射混凝土的枪头距坡面宜再0.8m~1.5m的范围内，喷射方向应垂直指向喷射面，并从底部向上部喷射。</w:t>
      </w:r>
      <w:bookmarkEnd w:id="49"/>
    </w:p>
    <w:p>
      <w:pPr>
        <w:adjustRightInd w:val="0"/>
        <w:snapToGrid w:val="0"/>
        <w:spacing w:line="360" w:lineRule="auto"/>
        <w:rPr>
          <w:rFonts w:ascii="宋体" w:hAnsi="宋体" w:hint="eastAsia"/>
          <w:color w:val="000000"/>
          <w:sz w:val="24"/>
        </w:rPr>
        <w:sectPr>
          <w:footerReference w:type="even" r:id="rId36"/>
          <w:type w:val="nextPage"/>
          <w:pgSz w:w="11906" w:h="16838"/>
          <w:pgMar w:top="1440" w:right="1800" w:bottom="1440" w:left="1800" w:header="851" w:footer="992" w:gutter="0"/>
          <w:pgNumType w:start="23"/>
          <w:cols w:space="708"/>
          <w:titlePg w:val="0"/>
          <w:docGrid w:type="lines" w:linePitch="312"/>
        </w:sectPr>
      </w:pPr>
      <w:bookmarkStart w:id="50" w:name="_Toc266355937"/>
      <w:bookmarkStart w:id="51" w:name="_Toc246056382"/>
      <w:r>
        <w:rPr>
          <w:rFonts w:ascii="宋体" w:hAnsi="宋体" w:hint="eastAsia"/>
          <w:color w:val="000000"/>
          <w:sz w:val="24"/>
        </w:rPr>
        <w:t xml:space="preserve">    1.1.5施工注意事项</w:t>
      </w:r>
      <w:bookmarkEnd w:id="50"/>
      <w:bookmarkEnd w:id="51"/>
    </w:p>
    <w:p>
      <w:pPr>
        <w:adjustRightInd w:val="0"/>
        <w:snapToGrid w:val="0"/>
        <w:spacing w:line="360" w:lineRule="auto"/>
        <w:ind w:firstLine="480" w:firstLineChars="200"/>
        <w:rPr>
          <w:rFonts w:ascii="宋体" w:hAnsi="宋体" w:hint="eastAsia"/>
          <w:color w:val="000000"/>
          <w:sz w:val="24"/>
        </w:rPr>
      </w:pPr>
      <w:bookmarkStart w:id="52" w:name="_Toc246056383"/>
      <w:r>
        <w:rPr>
          <w:rFonts w:ascii="宋体" w:hAnsi="宋体" w:hint="eastAsia"/>
          <w:color w:val="000000"/>
          <w:sz w:val="24"/>
        </w:rPr>
        <w:t>①</w:t>
      </w:r>
      <w:r>
        <w:rPr>
          <w:rFonts w:ascii="宋体" w:hAnsi="宋体" w:hint="eastAsia"/>
          <w:color w:val="000000"/>
          <w:sz w:val="24"/>
        </w:rPr>
        <w:t>素喷施工期间，不得在基坑顶面堆载，以免施工期间边坡坍塌，施工完成后，支护区应避免重车沿基坑边行驶，堆载控制在15KN/㎡。</w:t>
      </w:r>
      <w:bookmarkEnd w:id="52"/>
    </w:p>
    <w:p>
      <w:pPr>
        <w:adjustRightInd w:val="0"/>
        <w:snapToGrid w:val="0"/>
        <w:spacing w:line="360" w:lineRule="auto"/>
        <w:ind w:firstLine="480" w:firstLineChars="200"/>
        <w:rPr>
          <w:rFonts w:ascii="宋体" w:hAnsi="宋体" w:hint="eastAsia"/>
          <w:color w:val="000000"/>
          <w:sz w:val="24"/>
        </w:rPr>
      </w:pPr>
      <w:bookmarkStart w:id="53" w:name="_Toc246056384"/>
      <w:r>
        <w:rPr>
          <w:rFonts w:ascii="宋体" w:hAnsi="宋体" w:hint="eastAsia"/>
          <w:color w:val="000000"/>
          <w:sz w:val="24"/>
        </w:rPr>
        <w:t>②</w:t>
      </w:r>
      <w:r>
        <w:rPr>
          <w:rFonts w:ascii="宋体" w:hAnsi="宋体" w:hint="eastAsia"/>
          <w:color w:val="000000"/>
          <w:sz w:val="24"/>
        </w:rPr>
        <w:t>素喷支护应分层施工，分层深度满足修整后的裸露边坡在完成支护时间内（及时设置喷射作业）保持自立稳定。</w:t>
      </w:r>
      <w:bookmarkEnd w:id="53"/>
    </w:p>
    <w:p>
      <w:pPr>
        <w:adjustRightInd w:val="0"/>
        <w:snapToGrid w:val="0"/>
        <w:spacing w:line="360" w:lineRule="auto"/>
        <w:ind w:firstLine="480" w:firstLineChars="200"/>
        <w:rPr>
          <w:rFonts w:ascii="宋体" w:hAnsi="宋体" w:hint="eastAsia"/>
          <w:color w:val="000000"/>
          <w:sz w:val="24"/>
        </w:rPr>
      </w:pPr>
      <w:bookmarkStart w:id="54" w:name="_Toc246056385"/>
      <w:r>
        <w:rPr>
          <w:rFonts w:ascii="宋体" w:hAnsi="宋体" w:hint="eastAsia"/>
          <w:color w:val="000000"/>
          <w:sz w:val="24"/>
        </w:rPr>
        <w:t>③</w:t>
      </w:r>
      <w:bookmarkEnd w:id="54"/>
      <w:r>
        <w:rPr>
          <w:rFonts w:ascii="宋体" w:hAnsi="宋体" w:hint="eastAsia"/>
          <w:color w:val="000000"/>
          <w:sz w:val="24"/>
        </w:rPr>
        <w:t>钢丝网片可焊接或绑扎，网格允许误差</w:t>
      </w:r>
      <w:r>
        <w:rPr>
          <w:rFonts w:ascii="宋体" w:hAnsi="宋体" w:hint="eastAsia"/>
          <w:color w:val="000000"/>
          <w:sz w:val="24"/>
        </w:rPr>
        <w:t>±</w:t>
      </w:r>
      <w:r>
        <w:rPr>
          <w:rFonts w:ascii="宋体" w:hAnsi="宋体" w:hint="eastAsia"/>
          <w:color w:val="000000"/>
          <w:sz w:val="24"/>
        </w:rPr>
        <w:t>10mm，钢筋搭接长度不小于</w:t>
      </w:r>
      <w:r>
        <w:rPr>
          <w:rFonts w:ascii="宋体" w:hAnsi="宋体" w:hint="eastAsia"/>
          <w:color w:val="000000"/>
          <w:sz w:val="24"/>
          <w:lang w:eastAsia="zh-CN"/>
        </w:rPr>
        <w:t>201</w:t>
      </w:r>
      <w:r>
        <w:rPr>
          <w:rFonts w:ascii="宋体" w:hAnsi="宋体" w:hint="eastAsia"/>
          <w:color w:val="000000"/>
          <w:sz w:val="24"/>
        </w:rPr>
        <w:t>mm，如为焊接则不小于钢筋直径的10倍。</w:t>
      </w:r>
    </w:p>
    <w:p>
      <w:pPr>
        <w:adjustRightInd w:val="0"/>
        <w:snapToGrid w:val="0"/>
        <w:spacing w:line="360" w:lineRule="auto"/>
        <w:ind w:firstLine="480" w:firstLineChars="200"/>
        <w:rPr>
          <w:rFonts w:ascii="宋体" w:hAnsi="宋体" w:hint="eastAsia"/>
          <w:color w:val="000000"/>
          <w:sz w:val="24"/>
        </w:rPr>
      </w:pPr>
      <w:bookmarkStart w:id="55" w:name="_Toc246056386"/>
      <w:r>
        <w:rPr>
          <w:rFonts w:ascii="宋体" w:hAnsi="宋体" w:hint="eastAsia"/>
          <w:color w:val="000000"/>
          <w:sz w:val="24"/>
        </w:rPr>
        <w:t>④</w:t>
      </w:r>
      <w:bookmarkEnd w:id="55"/>
      <w:r>
        <w:rPr>
          <w:rFonts w:ascii="宋体" w:hAnsi="宋体" w:hint="eastAsia"/>
          <w:color w:val="000000"/>
          <w:sz w:val="24"/>
        </w:rPr>
        <w:t>喷射混凝土终凝后2h，连续7日养护至达到砼设计强度。</w:t>
      </w:r>
      <w:bookmarkStart w:id="56" w:name="_Toc246056388"/>
      <w:bookmarkStart w:id="57" w:name="_Toc266355938"/>
    </w:p>
    <w:p>
      <w:pPr>
        <w:adjustRightInd w:val="0"/>
        <w:snapToGrid w:val="0"/>
        <w:spacing w:line="360" w:lineRule="auto"/>
        <w:ind w:firstLine="480" w:firstLineChars="200"/>
        <w:rPr>
          <w:rFonts w:ascii="宋体" w:hAnsi="宋体" w:hint="eastAsia"/>
          <w:color w:val="000000"/>
          <w:sz w:val="24"/>
        </w:rPr>
      </w:pPr>
      <w:r>
        <w:rPr>
          <w:rFonts w:ascii="宋体" w:hAnsi="宋体" w:hint="eastAsia"/>
          <w:color w:val="000000"/>
          <w:sz w:val="24"/>
        </w:rPr>
        <w:t>1.1.6工程质量保证措施</w:t>
      </w:r>
      <w:bookmarkEnd w:id="56"/>
      <w:bookmarkEnd w:id="57"/>
    </w:p>
    <w:p>
      <w:pPr>
        <w:adjustRightInd w:val="0"/>
        <w:snapToGrid w:val="0"/>
        <w:spacing w:line="360" w:lineRule="auto"/>
        <w:ind w:firstLine="480" w:firstLineChars="200"/>
        <w:rPr>
          <w:rFonts w:ascii="宋体" w:hAnsi="宋体" w:hint="eastAsia"/>
          <w:color w:val="000000"/>
          <w:sz w:val="24"/>
        </w:rPr>
      </w:pPr>
      <w:bookmarkStart w:id="58" w:name="_Toc246056389"/>
      <w:r>
        <w:rPr>
          <w:rFonts w:ascii="宋体" w:hAnsi="宋体" w:hint="eastAsia"/>
          <w:color w:val="000000"/>
          <w:sz w:val="24"/>
        </w:rPr>
        <w:t>①</w:t>
      </w:r>
      <w:r>
        <w:rPr>
          <w:rFonts w:ascii="宋体" w:hAnsi="宋体" w:hint="eastAsia"/>
          <w:color w:val="000000"/>
          <w:sz w:val="24"/>
        </w:rPr>
        <w:t>施工用材料必须符合设计要求，钢筋、水泥、砂等具有质保单报告。</w:t>
      </w:r>
      <w:bookmarkEnd w:id="58"/>
    </w:p>
    <w:p>
      <w:pPr>
        <w:adjustRightInd w:val="0"/>
        <w:snapToGrid w:val="0"/>
        <w:spacing w:line="360" w:lineRule="auto"/>
        <w:ind w:firstLine="480" w:firstLineChars="200"/>
        <w:rPr>
          <w:rFonts w:ascii="宋体" w:hAnsi="宋体" w:hint="eastAsia"/>
          <w:color w:val="000000"/>
          <w:sz w:val="24"/>
        </w:rPr>
      </w:pPr>
      <w:bookmarkStart w:id="59" w:name="_Toc246056390"/>
      <w:r>
        <w:rPr>
          <w:rFonts w:ascii="宋体" w:hAnsi="宋体" w:hint="eastAsia"/>
          <w:color w:val="000000"/>
          <w:sz w:val="24"/>
        </w:rPr>
        <w:t>②</w:t>
      </w:r>
      <w:r>
        <w:rPr>
          <w:rFonts w:ascii="宋体" w:hAnsi="宋体" w:hint="eastAsia"/>
          <w:color w:val="000000"/>
          <w:sz w:val="24"/>
        </w:rPr>
        <w:t>配制砂浆应符合设计要求，严格按配比正确配制，砂应过筛后方可使用，防止大块材料堵塞压力泵。</w:t>
      </w:r>
      <w:bookmarkEnd w:id="59"/>
    </w:p>
    <w:p>
      <w:pPr>
        <w:adjustRightInd w:val="0"/>
        <w:snapToGrid w:val="0"/>
        <w:spacing w:line="360" w:lineRule="auto"/>
        <w:ind w:firstLine="480" w:firstLineChars="200"/>
        <w:rPr>
          <w:rFonts w:ascii="宋体" w:hAnsi="宋体" w:hint="eastAsia"/>
          <w:color w:val="000000"/>
          <w:sz w:val="24"/>
        </w:rPr>
      </w:pPr>
      <w:bookmarkStart w:id="60" w:name="_Toc246056391"/>
      <w:r>
        <w:rPr>
          <w:rFonts w:ascii="宋体" w:hAnsi="宋体" w:hint="eastAsia"/>
          <w:color w:val="000000"/>
          <w:sz w:val="24"/>
        </w:rPr>
        <w:t>③</w:t>
      </w:r>
      <w:r>
        <w:rPr>
          <w:rFonts w:ascii="宋体" w:hAnsi="宋体" w:hint="eastAsia"/>
          <w:color w:val="000000"/>
          <w:sz w:val="24"/>
        </w:rPr>
        <w:t>严格控制基坑周围地面荷载，对基坑周边地上建筑、地下工程以及道路工程等应进行监测，采取预防保护措施。</w:t>
      </w:r>
      <w:bookmarkEnd w:id="60"/>
    </w:p>
    <w:p>
      <w:pPr>
        <w:adjustRightInd w:val="0"/>
        <w:snapToGrid w:val="0"/>
        <w:spacing w:line="360" w:lineRule="auto"/>
        <w:ind w:firstLine="480" w:firstLineChars="200"/>
        <w:rPr>
          <w:rFonts w:ascii="宋体" w:hAnsi="宋体" w:hint="eastAsia"/>
          <w:color w:val="000000"/>
          <w:sz w:val="24"/>
        </w:rPr>
      </w:pPr>
      <w:bookmarkStart w:id="61" w:name="_Toc246056392"/>
      <w:r>
        <w:rPr>
          <w:rFonts w:ascii="宋体" w:hAnsi="宋体" w:hint="eastAsia"/>
          <w:color w:val="000000"/>
          <w:sz w:val="24"/>
        </w:rPr>
        <w:t>④</w:t>
      </w:r>
      <w:r>
        <w:rPr>
          <w:rFonts w:ascii="宋体" w:hAnsi="宋体" w:hint="eastAsia"/>
          <w:color w:val="000000"/>
          <w:sz w:val="24"/>
        </w:rPr>
        <w:t>在施工中如局部地表水补给丰富，可在坑壁设置排水孔引出，不宜强堵。</w:t>
      </w:r>
      <w:bookmarkEnd w:id="61"/>
    </w:p>
    <w:p>
      <w:pPr>
        <w:adjustRightInd w:val="0"/>
        <w:snapToGrid w:val="0"/>
        <w:spacing w:line="360" w:lineRule="auto"/>
        <w:ind w:firstLine="480" w:firstLineChars="200"/>
        <w:rPr>
          <w:rFonts w:ascii="宋体" w:hAnsi="宋体" w:hint="eastAsia"/>
          <w:color w:val="000000"/>
          <w:sz w:val="24"/>
        </w:rPr>
      </w:pPr>
      <w:bookmarkStart w:id="62" w:name="_Toc246056393"/>
      <w:r>
        <w:rPr>
          <w:rFonts w:ascii="宋体" w:hAnsi="宋体" w:hint="eastAsia"/>
          <w:color w:val="000000"/>
          <w:sz w:val="24"/>
        </w:rPr>
        <w:t>⑤</w:t>
      </w:r>
      <w:r>
        <w:rPr>
          <w:rFonts w:ascii="宋体" w:hAnsi="宋体" w:hint="eastAsia"/>
          <w:color w:val="000000"/>
          <w:sz w:val="24"/>
        </w:rPr>
        <w:t>喷浆混凝土的初凝时间不小于5min，终凝时间不小于10min。</w:t>
      </w:r>
      <w:bookmarkEnd w:id="62"/>
    </w:p>
    <w:p>
      <w:pPr>
        <w:adjustRightInd w:val="0"/>
        <w:snapToGrid w:val="0"/>
        <w:spacing w:line="360" w:lineRule="auto"/>
        <w:ind w:firstLine="480" w:firstLineChars="200"/>
        <w:rPr>
          <w:rFonts w:ascii="宋体" w:hAnsi="宋体" w:hint="eastAsia"/>
          <w:color w:val="000000"/>
          <w:sz w:val="24"/>
        </w:rPr>
      </w:pPr>
      <w:bookmarkStart w:id="63" w:name="_Toc246056394"/>
      <w:r>
        <w:rPr>
          <w:rFonts w:ascii="宋体" w:hAnsi="宋体" w:hint="eastAsia"/>
          <w:color w:val="000000"/>
          <w:sz w:val="24"/>
        </w:rPr>
        <w:t>⑥</w:t>
      </w:r>
      <w:r>
        <w:rPr>
          <w:rFonts w:ascii="宋体" w:hAnsi="宋体" w:hint="eastAsia"/>
          <w:color w:val="000000"/>
          <w:sz w:val="24"/>
        </w:rPr>
        <w:t>严格按照设计说明施工。</w:t>
      </w:r>
      <w:bookmarkEnd w:id="63"/>
    </w:p>
    <w:p>
      <w:pPr>
        <w:pStyle w:val="NormalWeb"/>
        <w:spacing w:before="0" w:beforeAutospacing="0" w:after="0" w:afterAutospacing="0" w:line="360" w:lineRule="auto"/>
        <w:ind w:firstLine="473" w:firstLineChars="197"/>
        <w:jc w:val="both"/>
        <w:rPr>
          <w:rFonts w:hint="eastAsia"/>
          <w:bCs/>
        </w:rPr>
      </w:pPr>
      <w:r>
        <w:rPr>
          <w:rFonts w:hint="eastAsia"/>
          <w:bCs/>
        </w:rPr>
        <w:t>二、混凝土钻孔灌注桩施工工艺</w:t>
      </w:r>
    </w:p>
    <w:p>
      <w:pPr>
        <w:spacing w:line="360" w:lineRule="auto"/>
        <w:ind w:firstLine="360" w:firstLineChars="150"/>
        <w:rPr>
          <w:rFonts w:hint="eastAsia"/>
          <w:color w:val="000000"/>
          <w:sz w:val="24"/>
        </w:rPr>
      </w:pPr>
      <w:r>
        <w:rPr>
          <w:rFonts w:hint="eastAsia"/>
          <w:color w:val="000000"/>
          <w:sz w:val="24"/>
        </w:rPr>
        <w:t>（一）、机械钻孔灌注桩工艺流程图</w:t>
      </w:r>
    </w:p>
    <w:p>
      <w:pPr>
        <w:rPr>
          <w:rFonts w:ascii="宋体" w:hAnsi="宋体" w:hint="eastAsia"/>
          <w:szCs w:val="28"/>
        </w:rPr>
      </w:pPr>
      <w:r>
        <w:rPr>
          <w:rFonts w:ascii="宋体" w:hAnsi="宋体" w:hint="eastAsia"/>
          <w:szCs w:val="28"/>
        </w:rPr>
        <w:pict>
          <v:shape id="Object 16" o:spid="_x0000_s1033" type="#_x0000_t75" style="width:315pt;height:262.9pt;margin-top:4.6pt;margin-left:36pt;mso-wrap-style:square;position:absolute;z-index:251661312" filled="f" stroked="f">
            <v:stroke linestyle="single"/>
            <v:imagedata r:id="rId37" o:title="" croptop="2117f" cropleft="17089f" cropright="10050f"/>
            <v:path o:extrusionok="f"/>
          </v:shape>
        </w:pict>
      </w: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pPr>
    </w:p>
    <w:p>
      <w:pPr>
        <w:rPr>
          <w:rFonts w:ascii="宋体" w:hAnsi="宋体" w:hint="eastAsia"/>
          <w:szCs w:val="28"/>
        </w:rPr>
        <w:sectPr>
          <w:footerReference w:type="even" r:id="rId38"/>
          <w:type w:val="nextPage"/>
          <w:pgSz w:w="11906" w:h="16838"/>
          <w:pgMar w:top="1440" w:right="1800" w:bottom="1440" w:left="1800" w:header="851" w:footer="992" w:gutter="0"/>
          <w:pgNumType w:start="24"/>
          <w:cols w:space="708"/>
          <w:titlePg w:val="0"/>
          <w:docGrid w:type="lines" w:linePitch="312"/>
        </w:sectPr>
      </w:pPr>
    </w:p>
    <w:p>
      <w:pPr>
        <w:rPr>
          <w:rFonts w:ascii="宋体" w:hAnsi="宋体" w:hint="eastAsia"/>
          <w:szCs w:val="28"/>
        </w:rPr>
      </w:pPr>
    </w:p>
    <w:p>
      <w:pPr>
        <w:ind w:firstLine="360" w:firstLineChars="150"/>
        <w:rPr>
          <w:rFonts w:hint="eastAsia"/>
          <w:color w:val="000000"/>
          <w:sz w:val="24"/>
        </w:rPr>
      </w:pPr>
      <w:r>
        <w:rPr>
          <w:rFonts w:hint="eastAsia"/>
          <w:color w:val="000000"/>
          <w:sz w:val="24"/>
        </w:rPr>
        <w:t>（二）、施工方法及技术措施</w:t>
      </w:r>
    </w:p>
    <w:p>
      <w:pPr>
        <w:spacing w:line="360" w:lineRule="auto"/>
        <w:ind w:firstLine="480" w:firstLineChars="200"/>
        <w:rPr>
          <w:rFonts w:hint="eastAsia"/>
          <w:color w:val="000000"/>
          <w:sz w:val="24"/>
        </w:rPr>
      </w:pPr>
      <w:r>
        <w:rPr>
          <w:rFonts w:hint="eastAsia"/>
          <w:color w:val="000000"/>
          <w:sz w:val="24"/>
        </w:rPr>
        <w:t>针对本工程的地质情况，决定采用机械钻孔，且机械钻孔具有成孔速度快等优点。钻孔灌注桩采用泥浆护壁，机械钻进成孔、正反循环清孔，现场制作、安放钢筋笼，水下砼灌注成桩。</w:t>
      </w:r>
    </w:p>
    <w:p>
      <w:pPr>
        <w:spacing w:line="360" w:lineRule="auto"/>
        <w:ind w:firstLine="480" w:firstLineChars="200"/>
        <w:rPr>
          <w:rFonts w:hint="eastAsia"/>
          <w:color w:val="000000"/>
          <w:sz w:val="24"/>
        </w:rPr>
      </w:pPr>
      <w:r>
        <w:rPr>
          <w:rFonts w:hint="eastAsia"/>
          <w:color w:val="000000"/>
          <w:sz w:val="24"/>
        </w:rPr>
        <w:t>1、测量定位</w:t>
      </w:r>
    </w:p>
    <w:p>
      <w:pPr>
        <w:spacing w:line="360" w:lineRule="auto"/>
        <w:ind w:firstLine="480" w:firstLineChars="200"/>
        <w:rPr>
          <w:rFonts w:hint="eastAsia"/>
          <w:color w:val="000000"/>
          <w:sz w:val="24"/>
        </w:rPr>
      </w:pPr>
      <w:r>
        <w:rPr>
          <w:rFonts w:hint="eastAsia"/>
          <w:color w:val="000000"/>
          <w:sz w:val="24"/>
        </w:rPr>
        <w:t>用经纬仪测放桩位，桩位中心插一钢筋，四周各打一根控制桩来控制桩位中心，用砂浆固定控制桩，并经复核合格后，进入下道工序。</w:t>
      </w:r>
    </w:p>
    <w:p>
      <w:pPr>
        <w:spacing w:line="360" w:lineRule="auto"/>
        <w:ind w:firstLine="480" w:firstLineChars="200"/>
        <w:rPr>
          <w:rFonts w:hint="eastAsia"/>
          <w:color w:val="000000"/>
          <w:sz w:val="24"/>
        </w:rPr>
      </w:pPr>
      <w:r>
        <w:rPr>
          <w:rFonts w:hint="eastAsia"/>
          <w:color w:val="000000"/>
          <w:sz w:val="24"/>
        </w:rPr>
        <w:t>2、埋设护筒</w:t>
      </w:r>
    </w:p>
    <w:p>
      <w:pPr>
        <w:spacing w:line="360" w:lineRule="auto"/>
        <w:ind w:firstLine="480" w:firstLineChars="200"/>
        <w:rPr>
          <w:rFonts w:hint="eastAsia"/>
          <w:color w:val="000000"/>
          <w:sz w:val="24"/>
        </w:rPr>
      </w:pPr>
      <w:r>
        <w:rPr>
          <w:rFonts w:hint="eastAsia"/>
          <w:color w:val="000000"/>
          <w:sz w:val="24"/>
        </w:rPr>
        <w:t>护筒采用4～8mm厚的钢板加工制成，高度1.5m，内径为D（桩径）+20cm，护筒上部开设1～2个溢浆孔；校核桩位中心后，在护筒四周用粘土分层回填夯实，护筒埋设深度一般为1.2～1.5m。</w:t>
      </w:r>
    </w:p>
    <w:p>
      <w:pPr>
        <w:spacing w:line="360" w:lineRule="auto"/>
        <w:ind w:firstLine="480" w:firstLineChars="200"/>
        <w:rPr>
          <w:rFonts w:hint="eastAsia"/>
          <w:color w:val="000000"/>
          <w:sz w:val="24"/>
        </w:rPr>
      </w:pPr>
      <w:r>
        <w:rPr>
          <w:rFonts w:hint="eastAsia"/>
          <w:color w:val="000000"/>
          <w:sz w:val="24"/>
        </w:rPr>
        <w:t>3、机械成孔</w:t>
      </w:r>
    </w:p>
    <w:p>
      <w:pPr>
        <w:spacing w:line="360" w:lineRule="auto"/>
        <w:ind w:firstLine="480" w:firstLineChars="200"/>
        <w:rPr>
          <w:rFonts w:hint="eastAsia"/>
          <w:color w:val="000000"/>
          <w:sz w:val="24"/>
        </w:rPr>
      </w:pPr>
      <w:r>
        <w:rPr>
          <w:rFonts w:hint="eastAsia"/>
          <w:color w:val="000000"/>
          <w:sz w:val="24"/>
        </w:rPr>
        <w:t>护筒埋设好后，桩机就位，使钻头中心对准护筒中心，要求偏差不大于</w:t>
      </w:r>
      <w:r>
        <w:rPr>
          <w:rFonts w:hint="eastAsia"/>
          <w:color w:val="000000"/>
          <w:sz w:val="24"/>
        </w:rPr>
        <w:t>±</w:t>
      </w:r>
      <w:r>
        <w:rPr>
          <w:rFonts w:hint="eastAsia"/>
          <w:color w:val="000000"/>
          <w:sz w:val="24"/>
        </w:rPr>
        <w:t>20mm。并及时加片石，粘土泥浆护壁，使孔壁挤压密实，直至孔深达护筒底以下3～4m后，才可加快钻孔速度。钻孔时应及时将孔内残渣排出，并定时补浆，直至设计深度。每钻进1～2m时检查一次钻杆的垂直度，如发生斜孔、塌孔或护筒周围冒浆时，应停机。待采取相应措施后再进行施工。</w:t>
      </w:r>
    </w:p>
    <w:p>
      <w:pPr>
        <w:spacing w:line="360" w:lineRule="auto"/>
        <w:ind w:firstLine="480" w:firstLineChars="200"/>
        <w:rPr>
          <w:rFonts w:hint="eastAsia"/>
          <w:color w:val="000000"/>
          <w:sz w:val="24"/>
        </w:rPr>
      </w:pPr>
      <w:r>
        <w:rPr>
          <w:rFonts w:hint="eastAsia"/>
          <w:color w:val="000000"/>
          <w:sz w:val="24"/>
        </w:rPr>
        <w:t>粘土中钻进时，采用原土造浆。</w:t>
      </w:r>
    </w:p>
    <w:p>
      <w:pPr>
        <w:spacing w:line="360" w:lineRule="auto"/>
        <w:ind w:firstLine="480" w:firstLineChars="200"/>
        <w:rPr>
          <w:rFonts w:hint="eastAsia"/>
          <w:color w:val="000000"/>
          <w:sz w:val="24"/>
        </w:rPr>
      </w:pPr>
      <w:r>
        <w:rPr>
          <w:rFonts w:hint="eastAsia"/>
          <w:color w:val="000000"/>
          <w:sz w:val="24"/>
        </w:rPr>
        <w:t>在较厚的砂层中钻进时，采用膨润土制备泥浆或在孔中投入粘土造浆，为使泥浆有较好的技术性能，适当掺加碳酸钠等分散剂，其掺量为加水量0.5%左右。</w:t>
      </w:r>
    </w:p>
    <w:p>
      <w:pPr>
        <w:spacing w:line="360" w:lineRule="auto"/>
        <w:ind w:firstLine="360" w:firstLineChars="150"/>
        <w:rPr>
          <w:rFonts w:hint="eastAsia"/>
          <w:color w:val="000000"/>
          <w:sz w:val="24"/>
        </w:rPr>
      </w:pPr>
      <w:r>
        <w:rPr>
          <w:rFonts w:hint="eastAsia"/>
          <w:color w:val="000000"/>
          <w:sz w:val="24"/>
        </w:rPr>
        <w:t>泥浆性能指标选择</w:t>
      </w:r>
    </w:p>
    <w:tbl>
      <w:tblPr>
        <w:tblStyle w:val="TableNormal"/>
        <w:tblW w:w="8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24"/>
        <w:gridCol w:w="611"/>
        <w:gridCol w:w="971"/>
        <w:gridCol w:w="872"/>
        <w:gridCol w:w="778"/>
        <w:gridCol w:w="778"/>
        <w:gridCol w:w="1362"/>
        <w:gridCol w:w="1348"/>
        <w:gridCol w:w="878"/>
        <w:gridCol w:w="621"/>
      </w:tblGrid>
      <w:tr>
        <w:tblPrEx>
          <w:tblW w:w="8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296"/>
        </w:trPr>
        <w:tc>
          <w:tcPr>
            <w:tcW w:w="624" w:type="dxa"/>
            <w:vMerge w:val="restart"/>
            <w:vAlign w:val="center"/>
          </w:tcPr>
          <w:p>
            <w:pPr>
              <w:rPr>
                <w:rFonts w:ascii="宋体" w:hAnsi="宋体" w:hint="eastAsia"/>
                <w:szCs w:val="28"/>
              </w:rPr>
            </w:pPr>
            <w:r>
              <w:rPr>
                <w:rFonts w:ascii="宋体" w:hAnsi="宋体" w:hint="eastAsia"/>
                <w:szCs w:val="28"/>
              </w:rPr>
              <w:t>成孔方法</w:t>
            </w:r>
          </w:p>
        </w:tc>
        <w:tc>
          <w:tcPr>
            <w:tcW w:w="611" w:type="dxa"/>
            <w:vMerge w:val="restart"/>
            <w:vAlign w:val="center"/>
          </w:tcPr>
          <w:p>
            <w:pPr>
              <w:rPr>
                <w:rFonts w:ascii="宋体" w:hAnsi="宋体" w:hint="eastAsia"/>
                <w:szCs w:val="28"/>
              </w:rPr>
            </w:pPr>
            <w:r>
              <w:rPr>
                <w:rFonts w:ascii="宋体" w:hAnsi="宋体" w:hint="eastAsia"/>
                <w:szCs w:val="28"/>
              </w:rPr>
              <w:t>地层情况</w:t>
            </w:r>
          </w:p>
        </w:tc>
        <w:tc>
          <w:tcPr>
            <w:tcW w:w="7607" w:type="dxa"/>
            <w:gridSpan w:val="8"/>
            <w:vAlign w:val="center"/>
          </w:tcPr>
          <w:p>
            <w:pPr>
              <w:rPr>
                <w:rFonts w:ascii="宋体" w:hAnsi="宋体" w:hint="eastAsia"/>
                <w:szCs w:val="28"/>
              </w:rPr>
            </w:pPr>
            <w:r>
              <w:rPr>
                <w:rFonts w:ascii="宋体" w:hAnsi="宋体" w:hint="eastAsia"/>
                <w:szCs w:val="28"/>
              </w:rPr>
              <w:t>泥浆性能指标</w:t>
            </w:r>
          </w:p>
        </w:tc>
      </w:tr>
      <w:tr>
        <w:tblPrEx>
          <w:tblW w:w="8843" w:type="dxa"/>
          <w:tblLayout w:type="fixed"/>
          <w:tblCellMar>
            <w:top w:w="0" w:type="dxa"/>
            <w:left w:w="108" w:type="dxa"/>
            <w:bottom w:w="0" w:type="dxa"/>
            <w:right w:w="108" w:type="dxa"/>
          </w:tblCellMar>
          <w:tblLook w:val="0000"/>
        </w:tblPrEx>
        <w:trPr>
          <w:cantSplit/>
          <w:trHeight w:val="142"/>
        </w:trPr>
        <w:tc>
          <w:tcPr>
            <w:tcW w:w="624" w:type="dxa"/>
            <w:vMerge/>
            <w:vAlign w:val="center"/>
          </w:tcPr>
          <w:p>
            <w:pPr>
              <w:rPr>
                <w:rFonts w:ascii="宋体" w:hAnsi="宋体" w:hint="eastAsia"/>
                <w:szCs w:val="28"/>
              </w:rPr>
            </w:pPr>
          </w:p>
        </w:tc>
        <w:tc>
          <w:tcPr>
            <w:tcW w:w="611" w:type="dxa"/>
            <w:vMerge/>
            <w:vAlign w:val="center"/>
          </w:tcPr>
          <w:p>
            <w:pPr>
              <w:rPr>
                <w:rFonts w:ascii="宋体" w:hAnsi="宋体" w:hint="eastAsia"/>
                <w:szCs w:val="28"/>
              </w:rPr>
            </w:pPr>
          </w:p>
        </w:tc>
        <w:tc>
          <w:tcPr>
            <w:tcW w:w="971" w:type="dxa"/>
            <w:vAlign w:val="center"/>
          </w:tcPr>
          <w:p>
            <w:pPr>
              <w:rPr>
                <w:rFonts w:ascii="宋体" w:hAnsi="宋体" w:hint="eastAsia"/>
                <w:szCs w:val="28"/>
              </w:rPr>
            </w:pPr>
            <w:r>
              <w:rPr>
                <w:rFonts w:ascii="宋体" w:hAnsi="宋体" w:hint="eastAsia"/>
                <w:szCs w:val="28"/>
              </w:rPr>
              <w:t>相对密度</w:t>
            </w:r>
          </w:p>
        </w:tc>
        <w:tc>
          <w:tcPr>
            <w:tcW w:w="872" w:type="dxa"/>
            <w:vAlign w:val="center"/>
          </w:tcPr>
          <w:p>
            <w:pPr>
              <w:rPr>
                <w:rFonts w:ascii="宋体" w:hAnsi="宋体" w:hint="eastAsia"/>
                <w:szCs w:val="28"/>
              </w:rPr>
            </w:pPr>
            <w:r>
              <w:rPr>
                <w:rFonts w:ascii="宋体" w:hAnsi="宋体" w:hint="eastAsia"/>
                <w:szCs w:val="28"/>
              </w:rPr>
              <w:t>粘度（S）</w:t>
            </w:r>
          </w:p>
        </w:tc>
        <w:tc>
          <w:tcPr>
            <w:tcW w:w="778" w:type="dxa"/>
            <w:vAlign w:val="center"/>
          </w:tcPr>
          <w:p>
            <w:pPr>
              <w:rPr>
                <w:rFonts w:ascii="宋体" w:hAnsi="宋体" w:hint="eastAsia"/>
                <w:szCs w:val="28"/>
              </w:rPr>
            </w:pPr>
            <w:r>
              <w:rPr>
                <w:rFonts w:ascii="宋体" w:hAnsi="宋体" w:hint="eastAsia"/>
                <w:szCs w:val="28"/>
              </w:rPr>
              <w:t>含砂率（%）</w:t>
            </w:r>
          </w:p>
        </w:tc>
        <w:tc>
          <w:tcPr>
            <w:tcW w:w="778" w:type="dxa"/>
            <w:vAlign w:val="center"/>
          </w:tcPr>
          <w:p>
            <w:pPr>
              <w:rPr>
                <w:rFonts w:ascii="宋体" w:hAnsi="宋体" w:hint="eastAsia"/>
                <w:szCs w:val="28"/>
              </w:rPr>
            </w:pPr>
            <w:r>
              <w:rPr>
                <w:rFonts w:ascii="宋体" w:hAnsi="宋体" w:hint="eastAsia"/>
                <w:szCs w:val="28"/>
              </w:rPr>
              <w:t>胶体率（%）</w:t>
            </w:r>
          </w:p>
        </w:tc>
        <w:tc>
          <w:tcPr>
            <w:tcW w:w="1362" w:type="dxa"/>
            <w:vAlign w:val="center"/>
          </w:tcPr>
          <w:p>
            <w:pPr>
              <w:rPr>
                <w:rFonts w:ascii="宋体" w:hAnsi="宋体" w:hint="eastAsia"/>
                <w:szCs w:val="28"/>
              </w:rPr>
            </w:pPr>
            <w:r>
              <w:rPr>
                <w:rFonts w:ascii="宋体" w:hAnsi="宋体" w:hint="eastAsia"/>
                <w:szCs w:val="28"/>
              </w:rPr>
              <w:t>失水率（m1/30min）</w:t>
            </w:r>
          </w:p>
        </w:tc>
        <w:tc>
          <w:tcPr>
            <w:tcW w:w="1348" w:type="dxa"/>
            <w:vAlign w:val="center"/>
          </w:tcPr>
          <w:p>
            <w:pPr>
              <w:rPr>
                <w:rFonts w:ascii="宋体" w:hAnsi="宋体" w:hint="eastAsia"/>
                <w:szCs w:val="28"/>
              </w:rPr>
            </w:pPr>
            <w:r>
              <w:rPr>
                <w:rFonts w:ascii="宋体" w:hAnsi="宋体" w:hint="eastAsia"/>
                <w:szCs w:val="28"/>
              </w:rPr>
              <w:t>泥皮厚（mm/30min）</w:t>
            </w:r>
          </w:p>
        </w:tc>
        <w:tc>
          <w:tcPr>
            <w:tcW w:w="878" w:type="dxa"/>
            <w:vAlign w:val="center"/>
          </w:tcPr>
          <w:p>
            <w:pPr>
              <w:rPr>
                <w:rFonts w:ascii="宋体" w:hAnsi="宋体" w:hint="eastAsia"/>
                <w:szCs w:val="28"/>
              </w:rPr>
            </w:pPr>
            <w:r>
              <w:rPr>
                <w:rFonts w:ascii="宋体" w:hAnsi="宋体" w:hint="eastAsia"/>
                <w:szCs w:val="28"/>
              </w:rPr>
              <w:t>静切力（Pa）</w:t>
            </w:r>
          </w:p>
        </w:tc>
        <w:tc>
          <w:tcPr>
            <w:tcW w:w="621" w:type="dxa"/>
            <w:vAlign w:val="center"/>
          </w:tcPr>
          <w:p>
            <w:pPr>
              <w:rPr>
                <w:rFonts w:ascii="宋体" w:hAnsi="宋体" w:hint="eastAsia"/>
                <w:szCs w:val="28"/>
              </w:rPr>
            </w:pPr>
            <w:r>
              <w:rPr>
                <w:rFonts w:ascii="宋体" w:hAnsi="宋体" w:hint="eastAsia"/>
                <w:szCs w:val="28"/>
              </w:rPr>
              <w:t>酸碱度</w:t>
            </w:r>
          </w:p>
        </w:tc>
      </w:tr>
      <w:tr>
        <w:tblPrEx>
          <w:tblW w:w="8843" w:type="dxa"/>
          <w:tblLayout w:type="fixed"/>
          <w:tblCellMar>
            <w:top w:w="0" w:type="dxa"/>
            <w:left w:w="108" w:type="dxa"/>
            <w:bottom w:w="0" w:type="dxa"/>
            <w:right w:w="108" w:type="dxa"/>
          </w:tblCellMar>
          <w:tblLook w:val="0000"/>
        </w:tblPrEx>
        <w:trPr>
          <w:cantSplit/>
          <w:trHeight w:val="831"/>
        </w:trPr>
        <w:tc>
          <w:tcPr>
            <w:tcW w:w="624" w:type="dxa"/>
            <w:vMerge w:val="restart"/>
            <w:vAlign w:val="center"/>
          </w:tcPr>
          <w:p>
            <w:pPr>
              <w:rPr>
                <w:rFonts w:ascii="宋体" w:hAnsi="宋体" w:hint="eastAsia"/>
                <w:szCs w:val="28"/>
              </w:rPr>
            </w:pPr>
            <w:r>
              <w:rPr>
                <w:rFonts w:ascii="宋体" w:hAnsi="宋体" w:hint="eastAsia"/>
                <w:szCs w:val="28"/>
              </w:rPr>
              <w:t>机械钻孔</w:t>
            </w:r>
          </w:p>
        </w:tc>
        <w:tc>
          <w:tcPr>
            <w:tcW w:w="611" w:type="dxa"/>
            <w:vAlign w:val="center"/>
          </w:tcPr>
          <w:p>
            <w:pPr>
              <w:rPr>
                <w:rFonts w:ascii="宋体" w:hAnsi="宋体" w:hint="eastAsia"/>
                <w:szCs w:val="28"/>
              </w:rPr>
            </w:pPr>
            <w:r>
              <w:rPr>
                <w:rFonts w:ascii="宋体" w:hAnsi="宋体" w:hint="eastAsia"/>
                <w:szCs w:val="28"/>
              </w:rPr>
              <w:t>粉质粘土</w:t>
            </w:r>
          </w:p>
        </w:tc>
        <w:tc>
          <w:tcPr>
            <w:tcW w:w="971" w:type="dxa"/>
            <w:vAlign w:val="center"/>
          </w:tcPr>
          <w:p>
            <w:pPr>
              <w:rPr>
                <w:rFonts w:ascii="宋体" w:hAnsi="宋体" w:hint="eastAsia"/>
                <w:szCs w:val="28"/>
              </w:rPr>
            </w:pPr>
            <w:r>
              <w:rPr>
                <w:rFonts w:ascii="宋体" w:hAnsi="宋体" w:hint="eastAsia"/>
                <w:szCs w:val="28"/>
              </w:rPr>
              <w:t>1.05～1.20</w:t>
            </w:r>
          </w:p>
        </w:tc>
        <w:tc>
          <w:tcPr>
            <w:tcW w:w="872" w:type="dxa"/>
            <w:vAlign w:val="center"/>
          </w:tcPr>
          <w:p>
            <w:pPr>
              <w:rPr>
                <w:rFonts w:ascii="宋体" w:hAnsi="宋体" w:hint="eastAsia"/>
                <w:szCs w:val="28"/>
              </w:rPr>
            </w:pPr>
            <w:r>
              <w:rPr>
                <w:rFonts w:ascii="宋体" w:hAnsi="宋体" w:hint="eastAsia"/>
                <w:szCs w:val="28"/>
              </w:rPr>
              <w:t>16～22</w:t>
            </w:r>
          </w:p>
        </w:tc>
        <w:tc>
          <w:tcPr>
            <w:tcW w:w="778" w:type="dxa"/>
            <w:vAlign w:val="center"/>
          </w:tcPr>
          <w:p>
            <w:pPr>
              <w:rPr>
                <w:rFonts w:ascii="宋体" w:hAnsi="宋体" w:hint="eastAsia"/>
                <w:szCs w:val="28"/>
              </w:rPr>
            </w:pPr>
            <w:r>
              <w:rPr>
                <w:rFonts w:ascii="宋体" w:hAnsi="宋体" w:hint="eastAsia"/>
                <w:szCs w:val="28"/>
              </w:rPr>
              <w:t>8～4</w:t>
            </w:r>
          </w:p>
        </w:tc>
        <w:tc>
          <w:tcPr>
            <w:tcW w:w="778" w:type="dxa"/>
            <w:vAlign w:val="center"/>
          </w:tcPr>
          <w:p>
            <w:pPr>
              <w:rPr>
                <w:rFonts w:ascii="宋体" w:hAnsi="宋体" w:hint="eastAsia"/>
                <w:szCs w:val="28"/>
              </w:rPr>
            </w:pPr>
            <w:r>
              <w:rPr>
                <w:rFonts w:ascii="宋体" w:hAnsi="宋体" w:hint="eastAsia"/>
                <w:szCs w:val="28"/>
              </w:rPr>
              <w:t>≥</w:t>
            </w:r>
            <w:r>
              <w:rPr>
                <w:rFonts w:ascii="宋体" w:hAnsi="宋体" w:hint="eastAsia"/>
                <w:szCs w:val="28"/>
              </w:rPr>
              <w:t>96</w:t>
            </w:r>
          </w:p>
        </w:tc>
        <w:tc>
          <w:tcPr>
            <w:tcW w:w="1362" w:type="dxa"/>
            <w:vAlign w:val="center"/>
          </w:tcPr>
          <w:p>
            <w:pPr>
              <w:rPr>
                <w:rFonts w:ascii="宋体" w:hAnsi="宋体" w:hint="eastAsia"/>
                <w:szCs w:val="28"/>
              </w:rPr>
            </w:pPr>
            <w:r>
              <w:rPr>
                <w:rFonts w:ascii="宋体" w:hAnsi="宋体" w:hint="eastAsia"/>
                <w:szCs w:val="28"/>
              </w:rPr>
              <w:t>≤</w:t>
            </w:r>
            <w:r>
              <w:rPr>
                <w:rFonts w:ascii="宋体" w:hAnsi="宋体" w:hint="eastAsia"/>
                <w:szCs w:val="28"/>
              </w:rPr>
              <w:t>25</w:t>
            </w:r>
          </w:p>
        </w:tc>
        <w:tc>
          <w:tcPr>
            <w:tcW w:w="1348" w:type="dxa"/>
            <w:vAlign w:val="center"/>
          </w:tcPr>
          <w:p>
            <w:pPr>
              <w:rPr>
                <w:rFonts w:ascii="宋体" w:hAnsi="宋体" w:hint="eastAsia"/>
                <w:szCs w:val="28"/>
              </w:rPr>
            </w:pPr>
            <w:r>
              <w:rPr>
                <w:rFonts w:ascii="宋体" w:hAnsi="宋体" w:hint="eastAsia"/>
                <w:szCs w:val="28"/>
              </w:rPr>
              <w:t>≤</w:t>
            </w:r>
            <w:r>
              <w:rPr>
                <w:rFonts w:ascii="宋体" w:hAnsi="宋体" w:hint="eastAsia"/>
                <w:szCs w:val="28"/>
              </w:rPr>
              <w:t>2</w:t>
            </w:r>
          </w:p>
        </w:tc>
        <w:tc>
          <w:tcPr>
            <w:tcW w:w="878" w:type="dxa"/>
            <w:vAlign w:val="center"/>
          </w:tcPr>
          <w:p>
            <w:pPr>
              <w:rPr>
                <w:rFonts w:ascii="宋体" w:hAnsi="宋体" w:hint="eastAsia"/>
                <w:szCs w:val="28"/>
              </w:rPr>
            </w:pPr>
            <w:r>
              <w:rPr>
                <w:rFonts w:ascii="宋体" w:hAnsi="宋体" w:hint="eastAsia"/>
                <w:szCs w:val="28"/>
              </w:rPr>
              <w:t>1.0～2.5</w:t>
            </w:r>
          </w:p>
        </w:tc>
        <w:tc>
          <w:tcPr>
            <w:tcW w:w="621" w:type="dxa"/>
            <w:vAlign w:val="center"/>
          </w:tcPr>
          <w:p>
            <w:pPr>
              <w:rPr>
                <w:rFonts w:ascii="宋体" w:hAnsi="宋体" w:hint="eastAsia"/>
                <w:szCs w:val="28"/>
              </w:rPr>
            </w:pPr>
            <w:r>
              <w:rPr>
                <w:rFonts w:ascii="宋体" w:hAnsi="宋体" w:hint="eastAsia"/>
                <w:szCs w:val="28"/>
              </w:rPr>
              <w:t>8～10</w:t>
            </w:r>
          </w:p>
        </w:tc>
      </w:tr>
      <w:tr>
        <w:tblPrEx>
          <w:tblW w:w="8843" w:type="dxa"/>
          <w:tblLayout w:type="fixed"/>
          <w:tblCellMar>
            <w:top w:w="0" w:type="dxa"/>
            <w:left w:w="108" w:type="dxa"/>
            <w:bottom w:w="0" w:type="dxa"/>
            <w:right w:w="108" w:type="dxa"/>
          </w:tblCellMar>
          <w:tblLook w:val="0000"/>
        </w:tblPrEx>
        <w:trPr>
          <w:cantSplit/>
          <w:trHeight w:val="1130"/>
        </w:trPr>
        <w:tc>
          <w:tcPr>
            <w:tcW w:w="624" w:type="dxa"/>
            <w:vMerge/>
            <w:vAlign w:val="center"/>
          </w:tcPr>
          <w:p>
            <w:pPr>
              <w:rPr>
                <w:rFonts w:ascii="宋体" w:hAnsi="宋体" w:hint="eastAsia"/>
                <w:szCs w:val="28"/>
              </w:rPr>
            </w:pPr>
          </w:p>
        </w:tc>
        <w:tc>
          <w:tcPr>
            <w:tcW w:w="611" w:type="dxa"/>
            <w:vAlign w:val="center"/>
          </w:tcPr>
          <w:p>
            <w:pPr>
              <w:rPr>
                <w:rFonts w:ascii="宋体" w:hAnsi="宋体" w:hint="eastAsia"/>
                <w:szCs w:val="28"/>
              </w:rPr>
            </w:pPr>
            <w:r>
              <w:rPr>
                <w:rFonts w:ascii="宋体" w:hAnsi="宋体" w:hint="eastAsia"/>
                <w:szCs w:val="28"/>
              </w:rPr>
              <w:t>砂层</w:t>
            </w:r>
          </w:p>
        </w:tc>
        <w:tc>
          <w:tcPr>
            <w:tcW w:w="971" w:type="dxa"/>
            <w:vAlign w:val="center"/>
          </w:tcPr>
          <w:p>
            <w:pPr>
              <w:rPr>
                <w:rFonts w:ascii="宋体" w:hAnsi="宋体" w:hint="eastAsia"/>
                <w:szCs w:val="28"/>
              </w:rPr>
            </w:pPr>
            <w:r>
              <w:rPr>
                <w:rFonts w:ascii="宋体" w:hAnsi="宋体" w:hint="eastAsia"/>
                <w:szCs w:val="28"/>
              </w:rPr>
              <w:t>1.2～1.5</w:t>
            </w:r>
          </w:p>
        </w:tc>
        <w:tc>
          <w:tcPr>
            <w:tcW w:w="872" w:type="dxa"/>
            <w:vAlign w:val="center"/>
          </w:tcPr>
          <w:p>
            <w:pPr>
              <w:rPr>
                <w:rFonts w:ascii="宋体" w:hAnsi="宋体" w:hint="eastAsia"/>
                <w:szCs w:val="28"/>
              </w:rPr>
            </w:pPr>
            <w:r>
              <w:rPr>
                <w:rFonts w:ascii="宋体" w:hAnsi="宋体" w:hint="eastAsia"/>
                <w:szCs w:val="28"/>
              </w:rPr>
              <w:t>22～28</w:t>
            </w:r>
          </w:p>
        </w:tc>
        <w:tc>
          <w:tcPr>
            <w:tcW w:w="778" w:type="dxa"/>
            <w:vAlign w:val="center"/>
          </w:tcPr>
          <w:p>
            <w:pPr>
              <w:rPr>
                <w:rFonts w:ascii="宋体" w:hAnsi="宋体" w:hint="eastAsia"/>
                <w:szCs w:val="28"/>
              </w:rPr>
            </w:pPr>
            <w:r>
              <w:rPr>
                <w:rFonts w:ascii="宋体" w:hAnsi="宋体" w:hint="eastAsia"/>
                <w:szCs w:val="28"/>
              </w:rPr>
              <w:t>≤</w:t>
            </w:r>
            <w:r>
              <w:rPr>
                <w:rFonts w:ascii="宋体" w:hAnsi="宋体" w:hint="eastAsia"/>
                <w:szCs w:val="28"/>
              </w:rPr>
              <w:t>4</w:t>
            </w:r>
          </w:p>
        </w:tc>
        <w:tc>
          <w:tcPr>
            <w:tcW w:w="778" w:type="dxa"/>
            <w:vAlign w:val="center"/>
          </w:tcPr>
          <w:p>
            <w:pPr>
              <w:rPr>
                <w:rFonts w:ascii="宋体" w:hAnsi="宋体" w:hint="eastAsia"/>
                <w:szCs w:val="28"/>
              </w:rPr>
            </w:pPr>
            <w:r>
              <w:rPr>
                <w:rFonts w:ascii="宋体" w:hAnsi="宋体" w:hint="eastAsia"/>
                <w:szCs w:val="28"/>
              </w:rPr>
              <w:t>≥</w:t>
            </w:r>
            <w:r>
              <w:rPr>
                <w:rFonts w:ascii="宋体" w:hAnsi="宋体" w:hint="eastAsia"/>
                <w:szCs w:val="28"/>
              </w:rPr>
              <w:t>95</w:t>
            </w:r>
          </w:p>
        </w:tc>
        <w:tc>
          <w:tcPr>
            <w:tcW w:w="1362" w:type="dxa"/>
            <w:vAlign w:val="center"/>
          </w:tcPr>
          <w:p>
            <w:pPr>
              <w:rPr>
                <w:rFonts w:ascii="宋体" w:hAnsi="宋体" w:hint="eastAsia"/>
                <w:szCs w:val="28"/>
              </w:rPr>
            </w:pPr>
            <w:r>
              <w:rPr>
                <w:rFonts w:ascii="宋体" w:hAnsi="宋体" w:hint="eastAsia"/>
                <w:szCs w:val="28"/>
              </w:rPr>
              <w:t>≤</w:t>
            </w:r>
            <w:r>
              <w:rPr>
                <w:rFonts w:ascii="宋体" w:hAnsi="宋体" w:hint="eastAsia"/>
                <w:szCs w:val="28"/>
              </w:rPr>
              <w:t>20</w:t>
            </w:r>
          </w:p>
        </w:tc>
        <w:tc>
          <w:tcPr>
            <w:tcW w:w="1348" w:type="dxa"/>
            <w:vAlign w:val="center"/>
          </w:tcPr>
          <w:p>
            <w:pPr>
              <w:rPr>
                <w:rFonts w:ascii="宋体" w:hAnsi="宋体" w:hint="eastAsia"/>
                <w:szCs w:val="28"/>
              </w:rPr>
            </w:pPr>
            <w:r>
              <w:rPr>
                <w:rFonts w:ascii="宋体" w:hAnsi="宋体" w:hint="eastAsia"/>
                <w:szCs w:val="28"/>
              </w:rPr>
              <w:t>≤</w:t>
            </w:r>
            <w:r>
              <w:rPr>
                <w:rFonts w:ascii="宋体" w:hAnsi="宋体" w:hint="eastAsia"/>
                <w:szCs w:val="28"/>
              </w:rPr>
              <w:t>3</w:t>
            </w:r>
          </w:p>
        </w:tc>
        <w:tc>
          <w:tcPr>
            <w:tcW w:w="878" w:type="dxa"/>
            <w:vAlign w:val="center"/>
          </w:tcPr>
          <w:p>
            <w:pPr>
              <w:rPr>
                <w:rFonts w:ascii="宋体" w:hAnsi="宋体" w:hint="eastAsia"/>
                <w:szCs w:val="28"/>
              </w:rPr>
            </w:pPr>
            <w:r>
              <w:rPr>
                <w:rFonts w:ascii="宋体" w:hAnsi="宋体" w:hint="eastAsia"/>
                <w:szCs w:val="28"/>
              </w:rPr>
              <w:t>3～5</w:t>
            </w:r>
          </w:p>
        </w:tc>
        <w:tc>
          <w:tcPr>
            <w:tcW w:w="621" w:type="dxa"/>
            <w:vAlign w:val="center"/>
          </w:tcPr>
          <w:p>
            <w:pPr>
              <w:rPr>
                <w:rFonts w:ascii="宋体" w:hAnsi="宋体" w:hint="eastAsia"/>
                <w:szCs w:val="28"/>
              </w:rPr>
            </w:pPr>
            <w:r>
              <w:rPr>
                <w:rFonts w:ascii="宋体" w:hAnsi="宋体" w:hint="eastAsia"/>
                <w:szCs w:val="28"/>
              </w:rPr>
              <w:t>8～11</w:t>
            </w:r>
          </w:p>
        </w:tc>
      </w:tr>
    </w:tbl>
    <w:p>
      <w:pPr>
        <w:rPr>
          <w:rFonts w:ascii="宋体" w:hAnsi="宋体" w:hint="eastAsia"/>
          <w:szCs w:val="28"/>
        </w:rPr>
        <w:sectPr>
          <w:footerReference w:type="even" r:id="rId39"/>
          <w:type w:val="nextPage"/>
          <w:pgSz w:w="11906" w:h="16838"/>
          <w:pgMar w:top="1440" w:right="1800" w:bottom="1440" w:left="1800" w:header="851" w:footer="992" w:gutter="0"/>
          <w:pgNumType w:start="25"/>
          <w:cols w:space="708"/>
          <w:titlePg w:val="0"/>
          <w:docGrid w:type="lines" w:linePitch="312"/>
        </w:sectPr>
      </w:pPr>
    </w:p>
    <w:p>
      <w:pPr>
        <w:spacing w:line="360" w:lineRule="auto"/>
        <w:ind w:firstLine="360" w:firstLineChars="150"/>
        <w:rPr>
          <w:rFonts w:hint="eastAsia"/>
          <w:color w:val="000000"/>
          <w:sz w:val="24"/>
        </w:rPr>
      </w:pPr>
    </w:p>
    <w:p>
      <w:pPr>
        <w:spacing w:line="360" w:lineRule="auto"/>
        <w:ind w:firstLine="360" w:firstLineChars="150"/>
        <w:rPr>
          <w:rFonts w:hint="eastAsia"/>
          <w:color w:val="000000"/>
          <w:sz w:val="24"/>
        </w:rPr>
      </w:pPr>
    </w:p>
    <w:p>
      <w:pPr>
        <w:spacing w:line="360" w:lineRule="auto"/>
        <w:ind w:firstLine="360" w:firstLineChars="150"/>
        <w:rPr>
          <w:rFonts w:hint="eastAsia"/>
          <w:color w:val="000000"/>
          <w:sz w:val="24"/>
        </w:rPr>
      </w:pPr>
      <w:r>
        <w:rPr>
          <w:rFonts w:hint="eastAsia"/>
          <w:color w:val="000000"/>
          <w:sz w:val="24"/>
        </w:rPr>
        <w:t>桩基工程中常遇到问题、原因及预防和处理措施：</w:t>
      </w:r>
    </w:p>
    <w:tbl>
      <w:tblPr>
        <w:tblStyle w:val="TableNormal"/>
        <w:tblW w:w="8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16"/>
        <w:gridCol w:w="4000"/>
        <w:gridCol w:w="3573"/>
      </w:tblGrid>
      <w:tr>
        <w:tblPrEx>
          <w:tblW w:w="8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07"/>
        </w:trPr>
        <w:tc>
          <w:tcPr>
            <w:tcW w:w="1016" w:type="dxa"/>
            <w:vAlign w:val="center"/>
          </w:tcPr>
          <w:p>
            <w:pPr>
              <w:jc w:val="center"/>
              <w:rPr>
                <w:rFonts w:ascii="宋体" w:hAnsi="宋体" w:hint="eastAsia"/>
                <w:szCs w:val="28"/>
              </w:rPr>
            </w:pPr>
            <w:r>
              <w:rPr>
                <w:rFonts w:ascii="宋体" w:hAnsi="宋体" w:hint="eastAsia"/>
                <w:szCs w:val="28"/>
              </w:rPr>
              <w:t>常遇</w:t>
            </w:r>
          </w:p>
          <w:p>
            <w:pPr>
              <w:jc w:val="center"/>
              <w:rPr>
                <w:rFonts w:ascii="宋体" w:hAnsi="宋体" w:hint="eastAsia"/>
                <w:szCs w:val="28"/>
              </w:rPr>
            </w:pPr>
            <w:r>
              <w:rPr>
                <w:rFonts w:ascii="宋体" w:hAnsi="宋体" w:hint="eastAsia"/>
                <w:szCs w:val="28"/>
              </w:rPr>
              <w:t>问题</w:t>
            </w:r>
          </w:p>
        </w:tc>
        <w:tc>
          <w:tcPr>
            <w:tcW w:w="4000" w:type="dxa"/>
            <w:vAlign w:val="center"/>
          </w:tcPr>
          <w:p>
            <w:pPr>
              <w:jc w:val="center"/>
              <w:rPr>
                <w:rFonts w:ascii="宋体" w:hAnsi="宋体" w:hint="eastAsia"/>
                <w:szCs w:val="28"/>
              </w:rPr>
            </w:pPr>
            <w:r>
              <w:rPr>
                <w:rFonts w:ascii="宋体" w:hAnsi="宋体" w:hint="eastAsia"/>
                <w:szCs w:val="28"/>
              </w:rPr>
              <w:t>主 要 原 因</w:t>
            </w:r>
          </w:p>
        </w:tc>
        <w:tc>
          <w:tcPr>
            <w:tcW w:w="3573" w:type="dxa"/>
            <w:vAlign w:val="center"/>
          </w:tcPr>
          <w:p>
            <w:pPr>
              <w:jc w:val="center"/>
              <w:rPr>
                <w:rFonts w:ascii="宋体" w:hAnsi="宋体" w:hint="eastAsia"/>
                <w:szCs w:val="28"/>
              </w:rPr>
            </w:pPr>
            <w:r>
              <w:rPr>
                <w:rFonts w:ascii="宋体" w:hAnsi="宋体" w:hint="eastAsia"/>
                <w:szCs w:val="28"/>
              </w:rPr>
              <w:t>预防及处理措施</w:t>
            </w:r>
          </w:p>
        </w:tc>
      </w:tr>
      <w:tr>
        <w:tblPrEx>
          <w:tblW w:w="8589" w:type="dxa"/>
          <w:tblCellMar>
            <w:top w:w="0" w:type="dxa"/>
            <w:left w:w="108" w:type="dxa"/>
            <w:bottom w:w="0" w:type="dxa"/>
            <w:right w:w="108" w:type="dxa"/>
          </w:tblCellMar>
          <w:tblLook w:val="0000"/>
        </w:tblPrEx>
        <w:trPr>
          <w:trHeight w:val="109"/>
        </w:trPr>
        <w:tc>
          <w:tcPr>
            <w:tcW w:w="1016" w:type="dxa"/>
            <w:vMerge w:val="restart"/>
            <w:vAlign w:val="center"/>
          </w:tcPr>
          <w:p>
            <w:pPr>
              <w:jc w:val="center"/>
              <w:rPr>
                <w:rFonts w:ascii="宋体" w:hAnsi="宋体" w:hint="eastAsia"/>
                <w:szCs w:val="28"/>
              </w:rPr>
            </w:pPr>
            <w:r>
              <w:rPr>
                <w:rFonts w:ascii="宋体" w:hAnsi="宋体" w:hint="eastAsia"/>
                <w:szCs w:val="28"/>
              </w:rPr>
              <w:t>孔</w:t>
            </w:r>
          </w:p>
          <w:p>
            <w:pPr>
              <w:jc w:val="center"/>
              <w:rPr>
                <w:rFonts w:ascii="宋体" w:hAnsi="宋体" w:hint="eastAsia"/>
                <w:szCs w:val="28"/>
              </w:rPr>
            </w:pPr>
            <w:r>
              <w:rPr>
                <w:rFonts w:ascii="宋体" w:hAnsi="宋体" w:hint="eastAsia"/>
                <w:szCs w:val="28"/>
              </w:rPr>
              <w:t>壁</w:t>
            </w:r>
          </w:p>
          <w:p>
            <w:pPr>
              <w:jc w:val="center"/>
              <w:rPr>
                <w:rFonts w:ascii="宋体" w:hAnsi="宋体" w:hint="eastAsia"/>
                <w:szCs w:val="28"/>
              </w:rPr>
            </w:pPr>
            <w:r>
              <w:rPr>
                <w:rFonts w:ascii="宋体" w:hAnsi="宋体" w:hint="eastAsia"/>
                <w:szCs w:val="28"/>
              </w:rPr>
              <w:t>坍</w:t>
            </w:r>
          </w:p>
          <w:p>
            <w:pPr>
              <w:jc w:val="center"/>
              <w:rPr>
                <w:rFonts w:ascii="宋体" w:hAnsi="宋体" w:hint="eastAsia"/>
                <w:szCs w:val="28"/>
              </w:rPr>
            </w:pPr>
            <w:r>
              <w:rPr>
                <w:rFonts w:ascii="宋体" w:hAnsi="宋体" w:hint="eastAsia"/>
                <w:szCs w:val="28"/>
              </w:rPr>
              <w:t>落</w:t>
            </w:r>
          </w:p>
        </w:tc>
        <w:tc>
          <w:tcPr>
            <w:tcW w:w="4000" w:type="dxa"/>
          </w:tcPr>
          <w:p>
            <w:pPr>
              <w:rPr>
                <w:rFonts w:ascii="宋体" w:hAnsi="宋体" w:hint="eastAsia"/>
                <w:szCs w:val="28"/>
              </w:rPr>
            </w:pPr>
            <w:r>
              <w:rPr>
                <w:rFonts w:ascii="宋体" w:hAnsi="宋体" w:hint="eastAsia"/>
                <w:szCs w:val="28"/>
              </w:rPr>
              <w:t>水头压力不足</w:t>
            </w:r>
          </w:p>
        </w:tc>
        <w:tc>
          <w:tcPr>
            <w:tcW w:w="3573" w:type="dxa"/>
          </w:tcPr>
          <w:p>
            <w:pPr>
              <w:rPr>
                <w:rFonts w:ascii="宋体" w:hAnsi="宋体" w:hint="eastAsia"/>
                <w:szCs w:val="28"/>
              </w:rPr>
            </w:pPr>
            <w:r>
              <w:rPr>
                <w:rFonts w:ascii="宋体" w:hAnsi="宋体" w:hint="eastAsia"/>
                <w:szCs w:val="28"/>
              </w:rPr>
              <w:t>孔内水位必须高出地下水水位2m</w:t>
            </w:r>
          </w:p>
        </w:tc>
      </w:tr>
      <w:tr>
        <w:tblPrEx>
          <w:tblW w:w="8589" w:type="dxa"/>
          <w:tblCellMar>
            <w:top w:w="0" w:type="dxa"/>
            <w:left w:w="108" w:type="dxa"/>
            <w:bottom w:w="0" w:type="dxa"/>
            <w:right w:w="108" w:type="dxa"/>
          </w:tblCellMar>
          <w:tblLook w:val="0000"/>
        </w:tblPrEx>
        <w:trPr>
          <w:trHeight w:val="453"/>
        </w:trPr>
        <w:tc>
          <w:tcPr>
            <w:tcW w:w="1016" w:type="dxa"/>
            <w:vMerge/>
            <w:vAlign w:val="center"/>
          </w:tcPr>
          <w:p>
            <w:pPr>
              <w:jc w:val="center"/>
              <w:rPr>
                <w:rFonts w:ascii="宋体" w:hAnsi="宋体" w:hint="eastAsia"/>
                <w:szCs w:val="28"/>
              </w:rPr>
            </w:pPr>
          </w:p>
        </w:tc>
        <w:tc>
          <w:tcPr>
            <w:tcW w:w="4000" w:type="dxa"/>
          </w:tcPr>
          <w:p>
            <w:pPr>
              <w:rPr>
                <w:rFonts w:ascii="宋体" w:hAnsi="宋体" w:hint="eastAsia"/>
                <w:szCs w:val="28"/>
              </w:rPr>
            </w:pPr>
            <w:r>
              <w:rPr>
                <w:rFonts w:ascii="宋体" w:hAnsi="宋体" w:hint="eastAsia"/>
                <w:szCs w:val="28"/>
              </w:rPr>
              <w:t>成孔速度太快，容易使孔孔壁塌方</w:t>
            </w:r>
          </w:p>
        </w:tc>
        <w:tc>
          <w:tcPr>
            <w:tcW w:w="3573" w:type="dxa"/>
          </w:tcPr>
          <w:p>
            <w:pPr>
              <w:rPr>
                <w:rFonts w:ascii="宋体" w:hAnsi="宋体" w:hint="eastAsia"/>
                <w:szCs w:val="28"/>
              </w:rPr>
            </w:pPr>
            <w:r>
              <w:rPr>
                <w:rFonts w:ascii="宋体" w:hAnsi="宋体" w:hint="eastAsia"/>
                <w:szCs w:val="28"/>
              </w:rPr>
              <w:t>成孔速度视地质情况而异</w:t>
            </w:r>
          </w:p>
        </w:tc>
      </w:tr>
      <w:tr>
        <w:tblPrEx>
          <w:tblW w:w="8589" w:type="dxa"/>
          <w:tblCellMar>
            <w:top w:w="0" w:type="dxa"/>
            <w:left w:w="108" w:type="dxa"/>
            <w:bottom w:w="0" w:type="dxa"/>
            <w:right w:w="108" w:type="dxa"/>
          </w:tblCellMar>
          <w:tblLook w:val="0000"/>
        </w:tblPrEx>
        <w:trPr>
          <w:trHeight w:val="945"/>
        </w:trPr>
        <w:tc>
          <w:tcPr>
            <w:tcW w:w="1016" w:type="dxa"/>
            <w:vMerge/>
            <w:vAlign w:val="center"/>
          </w:tcPr>
          <w:p>
            <w:pPr>
              <w:jc w:val="center"/>
              <w:rPr>
                <w:rFonts w:ascii="宋体" w:hAnsi="宋体" w:hint="eastAsia"/>
                <w:szCs w:val="28"/>
              </w:rPr>
            </w:pPr>
          </w:p>
        </w:tc>
        <w:tc>
          <w:tcPr>
            <w:tcW w:w="4000" w:type="dxa"/>
            <w:vAlign w:val="center"/>
          </w:tcPr>
          <w:p>
            <w:pPr>
              <w:rPr>
                <w:rFonts w:ascii="宋体" w:hAnsi="宋体" w:hint="eastAsia"/>
                <w:szCs w:val="28"/>
              </w:rPr>
            </w:pPr>
            <w:r>
              <w:rPr>
                <w:rFonts w:ascii="宋体" w:hAnsi="宋体" w:hint="eastAsia"/>
                <w:szCs w:val="28"/>
              </w:rPr>
              <w:t>放钢筋笼时碰撞了孔壁</w:t>
            </w:r>
          </w:p>
        </w:tc>
        <w:tc>
          <w:tcPr>
            <w:tcW w:w="3573" w:type="dxa"/>
          </w:tcPr>
          <w:p>
            <w:pPr>
              <w:rPr>
                <w:rFonts w:ascii="宋体" w:hAnsi="宋体" w:hint="eastAsia"/>
                <w:szCs w:val="28"/>
              </w:rPr>
            </w:pPr>
            <w:r>
              <w:rPr>
                <w:rFonts w:ascii="宋体" w:hAnsi="宋体" w:hint="eastAsia"/>
                <w:szCs w:val="28"/>
              </w:rPr>
              <w:t>从钢筋笼解扎，吊插以及定位垫块，设置安装环节等均应予以注意</w:t>
            </w:r>
          </w:p>
        </w:tc>
      </w:tr>
      <w:tr>
        <w:tblPrEx>
          <w:tblW w:w="8589" w:type="dxa"/>
          <w:tblCellMar>
            <w:top w:w="0" w:type="dxa"/>
            <w:left w:w="108" w:type="dxa"/>
            <w:bottom w:w="0" w:type="dxa"/>
            <w:right w:w="108" w:type="dxa"/>
          </w:tblCellMar>
          <w:tblLook w:val="0000"/>
        </w:tblPrEx>
        <w:trPr>
          <w:trHeight w:val="896"/>
        </w:trPr>
        <w:tc>
          <w:tcPr>
            <w:tcW w:w="1016" w:type="dxa"/>
            <w:vMerge/>
            <w:vAlign w:val="center"/>
          </w:tcPr>
          <w:p>
            <w:pPr>
              <w:jc w:val="center"/>
              <w:rPr>
                <w:rFonts w:ascii="宋体" w:hAnsi="宋体" w:hint="eastAsia"/>
                <w:szCs w:val="28"/>
              </w:rPr>
            </w:pPr>
          </w:p>
        </w:tc>
        <w:tc>
          <w:tcPr>
            <w:tcW w:w="4000" w:type="dxa"/>
          </w:tcPr>
          <w:p>
            <w:pPr>
              <w:rPr>
                <w:rFonts w:ascii="宋体" w:hAnsi="宋体" w:hint="eastAsia"/>
                <w:szCs w:val="28"/>
              </w:rPr>
            </w:pPr>
            <w:r>
              <w:rPr>
                <w:rFonts w:ascii="宋体" w:hAnsi="宋体" w:hint="eastAsia"/>
                <w:szCs w:val="28"/>
              </w:rPr>
              <w:t>水头太大，超过需要时，使钻头外侧的土发生涌起翻砂以至破坏</w:t>
            </w:r>
          </w:p>
        </w:tc>
        <w:tc>
          <w:tcPr>
            <w:tcW w:w="3573" w:type="dxa"/>
          </w:tcPr>
          <w:p>
            <w:pPr>
              <w:rPr>
                <w:rFonts w:ascii="宋体" w:hAnsi="宋体" w:hint="eastAsia"/>
                <w:szCs w:val="28"/>
              </w:rPr>
            </w:pPr>
            <w:r>
              <w:rPr>
                <w:rFonts w:ascii="宋体" w:hAnsi="宋体" w:hint="eastAsia"/>
                <w:szCs w:val="28"/>
              </w:rPr>
              <w:t>孔内静水压原则上应取地下头</w:t>
            </w:r>
            <w:r>
              <w:rPr>
                <w:rFonts w:ascii="宋体" w:hAnsi="宋体" w:hint="eastAsia"/>
                <w:szCs w:val="28"/>
              </w:rPr>
              <w:t>±</w:t>
            </w:r>
            <w:r>
              <w:rPr>
                <w:rFonts w:ascii="宋体" w:hAnsi="宋体" w:hint="eastAsia"/>
                <w:szCs w:val="28"/>
              </w:rPr>
              <w:t xml:space="preserve">2.0m  </w:t>
            </w:r>
          </w:p>
        </w:tc>
      </w:tr>
      <w:tr>
        <w:tblPrEx>
          <w:tblW w:w="8589" w:type="dxa"/>
          <w:tblCellMar>
            <w:top w:w="0" w:type="dxa"/>
            <w:left w:w="108" w:type="dxa"/>
            <w:bottom w:w="0" w:type="dxa"/>
            <w:right w:w="108" w:type="dxa"/>
          </w:tblCellMar>
          <w:tblLook w:val="0000"/>
        </w:tblPrEx>
        <w:trPr>
          <w:trHeight w:val="2375"/>
        </w:trPr>
        <w:tc>
          <w:tcPr>
            <w:tcW w:w="1016" w:type="dxa"/>
            <w:vAlign w:val="center"/>
          </w:tcPr>
          <w:p>
            <w:pPr>
              <w:jc w:val="center"/>
              <w:rPr>
                <w:rFonts w:ascii="宋体" w:hAnsi="宋体" w:hint="eastAsia"/>
                <w:szCs w:val="28"/>
              </w:rPr>
            </w:pPr>
            <w:r>
              <w:rPr>
                <w:rFonts w:ascii="宋体" w:hAnsi="宋体" w:hint="eastAsia"/>
                <w:szCs w:val="28"/>
              </w:rPr>
              <w:t>桩</w:t>
            </w:r>
          </w:p>
          <w:p>
            <w:pPr>
              <w:jc w:val="center"/>
              <w:rPr>
                <w:rFonts w:ascii="宋体" w:hAnsi="宋体" w:hint="eastAsia"/>
                <w:szCs w:val="28"/>
              </w:rPr>
            </w:pPr>
            <w:r>
              <w:rPr>
                <w:rFonts w:ascii="宋体" w:hAnsi="宋体" w:hint="eastAsia"/>
                <w:szCs w:val="28"/>
              </w:rPr>
              <w:t>机</w:t>
            </w:r>
          </w:p>
          <w:p>
            <w:pPr>
              <w:jc w:val="center"/>
              <w:rPr>
                <w:rFonts w:ascii="宋体" w:hAnsi="宋体" w:hint="eastAsia"/>
                <w:szCs w:val="28"/>
              </w:rPr>
            </w:pPr>
            <w:r>
              <w:rPr>
                <w:rFonts w:ascii="宋体" w:hAnsi="宋体" w:hint="eastAsia"/>
                <w:szCs w:val="28"/>
              </w:rPr>
              <w:t>偏</w:t>
            </w:r>
          </w:p>
          <w:p>
            <w:pPr>
              <w:jc w:val="center"/>
              <w:rPr>
                <w:rFonts w:ascii="宋体" w:hAnsi="宋体" w:hint="eastAsia"/>
                <w:szCs w:val="28"/>
              </w:rPr>
            </w:pPr>
            <w:r>
              <w:rPr>
                <w:rFonts w:ascii="宋体" w:hAnsi="宋体" w:hint="eastAsia"/>
                <w:szCs w:val="28"/>
              </w:rPr>
              <w:t>斜</w:t>
            </w:r>
          </w:p>
        </w:tc>
        <w:tc>
          <w:tcPr>
            <w:tcW w:w="4000" w:type="dxa"/>
          </w:tcPr>
          <w:p>
            <w:pPr>
              <w:rPr>
                <w:rFonts w:ascii="宋体" w:hAnsi="宋体" w:hint="eastAsia"/>
                <w:szCs w:val="28"/>
              </w:rPr>
            </w:pPr>
            <w:r>
              <w:rPr>
                <w:rFonts w:ascii="宋体" w:hAnsi="宋体" w:hint="eastAsia"/>
                <w:szCs w:val="28"/>
              </w:rPr>
              <w:t>地面不平或不均匀沉降使钻机底倾斜导致钻孔偏斜弯曲或连接不当，使钻头钻杆中心成不同轴</w:t>
            </w:r>
          </w:p>
        </w:tc>
        <w:tc>
          <w:tcPr>
            <w:tcW w:w="3573" w:type="dxa"/>
          </w:tcPr>
          <w:p>
            <w:pPr>
              <w:rPr>
                <w:rFonts w:ascii="宋体" w:hAnsi="宋体" w:hint="eastAsia"/>
                <w:szCs w:val="28"/>
              </w:rPr>
            </w:pPr>
            <w:r>
              <w:rPr>
                <w:rFonts w:ascii="宋体" w:hAnsi="宋体" w:hint="eastAsia"/>
                <w:szCs w:val="28"/>
              </w:rPr>
              <w:t>场地要平整，钻架就位后转盘与低架要水平，钻架顶端的起重滑轮边缘因固定的钻孔在同一轴线上，钻杆接头应逐个检查及时调整，弯曲的钻杆及要时更换</w:t>
            </w:r>
          </w:p>
        </w:tc>
      </w:tr>
      <w:tr>
        <w:tblPrEx>
          <w:tblW w:w="8589" w:type="dxa"/>
          <w:tblCellMar>
            <w:top w:w="0" w:type="dxa"/>
            <w:left w:w="108" w:type="dxa"/>
            <w:bottom w:w="0" w:type="dxa"/>
            <w:right w:w="108" w:type="dxa"/>
          </w:tblCellMar>
          <w:tblLook w:val="0000"/>
        </w:tblPrEx>
        <w:trPr>
          <w:trHeight w:val="2170"/>
        </w:trPr>
        <w:tc>
          <w:tcPr>
            <w:tcW w:w="1016" w:type="dxa"/>
            <w:vAlign w:val="center"/>
          </w:tcPr>
          <w:p>
            <w:pPr>
              <w:rPr>
                <w:rFonts w:ascii="宋体" w:hAnsi="宋体" w:hint="eastAsia"/>
                <w:szCs w:val="28"/>
              </w:rPr>
            </w:pPr>
            <w:r>
              <w:rPr>
                <w:rFonts w:ascii="宋体" w:hAnsi="宋体" w:hint="eastAsia"/>
                <w:szCs w:val="28"/>
              </w:rPr>
              <w:t>桩身夹</w:t>
            </w:r>
          </w:p>
          <w:p>
            <w:pPr>
              <w:rPr>
                <w:rFonts w:ascii="宋体" w:hAnsi="宋体" w:hint="eastAsia"/>
                <w:szCs w:val="28"/>
              </w:rPr>
            </w:pPr>
            <w:r>
              <w:rPr>
                <w:rFonts w:ascii="宋体" w:hAnsi="宋体" w:hint="eastAsia"/>
                <w:szCs w:val="28"/>
              </w:rPr>
              <w:t>泥或断桩</w:t>
            </w:r>
          </w:p>
        </w:tc>
        <w:tc>
          <w:tcPr>
            <w:tcW w:w="4000" w:type="dxa"/>
          </w:tcPr>
          <w:p>
            <w:pPr>
              <w:rPr>
                <w:rFonts w:ascii="宋体" w:hAnsi="宋体" w:hint="eastAsia"/>
                <w:szCs w:val="28"/>
              </w:rPr>
            </w:pPr>
            <w:r>
              <w:rPr>
                <w:rFonts w:ascii="宋体" w:hAnsi="宋体" w:hint="eastAsia"/>
                <w:szCs w:val="28"/>
              </w:rPr>
              <w:t>混凝土丹落度太小，粗骨料粒太大，未及时提升导管，导管偏斜等原因使导管堵塞。提升导管碰撞钢筋笼使孔壁土挤入砼中，导管未扶正</w:t>
            </w:r>
          </w:p>
        </w:tc>
        <w:tc>
          <w:tcPr>
            <w:tcW w:w="3573" w:type="dxa"/>
          </w:tcPr>
          <w:p>
            <w:pPr>
              <w:rPr>
                <w:rFonts w:ascii="宋体" w:hAnsi="宋体" w:hint="eastAsia"/>
                <w:szCs w:val="28"/>
              </w:rPr>
            </w:pPr>
            <w:r>
              <w:rPr>
                <w:rFonts w:ascii="宋体" w:hAnsi="宋体" w:hint="eastAsia"/>
                <w:szCs w:val="28"/>
              </w:rPr>
              <w:t>砼配合比严格按设计要求配比，粗骨料粒径及坍落度均应满足规范要求，灌砼随时检测顶层上升高度，避免导管埋入过深或提升导管太快而脱离砼面</w:t>
            </w:r>
          </w:p>
        </w:tc>
      </w:tr>
    </w:tbl>
    <w:p>
      <w:pPr>
        <w:spacing w:line="360" w:lineRule="auto"/>
        <w:ind w:firstLine="480" w:firstLineChars="200"/>
        <w:rPr>
          <w:rFonts w:hint="eastAsia"/>
          <w:color w:val="000000"/>
          <w:sz w:val="24"/>
        </w:rPr>
      </w:pPr>
      <w:r>
        <w:rPr>
          <w:rFonts w:hint="eastAsia"/>
          <w:color w:val="000000"/>
          <w:sz w:val="24"/>
        </w:rPr>
        <w:t>终孔时以桩长控制为标准进行验证。钻孔过程中，为防止跑架，应随时校核钻杆是否对中桩位中心，发生偏差应立即纠正。成孔后，应用测绳下挂0.5kg重铁砣测量检查孔深，核对无误后，经监理工程师终孔验收后，进行下一道工序。</w:t>
      </w:r>
    </w:p>
    <w:p>
      <w:pPr>
        <w:spacing w:line="360" w:lineRule="auto"/>
        <w:ind w:firstLine="480" w:firstLineChars="200"/>
        <w:rPr>
          <w:rFonts w:hint="eastAsia"/>
          <w:color w:val="000000"/>
          <w:sz w:val="24"/>
        </w:rPr>
      </w:pPr>
      <w:r>
        <w:rPr>
          <w:rFonts w:hint="eastAsia"/>
          <w:color w:val="000000"/>
          <w:sz w:val="24"/>
        </w:rPr>
        <w:t>4、钢筋笼制作安装</w:t>
      </w:r>
    </w:p>
    <w:p>
      <w:pPr>
        <w:spacing w:line="360" w:lineRule="auto"/>
        <w:ind w:firstLine="480" w:firstLineChars="200"/>
        <w:rPr>
          <w:rFonts w:hint="eastAsia"/>
          <w:color w:val="000000"/>
          <w:sz w:val="24"/>
        </w:rPr>
        <w:sectPr>
          <w:footerReference w:type="even" r:id="rId40"/>
          <w:type w:val="nextPage"/>
          <w:pgSz w:w="11906" w:h="16838"/>
          <w:pgMar w:top="1440" w:right="1800" w:bottom="1440" w:left="1800" w:header="851" w:footer="992" w:gutter="0"/>
          <w:pgNumType w:start="26"/>
          <w:cols w:space="708"/>
          <w:titlePg w:val="0"/>
          <w:docGrid w:type="lines" w:linePitch="312"/>
        </w:sectPr>
      </w:pPr>
    </w:p>
    <w:p>
      <w:pPr>
        <w:spacing w:line="360" w:lineRule="auto"/>
        <w:ind w:firstLine="480" w:firstLineChars="200"/>
        <w:rPr>
          <w:rFonts w:hint="eastAsia"/>
          <w:color w:val="000000"/>
          <w:sz w:val="24"/>
        </w:rPr>
      </w:pPr>
      <w:r>
        <w:rPr>
          <w:rFonts w:hint="eastAsia"/>
          <w:color w:val="000000"/>
          <w:sz w:val="24"/>
        </w:rPr>
        <w:t>钢筋骨架现场制作，在一次清孔完毕后，起钻、吊车吊放钢筋骨架。钢筋笼外侧设置控制保护层厚度的垫块（砼保护层厚度为50mm），其间距竖向为2m，横向圆周不得小于4处，顶端应设置吊环，钢筋骨架在井口分段焊接，采用单面搭接焊时，焊接长度10d，受力钢筋接头应相互错开，在任一焊接接头中心至长度为钢筋直径的35倍且不大于500mm的区段范围内有接头的受力钢筋截面面积占受力钢筋总截面面积的百分率不大于50%，同一钢筋上应尽量少设接头，接头位置应设置在受力较小处，钢筋规格、等级、间距等安放必须准确。钢筋笼的制作应符合图纸设计和建筑地基基础工程施工质量验收规范《GB50202-</w:t>
      </w:r>
      <w:r>
        <w:rPr>
          <w:rFonts w:hint="eastAsia"/>
          <w:color w:val="000000"/>
          <w:sz w:val="24"/>
          <w:lang w:eastAsia="zh-CN"/>
        </w:rPr>
        <w:t>201</w:t>
      </w:r>
      <w:r>
        <w:rPr>
          <w:rFonts w:hint="eastAsia"/>
          <w:color w:val="000000"/>
          <w:sz w:val="24"/>
        </w:rPr>
        <w:t>2》要求。</w:t>
      </w:r>
    </w:p>
    <w:p>
      <w:pPr>
        <w:spacing w:line="360" w:lineRule="auto"/>
        <w:ind w:firstLine="360" w:firstLineChars="150"/>
        <w:rPr>
          <w:rFonts w:hint="eastAsia"/>
          <w:color w:val="000000"/>
          <w:sz w:val="24"/>
        </w:rPr>
      </w:pPr>
      <w:r>
        <w:rPr>
          <w:rFonts w:hint="eastAsia"/>
          <w:color w:val="000000"/>
          <w:sz w:val="24"/>
        </w:rPr>
        <w:t>钢筋笼制作允许偏差表（mm）</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720"/>
        <w:gridCol w:w="3620"/>
        <w:gridCol w:w="270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93"/>
          <w:jc w:val="center"/>
        </w:trPr>
        <w:tc>
          <w:tcPr>
            <w:tcW w:w="1720" w:type="dxa"/>
          </w:tcPr>
          <w:p>
            <w:pPr>
              <w:rPr>
                <w:rFonts w:ascii="宋体" w:hAnsi="宋体" w:hint="eastAsia"/>
                <w:szCs w:val="28"/>
              </w:rPr>
            </w:pPr>
            <w:r>
              <w:rPr>
                <w:rFonts w:ascii="宋体" w:hAnsi="宋体" w:hint="eastAsia"/>
                <w:szCs w:val="28"/>
              </w:rPr>
              <w:t>项  次</w:t>
            </w:r>
          </w:p>
        </w:tc>
        <w:tc>
          <w:tcPr>
            <w:tcW w:w="3620" w:type="dxa"/>
          </w:tcPr>
          <w:p>
            <w:pPr>
              <w:rPr>
                <w:rFonts w:ascii="宋体" w:hAnsi="宋体" w:hint="eastAsia"/>
                <w:szCs w:val="28"/>
              </w:rPr>
            </w:pPr>
            <w:r>
              <w:rPr>
                <w:rFonts w:ascii="宋体" w:hAnsi="宋体" w:hint="eastAsia"/>
                <w:szCs w:val="28"/>
              </w:rPr>
              <w:t>项  目</w:t>
            </w:r>
          </w:p>
        </w:tc>
        <w:tc>
          <w:tcPr>
            <w:tcW w:w="2700" w:type="dxa"/>
          </w:tcPr>
          <w:p>
            <w:pPr>
              <w:rPr>
                <w:rFonts w:ascii="宋体" w:hAnsi="宋体" w:hint="eastAsia"/>
                <w:szCs w:val="28"/>
              </w:rPr>
            </w:pPr>
            <w:r>
              <w:rPr>
                <w:rFonts w:ascii="宋体" w:hAnsi="宋体" w:hint="eastAsia"/>
                <w:szCs w:val="28"/>
              </w:rPr>
              <w:t>允 许 偏 差</w:t>
            </w:r>
          </w:p>
        </w:tc>
      </w:tr>
      <w:tr>
        <w:tblPrEx>
          <w:tblW w:w="0" w:type="auto"/>
          <w:jc w:val="center"/>
          <w:tblCellMar>
            <w:top w:w="0" w:type="dxa"/>
            <w:left w:w="108" w:type="dxa"/>
            <w:bottom w:w="0" w:type="dxa"/>
            <w:right w:w="108" w:type="dxa"/>
          </w:tblCellMar>
          <w:tblLook w:val="0000"/>
        </w:tblPrEx>
        <w:trPr>
          <w:trHeight w:val="308"/>
          <w:jc w:val="center"/>
        </w:trPr>
        <w:tc>
          <w:tcPr>
            <w:tcW w:w="1720" w:type="dxa"/>
          </w:tcPr>
          <w:p>
            <w:pPr>
              <w:rPr>
                <w:rFonts w:ascii="宋体" w:hAnsi="宋体" w:hint="eastAsia"/>
                <w:szCs w:val="28"/>
              </w:rPr>
            </w:pPr>
            <w:r>
              <w:rPr>
                <w:rFonts w:ascii="宋体" w:hAnsi="宋体" w:hint="eastAsia"/>
                <w:szCs w:val="28"/>
              </w:rPr>
              <w:t>1</w:t>
            </w:r>
          </w:p>
        </w:tc>
        <w:tc>
          <w:tcPr>
            <w:tcW w:w="3620" w:type="dxa"/>
          </w:tcPr>
          <w:p>
            <w:pPr>
              <w:rPr>
                <w:rFonts w:ascii="宋体" w:hAnsi="宋体" w:hint="eastAsia"/>
                <w:szCs w:val="28"/>
              </w:rPr>
            </w:pPr>
            <w:r>
              <w:rPr>
                <w:rFonts w:ascii="宋体" w:hAnsi="宋体" w:hint="eastAsia"/>
                <w:szCs w:val="28"/>
              </w:rPr>
              <w:t>主筋间距</w:t>
            </w:r>
          </w:p>
        </w:tc>
        <w:tc>
          <w:tcPr>
            <w:tcW w:w="2700" w:type="dxa"/>
          </w:tcPr>
          <w:p>
            <w:pPr>
              <w:rPr>
                <w:rFonts w:ascii="宋体" w:hAnsi="宋体" w:hint="eastAsia"/>
                <w:szCs w:val="28"/>
              </w:rPr>
            </w:pPr>
            <w:r>
              <w:rPr>
                <w:rFonts w:ascii="宋体" w:hAnsi="宋体" w:hint="eastAsia"/>
                <w:szCs w:val="28"/>
              </w:rPr>
              <w:t>±</w:t>
            </w:r>
            <w:r>
              <w:rPr>
                <w:rFonts w:ascii="宋体" w:hAnsi="宋体" w:hint="eastAsia"/>
                <w:szCs w:val="28"/>
              </w:rPr>
              <w:t>10</w:t>
            </w:r>
          </w:p>
        </w:tc>
      </w:tr>
      <w:tr>
        <w:tblPrEx>
          <w:tblW w:w="0" w:type="auto"/>
          <w:jc w:val="center"/>
          <w:tblCellMar>
            <w:top w:w="0" w:type="dxa"/>
            <w:left w:w="108" w:type="dxa"/>
            <w:bottom w:w="0" w:type="dxa"/>
            <w:right w:w="108" w:type="dxa"/>
          </w:tblCellMar>
          <w:tblLook w:val="0000"/>
        </w:tblPrEx>
        <w:trPr>
          <w:trHeight w:val="293"/>
          <w:jc w:val="center"/>
        </w:trPr>
        <w:tc>
          <w:tcPr>
            <w:tcW w:w="1720" w:type="dxa"/>
          </w:tcPr>
          <w:p>
            <w:pPr>
              <w:rPr>
                <w:rFonts w:ascii="宋体" w:hAnsi="宋体" w:hint="eastAsia"/>
                <w:szCs w:val="28"/>
              </w:rPr>
            </w:pPr>
            <w:r>
              <w:rPr>
                <w:rFonts w:ascii="宋体" w:hAnsi="宋体" w:hint="eastAsia"/>
                <w:szCs w:val="28"/>
              </w:rPr>
              <w:t>2</w:t>
            </w:r>
          </w:p>
        </w:tc>
        <w:tc>
          <w:tcPr>
            <w:tcW w:w="3620" w:type="dxa"/>
          </w:tcPr>
          <w:p>
            <w:pPr>
              <w:rPr>
                <w:rFonts w:ascii="宋体" w:hAnsi="宋体" w:hint="eastAsia"/>
                <w:szCs w:val="28"/>
              </w:rPr>
            </w:pPr>
            <w:r>
              <w:rPr>
                <w:rFonts w:ascii="宋体" w:hAnsi="宋体" w:hint="eastAsia"/>
                <w:szCs w:val="28"/>
              </w:rPr>
              <w:t>箍筋间距</w:t>
            </w:r>
          </w:p>
        </w:tc>
        <w:tc>
          <w:tcPr>
            <w:tcW w:w="2700" w:type="dxa"/>
          </w:tcPr>
          <w:p>
            <w:pPr>
              <w:rPr>
                <w:rFonts w:ascii="宋体" w:hAnsi="宋体" w:hint="eastAsia"/>
                <w:szCs w:val="28"/>
              </w:rPr>
            </w:pPr>
            <w:r>
              <w:rPr>
                <w:rFonts w:ascii="宋体" w:hAnsi="宋体" w:hint="eastAsia"/>
                <w:szCs w:val="28"/>
              </w:rPr>
              <w:t>±</w:t>
            </w:r>
            <w:r>
              <w:rPr>
                <w:rFonts w:ascii="宋体" w:hAnsi="宋体" w:hint="eastAsia"/>
                <w:szCs w:val="28"/>
              </w:rPr>
              <w:t>20</w:t>
            </w:r>
          </w:p>
        </w:tc>
      </w:tr>
      <w:tr>
        <w:tblPrEx>
          <w:tblW w:w="0" w:type="auto"/>
          <w:jc w:val="center"/>
          <w:tblCellMar>
            <w:top w:w="0" w:type="dxa"/>
            <w:left w:w="108" w:type="dxa"/>
            <w:bottom w:w="0" w:type="dxa"/>
            <w:right w:w="108" w:type="dxa"/>
          </w:tblCellMar>
          <w:tblLook w:val="0000"/>
        </w:tblPrEx>
        <w:trPr>
          <w:trHeight w:val="308"/>
          <w:jc w:val="center"/>
        </w:trPr>
        <w:tc>
          <w:tcPr>
            <w:tcW w:w="1720" w:type="dxa"/>
          </w:tcPr>
          <w:p>
            <w:pPr>
              <w:rPr>
                <w:rFonts w:ascii="宋体" w:hAnsi="宋体" w:hint="eastAsia"/>
                <w:szCs w:val="28"/>
              </w:rPr>
            </w:pPr>
            <w:r>
              <w:rPr>
                <w:rFonts w:ascii="宋体" w:hAnsi="宋体" w:hint="eastAsia"/>
                <w:szCs w:val="28"/>
              </w:rPr>
              <w:t>3</w:t>
            </w:r>
          </w:p>
        </w:tc>
        <w:tc>
          <w:tcPr>
            <w:tcW w:w="3620" w:type="dxa"/>
          </w:tcPr>
          <w:p>
            <w:pPr>
              <w:rPr>
                <w:rFonts w:ascii="宋体" w:hAnsi="宋体" w:hint="eastAsia"/>
                <w:szCs w:val="28"/>
              </w:rPr>
            </w:pPr>
            <w:r>
              <w:rPr>
                <w:rFonts w:ascii="宋体" w:hAnsi="宋体" w:hint="eastAsia"/>
                <w:szCs w:val="28"/>
              </w:rPr>
              <w:t>钢筋笼直径</w:t>
            </w:r>
          </w:p>
        </w:tc>
        <w:tc>
          <w:tcPr>
            <w:tcW w:w="2700" w:type="dxa"/>
          </w:tcPr>
          <w:p>
            <w:pPr>
              <w:rPr>
                <w:rFonts w:ascii="宋体" w:hAnsi="宋体" w:hint="eastAsia"/>
                <w:szCs w:val="28"/>
              </w:rPr>
            </w:pPr>
            <w:r>
              <w:rPr>
                <w:rFonts w:ascii="宋体" w:hAnsi="宋体" w:hint="eastAsia"/>
                <w:szCs w:val="28"/>
              </w:rPr>
              <w:t>±</w:t>
            </w:r>
            <w:r>
              <w:rPr>
                <w:rFonts w:ascii="宋体" w:hAnsi="宋体" w:hint="eastAsia"/>
                <w:szCs w:val="28"/>
              </w:rPr>
              <w:t>10</w:t>
            </w:r>
          </w:p>
        </w:tc>
      </w:tr>
      <w:tr>
        <w:tblPrEx>
          <w:tblW w:w="0" w:type="auto"/>
          <w:jc w:val="center"/>
          <w:tblCellMar>
            <w:top w:w="0" w:type="dxa"/>
            <w:left w:w="108" w:type="dxa"/>
            <w:bottom w:w="0" w:type="dxa"/>
            <w:right w:w="108" w:type="dxa"/>
          </w:tblCellMar>
          <w:tblLook w:val="0000"/>
        </w:tblPrEx>
        <w:trPr>
          <w:trHeight w:val="293"/>
          <w:jc w:val="center"/>
        </w:trPr>
        <w:tc>
          <w:tcPr>
            <w:tcW w:w="1720" w:type="dxa"/>
          </w:tcPr>
          <w:p>
            <w:pPr>
              <w:rPr>
                <w:rFonts w:ascii="宋体" w:hAnsi="宋体" w:hint="eastAsia"/>
                <w:szCs w:val="28"/>
              </w:rPr>
            </w:pPr>
            <w:r>
              <w:rPr>
                <w:rFonts w:ascii="宋体" w:hAnsi="宋体" w:hint="eastAsia"/>
                <w:szCs w:val="28"/>
              </w:rPr>
              <w:t>4</w:t>
            </w:r>
          </w:p>
        </w:tc>
        <w:tc>
          <w:tcPr>
            <w:tcW w:w="3620" w:type="dxa"/>
          </w:tcPr>
          <w:p>
            <w:pPr>
              <w:rPr>
                <w:rFonts w:ascii="宋体" w:hAnsi="宋体" w:hint="eastAsia"/>
                <w:szCs w:val="28"/>
              </w:rPr>
            </w:pPr>
            <w:r>
              <w:rPr>
                <w:rFonts w:ascii="宋体" w:hAnsi="宋体" w:hint="eastAsia"/>
                <w:szCs w:val="28"/>
              </w:rPr>
              <w:t>钢筋笼倾斜度</w:t>
            </w:r>
          </w:p>
        </w:tc>
        <w:tc>
          <w:tcPr>
            <w:tcW w:w="2700" w:type="dxa"/>
          </w:tcPr>
          <w:p>
            <w:pPr>
              <w:rPr>
                <w:rFonts w:ascii="宋体" w:hAnsi="宋体" w:hint="eastAsia"/>
                <w:szCs w:val="28"/>
              </w:rPr>
            </w:pPr>
            <w:r>
              <w:rPr>
                <w:rFonts w:ascii="宋体" w:hAnsi="宋体" w:hint="eastAsia"/>
                <w:szCs w:val="28"/>
              </w:rPr>
              <w:t>±</w:t>
            </w:r>
            <w:r>
              <w:rPr>
                <w:rFonts w:ascii="宋体" w:hAnsi="宋体" w:hint="eastAsia"/>
                <w:szCs w:val="28"/>
              </w:rPr>
              <w:t>0.5%</w:t>
            </w:r>
          </w:p>
        </w:tc>
      </w:tr>
      <w:tr>
        <w:tblPrEx>
          <w:tblW w:w="0" w:type="auto"/>
          <w:jc w:val="center"/>
          <w:tblCellMar>
            <w:top w:w="0" w:type="dxa"/>
            <w:left w:w="108" w:type="dxa"/>
            <w:bottom w:w="0" w:type="dxa"/>
            <w:right w:w="108" w:type="dxa"/>
          </w:tblCellMar>
          <w:tblLook w:val="0000"/>
        </w:tblPrEx>
        <w:trPr>
          <w:trHeight w:val="308"/>
          <w:jc w:val="center"/>
        </w:trPr>
        <w:tc>
          <w:tcPr>
            <w:tcW w:w="1720" w:type="dxa"/>
          </w:tcPr>
          <w:p>
            <w:pPr>
              <w:rPr>
                <w:rFonts w:ascii="宋体" w:hAnsi="宋体" w:hint="eastAsia"/>
                <w:szCs w:val="28"/>
              </w:rPr>
            </w:pPr>
            <w:r>
              <w:rPr>
                <w:rFonts w:ascii="宋体" w:hAnsi="宋体" w:hint="eastAsia"/>
                <w:szCs w:val="28"/>
              </w:rPr>
              <w:t>5</w:t>
            </w:r>
          </w:p>
        </w:tc>
        <w:tc>
          <w:tcPr>
            <w:tcW w:w="3620" w:type="dxa"/>
          </w:tcPr>
          <w:p>
            <w:pPr>
              <w:rPr>
                <w:rFonts w:ascii="宋体" w:hAnsi="宋体" w:hint="eastAsia"/>
                <w:szCs w:val="28"/>
              </w:rPr>
            </w:pPr>
            <w:r>
              <w:rPr>
                <w:rFonts w:ascii="宋体" w:hAnsi="宋体" w:hint="eastAsia"/>
                <w:szCs w:val="28"/>
              </w:rPr>
              <w:t>钢筋笼安装深度</w:t>
            </w:r>
          </w:p>
        </w:tc>
        <w:tc>
          <w:tcPr>
            <w:tcW w:w="2700" w:type="dxa"/>
          </w:tcPr>
          <w:p>
            <w:pPr>
              <w:rPr>
                <w:rFonts w:ascii="宋体" w:hAnsi="宋体" w:hint="eastAsia"/>
                <w:szCs w:val="28"/>
              </w:rPr>
            </w:pPr>
            <w:r>
              <w:rPr>
                <w:rFonts w:ascii="宋体" w:hAnsi="宋体" w:hint="eastAsia"/>
                <w:szCs w:val="28"/>
              </w:rPr>
              <w:t>±</w:t>
            </w:r>
            <w:r>
              <w:rPr>
                <w:rFonts w:ascii="宋体" w:hAnsi="宋体" w:hint="eastAsia"/>
                <w:szCs w:val="28"/>
              </w:rPr>
              <w:t>100</w:t>
            </w:r>
          </w:p>
        </w:tc>
      </w:tr>
      <w:tr>
        <w:tblPrEx>
          <w:tblW w:w="0" w:type="auto"/>
          <w:jc w:val="center"/>
          <w:tblCellMar>
            <w:top w:w="0" w:type="dxa"/>
            <w:left w:w="108" w:type="dxa"/>
            <w:bottom w:w="0" w:type="dxa"/>
            <w:right w:w="108" w:type="dxa"/>
          </w:tblCellMar>
          <w:tblLook w:val="0000"/>
        </w:tblPrEx>
        <w:trPr>
          <w:trHeight w:val="308"/>
          <w:jc w:val="center"/>
        </w:trPr>
        <w:tc>
          <w:tcPr>
            <w:tcW w:w="1720" w:type="dxa"/>
          </w:tcPr>
          <w:p>
            <w:pPr>
              <w:rPr>
                <w:rFonts w:ascii="宋体" w:hAnsi="宋体" w:hint="eastAsia"/>
                <w:szCs w:val="28"/>
              </w:rPr>
            </w:pPr>
            <w:r>
              <w:rPr>
                <w:rFonts w:ascii="宋体" w:hAnsi="宋体" w:hint="eastAsia"/>
                <w:szCs w:val="28"/>
              </w:rPr>
              <w:t>6</w:t>
            </w:r>
          </w:p>
        </w:tc>
        <w:tc>
          <w:tcPr>
            <w:tcW w:w="3620" w:type="dxa"/>
          </w:tcPr>
          <w:p>
            <w:pPr>
              <w:rPr>
                <w:rFonts w:ascii="宋体" w:hAnsi="宋体" w:hint="eastAsia"/>
                <w:szCs w:val="28"/>
              </w:rPr>
            </w:pPr>
            <w:r>
              <w:rPr>
                <w:rFonts w:ascii="宋体" w:hAnsi="宋体" w:hint="eastAsia"/>
                <w:szCs w:val="28"/>
              </w:rPr>
              <w:t>长度</w:t>
            </w:r>
          </w:p>
        </w:tc>
        <w:tc>
          <w:tcPr>
            <w:tcW w:w="2700" w:type="dxa"/>
          </w:tcPr>
          <w:p>
            <w:pPr>
              <w:rPr>
                <w:rFonts w:ascii="宋体" w:hAnsi="宋体" w:hint="eastAsia"/>
                <w:szCs w:val="28"/>
              </w:rPr>
            </w:pPr>
            <w:r>
              <w:rPr>
                <w:rFonts w:ascii="宋体" w:hAnsi="宋体" w:hint="eastAsia"/>
                <w:szCs w:val="28"/>
              </w:rPr>
              <w:t>±</w:t>
            </w:r>
            <w:r>
              <w:rPr>
                <w:rFonts w:ascii="宋体" w:hAnsi="宋体" w:hint="eastAsia"/>
                <w:szCs w:val="28"/>
              </w:rPr>
              <w:t>100</w:t>
            </w:r>
          </w:p>
        </w:tc>
      </w:tr>
    </w:tbl>
    <w:p>
      <w:pPr>
        <w:spacing w:line="360" w:lineRule="auto"/>
        <w:ind w:firstLine="480" w:firstLineChars="200"/>
        <w:rPr>
          <w:rFonts w:hint="eastAsia"/>
          <w:color w:val="000000"/>
          <w:sz w:val="24"/>
        </w:rPr>
      </w:pPr>
      <w:r>
        <w:rPr>
          <w:rFonts w:hint="eastAsia"/>
          <w:color w:val="000000"/>
          <w:sz w:val="24"/>
        </w:rPr>
        <w:t>钢筋笼在运输和吊装时，应防止变形，安放应对准孔位，不得强行插入和碰撞孔壁，就位后应立即固定。钢筋笼安装可用小型吊运机具或起重机吊装就位。对直径和长度大的钢筋笼，可分节制作和安装，且在每节主筋内侧每隔4m设一道井字</w:t>
      </w:r>
      <w:r>
        <w:rPr>
          <w:rFonts w:hint="eastAsia"/>
          <w:color w:val="000000"/>
          <w:sz w:val="24"/>
        </w:rPr>
        <w:t>Ф</w:t>
      </w:r>
      <w:r>
        <w:rPr>
          <w:rFonts w:hint="eastAsia"/>
          <w:color w:val="000000"/>
          <w:sz w:val="24"/>
        </w:rPr>
        <w:t>20加强支撑，与主筋焊接牢固组成骨架。</w:t>
      </w:r>
    </w:p>
    <w:p>
      <w:pPr>
        <w:spacing w:line="360" w:lineRule="auto"/>
        <w:ind w:firstLine="480" w:firstLineChars="200"/>
        <w:rPr>
          <w:rFonts w:hint="eastAsia"/>
          <w:color w:val="000000"/>
          <w:sz w:val="24"/>
        </w:rPr>
      </w:pPr>
      <w:r>
        <w:rPr>
          <w:rFonts w:hint="eastAsia"/>
          <w:color w:val="000000"/>
          <w:sz w:val="24"/>
        </w:rPr>
        <w:t>钢筋笼安装完毕时，应会同建设单位、监理单位对该项进行隐蔽工程验收，合格后应及时灌注水下砼。</w:t>
      </w:r>
    </w:p>
    <w:p>
      <w:pPr>
        <w:spacing w:line="360" w:lineRule="auto"/>
        <w:ind w:firstLine="480" w:firstLineChars="200"/>
        <w:rPr>
          <w:rFonts w:hint="eastAsia"/>
          <w:color w:val="000000"/>
          <w:sz w:val="24"/>
        </w:rPr>
      </w:pPr>
      <w:r>
        <w:rPr>
          <w:rFonts w:hint="eastAsia"/>
          <w:color w:val="000000"/>
          <w:sz w:val="24"/>
        </w:rPr>
        <w:t>5、安放导管</w:t>
      </w:r>
    </w:p>
    <w:p>
      <w:pPr>
        <w:spacing w:line="360" w:lineRule="auto"/>
        <w:ind w:firstLine="480" w:firstLineChars="200"/>
        <w:rPr>
          <w:rFonts w:hint="eastAsia"/>
          <w:color w:val="000000"/>
          <w:sz w:val="24"/>
        </w:rPr>
      </w:pPr>
      <w:r>
        <w:rPr>
          <w:rFonts w:hint="eastAsia"/>
          <w:color w:val="000000"/>
          <w:sz w:val="24"/>
        </w:rPr>
        <w:t>导管采用壁厚5mm的无缝钢管制作，直径</w:t>
      </w:r>
      <w:r>
        <w:rPr>
          <w:rFonts w:hint="eastAsia"/>
          <w:color w:val="000000"/>
          <w:sz w:val="24"/>
        </w:rPr>
        <w:t>Ф</w:t>
      </w:r>
      <w:r>
        <w:rPr>
          <w:rFonts w:hint="eastAsia"/>
          <w:color w:val="000000"/>
          <w:sz w:val="24"/>
        </w:rPr>
        <w:t>250，导管必须具有良好的密封性能，使用前应进行水密承压和接头抗拉试验，进行水密试验的水压不应小于孔内水1.3倍的压力，也不应小于导管壁和焊缝可能承受灌注时最大压力的1.3倍。导管吊放时应居中且垂直，下口距孔底0.3～0.5米，最下一节导管长度应大于4米。导管接头用法兰或双螺纹方扣快速接头。</w:t>
      </w:r>
    </w:p>
    <w:p>
      <w:pPr>
        <w:spacing w:line="360" w:lineRule="auto"/>
        <w:ind w:firstLine="480" w:firstLineChars="200"/>
        <w:rPr>
          <w:rFonts w:hint="eastAsia"/>
          <w:color w:val="000000"/>
          <w:sz w:val="24"/>
        </w:rPr>
      </w:pPr>
      <w:r>
        <w:rPr>
          <w:rFonts w:hint="eastAsia"/>
          <w:color w:val="000000"/>
          <w:sz w:val="24"/>
        </w:rPr>
        <w:t>6、清孔</w:t>
      </w:r>
    </w:p>
    <w:p>
      <w:pPr>
        <w:spacing w:line="360" w:lineRule="auto"/>
        <w:ind w:firstLine="480" w:firstLineChars="200"/>
        <w:rPr>
          <w:rFonts w:hint="eastAsia"/>
          <w:color w:val="000000"/>
          <w:sz w:val="24"/>
        </w:rPr>
      </w:pPr>
      <w:r>
        <w:rPr>
          <w:rFonts w:hint="eastAsia"/>
          <w:color w:val="000000"/>
          <w:sz w:val="24"/>
        </w:rPr>
        <w:t>本工程采用正反循环工艺清孔，反循环采用气举法清孔,防止二次清孔因沉淤过厚而难以清理，以及保证钢筋笼下放顺利；二次清孔在导管下放后，利用导管进行，二次清孔泥浆比重控制在1.15～1.2，粘度</w:t>
      </w:r>
      <w:r>
        <w:rPr>
          <w:rFonts w:hint="eastAsia"/>
          <w:color w:val="000000"/>
          <w:sz w:val="24"/>
        </w:rPr>
        <w:t>≤</w:t>
      </w:r>
      <w:r>
        <w:rPr>
          <w:rFonts w:hint="eastAsia"/>
          <w:color w:val="000000"/>
          <w:sz w:val="24"/>
        </w:rPr>
        <w:t>28s，含砂率</w:t>
      </w:r>
      <w:r>
        <w:rPr>
          <w:rFonts w:hint="eastAsia"/>
          <w:color w:val="000000"/>
          <w:sz w:val="24"/>
        </w:rPr>
        <w:t>≤</w:t>
      </w:r>
      <w:r>
        <w:rPr>
          <w:rFonts w:hint="eastAsia"/>
          <w:color w:val="000000"/>
          <w:sz w:val="24"/>
        </w:rPr>
        <w:t>8%，孔底沉渣厚度</w:t>
      </w:r>
      <w:r>
        <w:rPr>
          <w:rFonts w:hint="eastAsia"/>
          <w:color w:val="000000"/>
          <w:sz w:val="24"/>
        </w:rPr>
        <w:t>≤</w:t>
      </w:r>
      <w:r>
        <w:rPr>
          <w:rFonts w:hint="eastAsia"/>
          <w:color w:val="000000"/>
          <w:sz w:val="24"/>
          <w:lang w:eastAsia="zh-CN"/>
        </w:rPr>
        <w:t>201</w:t>
      </w:r>
      <w:r>
        <w:rPr>
          <w:rFonts w:hint="eastAsia"/>
          <w:color w:val="000000"/>
          <w:sz w:val="24"/>
        </w:rPr>
        <w:t>mm。清孔过程中，必须及时补给足够的泥浆，并保持孔内浆液面的稳定和高度。清孔完毕后，必须在30分钟内进行灌注砼。</w:t>
      </w:r>
    </w:p>
    <w:p>
      <w:pPr>
        <w:spacing w:line="360" w:lineRule="auto"/>
        <w:ind w:firstLine="480" w:firstLineChars="200"/>
        <w:rPr>
          <w:rFonts w:hint="eastAsia"/>
          <w:color w:val="000000"/>
          <w:sz w:val="24"/>
        </w:rPr>
      </w:pPr>
      <w:r>
        <w:rPr>
          <w:rFonts w:hint="eastAsia"/>
          <w:color w:val="000000"/>
          <w:sz w:val="24"/>
        </w:rPr>
        <w:t>7、水下砼灌注施工</w:t>
      </w:r>
    </w:p>
    <w:p>
      <w:pPr>
        <w:spacing w:line="360" w:lineRule="auto"/>
        <w:ind w:firstLine="480" w:firstLineChars="200"/>
        <w:rPr>
          <w:rFonts w:hint="eastAsia"/>
          <w:color w:val="000000"/>
          <w:sz w:val="24"/>
        </w:rPr>
        <w:sectPr>
          <w:footerReference w:type="even" r:id="rId41"/>
          <w:type w:val="nextPage"/>
          <w:pgSz w:w="11906" w:h="16838"/>
          <w:pgMar w:top="1440" w:right="1800" w:bottom="1440" w:left="1800" w:header="851" w:footer="992" w:gutter="0"/>
          <w:pgNumType w:start="27"/>
          <w:cols w:space="708"/>
          <w:titlePg w:val="0"/>
          <w:docGrid w:type="lines" w:linePitch="312"/>
        </w:sectPr>
      </w:pPr>
    </w:p>
    <w:p>
      <w:pPr>
        <w:spacing w:line="360" w:lineRule="auto"/>
        <w:ind w:firstLine="480" w:firstLineChars="200"/>
        <w:rPr>
          <w:rFonts w:hint="eastAsia"/>
          <w:color w:val="000000"/>
          <w:sz w:val="24"/>
        </w:rPr>
      </w:pPr>
      <w:r>
        <w:rPr>
          <w:rFonts w:hint="eastAsia"/>
          <w:color w:val="000000"/>
          <w:sz w:val="24"/>
        </w:rPr>
        <w:t>水下砼灌注是成桩过程的关键工艺，施工人员应从思想上高度重视，在做好准备工作和技术措施后，才能开始灌注。本工程采用自拌砼，混凝土强度等级C20，用砼运输车或人力斗车运至现场，导管水下砼灌注。砼必须具备良好的和易性，坍落度控制在18～22cm。砼充盈系数大于1.1，水泥用量不少于400kg/M3，含砂率为40%～45%，并选用中粗砂，粗骨料的最大粒径应为&lt;40mm，采用二级配，砼初凝时间一般宜低于3～4小时。</w:t>
      </w:r>
    </w:p>
    <w:p>
      <w:pPr>
        <w:spacing w:line="360" w:lineRule="auto"/>
        <w:ind w:firstLine="480" w:firstLineChars="200"/>
        <w:rPr>
          <w:rFonts w:hint="eastAsia"/>
          <w:color w:val="000000"/>
          <w:sz w:val="24"/>
        </w:rPr>
      </w:pPr>
      <w:r>
        <w:rPr>
          <w:rFonts w:hint="eastAsia"/>
          <w:color w:val="000000"/>
          <w:sz w:val="24"/>
        </w:rPr>
        <w:t>采用同标号砼隔水塞隔水。料斗砼灌注量应计算准确，保证导管埋入砼中不小于1.5m。</w:t>
      </w:r>
    </w:p>
    <w:p>
      <w:pPr>
        <w:spacing w:line="360" w:lineRule="auto"/>
        <w:ind w:firstLine="480" w:firstLineChars="200"/>
        <w:rPr>
          <w:rFonts w:hint="eastAsia"/>
          <w:color w:val="000000"/>
          <w:sz w:val="24"/>
        </w:rPr>
      </w:pPr>
      <w:r>
        <w:rPr>
          <w:rFonts w:hint="eastAsia"/>
          <w:color w:val="000000"/>
          <w:sz w:val="24"/>
        </w:rPr>
        <w:t>灌注前，在料斗内灌入0.2m左右的1:1.5水泥砂浆。灌注时，保证导管埋入砼中1.5～6m，每根桩的灌注时间符合下面规定：灌注量10～20M3不得超过2h，灌注量20～30M3不得超过4h，砼浇筑要一气呵成，不得中断，并控制在4～6h内浇筑完，以保证砼的均匀性，间歇时间一般应控制在15min内，任何情况下不得超过30min。最后一次灌注砼量，应高出桩顶设计标高0.5～0.6m，砼浇筑完毕，马上清除0.3～0.4M，余下的待施工承台时再凿除，以利新老砼结合和保证砼质量。</w:t>
      </w:r>
    </w:p>
    <w:p>
      <w:pPr>
        <w:spacing w:line="360" w:lineRule="auto"/>
        <w:ind w:firstLine="480" w:firstLineChars="200"/>
        <w:rPr>
          <w:rFonts w:hint="eastAsia"/>
          <w:color w:val="000000"/>
          <w:sz w:val="24"/>
        </w:rPr>
      </w:pPr>
      <w:r>
        <w:rPr>
          <w:rFonts w:hint="eastAsia"/>
          <w:color w:val="000000"/>
          <w:sz w:val="24"/>
        </w:rPr>
        <w:t>8、泥浆渣土处理措施</w:t>
      </w:r>
    </w:p>
    <w:p>
      <w:pPr>
        <w:spacing w:line="360" w:lineRule="auto"/>
        <w:ind w:firstLine="480" w:firstLineChars="200"/>
        <w:rPr>
          <w:rFonts w:hint="eastAsia"/>
          <w:color w:val="000000"/>
          <w:sz w:val="24"/>
        </w:rPr>
      </w:pPr>
      <w:r>
        <w:rPr>
          <w:rFonts w:hint="eastAsia"/>
          <w:color w:val="000000"/>
          <w:sz w:val="24"/>
        </w:rPr>
        <w:t>成孔过程中产生的泥浆及时排放至储浆池，再抽进全封闭泥浆车运至弃置点，产生的淤泥渣土及时成堆，然后由渣土车运至弃置点。</w:t>
      </w:r>
    </w:p>
    <w:p>
      <w:pPr>
        <w:spacing w:line="360" w:lineRule="auto"/>
        <w:ind w:firstLine="480" w:firstLineChars="200"/>
        <w:rPr>
          <w:rFonts w:hint="eastAsia"/>
          <w:color w:val="000000"/>
          <w:sz w:val="24"/>
        </w:rPr>
      </w:pPr>
      <w:r>
        <w:rPr>
          <w:rFonts w:hint="eastAsia"/>
          <w:color w:val="000000"/>
          <w:sz w:val="24"/>
        </w:rPr>
        <w:t>9、成品保护</w:t>
      </w:r>
    </w:p>
    <w:p>
      <w:pPr>
        <w:spacing w:line="360" w:lineRule="auto"/>
        <w:ind w:firstLine="480" w:firstLineChars="200"/>
        <w:rPr>
          <w:rFonts w:hint="eastAsia"/>
          <w:color w:val="000000"/>
          <w:sz w:val="24"/>
        </w:rPr>
      </w:pPr>
      <w:r>
        <w:rPr>
          <w:rFonts w:hint="eastAsia"/>
          <w:color w:val="000000"/>
          <w:sz w:val="24"/>
        </w:rPr>
        <w:t>（1）已完成的桩，不允许车辆或钻机从邻近经过，以免造成断桩或桩位偏移情况。</w:t>
      </w:r>
    </w:p>
    <w:p>
      <w:pPr>
        <w:spacing w:line="360" w:lineRule="auto"/>
        <w:ind w:firstLine="480" w:firstLineChars="200"/>
        <w:rPr>
          <w:rFonts w:ascii="宋体" w:hAnsi="宋体" w:hint="eastAsia"/>
          <w:snapToGrid w:val="0"/>
          <w:kern w:val="0"/>
          <w:sz w:val="24"/>
        </w:rPr>
      </w:pPr>
      <w:r>
        <w:rPr>
          <w:rFonts w:ascii="宋体" w:hAnsi="宋体" w:hint="eastAsia"/>
          <w:snapToGrid w:val="0"/>
          <w:kern w:val="0"/>
          <w:sz w:val="24"/>
        </w:rPr>
        <w:t>（2）桩芯砼浇筑完成，在砼终凝后，应及时进行浸水养护，养护时间不少于14昼夜。</w:t>
      </w:r>
    </w:p>
    <w:p>
      <w:pPr>
        <w:spacing w:line="480" w:lineRule="auto"/>
        <w:ind w:firstLine="480" w:firstLineChars="200"/>
        <w:rPr>
          <w:rFonts w:hint="eastAsia"/>
          <w:color w:val="000000"/>
          <w:sz w:val="24"/>
        </w:rPr>
      </w:pPr>
      <w:r>
        <w:rPr>
          <w:rFonts w:hint="eastAsia"/>
          <w:color w:val="000000"/>
          <w:sz w:val="24"/>
        </w:rPr>
        <w:t>三、水泥搅拌桩施工工艺</w:t>
      </w:r>
    </w:p>
    <w:p>
      <w:pPr>
        <w:pStyle w:val="a3"/>
        <w:spacing w:line="360" w:lineRule="auto"/>
        <w:ind w:firstLine="480"/>
        <w:rPr>
          <w:rFonts w:ascii="宋体" w:eastAsia="宋体" w:hAnsi="宋体"/>
          <w:sz w:val="24"/>
        </w:rPr>
      </w:pPr>
      <w:r>
        <w:rPr>
          <w:rFonts w:ascii="宋体" w:eastAsia="宋体" w:hAnsi="宋体" w:hint="eastAsia"/>
          <w:sz w:val="24"/>
        </w:rPr>
        <w:t>本工程混凝土排桩外设一道水泥搅拌桩止水帷幕，被动区的水泥搅拌桩应先于钻孔灌注桩施工。</w:t>
      </w:r>
      <w:r>
        <w:rPr>
          <w:rFonts w:ascii="宋体" w:eastAsia="宋体" w:hAnsi="宋体"/>
          <w:sz w:val="24"/>
        </w:rPr>
        <w:t xml:space="preserve">水泥搅拌桩是利用水泥作为固化剂的主剂，通过特制的深层搅拌机械在地基深部就地将软土和固化剂强制拌和，使软土硬结而提高地基强度。这种方法适用于处理淤泥、淤泥质土、泥炭土和粉土，处理效果显著，处理后可很快投入使用。 </w:t>
      </w:r>
    </w:p>
    <w:p>
      <w:pPr>
        <w:pStyle w:val="a3"/>
        <w:spacing w:line="360" w:lineRule="auto"/>
        <w:ind w:firstLine="480"/>
        <w:rPr>
          <w:rFonts w:ascii="宋体" w:eastAsia="宋体" w:hAnsi="宋体"/>
          <w:sz w:val="24"/>
        </w:rPr>
      </w:pPr>
      <w:r>
        <w:rPr>
          <w:rFonts w:ascii="宋体" w:eastAsia="宋体" w:hAnsi="宋体"/>
          <w:sz w:val="24"/>
        </w:rPr>
        <w:fldChar w:fldCharType="begin"/>
      </w:r>
      <w:r>
        <w:rPr>
          <w:rFonts w:ascii="宋体" w:eastAsia="宋体" w:hAnsi="宋体"/>
          <w:sz w:val="24"/>
        </w:rPr>
        <w:instrText xml:space="preserve"> </w:instrText>
      </w:r>
      <w:r>
        <w:rPr>
          <w:rFonts w:ascii="宋体" w:eastAsia="宋体" w:hAnsi="宋体" w:hint="eastAsia"/>
          <w:sz w:val="24"/>
        </w:rPr>
        <w:instrText>eq \o\ac(</w:instrText>
      </w:r>
      <w:r>
        <w:rPr>
          <w:rFonts w:ascii="宋体" w:eastAsia="宋体" w:hAnsi="宋体" w:hint="eastAsia"/>
          <w:sz w:val="24"/>
        </w:rPr>
        <w:instrText>○</w:instrText>
      </w:r>
      <w:r>
        <w:rPr>
          <w:rFonts w:ascii="宋体" w:eastAsia="宋体" w:hAnsi="宋体" w:hint="eastAsia"/>
          <w:sz w:val="24"/>
        </w:rPr>
        <w:instrText>,</w:instrText>
      </w:r>
      <w:r>
        <w:rPr>
          <w:rFonts w:ascii="宋体" w:eastAsia="宋体" w:hAnsi="宋体" w:hint="eastAsia"/>
          <w:position w:val="3"/>
          <w:sz w:val="16"/>
        </w:rPr>
        <w:instrText>1</w:instrText>
      </w:r>
      <w:r>
        <w:rPr>
          <w:rFonts w:ascii="宋体" w:eastAsia="宋体" w:hAnsi="宋体" w:hint="eastAsia"/>
          <w:sz w:val="24"/>
        </w:rPr>
        <w:instrText>)</w:instrText>
      </w:r>
      <w:r>
        <w:rPr>
          <w:rFonts w:ascii="宋体" w:eastAsia="宋体" w:hAnsi="宋体"/>
          <w:sz w:val="24"/>
        </w:rPr>
        <w:fldChar w:fldCharType="separate"/>
      </w:r>
      <w:r>
        <w:rPr>
          <w:rFonts w:ascii="宋体" w:eastAsia="宋体" w:hAnsi="宋体"/>
          <w:sz w:val="24"/>
        </w:rPr>
        <w:fldChar w:fldCharType="end"/>
      </w:r>
      <w:r>
        <w:rPr>
          <w:rFonts w:ascii="宋体" w:eastAsia="宋体" w:hAnsi="宋体"/>
          <w:sz w:val="24"/>
        </w:rPr>
        <w:t>施工准备</w:t>
      </w:r>
      <w:r>
        <w:rPr>
          <w:rFonts w:ascii="宋体" w:eastAsia="宋体" w:hAnsi="宋体" w:hint="eastAsia"/>
          <w:sz w:val="24"/>
        </w:rPr>
        <w:t>：</w:t>
      </w:r>
      <w:r>
        <w:rPr>
          <w:rFonts w:ascii="宋体" w:eastAsia="宋体" w:hAnsi="宋体"/>
          <w:sz w:val="24"/>
        </w:rPr>
        <w:t xml:space="preserve"> </w:t>
      </w:r>
    </w:p>
    <w:p>
      <w:pPr>
        <w:pStyle w:val="a3"/>
        <w:spacing w:line="360" w:lineRule="auto"/>
        <w:ind w:firstLine="480"/>
        <w:rPr>
          <w:rFonts w:ascii="宋体" w:eastAsia="宋体" w:hAnsi="宋体"/>
          <w:sz w:val="24"/>
        </w:rPr>
        <w:sectPr>
          <w:footerReference w:type="even" r:id="rId42"/>
          <w:type w:val="nextPage"/>
          <w:pgSz w:w="11906" w:h="16838"/>
          <w:pgMar w:top="1440" w:right="1800" w:bottom="1440" w:left="1800" w:header="851" w:footer="992" w:gutter="0"/>
          <w:pgNumType w:start="28"/>
          <w:cols w:space="708"/>
          <w:titlePg w:val="0"/>
          <w:docGrid w:type="lines" w:linePitch="312"/>
        </w:sectPr>
      </w:pPr>
      <w:r>
        <w:rPr>
          <w:rFonts w:ascii="宋体" w:eastAsia="宋体" w:hAnsi="宋体" w:hint="eastAsia"/>
          <w:sz w:val="24"/>
        </w:rPr>
        <w:t>a</w:t>
      </w:r>
    </w:p>
    <w:p>
      <w:pPr>
        <w:pStyle w:val="a3"/>
        <w:spacing w:line="360" w:lineRule="auto"/>
        <w:ind w:firstLine="480"/>
        <w:rPr>
          <w:rFonts w:ascii="宋体" w:eastAsia="宋体" w:hAnsi="宋体"/>
          <w:sz w:val="24"/>
        </w:rPr>
      </w:pPr>
      <w:r>
        <w:rPr>
          <w:rFonts w:ascii="宋体" w:eastAsia="宋体" w:hAnsi="宋体"/>
          <w:sz w:val="24"/>
        </w:rPr>
        <w:t>搅拌桩施工场地应事先平整，清除桩位处地上、地下一切障碍（包括大块石、树根和生活垃圾等）。场地低洼时应回填粘土，不得回填杂土。</w:t>
      </w:r>
      <w:r>
        <w:rPr>
          <w:rFonts w:ascii="宋体" w:eastAsia="宋体" w:hAnsi="宋体"/>
          <w:sz w:val="24"/>
        </w:rPr>
        <w:t xml:space="preserve"> </w:t>
      </w:r>
    </w:p>
    <w:p>
      <w:pPr>
        <w:pStyle w:val="a3"/>
        <w:spacing w:line="360" w:lineRule="auto"/>
        <w:ind w:firstLine="480"/>
        <w:rPr>
          <w:rFonts w:ascii="宋体" w:eastAsia="宋体" w:hAnsi="宋体"/>
          <w:sz w:val="24"/>
        </w:rPr>
      </w:pPr>
      <w:r>
        <w:rPr>
          <w:rFonts w:ascii="宋体" w:eastAsia="宋体" w:hAnsi="宋体" w:hint="eastAsia"/>
          <w:sz w:val="24"/>
        </w:rPr>
        <w:t>b</w:t>
      </w:r>
      <w:r>
        <w:rPr>
          <w:rFonts w:ascii="宋体" w:eastAsia="宋体" w:hAnsi="宋体"/>
          <w:sz w:val="24"/>
        </w:rPr>
        <w:t xml:space="preserve">水泥搅拌桩施工机械应配备电脑记录仪及打印设备，以便了解和控制水泥浆用量及喷浆均匀程度。 </w:t>
      </w:r>
    </w:p>
    <w:p>
      <w:pPr>
        <w:pStyle w:val="a3"/>
        <w:spacing w:line="360" w:lineRule="auto"/>
        <w:ind w:firstLine="480"/>
        <w:rPr>
          <w:rFonts w:ascii="宋体" w:eastAsia="宋体" w:hAnsi="宋体"/>
          <w:sz w:val="24"/>
        </w:rPr>
      </w:pPr>
      <w:r>
        <w:rPr>
          <w:rFonts w:ascii="宋体" w:eastAsia="宋体" w:hAnsi="宋体" w:hint="eastAsia"/>
          <w:sz w:val="24"/>
        </w:rPr>
        <w:t>c</w:t>
      </w:r>
      <w:r>
        <w:rPr>
          <w:rFonts w:ascii="宋体" w:eastAsia="宋体" w:hAnsi="宋体"/>
          <w:sz w:val="24"/>
        </w:rPr>
        <w:t xml:space="preserve">水泥搅拌桩施工机械必须具备良好及稳定的性能，所有钻机开钻之前应由监理工程师和项目经理部组织检查验收合格后方可开钻。 </w:t>
      </w:r>
    </w:p>
    <w:p>
      <w:pPr>
        <w:pStyle w:val="a3"/>
        <w:spacing w:line="360" w:lineRule="auto"/>
        <w:ind w:firstLine="480"/>
        <w:rPr>
          <w:rFonts w:ascii="宋体" w:eastAsia="宋体" w:hAnsi="宋体"/>
          <w:sz w:val="24"/>
        </w:rPr>
      </w:pPr>
      <w:r>
        <w:rPr>
          <w:rFonts w:ascii="宋体" w:eastAsia="宋体" w:hAnsi="宋体"/>
          <w:sz w:val="24"/>
        </w:rPr>
        <w:fldChar w:fldCharType="begin"/>
      </w:r>
      <w:r>
        <w:rPr>
          <w:rFonts w:ascii="宋体" w:eastAsia="宋体" w:hAnsi="宋体"/>
          <w:sz w:val="24"/>
        </w:rPr>
        <w:instrText xml:space="preserve"> </w:instrText>
      </w:r>
      <w:r>
        <w:rPr>
          <w:rFonts w:ascii="宋体" w:eastAsia="宋体" w:hAnsi="宋体" w:hint="eastAsia"/>
          <w:sz w:val="24"/>
        </w:rPr>
        <w:instrText>eq \o\ac(</w:instrText>
      </w:r>
      <w:r>
        <w:rPr>
          <w:rFonts w:ascii="宋体" w:eastAsia="宋体" w:hAnsi="宋体" w:hint="eastAsia"/>
          <w:sz w:val="24"/>
        </w:rPr>
        <w:instrText>○</w:instrText>
      </w:r>
      <w:r>
        <w:rPr>
          <w:rFonts w:ascii="宋体" w:eastAsia="宋体" w:hAnsi="宋体" w:hint="eastAsia"/>
          <w:sz w:val="24"/>
        </w:rPr>
        <w:instrText>,2)</w:instrText>
      </w:r>
      <w:r>
        <w:rPr>
          <w:rFonts w:ascii="宋体" w:eastAsia="宋体" w:hAnsi="宋体"/>
          <w:sz w:val="24"/>
        </w:rPr>
        <w:fldChar w:fldCharType="separate"/>
      </w:r>
      <w:r>
        <w:rPr>
          <w:rFonts w:ascii="宋体" w:eastAsia="宋体" w:hAnsi="宋体"/>
          <w:sz w:val="24"/>
        </w:rPr>
        <w:fldChar w:fldCharType="end"/>
      </w:r>
      <w:r>
        <w:rPr>
          <w:rFonts w:ascii="宋体" w:eastAsia="宋体" w:hAnsi="宋体"/>
          <w:sz w:val="24"/>
        </w:rPr>
        <w:t xml:space="preserve">施工工艺流程 </w:t>
      </w:r>
    </w:p>
    <w:p>
      <w:pPr>
        <w:pStyle w:val="a3"/>
        <w:spacing w:line="360" w:lineRule="auto"/>
        <w:ind w:firstLine="480"/>
        <w:rPr>
          <w:rFonts w:ascii="宋体" w:eastAsia="宋体" w:hAnsi="宋体" w:hint="eastAsia"/>
          <w:sz w:val="24"/>
        </w:rPr>
      </w:pPr>
      <w:r>
        <w:rPr>
          <w:rFonts w:ascii="宋体" w:eastAsia="宋体" w:hAnsi="宋体"/>
          <w:sz w:val="24"/>
        </w:rPr>
        <w:t>桩位放样→钻机就位→检验、调整钻机→正循环钻进至设计深度→打开高压注浆泵→反循环提钻并喷水泥浆→至工作基准面以下0.3m→重复搅拌下钻至设计深度→反循环提钻</w:t>
      </w:r>
      <w:r>
        <w:rPr>
          <w:rFonts w:ascii="宋体" w:eastAsia="宋体" w:hAnsi="宋体" w:hint="eastAsia"/>
          <w:sz w:val="24"/>
        </w:rPr>
        <w:t>喷浆</w:t>
      </w:r>
      <w:r>
        <w:rPr>
          <w:rFonts w:ascii="宋体" w:eastAsia="宋体" w:hAnsi="宋体"/>
          <w:sz w:val="24"/>
        </w:rPr>
        <w:t>至</w:t>
      </w:r>
      <w:r>
        <w:rPr>
          <w:rFonts w:ascii="宋体" w:eastAsia="宋体" w:hAnsi="宋体" w:hint="eastAsia"/>
          <w:sz w:val="24"/>
        </w:rPr>
        <w:t>设计深度</w:t>
      </w:r>
      <w:r>
        <w:rPr>
          <w:rFonts w:ascii="宋体" w:eastAsia="宋体" w:hAnsi="宋体"/>
          <w:sz w:val="24"/>
        </w:rPr>
        <w:t>→成桩结束→施工下一根桩。</w:t>
      </w:r>
    </w:p>
    <w:p>
      <w:pPr>
        <w:pStyle w:val="a3"/>
        <w:spacing w:line="360" w:lineRule="auto"/>
        <w:ind w:firstLine="480"/>
        <w:rPr>
          <w:rFonts w:ascii="宋体" w:eastAsia="宋体" w:hAnsi="宋体"/>
          <w:sz w:val="24"/>
        </w:rPr>
      </w:pPr>
      <w:r>
        <w:rPr>
          <w:rFonts w:ascii="宋体" w:eastAsia="宋体" w:hAnsi="宋体"/>
          <w:snapToGrid/>
          <w:sz w:val="24"/>
        </w:rPr>
        <w:pict>
          <v:group id="组合 58" o:spid="_x0000_s1034" style="width:345.45pt;height:307pt;margin-top:7.7pt;margin-left:32.4pt;position:absolute;z-index:251662336" coordorigin="2049,1592" coordsize="6909,6297">
            <v:rect id="矩形 59" o:spid="_x0000_s1035" style="width:1983;height:305;left:2066;mso-wrap-style:square;position:absolute;top:2853">
              <v:stroke linestyle="single"/>
              <v:textbox inset="0,1.42pt,0,0">
                <w:txbxContent>
                  <w:p>
                    <w:pPr>
                      <w:jc w:val="center"/>
                      <w:rPr>
                        <w:rFonts w:hAnsi="宋体"/>
                        <w:szCs w:val="21"/>
                      </w:rPr>
                    </w:pPr>
                    <w:r>
                      <w:rPr>
                        <w:rFonts w:hAnsi="宋体" w:hint="eastAsia"/>
                        <w:szCs w:val="21"/>
                      </w:rPr>
                      <w:t>材料检验、进场</w:t>
                    </w:r>
                  </w:p>
                </w:txbxContent>
              </v:textbox>
            </v:rect>
            <v:line id="直线 60" o:spid="_x0000_s1036" style="flip:x;mso-wrap-style:square;position:absolute" from="7012,7143" to="8075,7143">
              <v:stroke linestyle="single"/>
            </v:line>
            <v:line id="直线 61" o:spid="_x0000_s1037" style="flip:y;mso-wrap-style:square;position:absolute" from="8088,3589" to="8088,7151">
              <v:stroke linestyle="single"/>
            </v:line>
            <v:line id="直线 62" o:spid="_x0000_s1038" style="flip:y;mso-wrap-style:square;position:absolute" from="7355,3588" to="8098,3588">
              <v:stroke linestyle="single" startarrow="classic" startarrowwidth="narrow" startarrowlength="long"/>
            </v:line>
            <v:line id="直线 63" o:spid="_x0000_s1039" style="mso-wrap-style:square;position:absolute" from="5821,1917" to="5821,2222">
              <v:stroke linestyle="single" endarrow="classic" endarrowwidth="narrow" endarrowlength="long"/>
            </v:line>
            <v:rect id="矩形 64" o:spid="_x0000_s1040" style="width:1892;height:305;left:4869;mso-wrap-style:square;position:absolute;top:1592">
              <v:stroke linestyle="single"/>
              <v:textbox inset="0,1.42pt,0,0">
                <w:txbxContent>
                  <w:p>
                    <w:pPr>
                      <w:jc w:val="center"/>
                      <w:rPr>
                        <w:rFonts w:hAnsi="宋体"/>
                        <w:szCs w:val="21"/>
                      </w:rPr>
                    </w:pPr>
                    <w:r>
                      <w:rPr>
                        <w:rFonts w:hAnsi="宋体" w:hint="eastAsia"/>
                        <w:szCs w:val="21"/>
                      </w:rPr>
                      <w:t>平整场地</w:t>
                    </w:r>
                  </w:p>
                </w:txbxContent>
              </v:textbox>
            </v:rect>
            <v:rect id="矩形 65" o:spid="_x0000_s1041" style="width:1907;height:305;left:4869;mso-wrap-style:square;position:absolute;top:2221">
              <v:stroke linestyle="single"/>
              <v:textbox inset="0,1.42pt,0,0">
                <w:txbxContent>
                  <w:p>
                    <w:pPr>
                      <w:jc w:val="center"/>
                      <w:rPr>
                        <w:rFonts w:hAnsi="宋体"/>
                        <w:szCs w:val="21"/>
                      </w:rPr>
                    </w:pPr>
                    <w:r>
                      <w:rPr>
                        <w:rFonts w:hAnsi="宋体" w:hint="eastAsia"/>
                        <w:szCs w:val="21"/>
                      </w:rPr>
                      <w:t>桩位放样</w:t>
                    </w:r>
                  </w:p>
                </w:txbxContent>
              </v:textbox>
            </v:rect>
            <v:rect id="矩形 66" o:spid="_x0000_s1042" style="width:3009;height:305;left:4342;mso-wrap-style:square;position:absolute;top:3450">
              <v:stroke linestyle="single"/>
              <v:textbox inset="0,1.42pt,0,0">
                <w:txbxContent>
                  <w:p>
                    <w:pPr>
                      <w:jc w:val="center"/>
                      <w:rPr>
                        <w:rFonts w:hAnsi="宋体"/>
                        <w:szCs w:val="21"/>
                      </w:rPr>
                    </w:pPr>
                    <w:r>
                      <w:rPr>
                        <w:rFonts w:hAnsi="宋体" w:hint="eastAsia"/>
                        <w:szCs w:val="21"/>
                      </w:rPr>
                      <w:t>检查钻杆垂直度及对位偏差</w:t>
                    </w:r>
                  </w:p>
                </w:txbxContent>
              </v:textbox>
            </v:rect>
            <v:rect id="矩形 67" o:spid="_x0000_s1043" style="width:1950;height:305;left:4857;mso-wrap-style:square;position:absolute;top:2837">
              <v:stroke linestyle="single"/>
              <v:textbox inset="0,1.42pt,0,0">
                <w:txbxContent>
                  <w:p>
                    <w:pPr>
                      <w:jc w:val="center"/>
                      <w:rPr>
                        <w:rFonts w:hAnsi="宋体"/>
                        <w:szCs w:val="21"/>
                      </w:rPr>
                    </w:pPr>
                    <w:r>
                      <w:rPr>
                        <w:rFonts w:hAnsi="宋体" w:hint="eastAsia"/>
                        <w:szCs w:val="21"/>
                      </w:rPr>
                      <w:t>钻机就位</w:t>
                    </w:r>
                  </w:p>
                </w:txbxContent>
              </v:textbox>
            </v:rect>
            <v:line id="直线 68" o:spid="_x0000_s1044" style="flip:y;mso-wrap-style:square;position:absolute" from="3976,4193" to="4694,4193">
              <v:stroke linestyle="single" endarrow="classic" endarrowwidth="narrow" endarrowlength="long"/>
            </v:line>
            <v:line id="直线 69" o:spid="_x0000_s1045" style="mso-wrap-style:square;position:absolute" from="5850,6129" to="5850,6435">
              <v:stroke linestyle="single" endarrow="classic" endarrowwidth="narrow" endarrowlength="long"/>
            </v:line>
            <v:line id="直线 70" o:spid="_x0000_s1046" style="mso-wrap-style:square;position:absolute" from="5850,6706" to="5850,7011">
              <v:stroke linestyle="single" endarrow="classic" endarrowwidth="narrow" endarrowlength="long"/>
            </v:line>
            <v:line id="直线 71" o:spid="_x0000_s1047" style="mso-wrap-style:square;position:absolute" from="3057,3719" to="3057,4024">
              <v:stroke linestyle="single" endarrow="classic" endarrowwidth="narrow" endarrowlength="long"/>
            </v:line>
            <v:line id="直线 72" o:spid="_x0000_s1048" style="mso-wrap-style:square;position:absolute" from="5829,2530" to="5829,2835">
              <v:stroke linestyle="single" endarrow="classic" endarrowwidth="narrow" endarrowlength="long"/>
            </v:line>
            <v:line id="直线 73" o:spid="_x0000_s1049" style="mso-wrap-style:square;position:absolute" from="5845,3146" to="5845,3451">
              <v:stroke linestyle="single" endarrow="classic" endarrowwidth="narrow" endarrowlength="long"/>
            </v:line>
            <v:line id="直线 74" o:spid="_x0000_s1050" style="mso-wrap-style:square;position:absolute" from="5845,3751" to="5845,4056">
              <v:stroke linestyle="single" endarrow="classic" endarrowwidth="narrow" endarrowlength="long"/>
            </v:line>
            <v:line id="直线 75" o:spid="_x0000_s1051" style="mso-wrap-style:square;position:absolute" from="5859,4954" to="5859,5259">
              <v:stroke linestyle="single" endarrow="classic" endarrowwidth="narrow" endarrowlength="long"/>
            </v:line>
            <v:line id="直线 76" o:spid="_x0000_s1052" style="mso-wrap-style:square;position:absolute" from="5850,4353" to="5850,4658">
              <v:stroke linestyle="single" endarrow="classic" endarrowwidth="narrow" endarrowlength="long"/>
            </v:line>
            <v:line id="直线 77" o:spid="_x0000_s1053" style="mso-wrap-style:square;position:absolute" from="5854,5530" to="5854,5835">
              <v:stroke linestyle="single" endarrow="classic" endarrowwidth="narrow" endarrowlength="long"/>
            </v:line>
            <v:rect id="矩形 78" o:spid="_x0000_s1054" style="width:2309;height:305;left:4694;mso-wrap-style:square;position:absolute;top:6989">
              <v:stroke linestyle="single"/>
              <v:textbox inset="0,1.42pt,0,0">
                <w:txbxContent>
                  <w:p>
                    <w:pPr>
                      <w:jc w:val="center"/>
                      <w:rPr>
                        <w:rFonts w:hAnsi="宋体"/>
                        <w:szCs w:val="21"/>
                      </w:rPr>
                    </w:pPr>
                    <w:r>
                      <w:rPr>
                        <w:rFonts w:hAnsi="宋体" w:hint="eastAsia"/>
                        <w:szCs w:val="21"/>
                      </w:rPr>
                      <w:t>钻机移位</w:t>
                    </w:r>
                  </w:p>
                </w:txbxContent>
              </v:textbox>
            </v:rect>
            <v:rect id="矩形 79" o:spid="_x0000_s1055" style="width:2309;height:305;left:4690;mso-wrap-style:square;position:absolute;top:5820">
              <v:stroke linestyle="single"/>
              <v:textbox inset="0,1.42pt,0,0">
                <w:txbxContent>
                  <w:p>
                    <w:pPr>
                      <w:jc w:val="center"/>
                      <w:rPr>
                        <w:rFonts w:hAnsi="宋体"/>
                        <w:szCs w:val="21"/>
                      </w:rPr>
                    </w:pPr>
                    <w:r>
                      <w:rPr>
                        <w:rFonts w:hAnsi="宋体" w:hint="eastAsia"/>
                        <w:szCs w:val="21"/>
                      </w:rPr>
                      <w:t>提升搅拌第二次喷浆</w:t>
                    </w:r>
                  </w:p>
                </w:txbxContent>
              </v:textbox>
            </v:rect>
            <v:rect id="矩形 80" o:spid="_x0000_s1056" style="width:2310;height:305;left:4696;mso-wrap-style:square;position:absolute;top:4648">
              <v:stroke linestyle="single"/>
              <v:textbox inset="0,1.42pt,0,0">
                <w:txbxContent>
                  <w:p>
                    <w:pPr>
                      <w:jc w:val="center"/>
                      <w:rPr>
                        <w:rFonts w:hAnsi="宋体"/>
                        <w:szCs w:val="21"/>
                      </w:rPr>
                    </w:pPr>
                    <w:r>
                      <w:rPr>
                        <w:rFonts w:hAnsi="宋体" w:hint="eastAsia"/>
                        <w:szCs w:val="21"/>
                      </w:rPr>
                      <w:t>提升搅拌第一次喷浆</w:t>
                    </w:r>
                  </w:p>
                </w:txbxContent>
              </v:textbox>
            </v:rect>
            <v:rect id="矩形 81" o:spid="_x0000_s1057" style="width:2310;height:305;left:4687;mso-wrap-style:square;position:absolute;top:6396">
              <v:stroke linestyle="single"/>
              <v:textbox inset="0,1.42pt,0,0">
                <w:txbxContent>
                  <w:p>
                    <w:pPr>
                      <w:jc w:val="center"/>
                      <w:rPr>
                        <w:rFonts w:hAnsi="宋体"/>
                        <w:szCs w:val="21"/>
                      </w:rPr>
                    </w:pPr>
                    <w:r>
                      <w:rPr>
                        <w:rFonts w:hAnsi="宋体" w:hint="eastAsia"/>
                        <w:szCs w:val="21"/>
                      </w:rPr>
                      <w:t>桩头复搅</w:t>
                    </w:r>
                  </w:p>
                </w:txbxContent>
              </v:textbox>
            </v:rect>
            <v:rect id="矩形 82" o:spid="_x0000_s1058" style="width:2309;height:305;left:4690;mso-wrap-style:square;position:absolute;top:4041">
              <v:stroke linestyle="single"/>
              <v:textbox inset="0,1.42pt,0,0">
                <w:txbxContent>
                  <w:p>
                    <w:pPr>
                      <w:jc w:val="center"/>
                      <w:rPr>
                        <w:rFonts w:hAnsi="宋体"/>
                        <w:szCs w:val="21"/>
                      </w:rPr>
                    </w:pPr>
                    <w:r>
                      <w:rPr>
                        <w:rFonts w:hAnsi="宋体" w:hint="eastAsia"/>
                        <w:szCs w:val="21"/>
                      </w:rPr>
                      <w:t>预搅下沉第一次搅拌</w:t>
                    </w:r>
                  </w:p>
                </w:txbxContent>
              </v:textbox>
            </v:rect>
            <v:rect id="矩形 83" o:spid="_x0000_s1059" style="width:1977;height:305;left:2058;mso-wrap-style:square;position:absolute;top:3457">
              <v:stroke linestyle="single"/>
              <v:textbox inset="0,1.42pt,0,0">
                <w:txbxContent>
                  <w:p>
                    <w:pPr>
                      <w:jc w:val="center"/>
                      <w:rPr>
                        <w:rFonts w:hAnsi="宋体"/>
                        <w:szCs w:val="21"/>
                      </w:rPr>
                    </w:pPr>
                    <w:r>
                      <w:rPr>
                        <w:rFonts w:hAnsi="宋体" w:hint="eastAsia"/>
                        <w:szCs w:val="21"/>
                      </w:rPr>
                      <w:t>配比试验</w:t>
                    </w:r>
                  </w:p>
                </w:txbxContent>
              </v:textbox>
            </v:rect>
            <v:rect id="矩形 84" o:spid="_x0000_s1060" style="width:1983;height:305;left:2049;mso-wrap-style:square;position:absolute;top:4036">
              <v:stroke linestyle="single"/>
              <v:textbox inset="0,1.42pt,0,0">
                <w:txbxContent>
                  <w:p>
                    <w:pPr>
                      <w:jc w:val="center"/>
                      <w:rPr>
                        <w:rFonts w:hAnsi="宋体"/>
                        <w:szCs w:val="21"/>
                      </w:rPr>
                    </w:pPr>
                    <w:r>
                      <w:rPr>
                        <w:rFonts w:hAnsi="宋体" w:hint="eastAsia"/>
                        <w:szCs w:val="21"/>
                      </w:rPr>
                      <w:t>浆液拌制</w:t>
                    </w:r>
                  </w:p>
                </w:txbxContent>
              </v:textbox>
            </v:rect>
            <v:rect id="矩形 85" o:spid="_x0000_s1061" style="width:2311;height:305;left:4704;mso-wrap-style:square;position:absolute;top:5224">
              <v:stroke linestyle="single"/>
              <v:textbox inset="0,1.42pt,0,0">
                <w:txbxContent>
                  <w:p>
                    <w:pPr>
                      <w:jc w:val="center"/>
                      <w:rPr>
                        <w:rFonts w:hAnsi="宋体"/>
                        <w:szCs w:val="21"/>
                      </w:rPr>
                    </w:pPr>
                    <w:r>
                      <w:rPr>
                        <w:rFonts w:hAnsi="宋体" w:hint="eastAsia"/>
                        <w:szCs w:val="21"/>
                      </w:rPr>
                      <w:t>复搅下沉第三次搅拌</w:t>
                    </w:r>
                  </w:p>
                </w:txbxContent>
              </v:textbox>
            </v:rect>
            <v:rect id="矩形 86" o:spid="_x0000_s1062" style="width:2310;height:305;left:4711;mso-wrap-style:square;position:absolute;top:7584">
              <v:stroke linestyle="single"/>
              <v:textbox inset="0,1.42pt,0,0">
                <w:txbxContent>
                  <w:p>
                    <w:pPr>
                      <w:jc w:val="center"/>
                      <w:rPr>
                        <w:rFonts w:hAnsi="宋体"/>
                        <w:szCs w:val="21"/>
                      </w:rPr>
                    </w:pPr>
                    <w:r>
                      <w:rPr>
                        <w:rFonts w:hAnsi="宋体" w:hint="eastAsia"/>
                        <w:szCs w:val="21"/>
                      </w:rPr>
                      <w:t>质量检测</w:t>
                    </w:r>
                  </w:p>
                </w:txbxContent>
              </v:textbox>
            </v:rect>
            <v:rect id="矩形 87" o:spid="_x0000_s1063" style="width:1549;height:306;left:7409;mso-wrap-style:square;position:absolute;top:2837">
              <v:stroke linestyle="single"/>
              <v:textbox inset="0,1.42pt,0,0">
                <w:txbxContent>
                  <w:p>
                    <w:pPr>
                      <w:jc w:val="center"/>
                      <w:rPr>
                        <w:rFonts w:hAnsi="宋体"/>
                        <w:szCs w:val="21"/>
                      </w:rPr>
                    </w:pPr>
                    <w:r>
                      <w:rPr>
                        <w:rFonts w:hAnsi="宋体" w:hint="eastAsia"/>
                        <w:szCs w:val="21"/>
                      </w:rPr>
                      <w:t>设备进场</w:t>
                    </w:r>
                  </w:p>
                </w:txbxContent>
              </v:textbox>
            </v:rect>
            <v:line id="直线 88" o:spid="_x0000_s1064" style="mso-wrap-style:square;position:absolute" from="5865,7299" to="5865,7604">
              <v:stroke linestyle="single" endarrow="classic" endarrowwidth="narrow" endarrowlength="long"/>
            </v:line>
            <v:line id="直线 89" o:spid="_x0000_s1065" style="mso-wrap-style:square;position:absolute" from="3059,3157" to="3059,3462">
              <v:stroke linestyle="single" endarrow="classic" endarrowwidth="narrow" endarrowlength="long"/>
            </v:line>
            <v:line id="直线 90" o:spid="_x0000_s1066" style="mso-wrap-style:square;position:absolute" from="6801,2990" to="7388,2990">
              <v:stroke linestyle="single" startarrow="classic" startarrowwidth="narrow" startarrowlength="long"/>
            </v:line>
          </v:group>
        </w:pict>
      </w: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pStyle w:val="a3"/>
        <w:spacing w:line="360" w:lineRule="auto"/>
        <w:ind w:firstLine="480"/>
        <w:rPr>
          <w:rFonts w:ascii="宋体" w:eastAsia="宋体" w:hAnsi="宋体"/>
          <w:sz w:val="24"/>
        </w:rPr>
      </w:pPr>
    </w:p>
    <w:p>
      <w:pPr>
        <w:spacing w:line="360" w:lineRule="auto"/>
        <w:rPr>
          <w:rFonts w:hAnsi="宋体" w:hint="eastAsia"/>
          <w:b/>
          <w:szCs w:val="21"/>
        </w:rPr>
      </w:pPr>
    </w:p>
    <w:p>
      <w:pPr>
        <w:spacing w:line="360" w:lineRule="auto"/>
        <w:jc w:val="center"/>
        <w:rPr>
          <w:rFonts w:hAnsi="宋体"/>
          <w:b/>
          <w:szCs w:val="21"/>
        </w:rPr>
      </w:pPr>
      <w:r>
        <w:rPr>
          <w:rFonts w:hAnsi="宋体" w:hint="eastAsia"/>
          <w:b/>
          <w:szCs w:val="21"/>
        </w:rPr>
        <w:t>水泥搅拌桩施工工艺流程图</w:t>
      </w:r>
    </w:p>
    <w:p>
      <w:pPr>
        <w:pStyle w:val="a3"/>
        <w:spacing w:line="360" w:lineRule="auto"/>
        <w:ind w:firstLine="480"/>
        <w:rPr>
          <w:rFonts w:ascii="宋体" w:eastAsia="宋体" w:hAnsi="宋体" w:hint="eastAsia"/>
          <w:sz w:val="24"/>
        </w:rPr>
      </w:pPr>
    </w:p>
    <w:p>
      <w:pPr>
        <w:pStyle w:val="a3"/>
        <w:spacing w:line="360" w:lineRule="auto"/>
        <w:ind w:firstLine="480"/>
        <w:rPr>
          <w:rFonts w:ascii="宋体" w:eastAsia="宋体" w:hAnsi="宋体"/>
          <w:sz w:val="24"/>
        </w:rPr>
      </w:pPr>
      <w:r>
        <w:rPr>
          <w:rFonts w:ascii="宋体" w:eastAsia="宋体" w:hAnsi="宋体"/>
          <w:sz w:val="24"/>
        </w:rPr>
        <w:fldChar w:fldCharType="begin"/>
      </w:r>
      <w:r>
        <w:rPr>
          <w:rFonts w:ascii="宋体" w:eastAsia="宋体" w:hAnsi="宋体"/>
          <w:sz w:val="24"/>
        </w:rPr>
        <w:instrText xml:space="preserve"> </w:instrText>
      </w:r>
      <w:r>
        <w:rPr>
          <w:rFonts w:ascii="宋体" w:eastAsia="宋体" w:hAnsi="宋体" w:hint="eastAsia"/>
          <w:sz w:val="24"/>
        </w:rPr>
        <w:instrText>eq \o\ac(</w:instrText>
      </w:r>
      <w:r>
        <w:rPr>
          <w:rFonts w:ascii="宋体" w:eastAsia="宋体" w:hAnsi="宋体" w:hint="eastAsia"/>
          <w:sz w:val="24"/>
        </w:rPr>
        <w:instrText>○</w:instrText>
      </w:r>
      <w:r>
        <w:rPr>
          <w:rFonts w:ascii="宋体" w:eastAsia="宋体" w:hAnsi="宋体" w:hint="eastAsia"/>
          <w:sz w:val="24"/>
        </w:rPr>
        <w:instrText>,3)</w:instrText>
      </w:r>
      <w:r>
        <w:rPr>
          <w:rFonts w:ascii="宋体" w:eastAsia="宋体" w:hAnsi="宋体"/>
          <w:sz w:val="24"/>
        </w:rPr>
        <w:fldChar w:fldCharType="separate"/>
      </w:r>
      <w:r>
        <w:rPr>
          <w:rFonts w:ascii="宋体" w:eastAsia="宋体" w:hAnsi="宋体"/>
          <w:sz w:val="24"/>
        </w:rPr>
        <w:fldChar w:fldCharType="end"/>
      </w:r>
      <w:r>
        <w:rPr>
          <w:rFonts w:ascii="宋体" w:eastAsia="宋体" w:hAnsi="宋体"/>
          <w:sz w:val="24"/>
        </w:rPr>
        <w:t xml:space="preserve">施工控制 </w:t>
      </w:r>
    </w:p>
    <w:p>
      <w:pPr>
        <w:pStyle w:val="a3"/>
        <w:spacing w:line="360" w:lineRule="auto"/>
        <w:ind w:firstLine="480"/>
        <w:rPr>
          <w:rFonts w:ascii="宋体" w:eastAsia="宋体" w:hAnsi="宋体"/>
          <w:sz w:val="24"/>
        </w:rPr>
      </w:pPr>
      <w:r>
        <w:rPr>
          <w:rFonts w:ascii="宋体" w:eastAsia="宋体" w:hAnsi="宋体" w:hint="eastAsia"/>
          <w:sz w:val="24"/>
        </w:rPr>
        <w:t>a</w:t>
      </w:r>
      <w:r>
        <w:rPr>
          <w:rFonts w:ascii="宋体" w:eastAsia="宋体" w:hAnsi="宋体"/>
          <w:sz w:val="24"/>
        </w:rPr>
        <w:t xml:space="preserve">水泥搅拌桩开钻之前，应用水清洗整个管道并检验管道中有无堵塞现象，待水排尽后方可下钻。 </w:t>
      </w:r>
    </w:p>
    <w:p>
      <w:pPr>
        <w:pStyle w:val="a3"/>
        <w:spacing w:line="360" w:lineRule="auto"/>
        <w:ind w:firstLine="480"/>
        <w:rPr>
          <w:rFonts w:ascii="宋体" w:eastAsia="宋体" w:hAnsi="宋体"/>
          <w:sz w:val="24"/>
        </w:rPr>
        <w:sectPr>
          <w:footerReference w:type="even" r:id="rId43"/>
          <w:type w:val="nextPage"/>
          <w:pgSz w:w="11906" w:h="16838"/>
          <w:pgMar w:top="1440" w:right="1800" w:bottom="1440" w:left="1800" w:header="851" w:footer="992" w:gutter="0"/>
          <w:pgNumType w:start="29"/>
          <w:cols w:space="708"/>
          <w:titlePg w:val="0"/>
          <w:docGrid w:type="lines" w:linePitch="312"/>
        </w:sectPr>
      </w:pPr>
      <w:r>
        <w:rPr>
          <w:rFonts w:ascii="宋体" w:eastAsia="宋体" w:hAnsi="宋体" w:hint="eastAsia"/>
          <w:sz w:val="24"/>
        </w:rPr>
        <w:t>b将搅拌桩位置用白粉定位，移动深层搅拌机到达指定桩位对中，</w:t>
      </w:r>
    </w:p>
    <w:p>
      <w:pPr>
        <w:pStyle w:val="a3"/>
        <w:spacing w:line="360" w:lineRule="auto"/>
        <w:ind w:firstLine="480"/>
        <w:rPr>
          <w:rFonts w:ascii="宋体" w:eastAsia="宋体" w:hAnsi="宋体"/>
          <w:sz w:val="24"/>
        </w:rPr>
      </w:pPr>
      <w:r>
        <w:rPr>
          <w:rFonts w:ascii="宋体" w:eastAsia="宋体" w:hAnsi="宋体"/>
          <w:sz w:val="24"/>
        </w:rPr>
        <w:t>为保证水泥搅拌桩桩体垂直度满足规范要求，在主机上悬挂一吊锤，通过控制吊锤与钻杆上、下、左、右距离相等来进行控制</w:t>
      </w:r>
      <w:r>
        <w:rPr>
          <w:rFonts w:ascii="宋体" w:eastAsia="宋体" w:hAnsi="宋体" w:hint="eastAsia"/>
          <w:sz w:val="24"/>
        </w:rPr>
        <w:t>，桩位误差不得大于 5cm，垂直偏差不得超过1%，桩长和桩径不得小于设计值</w:t>
      </w:r>
      <w:r>
        <w:rPr>
          <w:rFonts w:ascii="宋体" w:eastAsia="宋体" w:hAnsi="宋体"/>
          <w:sz w:val="24"/>
        </w:rPr>
        <w:t xml:space="preserve">。 </w:t>
      </w:r>
    </w:p>
    <w:p>
      <w:pPr>
        <w:pStyle w:val="a3"/>
        <w:spacing w:line="360" w:lineRule="auto"/>
        <w:ind w:firstLine="480"/>
        <w:rPr>
          <w:rFonts w:ascii="宋体" w:eastAsia="宋体" w:hAnsi="宋体"/>
          <w:sz w:val="24"/>
        </w:rPr>
      </w:pPr>
      <w:r>
        <w:rPr>
          <w:rFonts w:ascii="宋体" w:eastAsia="宋体" w:hAnsi="宋体" w:hint="eastAsia"/>
          <w:sz w:val="24"/>
        </w:rPr>
        <w:t>c</w:t>
      </w:r>
      <w:r>
        <w:rPr>
          <w:rFonts w:ascii="宋体" w:eastAsia="宋体" w:hAnsi="宋体"/>
          <w:sz w:val="24"/>
        </w:rPr>
        <w:t xml:space="preserve">对每根成型的搅拌桩质量检查重点是水泥用量、水泥浆拌制的罐数、压浆过程中是否有断浆现象、喷浆搅拌提升时间以及复搅次数。 </w:t>
      </w:r>
    </w:p>
    <w:p>
      <w:pPr>
        <w:pStyle w:val="a3"/>
        <w:spacing w:line="360" w:lineRule="auto"/>
        <w:ind w:firstLine="480"/>
        <w:rPr>
          <w:rFonts w:ascii="宋体" w:eastAsia="宋体" w:hAnsi="宋体"/>
          <w:sz w:val="24"/>
        </w:rPr>
      </w:pPr>
      <w:r>
        <w:rPr>
          <w:rFonts w:ascii="宋体" w:eastAsia="宋体" w:hAnsi="宋体" w:hint="eastAsia"/>
          <w:sz w:val="24"/>
        </w:rPr>
        <w:t>d</w:t>
      </w:r>
      <w:r>
        <w:rPr>
          <w:rFonts w:ascii="宋体" w:eastAsia="宋体" w:hAnsi="宋体"/>
          <w:sz w:val="24"/>
        </w:rPr>
        <w:t xml:space="preserve">为了确保桩体每米掺合量以及水泥浆用量达到设计要求，每台机械均应配备电脑记录仪。同时现场应配备水泥浆比重测定仪，以备监理工程师和项目经理部质检人员随时抽查检验水泥浆水灰比是否满足设计要求。 </w:t>
      </w:r>
    </w:p>
    <w:p>
      <w:pPr>
        <w:pStyle w:val="a3"/>
        <w:spacing w:line="360" w:lineRule="auto"/>
        <w:ind w:firstLine="480"/>
        <w:rPr>
          <w:rFonts w:ascii="宋体" w:eastAsia="宋体" w:hAnsi="宋体"/>
          <w:sz w:val="24"/>
        </w:rPr>
      </w:pPr>
      <w:r>
        <w:rPr>
          <w:rFonts w:ascii="宋体" w:eastAsia="宋体" w:hAnsi="宋体" w:hint="eastAsia"/>
          <w:sz w:val="24"/>
        </w:rPr>
        <w:t>e</w:t>
      </w:r>
      <w:r>
        <w:rPr>
          <w:rFonts w:ascii="宋体" w:eastAsia="宋体" w:hAnsi="宋体"/>
          <w:sz w:val="24"/>
        </w:rPr>
        <w:t>水泥搅拌配合比：</w:t>
      </w:r>
      <w:r>
        <w:rPr>
          <w:rFonts w:ascii="宋体" w:eastAsia="宋体" w:hAnsi="宋体" w:hint="eastAsia"/>
          <w:sz w:val="24"/>
        </w:rPr>
        <w:t>水泥搅拌桩的固化剂采用32.5级矿渣硅酸盐水泥，水泥掺入比不小于15%（55Kg/m），水泥浆</w:t>
      </w:r>
      <w:r>
        <w:rPr>
          <w:rFonts w:ascii="宋体" w:eastAsia="宋体" w:hAnsi="宋体"/>
          <w:sz w:val="24"/>
        </w:rPr>
        <w:t>水灰比0.45～0.50</w:t>
      </w:r>
      <w:r>
        <w:rPr>
          <w:rFonts w:ascii="宋体" w:eastAsia="宋体" w:hAnsi="宋体" w:hint="eastAsia"/>
          <w:sz w:val="24"/>
        </w:rPr>
        <w:t>。</w:t>
      </w:r>
    </w:p>
    <w:p>
      <w:pPr>
        <w:pStyle w:val="a3"/>
        <w:spacing w:line="360" w:lineRule="auto"/>
        <w:ind w:firstLine="480"/>
        <w:rPr>
          <w:rFonts w:ascii="宋体" w:eastAsia="宋体" w:hAnsi="宋体"/>
          <w:sz w:val="24"/>
        </w:rPr>
      </w:pPr>
      <w:r>
        <w:rPr>
          <w:rFonts w:ascii="宋体" w:eastAsia="宋体" w:hAnsi="宋体" w:hint="eastAsia"/>
          <w:sz w:val="24"/>
        </w:rPr>
        <w:t>f严格控制喷浆压力和转速及提升、下降的速度，以确保加固深度范围内土体的任何一点均能经过20次以上的搅拌，从而保证桩体搅拌均匀，桩体强度达到设计要求。</w:t>
      </w:r>
      <w:r>
        <w:rPr>
          <w:rFonts w:ascii="宋体" w:eastAsia="宋体" w:hAnsi="宋体"/>
          <w:sz w:val="24"/>
        </w:rPr>
        <w:t xml:space="preserve">每根桩的正常成桩时间不少于40分钟，喷浆压力不小于0.4MPa. </w:t>
      </w:r>
    </w:p>
    <w:p>
      <w:pPr>
        <w:pStyle w:val="a3"/>
        <w:spacing w:line="360" w:lineRule="auto"/>
        <w:ind w:firstLine="480"/>
        <w:rPr>
          <w:rFonts w:ascii="宋体" w:eastAsia="宋体" w:hAnsi="宋体"/>
          <w:sz w:val="24"/>
        </w:rPr>
      </w:pPr>
      <w:r>
        <w:rPr>
          <w:rFonts w:ascii="宋体" w:eastAsia="宋体" w:hAnsi="宋体" w:hint="eastAsia"/>
          <w:sz w:val="24"/>
        </w:rPr>
        <w:t>g</w:t>
      </w:r>
      <w:r>
        <w:rPr>
          <w:rFonts w:ascii="宋体" w:eastAsia="宋体" w:hAnsi="宋体"/>
          <w:sz w:val="24"/>
        </w:rPr>
        <w:t xml:space="preserve">为保证水泥搅拌桩桩端、桩顶及桩身质量，第一次提钻喷浆时应在桩底部停留30秒，进行磨桩端，余浆上提过程中全部喷入桩体，且在桩顶部位进行磨桩头，停留时间为30秒。 </w:t>
      </w:r>
    </w:p>
    <w:p>
      <w:pPr>
        <w:pStyle w:val="a3"/>
        <w:spacing w:line="360" w:lineRule="auto"/>
        <w:ind w:firstLine="480"/>
        <w:rPr>
          <w:rFonts w:ascii="宋体" w:eastAsia="宋体" w:hAnsi="宋体"/>
          <w:sz w:val="24"/>
        </w:rPr>
      </w:pPr>
      <w:r>
        <w:rPr>
          <w:rFonts w:ascii="宋体" w:eastAsia="宋体" w:hAnsi="宋体" w:hint="eastAsia"/>
          <w:sz w:val="24"/>
        </w:rPr>
        <w:t>h</w:t>
      </w:r>
      <w:r>
        <w:rPr>
          <w:rFonts w:ascii="宋体" w:eastAsia="宋体" w:hAnsi="宋体"/>
          <w:sz w:val="24"/>
        </w:rPr>
        <w:t xml:space="preserve">在搅拌桩施工过程中采用“叶缘喷浆”的搅拌头。这种搅拌头的喷浆口位于搅拌叶片的最外缘，当浆液离开叶片向桩体中心环状空间运移时，随着叶片的转动和切削，浆液能较均匀地散布在桩体中的土中。长期使用证明，“叶缘喷浆”搅拌头能较好地解决喷浆中的搅拌不均问题。 </w:t>
      </w:r>
    </w:p>
    <w:p>
      <w:pPr>
        <w:pStyle w:val="a3"/>
        <w:spacing w:line="360" w:lineRule="auto"/>
        <w:ind w:firstLine="480"/>
        <w:rPr>
          <w:rFonts w:ascii="宋体" w:eastAsia="宋体" w:hAnsi="宋体"/>
          <w:sz w:val="24"/>
        </w:rPr>
      </w:pPr>
      <w:r>
        <w:rPr>
          <w:rFonts w:ascii="宋体" w:eastAsia="宋体" w:hAnsi="宋体" w:hint="eastAsia"/>
          <w:sz w:val="24"/>
        </w:rPr>
        <w:t>i</w:t>
      </w:r>
      <w:r>
        <w:rPr>
          <w:rFonts w:ascii="宋体" w:eastAsia="宋体" w:hAnsi="宋体"/>
          <w:sz w:val="24"/>
        </w:rPr>
        <w:t xml:space="preserve">施工时应严格控制喷浆时间和停浆时间。每根桩开钻后应连续作业，不得中断喷浆。严禁在尚未喷浆的情况下进行钻杆提升作业。储浆罐内的储浆应不小于一根桩的用量加50kg.若储浆量小于上述重量时，不得进行下一根桩的施工。 </w:t>
      </w:r>
    </w:p>
    <w:p>
      <w:pPr>
        <w:pStyle w:val="a3"/>
        <w:spacing w:line="360" w:lineRule="auto"/>
        <w:ind w:firstLine="480"/>
        <w:rPr>
          <w:rFonts w:ascii="宋体" w:eastAsia="宋体" w:hAnsi="宋体"/>
          <w:sz w:val="24"/>
        </w:rPr>
      </w:pPr>
      <w:r>
        <w:rPr>
          <w:rFonts w:ascii="宋体" w:eastAsia="宋体" w:hAnsi="宋体" w:hint="eastAsia"/>
          <w:sz w:val="24"/>
        </w:rPr>
        <w:t>j</w:t>
      </w:r>
      <w:r>
        <w:rPr>
          <w:rFonts w:ascii="宋体" w:eastAsia="宋体" w:hAnsi="宋体"/>
          <w:sz w:val="24"/>
        </w:rPr>
        <w:t xml:space="preserve"> 施工中发现喷浆量不足，应按整桩</w:t>
      </w:r>
      <w:r>
        <w:rPr>
          <w:rFonts w:ascii="宋体" w:eastAsia="宋体" w:hAnsi="宋体" w:hint="eastAsia"/>
          <w:sz w:val="24"/>
        </w:rPr>
        <w:t>补喷</w:t>
      </w:r>
      <w:r>
        <w:rPr>
          <w:rFonts w:ascii="宋体" w:eastAsia="宋体" w:hAnsi="宋体"/>
          <w:sz w:val="24"/>
        </w:rPr>
        <w:t>，</w:t>
      </w:r>
      <w:r>
        <w:rPr>
          <w:rFonts w:ascii="宋体" w:eastAsia="宋体" w:hAnsi="宋体" w:hint="eastAsia"/>
          <w:sz w:val="24"/>
        </w:rPr>
        <w:t>补</w:t>
      </w:r>
      <w:r>
        <w:rPr>
          <w:rFonts w:ascii="宋体" w:eastAsia="宋体" w:hAnsi="宋体"/>
          <w:sz w:val="24"/>
        </w:rPr>
        <w:t xml:space="preserve">喷的喷浆量不小于设计用量。如遇停电、机械故障原因，喷浆中断时应及时记录中断深度。在12小时内采取补喷处理措施，并将补喷情况填报于施工记录内。补喷重叠段应大于100cm，超过12小时应采取补桩措施。 </w:t>
      </w:r>
    </w:p>
    <w:p>
      <w:pPr>
        <w:pStyle w:val="a3"/>
        <w:spacing w:line="360" w:lineRule="auto"/>
        <w:ind w:firstLine="480"/>
        <w:rPr>
          <w:rFonts w:ascii="宋体" w:eastAsia="宋体" w:hAnsi="宋体"/>
          <w:sz w:val="24"/>
        </w:rPr>
      </w:pPr>
      <w:r>
        <w:rPr>
          <w:rFonts w:ascii="宋体" w:eastAsia="宋体" w:hAnsi="宋体" w:hint="eastAsia"/>
          <w:sz w:val="24"/>
        </w:rPr>
        <w:t>k</w:t>
      </w:r>
      <w:r>
        <w:rPr>
          <w:rFonts w:ascii="宋体" w:eastAsia="宋体" w:hAnsi="宋体"/>
          <w:sz w:val="24"/>
        </w:rPr>
        <w:t>现场施工人员认真填写施工原始记录</w:t>
      </w:r>
      <w:r>
        <w:rPr>
          <w:rFonts w:ascii="宋体" w:eastAsia="宋体" w:hAnsi="宋体" w:hint="eastAsia"/>
          <w:sz w:val="24"/>
        </w:rPr>
        <w:t>。</w:t>
      </w:r>
    </w:p>
    <w:p>
      <w:pPr>
        <w:pStyle w:val="a3"/>
        <w:spacing w:line="360" w:lineRule="auto"/>
        <w:ind w:firstLine="480"/>
        <w:rPr>
          <w:rFonts w:ascii="宋体" w:eastAsia="宋体" w:hAnsi="宋体"/>
          <w:sz w:val="24"/>
        </w:rPr>
      </w:pPr>
      <w:r>
        <w:rPr>
          <w:rFonts w:ascii="宋体" w:eastAsia="宋体" w:hAnsi="宋体"/>
          <w:sz w:val="24"/>
        </w:rPr>
        <w:fldChar w:fldCharType="begin"/>
      </w:r>
      <w:r>
        <w:rPr>
          <w:rFonts w:ascii="宋体" w:eastAsia="宋体" w:hAnsi="宋体"/>
          <w:sz w:val="24"/>
        </w:rPr>
        <w:instrText xml:space="preserve"> </w:instrText>
      </w:r>
      <w:r>
        <w:rPr>
          <w:rFonts w:ascii="宋体" w:eastAsia="宋体" w:hAnsi="宋体" w:hint="eastAsia"/>
          <w:sz w:val="24"/>
        </w:rPr>
        <w:instrText>eq \o\ac(</w:instrText>
      </w:r>
      <w:r>
        <w:rPr>
          <w:rFonts w:ascii="宋体" w:eastAsia="宋体" w:hAnsi="宋体" w:hint="eastAsia"/>
          <w:sz w:val="24"/>
        </w:rPr>
        <w:instrText>○</w:instrText>
      </w:r>
      <w:r>
        <w:rPr>
          <w:rFonts w:ascii="宋体" w:eastAsia="宋体" w:hAnsi="宋体" w:hint="eastAsia"/>
          <w:sz w:val="24"/>
        </w:rPr>
        <w:instrText>,4)</w:instrText>
      </w:r>
      <w:r>
        <w:rPr>
          <w:rFonts w:ascii="宋体" w:eastAsia="宋体" w:hAnsi="宋体"/>
          <w:sz w:val="24"/>
        </w:rPr>
        <w:fldChar w:fldCharType="separate"/>
      </w:r>
      <w:r>
        <w:rPr>
          <w:rFonts w:ascii="宋体" w:eastAsia="宋体" w:hAnsi="宋体"/>
          <w:sz w:val="24"/>
        </w:rPr>
        <w:fldChar w:fldCharType="end"/>
      </w:r>
      <w:r>
        <w:rPr>
          <w:rFonts w:ascii="宋体" w:eastAsia="宋体" w:hAnsi="宋体"/>
          <w:sz w:val="24"/>
        </w:rPr>
        <w:t xml:space="preserve">质量检验 </w:t>
      </w:r>
    </w:p>
    <w:p>
      <w:pPr>
        <w:pStyle w:val="a3"/>
        <w:spacing w:line="360" w:lineRule="auto"/>
        <w:ind w:firstLine="480"/>
        <w:rPr>
          <w:rFonts w:ascii="宋体" w:eastAsia="宋体" w:hAnsi="宋体"/>
          <w:sz w:val="24"/>
        </w:rPr>
        <w:sectPr>
          <w:footerReference w:type="even" r:id="rId44"/>
          <w:type w:val="nextPage"/>
          <w:pgSz w:w="11906" w:h="16838"/>
          <w:pgMar w:top="1440" w:right="1800" w:bottom="1440" w:left="1800" w:header="851" w:footer="992" w:gutter="0"/>
          <w:pgNumType w:start="30"/>
          <w:cols w:space="708"/>
          <w:titlePg w:val="0"/>
          <w:docGrid w:type="lines" w:linePitch="312"/>
        </w:sectPr>
      </w:pPr>
      <w:r>
        <w:rPr>
          <w:rFonts w:ascii="宋体" w:eastAsia="宋体" w:hAnsi="宋体"/>
          <w:sz w:val="24"/>
        </w:rPr>
        <w:t>水泥搅拌桩成桩28天后，</w:t>
      </w:r>
    </w:p>
    <w:p>
      <w:pPr>
        <w:pStyle w:val="a3"/>
        <w:spacing w:line="360" w:lineRule="auto"/>
        <w:ind w:firstLine="480"/>
        <w:rPr>
          <w:rFonts w:ascii="宋体" w:eastAsia="宋体" w:hAnsi="宋体"/>
          <w:sz w:val="24"/>
        </w:rPr>
      </w:pPr>
      <w:r>
        <w:rPr>
          <w:rFonts w:ascii="宋体" w:eastAsia="宋体" w:hAnsi="宋体" w:hint="eastAsia"/>
          <w:sz w:val="24"/>
        </w:rPr>
        <w:t>在每根检测桩桩径四分之一处、桩长范围内垂直钻孔取芯，观察其完整性、均匀性，拍摄取出芯样的照片，取不同深度的3个试样做无侧限抗压强度试验。钻孔取芯抽检数为桩总数的千分之二，并不少于两根，其无侧限抗压强度不得小于1.2Mp</w:t>
      </w:r>
      <w:r>
        <w:rPr>
          <w:rFonts w:ascii="宋体" w:eastAsia="宋体" w:hAnsi="宋体" w:hint="eastAsia"/>
          <w:sz w:val="24"/>
        </w:rPr>
        <w:t xml:space="preserve"> 。钻芯取样后的孔洞用水泥砂浆封闭。</w:t>
      </w:r>
    </w:p>
    <w:p>
      <w:pPr>
        <w:pStyle w:val="a3"/>
        <w:spacing w:line="360" w:lineRule="auto"/>
        <w:ind w:firstLine="480"/>
        <w:rPr>
          <w:rFonts w:ascii="宋体" w:eastAsia="宋体" w:hAnsi="宋体"/>
          <w:sz w:val="24"/>
        </w:rPr>
      </w:pPr>
      <w:r>
        <w:rPr>
          <w:rFonts w:ascii="宋体" w:eastAsia="宋体" w:hAnsi="宋体" w:hint="eastAsia"/>
          <w:sz w:val="24"/>
        </w:rPr>
        <w:t>采用静载荷试验分别检测单桩承载力和复合地基承载力，检测数量：单桩承载力为桩总数的千分之二，并不少于两处；复合地基承载力试验为桩总数的千分之一，且不少于一处，复合地基承载力不得小于150Kp。</w:t>
      </w:r>
    </w:p>
    <w:p>
      <w:pPr>
        <w:spacing w:line="360" w:lineRule="auto"/>
        <w:ind w:firstLine="480" w:firstLineChars="200"/>
        <w:rPr>
          <w:rFonts w:ascii="宋体" w:hAnsi="宋体" w:hint="eastAsia"/>
          <w:sz w:val="24"/>
        </w:rPr>
      </w:pPr>
      <w:r>
        <w:rPr>
          <w:rFonts w:ascii="宋体" w:hAnsi="宋体"/>
          <w:sz w:val="24"/>
        </w:rPr>
        <w:t>外观鉴定</w:t>
      </w:r>
      <w:r>
        <w:rPr>
          <w:rFonts w:ascii="宋体" w:hAnsi="宋体" w:hint="eastAsia"/>
          <w:sz w:val="24"/>
        </w:rPr>
        <w:t>：</w:t>
      </w:r>
      <w:r>
        <w:rPr>
          <w:rFonts w:ascii="宋体" w:hAnsi="宋体"/>
          <w:sz w:val="24"/>
        </w:rPr>
        <w:t xml:space="preserve"> 桩体圆匀，无缩颈和回陷现象</w:t>
      </w:r>
      <w:r>
        <w:rPr>
          <w:rFonts w:ascii="宋体" w:hAnsi="宋体" w:hint="eastAsia"/>
          <w:sz w:val="24"/>
        </w:rPr>
        <w:t>；</w:t>
      </w:r>
      <w:r>
        <w:rPr>
          <w:rFonts w:ascii="宋体" w:hAnsi="宋体"/>
          <w:sz w:val="24"/>
        </w:rPr>
        <w:t>搅拌均匀，凝体无松散</w:t>
      </w:r>
      <w:r>
        <w:rPr>
          <w:rFonts w:ascii="宋体" w:hAnsi="宋体" w:hint="eastAsia"/>
          <w:sz w:val="24"/>
        </w:rPr>
        <w:t>；</w:t>
      </w:r>
      <w:r>
        <w:rPr>
          <w:rFonts w:ascii="宋体" w:hAnsi="宋体"/>
          <w:sz w:val="24"/>
        </w:rPr>
        <w:t>群桩桩顶齐，间距均匀</w:t>
      </w:r>
    </w:p>
    <w:p>
      <w:pPr>
        <w:spacing w:line="360" w:lineRule="auto"/>
        <w:ind w:firstLine="480" w:firstLineChars="200"/>
        <w:rPr>
          <w:rFonts w:hint="eastAsia"/>
          <w:color w:val="000000"/>
          <w:sz w:val="24"/>
        </w:rPr>
      </w:pPr>
      <w:r>
        <w:rPr>
          <w:rFonts w:hint="eastAsia"/>
          <w:color w:val="000000"/>
          <w:sz w:val="24"/>
        </w:rPr>
        <w:t>四、混凝土支撑梁、压顶梁施工方案</w:t>
      </w:r>
    </w:p>
    <w:p>
      <w:pPr>
        <w:spacing w:line="360" w:lineRule="auto"/>
        <w:ind w:firstLine="480" w:firstLineChars="200"/>
        <w:rPr>
          <w:rFonts w:ascii="宋体" w:hAnsi="宋体" w:hint="eastAsia"/>
          <w:sz w:val="24"/>
        </w:rPr>
      </w:pPr>
      <w:r>
        <w:rPr>
          <w:rFonts w:ascii="宋体" w:hAnsi="宋体" w:hint="eastAsia"/>
          <w:sz w:val="24"/>
        </w:rPr>
        <w:t>本工程中，混凝土支撑梁较少，只在看台基础加深部分存在，这里不做详细介绍。本工程主要采用钢筋混凝土压顶梁，在施工开挖到压顶梁低即开始施工。具体工艺参见施工组织设计有关的结构部分内容。本工程中为了提早进行开挖，混凝土搀用一定的混凝土早强剂。</w:t>
      </w:r>
    </w:p>
    <w:p>
      <w:pPr>
        <w:pStyle w:val="a3"/>
        <w:spacing w:line="360" w:lineRule="auto"/>
        <w:ind w:firstLine="480"/>
        <w:rPr>
          <w:rFonts w:ascii="宋体" w:eastAsia="宋体" w:hAnsi="宋体" w:hint="eastAsia"/>
          <w:sz w:val="24"/>
        </w:rPr>
      </w:pPr>
      <w:r>
        <w:rPr>
          <w:rFonts w:ascii="宋体" w:eastAsia="宋体" w:hAnsi="宋体" w:hint="eastAsia"/>
          <w:sz w:val="24"/>
        </w:rPr>
        <w:t>（一)、支撑桩施工</w:t>
      </w:r>
    </w:p>
    <w:p>
      <w:pPr>
        <w:pStyle w:val="a3"/>
        <w:spacing w:line="360" w:lineRule="auto"/>
        <w:ind w:firstLine="480"/>
        <w:rPr>
          <w:rFonts w:ascii="宋体" w:eastAsia="宋体" w:hAnsi="宋体" w:hint="eastAsia"/>
          <w:sz w:val="24"/>
        </w:rPr>
      </w:pPr>
      <w:r>
        <w:rPr>
          <w:rFonts w:ascii="宋体" w:eastAsia="宋体" w:hAnsi="宋体" w:hint="eastAsia"/>
          <w:sz w:val="24"/>
        </w:rPr>
        <w:t>1、根据基坑围护施工图，支撑桩分2种，新打支撑桩29根，利用工程桩5根，新打支撑桩700/800进入强风化层1.5米，具体位置祥见</w:t>
      </w:r>
      <w:r>
        <w:rPr>
          <w:rFonts w:ascii="宋体" w:eastAsia="宋体" w:hAnsi="宋体" w:hint="eastAsia"/>
          <w:sz w:val="24"/>
        </w:rPr>
        <w:t>“</w:t>
      </w:r>
      <w:r>
        <w:rPr>
          <w:rFonts w:ascii="宋体" w:eastAsia="宋体" w:hAnsi="宋体" w:hint="eastAsia"/>
          <w:sz w:val="24"/>
        </w:rPr>
        <w:t>基护-03</w:t>
      </w:r>
      <w:r>
        <w:rPr>
          <w:rFonts w:ascii="宋体" w:eastAsia="宋体" w:hAnsi="宋体" w:hint="eastAsia"/>
          <w:sz w:val="24"/>
        </w:rPr>
        <w:t>”</w:t>
      </w:r>
      <w:r>
        <w:rPr>
          <w:rFonts w:ascii="宋体" w:eastAsia="宋体" w:hAnsi="宋体" w:hint="eastAsia"/>
          <w:sz w:val="24"/>
        </w:rPr>
        <w:t>。</w:t>
      </w:r>
    </w:p>
    <w:p>
      <w:pPr>
        <w:pStyle w:val="a3"/>
        <w:spacing w:line="360" w:lineRule="auto"/>
        <w:ind w:firstLine="480"/>
        <w:rPr>
          <w:rFonts w:ascii="宋体" w:eastAsia="宋体" w:hAnsi="宋体" w:hint="eastAsia"/>
          <w:sz w:val="24"/>
        </w:rPr>
      </w:pPr>
      <w:r>
        <w:rPr>
          <w:rFonts w:ascii="宋体" w:eastAsia="宋体" w:hAnsi="宋体" w:hint="eastAsia"/>
          <w:sz w:val="24"/>
        </w:rPr>
        <w:t>2、按照设计要求制作钢立柱:钢立柱1为420*420，4只</w:t>
      </w:r>
      <w:r>
        <w:rPr>
          <w:rFonts w:ascii="宋体" w:eastAsia="宋体" w:hAnsi="宋体" w:hint="eastAsia"/>
          <w:sz w:val="24"/>
        </w:rPr>
        <w:t>∠</w:t>
      </w:r>
      <w:r>
        <w:rPr>
          <w:rFonts w:ascii="宋体" w:eastAsia="宋体" w:hAnsi="宋体" w:hint="eastAsia"/>
          <w:sz w:val="24"/>
        </w:rPr>
        <w:t>110*110*10角铁用8㎜厚钢板焊接，8㎜厚连接钢板@500㎜,立柱桩锚入工程桩内3.0米; 钢立柱2为490*490，4只</w:t>
      </w:r>
      <w:r>
        <w:rPr>
          <w:rFonts w:ascii="宋体" w:eastAsia="宋体" w:hAnsi="宋体" w:hint="eastAsia"/>
          <w:sz w:val="24"/>
        </w:rPr>
        <w:t>∠</w:t>
      </w:r>
      <w:r>
        <w:rPr>
          <w:rFonts w:ascii="宋体" w:eastAsia="宋体" w:hAnsi="宋体" w:hint="eastAsia"/>
          <w:sz w:val="24"/>
        </w:rPr>
        <w:t>125*125*12角铁用8㎜厚钢板焊接，8㎜厚连接钢板@500㎜,立柱桩锚入工程桩内2.0米。</w:t>
      </w:r>
    </w:p>
    <w:p>
      <w:pPr>
        <w:pStyle w:val="a3"/>
        <w:spacing w:line="360" w:lineRule="auto"/>
        <w:ind w:firstLine="480"/>
        <w:rPr>
          <w:rFonts w:ascii="宋体" w:eastAsia="宋体" w:hAnsi="宋体" w:hint="eastAsia"/>
          <w:sz w:val="24"/>
        </w:rPr>
      </w:pPr>
      <w:r>
        <w:rPr>
          <w:rFonts w:ascii="宋体" w:eastAsia="宋体" w:hAnsi="宋体" w:hint="eastAsia"/>
          <w:sz w:val="24"/>
        </w:rPr>
        <w:t>3、钢立柱加工：为了防止焊接过程中发生受热变形，采用先点焊后满焊的顺序，焊接时必须保证焊缝长度及高度。</w:t>
      </w:r>
    </w:p>
    <w:p>
      <w:pPr>
        <w:pStyle w:val="a3"/>
        <w:spacing w:line="360" w:lineRule="auto"/>
        <w:ind w:firstLine="480"/>
        <w:rPr>
          <w:rFonts w:ascii="宋体" w:eastAsia="宋体" w:hAnsi="宋体" w:hint="eastAsia"/>
          <w:sz w:val="24"/>
        </w:rPr>
      </w:pPr>
      <w:r>
        <w:rPr>
          <w:rFonts w:ascii="宋体" w:eastAsia="宋体" w:hAnsi="宋体" w:hint="eastAsia"/>
          <w:sz w:val="24"/>
        </w:rPr>
        <w:t>4、施工工艺流程：放样</w:t>
      </w:r>
      <w:r>
        <w:rPr>
          <w:rFonts w:ascii="宋体" w:eastAsia="宋体" w:hAnsi="宋体" w:hint="eastAsia"/>
          <w:sz w:val="24"/>
        </w:rPr>
        <w:t>→</w:t>
      </w:r>
      <w:r>
        <w:rPr>
          <w:rFonts w:ascii="宋体" w:eastAsia="宋体" w:hAnsi="宋体" w:hint="eastAsia"/>
          <w:sz w:val="24"/>
        </w:rPr>
        <w:t>埋设护筒</w:t>
      </w:r>
      <w:r>
        <w:rPr>
          <w:rFonts w:ascii="宋体" w:eastAsia="宋体" w:hAnsi="宋体" w:hint="eastAsia"/>
          <w:sz w:val="24"/>
        </w:rPr>
        <w:t>→</w:t>
      </w:r>
      <w:r>
        <w:rPr>
          <w:rFonts w:ascii="宋体" w:eastAsia="宋体" w:hAnsi="宋体" w:hint="eastAsia"/>
          <w:sz w:val="24"/>
        </w:rPr>
        <w:t>钻机就位</w:t>
      </w:r>
      <w:r>
        <w:rPr>
          <w:rFonts w:ascii="宋体" w:eastAsia="宋体" w:hAnsi="宋体" w:hint="eastAsia"/>
          <w:sz w:val="24"/>
        </w:rPr>
        <w:t>→</w:t>
      </w:r>
      <w:r>
        <w:rPr>
          <w:rFonts w:ascii="宋体" w:eastAsia="宋体" w:hAnsi="宋体" w:hint="eastAsia"/>
          <w:sz w:val="24"/>
        </w:rPr>
        <w:t>钻机钻孔</w:t>
      </w:r>
      <w:r>
        <w:rPr>
          <w:rFonts w:ascii="宋体" w:eastAsia="宋体" w:hAnsi="宋体" w:hint="eastAsia"/>
          <w:sz w:val="24"/>
        </w:rPr>
        <w:t>→</w:t>
      </w:r>
      <w:r>
        <w:rPr>
          <w:rFonts w:ascii="宋体" w:eastAsia="宋体" w:hAnsi="宋体" w:hint="eastAsia"/>
          <w:sz w:val="24"/>
        </w:rPr>
        <w:t>测量孔深、终孔</w:t>
      </w:r>
      <w:r>
        <w:rPr>
          <w:rFonts w:ascii="宋体" w:eastAsia="宋体" w:hAnsi="宋体" w:hint="eastAsia"/>
          <w:sz w:val="24"/>
        </w:rPr>
        <w:t>→</w:t>
      </w:r>
      <w:r>
        <w:rPr>
          <w:rFonts w:ascii="宋体" w:eastAsia="宋体" w:hAnsi="宋体" w:hint="eastAsia"/>
          <w:sz w:val="24"/>
        </w:rPr>
        <w:t>放下钢筋笼</w:t>
      </w:r>
      <w:r>
        <w:rPr>
          <w:rFonts w:ascii="宋体" w:eastAsia="宋体" w:hAnsi="宋体" w:hint="eastAsia"/>
          <w:sz w:val="24"/>
        </w:rPr>
        <w:t>→</w:t>
      </w:r>
      <w:r>
        <w:rPr>
          <w:rFonts w:ascii="宋体" w:eastAsia="宋体" w:hAnsi="宋体" w:hint="eastAsia"/>
          <w:sz w:val="24"/>
        </w:rPr>
        <w:t>放下钢立柱</w:t>
      </w:r>
      <w:r>
        <w:rPr>
          <w:rFonts w:ascii="宋体" w:eastAsia="宋体" w:hAnsi="宋体" w:hint="eastAsia"/>
          <w:sz w:val="24"/>
        </w:rPr>
        <w:t>→</w:t>
      </w:r>
      <w:r>
        <w:rPr>
          <w:rFonts w:ascii="宋体" w:eastAsia="宋体" w:hAnsi="宋体" w:hint="eastAsia"/>
          <w:sz w:val="24"/>
        </w:rPr>
        <w:t>下导管、清孔</w:t>
      </w:r>
      <w:r>
        <w:rPr>
          <w:rFonts w:ascii="宋体" w:eastAsia="宋体" w:hAnsi="宋体" w:hint="eastAsia"/>
          <w:sz w:val="24"/>
        </w:rPr>
        <w:t>→</w:t>
      </w:r>
      <w:r>
        <w:rPr>
          <w:rFonts w:ascii="宋体" w:eastAsia="宋体" w:hAnsi="宋体" w:hint="eastAsia"/>
          <w:sz w:val="24"/>
        </w:rPr>
        <w:t>测量沉渣</w:t>
      </w:r>
      <w:r>
        <w:rPr>
          <w:rFonts w:ascii="宋体" w:eastAsia="宋体" w:hAnsi="宋体" w:hint="eastAsia"/>
          <w:sz w:val="24"/>
        </w:rPr>
        <w:t>→</w:t>
      </w:r>
      <w:r>
        <w:rPr>
          <w:rFonts w:ascii="宋体" w:eastAsia="宋体" w:hAnsi="宋体" w:hint="eastAsia"/>
          <w:sz w:val="24"/>
        </w:rPr>
        <w:t>浇灌混凝土。</w:t>
      </w:r>
    </w:p>
    <w:p>
      <w:pPr>
        <w:pStyle w:val="a3"/>
        <w:spacing w:line="360" w:lineRule="auto"/>
        <w:ind w:firstLine="480"/>
        <w:rPr>
          <w:rFonts w:ascii="宋体" w:eastAsia="宋体" w:hAnsi="宋体" w:hint="eastAsia"/>
          <w:sz w:val="24"/>
        </w:rPr>
      </w:pPr>
      <w:r>
        <w:rPr>
          <w:rFonts w:ascii="宋体" w:eastAsia="宋体" w:hAnsi="宋体" w:hint="eastAsia"/>
          <w:sz w:val="24"/>
        </w:rPr>
        <w:t>5、施工要点：</w:t>
      </w:r>
    </w:p>
    <w:p>
      <w:pPr>
        <w:pStyle w:val="a3"/>
        <w:spacing w:line="360" w:lineRule="auto"/>
        <w:ind w:firstLine="480"/>
        <w:rPr>
          <w:rFonts w:ascii="宋体" w:eastAsia="宋体" w:hAnsi="宋体" w:hint="eastAsia"/>
          <w:sz w:val="24"/>
        </w:rPr>
      </w:pPr>
      <w:r>
        <w:rPr>
          <w:rFonts w:ascii="宋体" w:eastAsia="宋体" w:hAnsi="宋体" w:hint="eastAsia"/>
          <w:sz w:val="24"/>
        </w:rPr>
        <w:t>（1）钢格构柱与支撑桩钢筋笼通过焊接连接。</w:t>
      </w:r>
    </w:p>
    <w:p>
      <w:pPr>
        <w:pStyle w:val="a3"/>
        <w:spacing w:line="360" w:lineRule="auto"/>
        <w:ind w:firstLine="480"/>
        <w:rPr>
          <w:rFonts w:ascii="宋体" w:eastAsia="宋体" w:hAnsi="宋体" w:hint="eastAsia"/>
          <w:sz w:val="24"/>
        </w:rPr>
      </w:pPr>
      <w:r>
        <w:rPr>
          <w:rFonts w:ascii="宋体" w:eastAsia="宋体" w:hAnsi="宋体" w:hint="eastAsia"/>
          <w:sz w:val="24"/>
        </w:rPr>
        <w:t>（2）每只钢格构柱下放之前，除检查焊接质量外，均应进行复核，防止错放，为便于加工、验收和吊装施工，项目部编制钢格构柱与支撑桩相关参数一览表，施工中严格按照执行。</w:t>
      </w:r>
    </w:p>
    <w:p>
      <w:pPr>
        <w:pStyle w:val="a3"/>
        <w:spacing w:line="360" w:lineRule="auto"/>
        <w:ind w:firstLine="480"/>
        <w:rPr>
          <w:rFonts w:ascii="宋体" w:eastAsia="宋体" w:hAnsi="宋体" w:hint="eastAsia"/>
          <w:sz w:val="24"/>
        </w:rPr>
      </w:pPr>
      <w:r>
        <w:rPr>
          <w:rFonts w:ascii="宋体" w:eastAsia="宋体" w:hAnsi="宋体" w:hint="eastAsia"/>
          <w:sz w:val="24"/>
        </w:rPr>
        <w:t>（3）认真计算吊筋长度，严格控制桩顶安装标高。</w:t>
      </w:r>
    </w:p>
    <w:p>
      <w:pPr>
        <w:pStyle w:val="a3"/>
        <w:spacing w:line="360" w:lineRule="auto"/>
        <w:ind w:firstLine="480"/>
        <w:rPr>
          <w:rFonts w:ascii="宋体" w:eastAsia="宋体" w:hAnsi="宋体" w:hint="eastAsia"/>
          <w:sz w:val="24"/>
        </w:rPr>
        <w:sectPr>
          <w:footerReference w:type="even" r:id="rId45"/>
          <w:type w:val="nextPage"/>
          <w:pgSz w:w="11906" w:h="16838"/>
          <w:pgMar w:top="1440" w:right="1800" w:bottom="1440" w:left="1800" w:header="851" w:footer="992" w:gutter="0"/>
          <w:pgNumType w:start="31"/>
          <w:cols w:space="708"/>
          <w:titlePg w:val="0"/>
          <w:docGrid w:type="lines" w:linePitch="312"/>
        </w:sectPr>
      </w:pPr>
    </w:p>
    <w:p>
      <w:pPr>
        <w:pStyle w:val="a3"/>
        <w:spacing w:line="360" w:lineRule="auto"/>
        <w:ind w:firstLine="480"/>
        <w:rPr>
          <w:rFonts w:ascii="宋体" w:eastAsia="宋体" w:hAnsi="宋体" w:hint="eastAsia"/>
          <w:sz w:val="24"/>
        </w:rPr>
      </w:pPr>
      <w:r>
        <w:rPr>
          <w:rFonts w:ascii="宋体" w:eastAsia="宋体" w:hAnsi="宋体" w:hint="eastAsia"/>
          <w:sz w:val="24"/>
        </w:rPr>
        <w:t>6、支撑桩在底板钢筋绑扎以前应根据所在位置不同，分别人工剔除至设计标高（底板或承台标高以上100㎜）；钢格构柱内的混凝土需要人工凿除干净（此时钢格构柱已经受力，禁止为凿除混凝土而割断格构柱的缀板），在承台或底板的中部每根角钢上加焊5㎜厚止水钢板，见</w:t>
      </w:r>
      <w:r>
        <w:rPr>
          <w:rFonts w:ascii="宋体" w:eastAsia="宋体" w:hAnsi="宋体" w:hint="eastAsia"/>
          <w:sz w:val="24"/>
        </w:rPr>
        <w:t>“</w:t>
      </w:r>
      <w:r>
        <w:rPr>
          <w:rFonts w:ascii="宋体" w:eastAsia="宋体" w:hAnsi="宋体" w:hint="eastAsia"/>
          <w:sz w:val="24"/>
        </w:rPr>
        <w:t>基护-11</w:t>
      </w:r>
      <w:r>
        <w:rPr>
          <w:rFonts w:ascii="宋体" w:eastAsia="宋体" w:hAnsi="宋体" w:hint="eastAsia"/>
          <w:sz w:val="24"/>
        </w:rPr>
        <w:t>”</w:t>
      </w:r>
      <w:r>
        <w:rPr>
          <w:rFonts w:ascii="宋体" w:eastAsia="宋体" w:hAnsi="宋体" w:hint="eastAsia"/>
          <w:sz w:val="24"/>
        </w:rPr>
        <w:t>。</w:t>
      </w:r>
    </w:p>
    <w:p>
      <w:pPr>
        <w:pStyle w:val="a3"/>
        <w:spacing w:line="360" w:lineRule="auto"/>
        <w:ind w:firstLine="600" w:firstLineChars="250"/>
        <w:rPr>
          <w:rFonts w:ascii="宋体" w:eastAsia="宋体" w:hAnsi="宋体" w:hint="eastAsia"/>
          <w:sz w:val="24"/>
        </w:rPr>
      </w:pPr>
      <w:r>
        <w:rPr>
          <w:rFonts w:ascii="宋体" w:eastAsia="宋体" w:hAnsi="宋体" w:hint="eastAsia"/>
          <w:sz w:val="24"/>
        </w:rPr>
        <w:t>（二)、冠梁及水平支撑梁的施工</w:t>
      </w:r>
    </w:p>
    <w:p>
      <w:pPr>
        <w:pStyle w:val="a3"/>
        <w:spacing w:line="360" w:lineRule="auto"/>
        <w:ind w:firstLine="600" w:firstLineChars="250"/>
        <w:rPr>
          <w:rFonts w:ascii="宋体" w:eastAsia="宋体" w:hAnsi="宋体" w:hint="eastAsia"/>
          <w:sz w:val="24"/>
        </w:rPr>
      </w:pPr>
      <w:r>
        <w:rPr>
          <w:rFonts w:ascii="宋体" w:eastAsia="宋体" w:hAnsi="宋体" w:hint="eastAsia"/>
          <w:sz w:val="24"/>
        </w:rPr>
        <w:t>1、施工顺序：</w:t>
      </w:r>
    </w:p>
    <w:p>
      <w:pPr>
        <w:pStyle w:val="a3"/>
        <w:spacing w:line="360" w:lineRule="auto"/>
        <w:ind w:firstLine="480"/>
        <w:rPr>
          <w:rFonts w:ascii="宋体" w:eastAsia="宋体" w:hAnsi="宋体" w:hint="eastAsia"/>
          <w:sz w:val="24"/>
        </w:rPr>
      </w:pPr>
      <w:r>
        <w:rPr>
          <w:rFonts w:ascii="宋体" w:eastAsia="宋体" w:hAnsi="宋体" w:hint="eastAsia"/>
          <w:sz w:val="24"/>
        </w:rPr>
        <w:t>（1）修边清土，人工凿除围护桩顶加灌部位的混凝土，清理钢支柱，浇筑混凝土垫层，放线定位；</w:t>
      </w:r>
    </w:p>
    <w:p>
      <w:pPr>
        <w:pStyle w:val="a3"/>
        <w:spacing w:line="360" w:lineRule="auto"/>
        <w:ind w:firstLine="480"/>
        <w:rPr>
          <w:rFonts w:ascii="宋体" w:eastAsia="宋体" w:hAnsi="宋体" w:hint="eastAsia"/>
          <w:sz w:val="24"/>
        </w:rPr>
      </w:pPr>
      <w:r>
        <w:rPr>
          <w:rFonts w:ascii="宋体" w:eastAsia="宋体" w:hAnsi="宋体" w:hint="eastAsia"/>
          <w:sz w:val="24"/>
        </w:rPr>
        <w:t>（2）绑扎支撑梁钢筋</w:t>
      </w:r>
      <w:r>
        <w:rPr>
          <w:rFonts w:ascii="宋体" w:eastAsia="宋体" w:hAnsi="宋体" w:hint="eastAsia"/>
          <w:sz w:val="24"/>
        </w:rPr>
        <w:t>→</w:t>
      </w:r>
      <w:r>
        <w:rPr>
          <w:rFonts w:ascii="宋体" w:eastAsia="宋体" w:hAnsi="宋体" w:hint="eastAsia"/>
          <w:sz w:val="24"/>
        </w:rPr>
        <w:t>立模板</w:t>
      </w:r>
      <w:r>
        <w:rPr>
          <w:rFonts w:ascii="宋体" w:eastAsia="宋体" w:hAnsi="宋体" w:hint="eastAsia"/>
          <w:sz w:val="24"/>
        </w:rPr>
        <w:t>→</w:t>
      </w:r>
      <w:r>
        <w:rPr>
          <w:rFonts w:ascii="宋体" w:eastAsia="宋体" w:hAnsi="宋体" w:hint="eastAsia"/>
          <w:sz w:val="24"/>
        </w:rPr>
        <w:t>围护监测单位安放支撑变形监测控制点；</w:t>
      </w:r>
    </w:p>
    <w:p>
      <w:pPr>
        <w:pStyle w:val="a3"/>
        <w:spacing w:line="360" w:lineRule="auto"/>
        <w:ind w:firstLine="480"/>
        <w:rPr>
          <w:rFonts w:ascii="宋体" w:eastAsia="宋体" w:hAnsi="宋体" w:hint="eastAsia"/>
          <w:sz w:val="24"/>
        </w:rPr>
      </w:pPr>
      <w:r>
        <w:rPr>
          <w:rFonts w:ascii="宋体" w:eastAsia="宋体" w:hAnsi="宋体" w:hint="eastAsia"/>
          <w:sz w:val="24"/>
        </w:rPr>
        <w:t>（3）验收</w:t>
      </w:r>
      <w:r>
        <w:rPr>
          <w:rFonts w:ascii="宋体" w:eastAsia="宋体" w:hAnsi="宋体" w:hint="eastAsia"/>
          <w:sz w:val="24"/>
        </w:rPr>
        <w:t>→</w:t>
      </w:r>
      <w:r>
        <w:rPr>
          <w:rFonts w:ascii="宋体" w:eastAsia="宋体" w:hAnsi="宋体" w:hint="eastAsia"/>
          <w:sz w:val="24"/>
        </w:rPr>
        <w:t>浇筑混凝土</w:t>
      </w:r>
      <w:r>
        <w:rPr>
          <w:rFonts w:ascii="宋体" w:eastAsia="宋体" w:hAnsi="宋体" w:hint="eastAsia"/>
          <w:sz w:val="24"/>
        </w:rPr>
        <w:t>→</w:t>
      </w:r>
      <w:r>
        <w:rPr>
          <w:rFonts w:ascii="宋体" w:eastAsia="宋体" w:hAnsi="宋体" w:hint="eastAsia"/>
          <w:sz w:val="24"/>
        </w:rPr>
        <w:t>按照规定养护。</w:t>
      </w:r>
    </w:p>
    <w:p>
      <w:pPr>
        <w:pStyle w:val="a3"/>
        <w:spacing w:line="360" w:lineRule="auto"/>
        <w:ind w:firstLine="480"/>
        <w:rPr>
          <w:rFonts w:ascii="宋体" w:eastAsia="宋体" w:hAnsi="宋体" w:hint="eastAsia"/>
          <w:sz w:val="24"/>
        </w:rPr>
      </w:pPr>
      <w:r>
        <w:rPr>
          <w:rFonts w:ascii="宋体" w:eastAsia="宋体" w:hAnsi="宋体" w:hint="eastAsia"/>
          <w:sz w:val="24"/>
        </w:rPr>
        <w:t>2、对混凝土施工的要求：</w:t>
      </w:r>
    </w:p>
    <w:p>
      <w:pPr>
        <w:pStyle w:val="a3"/>
        <w:spacing w:line="360" w:lineRule="auto"/>
        <w:ind w:firstLine="480"/>
        <w:rPr>
          <w:rFonts w:ascii="宋体" w:eastAsia="宋体" w:hAnsi="宋体" w:hint="eastAsia"/>
          <w:sz w:val="24"/>
        </w:rPr>
      </w:pPr>
      <w:r>
        <w:rPr>
          <w:rFonts w:ascii="宋体" w:eastAsia="宋体" w:hAnsi="宋体" w:hint="eastAsia"/>
          <w:sz w:val="24"/>
        </w:rPr>
        <w:t>（1）围护桩伸入冠梁内100㎜，围护桩主筋伸入冠梁内35d（d-钢筋直径）；</w:t>
      </w:r>
    </w:p>
    <w:p>
      <w:pPr>
        <w:pStyle w:val="a3"/>
        <w:spacing w:line="360" w:lineRule="auto"/>
        <w:ind w:firstLine="480"/>
        <w:rPr>
          <w:rFonts w:ascii="宋体" w:eastAsia="宋体" w:hAnsi="宋体" w:hint="eastAsia"/>
          <w:sz w:val="24"/>
        </w:rPr>
      </w:pPr>
      <w:r>
        <w:rPr>
          <w:rFonts w:ascii="宋体" w:eastAsia="宋体" w:hAnsi="宋体" w:hint="eastAsia"/>
          <w:sz w:val="24"/>
        </w:rPr>
        <w:t>（2）垫层施工：将支撑部位的土方整平到设计标高-2.82米（以GL3为例：冠梁顶标高-2.0米+冠梁高度0.75米+20㎜厚水泥砂浆找平层+50㎜后卵石层=-2.82米），铺50㎜卵石层</w:t>
      </w:r>
      <w:r>
        <w:rPr>
          <w:rFonts w:ascii="宋体" w:eastAsia="宋体" w:hAnsi="宋体" w:hint="eastAsia"/>
          <w:sz w:val="24"/>
        </w:rPr>
        <w:t>→</w:t>
      </w:r>
      <w:r>
        <w:rPr>
          <w:rFonts w:ascii="宋体" w:eastAsia="宋体" w:hAnsi="宋体" w:hint="eastAsia"/>
          <w:sz w:val="24"/>
        </w:rPr>
        <w:t>20㎜厚1：2水泥砂浆</w:t>
      </w:r>
      <w:r>
        <w:rPr>
          <w:rFonts w:ascii="宋体" w:eastAsia="宋体" w:hAnsi="宋体" w:hint="eastAsia"/>
          <w:sz w:val="24"/>
        </w:rPr>
        <w:t>→</w:t>
      </w:r>
      <w:r>
        <w:rPr>
          <w:rFonts w:ascii="宋体" w:eastAsia="宋体" w:hAnsi="宋体" w:hint="eastAsia"/>
          <w:sz w:val="24"/>
        </w:rPr>
        <w:t>铺1道油毡隔离层，其中卵石层及砂浆层均比梁底每边宽出100㎜（卵石层及砂浆层在土方开挖后及时清理干净防止落下伤人）。</w:t>
      </w:r>
    </w:p>
    <w:p>
      <w:pPr>
        <w:pStyle w:val="a3"/>
        <w:spacing w:line="360" w:lineRule="auto"/>
        <w:ind w:firstLine="480"/>
        <w:rPr>
          <w:rFonts w:ascii="宋体" w:eastAsia="宋体" w:hAnsi="宋体" w:hint="eastAsia"/>
          <w:sz w:val="24"/>
        </w:rPr>
      </w:pPr>
      <w:r>
        <w:rPr>
          <w:rFonts w:ascii="宋体" w:eastAsia="宋体" w:hAnsi="宋体" w:hint="eastAsia"/>
          <w:sz w:val="24"/>
        </w:rPr>
        <w:t>（3）支撑梁钢筋提前加工，钢筋分段制作，钢筋连接采用气压焊连接；钢筋绑扎必须特别注意冠梁与冠梁节点、冠梁与立柱交接部位的构造加强</w:t>
      </w:r>
      <w:r>
        <w:rPr>
          <w:rFonts w:ascii="宋体" w:eastAsia="宋体" w:hAnsi="宋体" w:hint="eastAsia"/>
          <w:sz w:val="24"/>
        </w:rPr>
        <w:t>“</w:t>
      </w:r>
      <w:r>
        <w:rPr>
          <w:rFonts w:ascii="宋体" w:eastAsia="宋体" w:hAnsi="宋体" w:hint="eastAsia"/>
          <w:sz w:val="24"/>
        </w:rPr>
        <w:t>见基护-10</w:t>
      </w:r>
      <w:r>
        <w:rPr>
          <w:rFonts w:ascii="宋体" w:eastAsia="宋体" w:hAnsi="宋体" w:hint="eastAsia"/>
          <w:sz w:val="24"/>
        </w:rPr>
        <w:t>”</w:t>
      </w:r>
    </w:p>
    <w:p>
      <w:pPr>
        <w:pStyle w:val="a3"/>
        <w:spacing w:line="360" w:lineRule="auto"/>
        <w:ind w:firstLine="480"/>
        <w:rPr>
          <w:rFonts w:ascii="宋体" w:eastAsia="宋体" w:hAnsi="宋体" w:hint="eastAsia"/>
          <w:sz w:val="24"/>
        </w:rPr>
      </w:pPr>
      <w:r>
        <w:rPr>
          <w:rFonts w:ascii="宋体" w:eastAsia="宋体" w:hAnsi="宋体" w:hint="eastAsia"/>
          <w:sz w:val="24"/>
        </w:rPr>
        <w:t>；钢筋绑扎过程中及时配合专业监测单位的监测点预奈工作，当支撑梁钢筋遇到立柱采用立柱扩孔通过的方式。</w:t>
      </w:r>
    </w:p>
    <w:p>
      <w:pPr>
        <w:pStyle w:val="a3"/>
        <w:spacing w:line="360" w:lineRule="auto"/>
        <w:ind w:firstLine="480"/>
        <w:rPr>
          <w:rFonts w:ascii="宋体" w:eastAsia="宋体" w:hAnsi="宋体" w:hint="eastAsia"/>
          <w:sz w:val="24"/>
        </w:rPr>
      </w:pPr>
      <w:r>
        <w:rPr>
          <w:rFonts w:ascii="宋体" w:eastAsia="宋体" w:hAnsi="宋体" w:hint="eastAsia"/>
          <w:sz w:val="24"/>
        </w:rPr>
        <w:t>（4）混凝土浇筑施工：钢筋、预埋等验收合格后浇注C30砼，填加适量膨胀剂，混凝土的垂直及水平运输主要以塔吊为主，人力车为辅助，混凝土浇筑前在支撑梁侧边搭设运输通道，高度比支撑梁高出300㎜，宽度1500㎜，中间设转弯平台，同时在基坑南北侧分别用模板钉300*500断面的滑槽，滑槽下搭设临时钢管支架，滑槽最下端用钢管搭设5000*5000操作平台，高度同运输通道高度，混凝土支撑梁从中间向两端同时浇筑，2台震动泵同时震捣。</w:t>
      </w:r>
    </w:p>
    <w:p>
      <w:pPr>
        <w:pStyle w:val="a3"/>
        <w:spacing w:line="360" w:lineRule="auto"/>
        <w:ind w:firstLine="480"/>
        <w:rPr>
          <w:rFonts w:ascii="宋体" w:eastAsia="宋体" w:hAnsi="宋体" w:hint="eastAsia"/>
          <w:sz w:val="24"/>
        </w:rPr>
        <w:sectPr>
          <w:footerReference w:type="even" r:id="rId46"/>
          <w:type w:val="nextPage"/>
          <w:pgSz w:w="11906" w:h="16838"/>
          <w:pgMar w:top="1440" w:right="1800" w:bottom="1440" w:left="1800" w:header="851" w:footer="992" w:gutter="0"/>
          <w:pgNumType w:start="32"/>
          <w:cols w:space="708"/>
          <w:titlePg w:val="0"/>
          <w:docGrid w:type="lines" w:linePitch="312"/>
        </w:sectPr>
      </w:pPr>
      <w:r>
        <w:rPr>
          <w:rFonts w:ascii="宋体" w:eastAsia="宋体" w:hAnsi="宋体" w:hint="eastAsia"/>
          <w:sz w:val="24"/>
        </w:rPr>
        <w:t>（5）混凝土浇筑10小时后覆盖草袋浇水养护，根据同条件试块强度检测报告，达到90%设计强度后方可开挖下层土方。</w:t>
      </w:r>
    </w:p>
    <w:p>
      <w:pPr>
        <w:pStyle w:val="a3"/>
        <w:spacing w:line="360" w:lineRule="auto"/>
        <w:ind w:firstLine="480"/>
        <w:rPr>
          <w:rFonts w:ascii="宋体" w:eastAsia="宋体" w:hAnsi="宋体" w:hint="eastAsia"/>
          <w:sz w:val="24"/>
        </w:rPr>
      </w:pPr>
      <w:r>
        <w:rPr>
          <w:rFonts w:ascii="宋体" w:eastAsia="宋体" w:hAnsi="宋体" w:hint="eastAsia"/>
          <w:sz w:val="24"/>
        </w:rPr>
        <w:t>3、腰梁施工：</w:t>
      </w:r>
    </w:p>
    <w:p>
      <w:pPr>
        <w:pStyle w:val="a3"/>
        <w:spacing w:line="360" w:lineRule="auto"/>
        <w:ind w:firstLine="480"/>
        <w:rPr>
          <w:rFonts w:ascii="宋体" w:eastAsia="宋体" w:hAnsi="宋体" w:hint="eastAsia"/>
          <w:sz w:val="24"/>
        </w:rPr>
      </w:pPr>
      <w:r>
        <w:rPr>
          <w:rFonts w:ascii="宋体" w:eastAsia="宋体" w:hAnsi="宋体" w:hint="eastAsia"/>
          <w:sz w:val="24"/>
        </w:rPr>
        <w:t>（1）挖土至腰梁底部以下7㎝处，清土修边，浇筑砼垫层。</w:t>
      </w:r>
    </w:p>
    <w:p>
      <w:pPr>
        <w:pStyle w:val="a3"/>
        <w:spacing w:line="360" w:lineRule="auto"/>
        <w:ind w:firstLine="480"/>
        <w:rPr>
          <w:rFonts w:ascii="宋体" w:eastAsia="宋体" w:hAnsi="宋体" w:hint="eastAsia"/>
          <w:sz w:val="24"/>
        </w:rPr>
      </w:pPr>
      <w:r>
        <w:rPr>
          <w:rFonts w:ascii="宋体" w:eastAsia="宋体" w:hAnsi="宋体" w:hint="eastAsia"/>
          <w:sz w:val="24"/>
        </w:rPr>
        <w:t>（2）围护桩与腰梁交接部位必须彻底清理干净。</w:t>
      </w:r>
    </w:p>
    <w:p>
      <w:pPr>
        <w:pStyle w:val="a3"/>
        <w:spacing w:line="360" w:lineRule="auto"/>
        <w:ind w:firstLine="480"/>
        <w:rPr>
          <w:rFonts w:ascii="宋体" w:eastAsia="宋体" w:hAnsi="宋体" w:hint="eastAsia"/>
          <w:sz w:val="24"/>
        </w:rPr>
      </w:pPr>
      <w:r>
        <w:rPr>
          <w:rFonts w:ascii="宋体" w:eastAsia="宋体" w:hAnsi="宋体" w:hint="eastAsia"/>
          <w:sz w:val="24"/>
        </w:rPr>
        <w:t>（3）围护桩每间隔1根桩凿出桩上的混凝土漏出2根主筋与腰梁的主筋通过L形钢筋焊接，焊缝长度</w:t>
      </w:r>
      <w:r>
        <w:rPr>
          <w:rFonts w:ascii="宋体" w:eastAsia="宋体" w:hAnsi="宋体" w:hint="eastAsia"/>
          <w:sz w:val="24"/>
        </w:rPr>
        <w:t>≥</w:t>
      </w:r>
      <w:r>
        <w:rPr>
          <w:rFonts w:ascii="宋体" w:eastAsia="宋体" w:hAnsi="宋体" w:hint="eastAsia"/>
          <w:sz w:val="24"/>
        </w:rPr>
        <w:t>220。</w:t>
      </w:r>
    </w:p>
    <w:p>
      <w:pPr>
        <w:pStyle w:val="a3"/>
        <w:spacing w:line="360" w:lineRule="auto"/>
        <w:ind w:firstLine="480"/>
        <w:rPr>
          <w:rFonts w:ascii="宋体" w:eastAsia="宋体" w:hAnsi="宋体" w:hint="eastAsia"/>
          <w:sz w:val="24"/>
        </w:rPr>
      </w:pPr>
      <w:r>
        <w:rPr>
          <w:rFonts w:ascii="宋体" w:eastAsia="宋体" w:hAnsi="宋体" w:hint="eastAsia"/>
          <w:sz w:val="24"/>
        </w:rPr>
        <w:t>（4）其它参照冠梁施工。</w:t>
      </w:r>
    </w:p>
    <w:p>
      <w:pPr>
        <w:pStyle w:val="a3"/>
        <w:spacing w:line="360" w:lineRule="auto"/>
        <w:ind w:firstLine="480"/>
        <w:rPr>
          <w:rFonts w:ascii="宋体" w:eastAsia="宋体" w:hAnsi="宋体" w:hint="eastAsia"/>
          <w:color w:val="000000"/>
          <w:sz w:val="24"/>
        </w:rPr>
      </w:pPr>
      <w:r>
        <w:rPr>
          <w:rFonts w:ascii="宋体" w:eastAsia="宋体" w:hAnsi="宋体" w:hint="eastAsia"/>
          <w:color w:val="000000"/>
          <w:sz w:val="24"/>
        </w:rPr>
        <w:t>4、换撑传力带施工</w:t>
      </w:r>
    </w:p>
    <w:p>
      <w:pPr>
        <w:pStyle w:val="a3"/>
        <w:spacing w:line="360" w:lineRule="auto"/>
        <w:ind w:firstLine="480"/>
        <w:rPr>
          <w:rFonts w:ascii="宋体" w:eastAsia="宋体" w:hAnsi="宋体" w:hint="eastAsia"/>
          <w:color w:val="000000"/>
          <w:sz w:val="24"/>
        </w:rPr>
      </w:pPr>
      <w:r>
        <w:rPr>
          <w:rFonts w:ascii="宋体" w:eastAsia="宋体" w:hAnsi="宋体" w:hint="eastAsia"/>
          <w:color w:val="000000"/>
          <w:sz w:val="24"/>
        </w:rPr>
        <w:t>土方开挖至基底标高后，基础加紧施工。与围护桩间的空隙用素土夯实，底板浇注好后，在底板、围护桩间做一层C20素砼形成换撑构件（与底板同时浇筑时与底板同标号）。施工时，应保证达到设计要求的尺寸，同时加强养护。</w:t>
      </w:r>
    </w:p>
    <w:p>
      <w:pPr>
        <w:pStyle w:val="a3"/>
        <w:spacing w:line="360" w:lineRule="auto"/>
        <w:ind w:firstLine="480"/>
        <w:rPr>
          <w:rFonts w:ascii="宋体" w:eastAsia="宋体" w:hAnsi="宋体" w:hint="eastAsia"/>
          <w:sz w:val="24"/>
        </w:rPr>
      </w:pPr>
      <w:r>
        <w:rPr>
          <w:rFonts w:ascii="宋体" w:eastAsia="宋体" w:hAnsi="宋体" w:hint="eastAsia"/>
          <w:sz w:val="24"/>
        </w:rPr>
        <w:t>（三)、支撑梁的拆除施工：</w:t>
      </w:r>
    </w:p>
    <w:p>
      <w:pPr>
        <w:pStyle w:val="a3"/>
        <w:spacing w:line="360" w:lineRule="auto"/>
        <w:ind w:firstLine="480"/>
        <w:rPr>
          <w:rFonts w:ascii="宋体" w:eastAsia="宋体" w:hAnsi="宋体" w:hint="eastAsia"/>
          <w:sz w:val="24"/>
        </w:rPr>
      </w:pPr>
      <w:r>
        <w:rPr>
          <w:rFonts w:ascii="宋体" w:eastAsia="宋体" w:hAnsi="宋体" w:hint="eastAsia"/>
          <w:sz w:val="24"/>
        </w:rPr>
        <w:t>待地下室底板及换撑构件达到80%设计强度后，拆除支撑；支撑应采用人工凿除，先凿除联系梁，后凿除主撑，凿除支撑时应对称的进行。</w:t>
      </w:r>
    </w:p>
    <w:p>
      <w:pPr>
        <w:pStyle w:val="a3"/>
        <w:spacing w:line="360" w:lineRule="auto"/>
        <w:ind w:firstLine="480"/>
        <w:rPr>
          <w:rFonts w:ascii="宋体" w:eastAsia="宋体" w:hAnsi="宋体" w:hint="eastAsia"/>
          <w:sz w:val="24"/>
        </w:rPr>
      </w:pPr>
      <w:r>
        <w:rPr>
          <w:rFonts w:ascii="宋体" w:eastAsia="宋体" w:hAnsi="宋体" w:hint="eastAsia"/>
          <w:sz w:val="24"/>
        </w:rPr>
        <w:t>1、考虑整个基坑支护的整体性，先按照顺序破除全部角部支撑，十字梁待整个地下室底板全部施工完毕，等底板和换撑带达到设计强度后在按照顺序拆除。</w:t>
      </w:r>
    </w:p>
    <w:p>
      <w:pPr>
        <w:pStyle w:val="a3"/>
        <w:spacing w:line="360" w:lineRule="auto"/>
        <w:ind w:firstLine="480"/>
        <w:rPr>
          <w:rFonts w:ascii="宋体" w:eastAsia="宋体" w:hAnsi="宋体" w:hint="eastAsia"/>
          <w:sz w:val="24"/>
        </w:rPr>
      </w:pPr>
      <w:r>
        <w:rPr>
          <w:rFonts w:ascii="宋体" w:eastAsia="宋体" w:hAnsi="宋体" w:hint="eastAsia"/>
          <w:sz w:val="24"/>
        </w:rPr>
        <w:t>2、拆除支撑部位顺序：支撑次梁</w:t>
      </w:r>
      <w:r>
        <w:rPr>
          <w:rFonts w:ascii="宋体" w:eastAsia="宋体" w:hAnsi="宋体" w:hint="eastAsia"/>
          <w:sz w:val="24"/>
        </w:rPr>
        <w:t>→</w:t>
      </w:r>
      <w:r>
        <w:rPr>
          <w:rFonts w:ascii="宋体" w:eastAsia="宋体" w:hAnsi="宋体" w:hint="eastAsia"/>
          <w:sz w:val="24"/>
        </w:rPr>
        <w:t>支撑主梁</w:t>
      </w:r>
      <w:r>
        <w:rPr>
          <w:rFonts w:ascii="宋体" w:eastAsia="宋体" w:hAnsi="宋体" w:hint="eastAsia"/>
          <w:sz w:val="24"/>
        </w:rPr>
        <w:t>→</w:t>
      </w:r>
      <w:r>
        <w:rPr>
          <w:rFonts w:ascii="宋体" w:eastAsia="宋体" w:hAnsi="宋体" w:hint="eastAsia"/>
          <w:sz w:val="24"/>
        </w:rPr>
        <w:t>钢立柱顶部梁</w:t>
      </w:r>
      <w:r>
        <w:rPr>
          <w:rFonts w:ascii="宋体" w:eastAsia="宋体" w:hAnsi="宋体" w:hint="eastAsia"/>
          <w:sz w:val="24"/>
        </w:rPr>
        <w:t>→</w:t>
      </w:r>
      <w:r>
        <w:rPr>
          <w:rFonts w:ascii="宋体" w:eastAsia="宋体" w:hAnsi="宋体" w:hint="eastAsia"/>
          <w:sz w:val="24"/>
        </w:rPr>
        <w:t>清理。拆除前将支撑梁进行编号，有专人负责指挥，严格按照拆除编号拆除。拆除施工：先用空气压缩机将水平支撑梁上部砼凿除，漏出梁上部钢筋，用气割将上皮钢筋割断清理掉，在从跨中用风钻头向两端钻孔并凿除砼，待该跨梁砼全部凿除，在用气割将下皮钢筋割掉清理干净，支撑梁必须逐根拆除，不得同时全部拆除。</w:t>
      </w:r>
    </w:p>
    <w:p>
      <w:pPr>
        <w:pStyle w:val="a3"/>
        <w:spacing w:line="360" w:lineRule="auto"/>
        <w:ind w:firstLine="480"/>
        <w:rPr>
          <w:rFonts w:ascii="宋体" w:eastAsia="宋体" w:hAnsi="宋体" w:hint="eastAsia"/>
          <w:sz w:val="24"/>
        </w:rPr>
      </w:pPr>
      <w:r>
        <w:rPr>
          <w:rFonts w:ascii="宋体" w:eastAsia="宋体" w:hAnsi="宋体" w:hint="eastAsia"/>
          <w:sz w:val="24"/>
        </w:rPr>
        <w:t>3、注意事项：</w:t>
      </w:r>
    </w:p>
    <w:p>
      <w:pPr>
        <w:pStyle w:val="a3"/>
        <w:spacing w:line="360" w:lineRule="auto"/>
        <w:ind w:firstLine="480"/>
        <w:rPr>
          <w:rFonts w:ascii="宋体" w:eastAsia="宋体" w:hAnsi="宋体" w:hint="eastAsia"/>
          <w:sz w:val="24"/>
        </w:rPr>
      </w:pPr>
      <w:r>
        <w:rPr>
          <w:rFonts w:ascii="宋体" w:eastAsia="宋体" w:hAnsi="宋体" w:hint="eastAsia"/>
          <w:sz w:val="24"/>
        </w:rPr>
        <w:t>（1）凿除的支撑梁砼块不得大于</w:t>
      </w:r>
      <w:r>
        <w:rPr>
          <w:rFonts w:ascii="宋体" w:eastAsia="宋体" w:hAnsi="宋体" w:hint="eastAsia"/>
          <w:sz w:val="24"/>
          <w:lang w:eastAsia="zh-CN"/>
        </w:rPr>
        <w:t>201</w:t>
      </w:r>
      <w:r>
        <w:rPr>
          <w:rFonts w:ascii="宋体" w:eastAsia="宋体" w:hAnsi="宋体" w:hint="eastAsia"/>
          <w:sz w:val="24"/>
        </w:rPr>
        <w:t>㎜，当支撑梁下部有墙柱插筋时，砼块不得大于100㎜，同时要在支撑梁下部搭设搭设简易钢管赶紧支架，铺设适量的模板（竹板），避免砼块直接落下损伤底板。</w:t>
      </w:r>
    </w:p>
    <w:p>
      <w:pPr>
        <w:pStyle w:val="a3"/>
        <w:spacing w:line="360" w:lineRule="auto"/>
        <w:ind w:firstLine="480"/>
        <w:rPr>
          <w:rFonts w:ascii="宋体" w:eastAsia="宋体" w:hAnsi="宋体" w:hint="eastAsia"/>
          <w:sz w:val="24"/>
        </w:rPr>
      </w:pPr>
      <w:r>
        <w:rPr>
          <w:rFonts w:ascii="宋体" w:eastAsia="宋体" w:hAnsi="宋体" w:hint="eastAsia"/>
          <w:sz w:val="24"/>
        </w:rPr>
        <w:t>（2）支撑梁拆除过程中，监测单位要加强对基坑周边变形的监测，增加检测次数，检测的结果及时报送相关单位，若发现沉降、位移超过设计要求时，必须立即停止拆除工作，会同有关单位现场查看分析原因，采取必要的处理措施。</w:t>
      </w:r>
    </w:p>
    <w:p>
      <w:pPr>
        <w:spacing w:line="360" w:lineRule="auto"/>
        <w:rPr>
          <w:rFonts w:hint="eastAsia"/>
          <w:color w:val="000000"/>
          <w:sz w:val="24"/>
        </w:rPr>
        <w:sectPr>
          <w:footerReference w:type="even" r:id="rId47"/>
          <w:type w:val="nextPage"/>
          <w:pgSz w:w="11906" w:h="16838"/>
          <w:pgMar w:top="1440" w:right="1800" w:bottom="1440" w:left="1800" w:header="851" w:footer="992" w:gutter="0"/>
          <w:pgNumType w:start="33"/>
          <w:cols w:space="708"/>
          <w:titlePg w:val="0"/>
          <w:docGrid w:type="lines" w:linePitch="312"/>
        </w:sectPr>
      </w:pPr>
      <w:r>
        <w:rPr>
          <w:rFonts w:hint="eastAsia"/>
          <w:color w:val="000000"/>
          <w:sz w:val="24"/>
        </w:rPr>
        <w:t xml:space="preserve">    </w:t>
      </w:r>
      <w:r>
        <w:rPr>
          <w:rFonts w:ascii="宋体" w:hAnsi="宋体" w:hint="eastAsia"/>
          <w:sz w:val="24"/>
        </w:rPr>
        <w:t>（3）支撑梁凿除应该注意保证安全，不得垂直交叉施工。支撑梁凿除应该支设支模架，确保施工安全。</w:t>
      </w:r>
    </w:p>
    <w:p>
      <w:pPr>
        <w:pStyle w:val="222XW"/>
        <w:spacing w:line="480" w:lineRule="auto"/>
        <w:ind w:firstLine="588" w:firstLineChars="245"/>
        <w:rPr>
          <w:rFonts w:hint="eastAsia"/>
        </w:rPr>
      </w:pPr>
      <w:bookmarkStart w:id="64" w:name="_Toc306698536"/>
      <w:r>
        <w:rPr>
          <w:rFonts w:hint="eastAsia"/>
        </w:rPr>
        <w:t>第二节   土方开挖及回填施工方案</w:t>
      </w:r>
      <w:bookmarkEnd w:id="64"/>
    </w:p>
    <w:p>
      <w:pPr>
        <w:pStyle w:val="a3"/>
        <w:spacing w:line="360" w:lineRule="auto"/>
        <w:ind w:firstLine="480"/>
        <w:rPr>
          <w:rFonts w:ascii="宋体" w:eastAsia="宋体" w:hAnsi="宋体" w:hint="eastAsia"/>
          <w:sz w:val="24"/>
        </w:rPr>
      </w:pPr>
      <w:r>
        <w:rPr>
          <w:rFonts w:ascii="宋体" w:eastAsia="宋体" w:hAnsi="宋体" w:hint="eastAsia"/>
          <w:sz w:val="24"/>
        </w:rPr>
        <w:t>本工程地下室开挖面积约6</w:t>
      </w:r>
      <w:r>
        <w:rPr>
          <w:rFonts w:ascii="宋体" w:eastAsia="宋体" w:hAnsi="宋体" w:hint="eastAsia"/>
          <w:sz w:val="24"/>
          <w:lang w:eastAsia="zh-CN"/>
        </w:rPr>
        <w:t>201</w:t>
      </w:r>
      <w:r>
        <w:rPr>
          <w:rFonts w:ascii="宋体" w:eastAsia="宋体" w:hAnsi="宋体" w:hint="eastAsia"/>
          <w:sz w:val="24"/>
        </w:rPr>
        <w:t>㎡，场地相对标高为-1.100(考虑回填土300mm)。地下室底板垫层底标高-5.95,承台垫层底标高-6.65，开挖深度为4.85~5.55m,局部坑中坑靠近外墙处开挖深度为6.45~7.15m。总挖土方量约40000立方。</w:t>
      </w:r>
    </w:p>
    <w:p>
      <w:pPr>
        <w:pStyle w:val="a3"/>
        <w:spacing w:line="360" w:lineRule="auto"/>
        <w:ind w:firstLine="480"/>
        <w:rPr>
          <w:rFonts w:ascii="宋体" w:eastAsia="宋体" w:hAnsi="宋体" w:hint="eastAsia"/>
          <w:sz w:val="24"/>
        </w:rPr>
      </w:pPr>
      <w:r>
        <w:rPr>
          <w:rFonts w:ascii="宋体" w:eastAsia="宋体" w:hAnsi="宋体" w:hint="eastAsia"/>
          <w:sz w:val="24"/>
        </w:rPr>
        <w:t>由于工程量大，工期紧张（1区计划工期45天），开挖机械和运输车辆的投入数量是确保如期完成的硬件设施，项目部决定配备2台挖机PC</w:t>
      </w:r>
      <w:r>
        <w:rPr>
          <w:rFonts w:ascii="宋体" w:eastAsia="宋体" w:hAnsi="宋体" w:hint="eastAsia"/>
          <w:sz w:val="24"/>
          <w:lang w:eastAsia="zh-CN"/>
        </w:rPr>
        <w:t>201</w:t>
      </w:r>
      <w:r>
        <w:rPr>
          <w:rFonts w:ascii="宋体" w:eastAsia="宋体" w:hAnsi="宋体" w:hint="eastAsia"/>
          <w:sz w:val="24"/>
        </w:rPr>
        <w:t>反铲挖土机，一台小挖机（集土、支撑梁下掏挖）。20吨自卸汽车15辆。</w:t>
      </w:r>
    </w:p>
    <w:p>
      <w:pPr>
        <w:pStyle w:val="a3"/>
        <w:spacing w:line="360" w:lineRule="auto"/>
        <w:ind w:firstLine="480"/>
        <w:rPr>
          <w:rFonts w:ascii="宋体" w:eastAsia="宋体" w:hAnsi="宋体" w:hint="eastAsia"/>
          <w:sz w:val="24"/>
        </w:rPr>
      </w:pPr>
      <w:r>
        <w:rPr>
          <w:rFonts w:ascii="宋体" w:eastAsia="宋体" w:hAnsi="宋体" w:hint="eastAsia"/>
          <w:sz w:val="24"/>
        </w:rPr>
        <w:t>一、土方开挖分层</w:t>
      </w:r>
    </w:p>
    <w:p>
      <w:pPr>
        <w:pStyle w:val="a3"/>
        <w:spacing w:line="360" w:lineRule="auto"/>
        <w:ind w:firstLine="480"/>
        <w:rPr>
          <w:rFonts w:ascii="宋体" w:eastAsia="宋体" w:hAnsi="宋体" w:hint="eastAsia"/>
          <w:sz w:val="24"/>
        </w:rPr>
      </w:pPr>
      <w:r>
        <w:rPr>
          <w:rFonts w:ascii="宋体" w:eastAsia="宋体" w:hAnsi="宋体" w:hint="eastAsia"/>
          <w:sz w:val="24"/>
        </w:rPr>
        <w:t>挖土前做好测量工作，观察毗邻建筑物是否有陈旧裂缝，并做好＋1.5m标高等原始记录，邻近道路也相应做好变形、标高等记录。土方开挖遵循</w:t>
      </w:r>
      <w:r>
        <w:rPr>
          <w:rFonts w:ascii="宋体" w:eastAsia="宋体" w:hAnsi="宋体" w:hint="eastAsia"/>
          <w:sz w:val="24"/>
        </w:rPr>
        <w:t>“</w:t>
      </w:r>
      <w:r>
        <w:rPr>
          <w:rFonts w:ascii="宋体" w:eastAsia="宋体" w:hAnsi="宋体" w:hint="eastAsia"/>
          <w:sz w:val="24"/>
        </w:rPr>
        <w:t>时空效应</w:t>
      </w:r>
      <w:r>
        <w:rPr>
          <w:rFonts w:ascii="宋体" w:eastAsia="宋体" w:hAnsi="宋体" w:hint="eastAsia"/>
          <w:sz w:val="24"/>
        </w:rPr>
        <w:t>”</w:t>
      </w:r>
      <w:r>
        <w:rPr>
          <w:rFonts w:ascii="宋体" w:eastAsia="宋体" w:hAnsi="宋体" w:hint="eastAsia"/>
          <w:sz w:val="24"/>
        </w:rPr>
        <w:t>理论，分层分区跳挖，分块对称开挖，大基坑小开挖。</w:t>
      </w:r>
    </w:p>
    <w:p>
      <w:pPr>
        <w:pStyle w:val="a3"/>
        <w:spacing w:line="360" w:lineRule="auto"/>
        <w:ind w:firstLine="480"/>
        <w:rPr>
          <w:rFonts w:ascii="宋体" w:eastAsia="宋体" w:hAnsi="宋体" w:hint="eastAsia"/>
          <w:sz w:val="24"/>
        </w:rPr>
      </w:pPr>
      <w:r>
        <w:rPr>
          <w:rFonts w:ascii="宋体" w:eastAsia="宋体" w:hAnsi="宋体" w:hint="eastAsia"/>
          <w:sz w:val="24"/>
        </w:rPr>
        <w:t>挖土分层进行：</w:t>
      </w:r>
    </w:p>
    <w:p>
      <w:pPr>
        <w:pStyle w:val="a3"/>
        <w:spacing w:line="360" w:lineRule="auto"/>
        <w:ind w:firstLine="480"/>
        <w:rPr>
          <w:rFonts w:ascii="宋体" w:eastAsia="宋体" w:hAnsi="宋体" w:hint="eastAsia"/>
          <w:sz w:val="24"/>
        </w:rPr>
      </w:pPr>
      <w:r>
        <w:rPr>
          <w:rFonts w:ascii="宋体" w:eastAsia="宋体" w:hAnsi="宋体" w:hint="eastAsia"/>
          <w:sz w:val="24"/>
        </w:rPr>
        <w:t>1、冠梁及支撑梁部位（-2.6m以上）开挖，此段开挖后立即进行护坡作业，同时支撑梁部位由人工开挖至垫层底， 然后进行支撑梁施工。</w:t>
      </w:r>
    </w:p>
    <w:p>
      <w:pPr>
        <w:pStyle w:val="a3"/>
        <w:spacing w:line="360" w:lineRule="auto"/>
        <w:ind w:firstLine="480"/>
        <w:rPr>
          <w:rFonts w:ascii="宋体" w:eastAsia="宋体" w:hAnsi="宋体" w:hint="eastAsia"/>
          <w:sz w:val="24"/>
        </w:rPr>
      </w:pPr>
      <w:r>
        <w:rPr>
          <w:rFonts w:ascii="宋体" w:eastAsia="宋体" w:hAnsi="宋体" w:hint="eastAsia"/>
          <w:sz w:val="24"/>
        </w:rPr>
        <w:t>2、大面积开挖（-2.6m~ -5.4m），大面积开挖应该分层分段进行。本工程分为两个区，两个区进行平行施工。一区分为两个施工段，由一段开挖至基坑底50公分在开挖施工二段。临时道路塘渣应高于压顶梁、支撑梁0.5m，便于支撑梁部分机械的行走。本层深度为2.8米，分两小层开挖。</w:t>
      </w:r>
    </w:p>
    <w:p>
      <w:pPr>
        <w:pStyle w:val="a3"/>
        <w:spacing w:line="360" w:lineRule="auto"/>
        <w:ind w:firstLine="480"/>
        <w:rPr>
          <w:rFonts w:ascii="宋体" w:eastAsia="宋体" w:hAnsi="宋体" w:hint="eastAsia"/>
          <w:sz w:val="24"/>
        </w:rPr>
      </w:pPr>
      <w:r>
        <w:rPr>
          <w:rFonts w:ascii="宋体" w:eastAsia="宋体" w:hAnsi="宋体" w:hint="eastAsia"/>
          <w:sz w:val="24"/>
        </w:rPr>
        <w:t>3、人工修土（-5.4米以下），基坑开挖不允许一次挖到位，机械开挖至标高上50公分，所留土方采取人工配合塔吊进行开挖。加深部位采用小型机械开挖，并配合人工修整进行。在进行人工作业时，先做好安全防护措施。人工修土完毕，立即进行混凝土垫层浇筑。</w:t>
      </w:r>
    </w:p>
    <w:p>
      <w:pPr>
        <w:pStyle w:val="a3"/>
        <w:spacing w:line="360" w:lineRule="auto"/>
        <w:ind w:firstLine="480"/>
        <w:rPr>
          <w:rFonts w:ascii="宋体" w:eastAsia="宋体" w:hAnsi="宋体" w:hint="eastAsia"/>
          <w:sz w:val="24"/>
        </w:rPr>
      </w:pPr>
      <w:r>
        <w:rPr>
          <w:rFonts w:ascii="宋体" w:eastAsia="宋体" w:hAnsi="宋体" w:hint="eastAsia"/>
          <w:sz w:val="24"/>
        </w:rPr>
        <w:t>二、施工顺序</w:t>
      </w:r>
    </w:p>
    <w:p>
      <w:pPr>
        <w:pStyle w:val="a3"/>
        <w:spacing w:line="360" w:lineRule="auto"/>
        <w:ind w:firstLine="480"/>
        <w:rPr>
          <w:rFonts w:ascii="宋体" w:eastAsia="宋体" w:hAnsi="宋体" w:hint="eastAsia"/>
          <w:sz w:val="24"/>
        </w:rPr>
      </w:pPr>
      <w:r>
        <w:rPr>
          <w:rFonts w:ascii="宋体" w:eastAsia="宋体" w:hAnsi="宋体" w:hint="eastAsia"/>
          <w:sz w:val="24"/>
        </w:rPr>
        <w:t>本工程分为两个区，以地下室J轴后浇带为界。1区分为两端，以10轴后浇带为界。由东向西划分为1、2两个施工段，两个分区均由东向西开挖，具体区块见围护设计图纸。施工一区先挖第一施工段至-5.4米，后挖第二施工段。</w:t>
      </w:r>
    </w:p>
    <w:p>
      <w:pPr>
        <w:pStyle w:val="a3"/>
        <w:spacing w:line="360" w:lineRule="auto"/>
        <w:ind w:firstLine="480"/>
        <w:rPr>
          <w:rFonts w:ascii="宋体" w:eastAsia="宋体" w:hAnsi="宋体" w:hint="eastAsia"/>
          <w:sz w:val="24"/>
        </w:rPr>
      </w:pPr>
      <w:r>
        <w:rPr>
          <w:rFonts w:ascii="宋体" w:eastAsia="宋体" w:hAnsi="宋体" w:hint="eastAsia"/>
          <w:sz w:val="24"/>
        </w:rPr>
        <w:t>三、施工技术要求</w:t>
      </w:r>
    </w:p>
    <w:p>
      <w:pPr>
        <w:pStyle w:val="a3"/>
        <w:spacing w:line="360" w:lineRule="auto"/>
        <w:ind w:firstLine="480"/>
        <w:rPr>
          <w:rFonts w:ascii="宋体" w:eastAsia="宋体" w:hAnsi="宋体" w:hint="eastAsia"/>
          <w:sz w:val="24"/>
        </w:rPr>
        <w:sectPr>
          <w:footerReference w:type="even" r:id="rId48"/>
          <w:type w:val="nextPage"/>
          <w:pgSz w:w="11906" w:h="16838"/>
          <w:pgMar w:top="1440" w:right="1800" w:bottom="1440" w:left="1800" w:header="851" w:footer="992" w:gutter="0"/>
          <w:pgNumType w:start="34"/>
          <w:cols w:space="708"/>
          <w:titlePg w:val="0"/>
          <w:docGrid w:type="lines" w:linePitch="312"/>
        </w:sectPr>
      </w:pPr>
    </w:p>
    <w:p>
      <w:pPr>
        <w:pStyle w:val="a3"/>
        <w:spacing w:line="360" w:lineRule="auto"/>
        <w:ind w:firstLine="480"/>
        <w:rPr>
          <w:rFonts w:ascii="宋体" w:eastAsia="宋体" w:hAnsi="宋体" w:hint="eastAsia"/>
          <w:sz w:val="24"/>
        </w:rPr>
      </w:pPr>
      <w:r>
        <w:rPr>
          <w:rFonts w:ascii="宋体" w:eastAsia="宋体" w:hAnsi="宋体" w:hint="eastAsia"/>
          <w:sz w:val="24"/>
        </w:rPr>
        <w:t>1、开挖前将场地内布置的轴线控制点全部引测到离基坑15米以外，做好标志，按设计要求及施工方案测量好边坡线，并用白灰标出。开挖时分区、分层、分段开挖。两个施工区，均采取由东向西的开挖顺序。</w:t>
      </w:r>
    </w:p>
    <w:p>
      <w:pPr>
        <w:pStyle w:val="a3"/>
        <w:spacing w:line="360" w:lineRule="auto"/>
        <w:ind w:firstLine="480"/>
        <w:rPr>
          <w:rFonts w:ascii="宋体" w:eastAsia="宋体" w:hAnsi="宋体" w:hint="eastAsia"/>
          <w:sz w:val="24"/>
        </w:rPr>
      </w:pPr>
      <w:r>
        <w:rPr>
          <w:rFonts w:ascii="宋体" w:eastAsia="宋体" w:hAnsi="宋体" w:hint="eastAsia"/>
          <w:sz w:val="24"/>
        </w:rPr>
        <w:t>第一阶段，支撑梁以上部位挖土，本层主要为粘土，土质情况较好，可连续开挖。开挖完成立即进行混凝土护坡及支撑梁施工，本层开挖深度为1.5m，工程量为1万方。根据现场情况，本层开挖前需要设置临时道路，临时道路使用坡道塘渣铺垫，塘渣厚度根据现场情况铺垫，如果现场情况较差，则采用一定钢构件增大承压面解决。钢构件铺设在车道上，以下坡道相同。</w:t>
      </w:r>
    </w:p>
    <w:p>
      <w:pPr>
        <w:pStyle w:val="a3"/>
        <w:spacing w:line="360" w:lineRule="auto"/>
        <w:ind w:firstLine="480"/>
        <w:rPr>
          <w:rFonts w:ascii="宋体" w:eastAsia="宋体" w:hAnsi="宋体" w:hint="eastAsia"/>
          <w:sz w:val="24"/>
        </w:rPr>
      </w:pPr>
      <w:r>
        <w:rPr>
          <w:rFonts w:ascii="宋体" w:eastAsia="宋体" w:hAnsi="宋体" w:hint="eastAsia"/>
          <w:sz w:val="24"/>
        </w:rPr>
        <w:t>第二阶段，-2.6米</w:t>
      </w:r>
      <w:r>
        <w:rPr>
          <w:rFonts w:ascii="宋体" w:eastAsia="宋体" w:hAnsi="宋体"/>
          <w:sz w:val="24"/>
        </w:rPr>
        <w:t>—</w:t>
      </w:r>
      <w:r>
        <w:rPr>
          <w:rFonts w:ascii="宋体" w:eastAsia="宋体" w:hAnsi="宋体" w:hint="eastAsia"/>
          <w:sz w:val="24"/>
        </w:rPr>
        <w:t>5.4米开挖，主要为淤泥粉质粘土及粘土,可连续开挖，开挖深度约为2.8m，本层挖土量约2.5万方。其中施工一区约1.5万方。开挖时分两小层开挖。在立柱桩周围均匀对称开挖，前后的土方高差不大于1米。本段施工在支撑梁及冠梁后进行，开挖前现设置临时坡道，坡道能够满足车辆通行的要求施工坡道见下图。</w:t>
      </w:r>
    </w:p>
    <w:p>
      <w:pPr>
        <w:widowControl/>
        <w:jc w:val="left"/>
        <w:rPr>
          <w:rFonts w:ascii="宋体" w:hAnsi="宋体" w:cs="宋体"/>
          <w:kern w:val="0"/>
          <w:sz w:val="24"/>
        </w:rPr>
      </w:pPr>
      <w:r>
        <w:rPr>
          <w:rFonts w:ascii="宋体" w:hAnsi="宋体" w:cs="宋体"/>
          <w:kern w:val="0"/>
          <w:sz w:val="24"/>
        </w:rPr>
        <w:pict>
          <v:shape id="图片 6" o:spid="_x0000_i1067" type="#_x0000_t75" style="width:442.19pt;height:162.49pt;mso-position-horizontal-relative:page;mso-position-vertical-relative:page;mso-wrap-style:square" filled="f" stroked="f">
            <v:stroke linestyle="single"/>
            <v:imagedata r:id="rId49" r:href="rId50" o:title="[NHG{C$Z65K])E_4F4MX1~L"/>
            <v:path o:extrusionok="f"/>
            <o:lock v:ext="edit" aspectratio="t"/>
          </v:shape>
        </w:pict>
      </w:r>
    </w:p>
    <w:p>
      <w:pPr>
        <w:spacing w:line="360" w:lineRule="auto"/>
        <w:ind w:firstLine="480" w:firstLineChars="200"/>
        <w:jc w:val="center"/>
        <w:rPr>
          <w:rFonts w:hint="eastAsia"/>
          <w:color w:val="000000"/>
          <w:sz w:val="24"/>
        </w:rPr>
      </w:pPr>
      <w:r>
        <w:rPr>
          <w:rFonts w:hint="eastAsia"/>
          <w:color w:val="000000"/>
          <w:sz w:val="24"/>
        </w:rPr>
        <w:t>1-1剖</w:t>
      </w:r>
    </w:p>
    <w:p>
      <w:pPr>
        <w:widowControl/>
        <w:jc w:val="left"/>
        <w:rPr>
          <w:rFonts w:ascii="宋体" w:hAnsi="宋体" w:cs="宋体"/>
          <w:kern w:val="0"/>
          <w:sz w:val="24"/>
        </w:rPr>
        <w:sectPr>
          <w:footerReference w:type="even" r:id="rId51"/>
          <w:type w:val="nextPage"/>
          <w:pgSz w:w="11906" w:h="16838"/>
          <w:pgMar w:top="1440" w:right="1800" w:bottom="1440" w:left="1800" w:header="851" w:footer="992" w:gutter="0"/>
          <w:pgNumType w:start="35"/>
          <w:cols w:space="708"/>
          <w:titlePg w:val="0"/>
          <w:docGrid w:type="lines" w:linePitch="312"/>
        </w:sectPr>
      </w:pPr>
      <w:r>
        <w:rPr>
          <w:rFonts w:ascii="宋体" w:hAnsi="宋体" w:cs="宋体"/>
          <w:kern w:val="0"/>
          <w:sz w:val="24"/>
        </w:rPr>
        <w:pict>
          <v:shape id="图片 7" o:spid="_x0000_i1068" type="#_x0000_t75" style="width:395.58pt;height:216.89pt;mso-position-horizontal-relative:page;mso-position-vertical-relative:page;mso-wrap-style:square" filled="f" stroked="f">
            <v:stroke linestyle="single"/>
            <v:imagedata r:id="rId52" r:href="rId53" o:title="`5]CI$4AV`E7X11PXX@1)~8"/>
            <v:path o:extrusionok="f"/>
            <o:lock v:ext="edit" aspectratio="t"/>
          </v:shape>
        </w:pict>
      </w:r>
    </w:p>
    <w:p>
      <w:pPr>
        <w:spacing w:line="360" w:lineRule="auto"/>
        <w:ind w:firstLine="480" w:firstLineChars="200"/>
        <w:rPr>
          <w:rFonts w:hint="eastAsia"/>
          <w:color w:val="000000"/>
          <w:sz w:val="24"/>
        </w:rPr>
      </w:pPr>
    </w:p>
    <w:p>
      <w:pPr>
        <w:spacing w:line="360" w:lineRule="auto"/>
        <w:rPr>
          <w:rFonts w:hint="eastAsia"/>
          <w:color w:val="000000"/>
          <w:sz w:val="24"/>
        </w:rPr>
      </w:pPr>
      <w:r>
        <w:rPr>
          <w:color w:val="000000"/>
          <w:sz w:val="24"/>
        </w:rPr>
        <w:pict>
          <v:shape id="图片 8" o:spid="_x0000_i1069" type="#_x0000_t75" style="width:414.05pt;height:96.51pt;mso-position-horizontal-relative:page;mso-position-vertical-relative:page;mso-wrap-style:square" filled="f" stroked="f">
            <v:stroke linestyle="single"/>
            <v:imagedata r:id="rId54" o:title=""/>
            <v:path o:extrusionok="f"/>
            <o:lock v:ext="edit" aspectratio="t"/>
          </v:shape>
        </w:pict>
      </w:r>
    </w:p>
    <w:p>
      <w:pPr>
        <w:spacing w:line="360" w:lineRule="auto"/>
        <w:rPr>
          <w:rFonts w:hint="eastAsia"/>
          <w:color w:val="000000"/>
          <w:sz w:val="24"/>
        </w:rPr>
      </w:pPr>
      <w:r>
        <w:rPr>
          <w:rFonts w:hint="eastAsia"/>
          <w:color w:val="000000"/>
          <w:sz w:val="24"/>
        </w:rPr>
        <w:t xml:space="preserve">                        </w:t>
      </w:r>
      <w:r>
        <w:rPr>
          <w:rFonts w:hint="eastAsia"/>
        </w:rPr>
        <w:t>运土车道剖面示意图</w:t>
      </w:r>
    </w:p>
    <w:p>
      <w:pPr>
        <w:pStyle w:val="a3"/>
        <w:spacing w:line="360" w:lineRule="auto"/>
        <w:ind w:firstLine="480"/>
        <w:rPr>
          <w:rFonts w:ascii="宋体" w:eastAsia="宋体" w:hAnsi="宋体" w:hint="eastAsia"/>
          <w:sz w:val="24"/>
        </w:rPr>
      </w:pPr>
      <w:r>
        <w:rPr>
          <w:rFonts w:ascii="宋体" w:eastAsia="宋体" w:hAnsi="宋体" w:hint="eastAsia"/>
          <w:sz w:val="24"/>
        </w:rPr>
        <w:t>土方开挖时应注意对围护结构进行保护，围护结构2倍开挖深度范围内不得直接行驶车辆；期间的车辆行走路线，出土口、开挖示意图见后边附图。</w:t>
      </w:r>
    </w:p>
    <w:p>
      <w:pPr>
        <w:pStyle w:val="a3"/>
        <w:spacing w:line="360" w:lineRule="auto"/>
        <w:ind w:firstLine="480"/>
        <w:rPr>
          <w:rFonts w:ascii="宋体" w:eastAsia="宋体" w:hAnsi="宋体" w:hint="eastAsia"/>
          <w:sz w:val="24"/>
        </w:rPr>
      </w:pPr>
      <w:r>
        <w:rPr>
          <w:rFonts w:ascii="宋体" w:eastAsia="宋体" w:hAnsi="宋体" w:hint="eastAsia"/>
          <w:sz w:val="24"/>
        </w:rPr>
        <w:t>第三阶段，承台及人工修土。总方量约5000立方米。局部加深部位采取先撑后挖的原则进行，在安全设施完成之后，主体采用小型机械挖除，然后采用人工修土的办法进行，加深部位完成，应立即进行垫层及胎膜施工，避免长时间暴露。</w:t>
      </w:r>
    </w:p>
    <w:p>
      <w:pPr>
        <w:pStyle w:val="a3"/>
        <w:spacing w:line="360" w:lineRule="auto"/>
        <w:ind w:firstLine="480"/>
        <w:rPr>
          <w:rFonts w:ascii="宋体" w:eastAsia="宋体" w:hAnsi="宋体" w:hint="eastAsia"/>
          <w:sz w:val="24"/>
        </w:rPr>
      </w:pPr>
      <w:r>
        <w:rPr>
          <w:rFonts w:ascii="宋体" w:eastAsia="宋体" w:hAnsi="宋体" w:hint="eastAsia"/>
          <w:sz w:val="24"/>
        </w:rPr>
        <w:t>基底标高以上50CM留作保护层,一起采用塔吊配合人工挖土, ,适当放坡,严格控制高差，尤其是立柱桩施工时，应采用周边均匀开挖，前后高差不得大于1米。开挖时严格控制标高（采用插竹签的办法控制标高），夜间施工应有足够照明。对挖机司机进行技术交底，杜绝挖机碰撞工程桩，以防发生断桩等质量事故。砖胎模及时跟进，尽量减少基坑暴露时间。</w:t>
      </w:r>
    </w:p>
    <w:p>
      <w:pPr>
        <w:pStyle w:val="a3"/>
        <w:spacing w:line="360" w:lineRule="auto"/>
        <w:ind w:firstLine="480"/>
        <w:rPr>
          <w:rFonts w:ascii="宋体" w:eastAsia="宋体" w:hAnsi="宋体" w:hint="eastAsia"/>
          <w:sz w:val="24"/>
        </w:rPr>
      </w:pPr>
      <w:r>
        <w:rPr>
          <w:rFonts w:ascii="宋体" w:eastAsia="宋体" w:hAnsi="宋体" w:hint="eastAsia"/>
          <w:sz w:val="24"/>
        </w:rPr>
        <w:t xml:space="preserve">承台施工时，采用跳挖的方式开挖承台，到设计标高后立即铺设垫层做胎模，边开挖边浇垫层，垫层应浇捣至基坑边； </w:t>
      </w:r>
    </w:p>
    <w:p>
      <w:pPr>
        <w:pStyle w:val="a3"/>
        <w:spacing w:line="360" w:lineRule="auto"/>
        <w:ind w:firstLine="480"/>
        <w:rPr>
          <w:rFonts w:ascii="宋体" w:eastAsia="宋体" w:hAnsi="宋体" w:hint="eastAsia"/>
          <w:sz w:val="24"/>
        </w:rPr>
      </w:pPr>
      <w:r>
        <w:rPr>
          <w:rFonts w:ascii="宋体" w:eastAsia="宋体" w:hAnsi="宋体" w:hint="eastAsia"/>
          <w:sz w:val="24"/>
        </w:rPr>
        <w:t>本工程开挖过程中，随着进度开展设置人上下爬梯，间距不大于50米，人行通道高度小于6米，不必设中间休息平台。具体见后人行坡道布置图。爬梯设置如下图：</w:t>
      </w:r>
      <w:r>
        <w:rPr>
          <w:rFonts w:ascii="宋体" w:eastAsia="宋体" w:hAnsi="宋体" w:hint="eastAsia"/>
          <w:sz w:val="24"/>
        </w:rPr>
        <w:br/>
      </w:r>
      <w:r>
        <w:rPr>
          <w:rFonts w:ascii="宋体" w:eastAsia="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
            <w:bCs/>
            <w:color w:val="0000EE"/>
            <w:kern w:val="0"/>
            <w:sz w:val="30"/>
            <w:szCs w:val="30"/>
            <w:u w:val="single" w:color="0000EE"/>
          </w:rPr>
          <w:t>https://d.book118.com/546022201122010030</w:t>
        </w:r>
      </w:hyperlink>
    </w:p>
    <w:p>
      <w:pPr>
        <w:pStyle w:val="a3"/>
        <w:spacing w:line="360" w:lineRule="auto"/>
        <w:ind w:firstLine="480"/>
        <w:rPr>
          <w:rFonts w:ascii="宋体" w:eastAsia="宋体" w:hAnsi="宋体" w:hint="eastAsia"/>
          <w:sz w:val="24"/>
        </w:rPr>
      </w:pPr>
    </w:p>
    <w:sectPr>
      <w:footerReference w:type="even" r:id="rId56"/>
      <w:type w:val="nextPage"/>
      <w:pgSz w:w="11906" w:h="16838"/>
      <w:pgMar w:top="1440" w:right="1800" w:bottom="1440" w:left="1800" w:header="851" w:footer="992" w:gutter="0"/>
      <w:pgNumType w:start="3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10" w:usb3="00000000" w:csb0="00040000" w:csb1="00000000"/>
  </w:font>
  <w:font w:name="新宋体">
    <w:panose1 w:val="02010609030101010101"/>
    <w:charset w:val="86"/>
    <w:family w:val="modern"/>
    <w:pitch w:val="default"/>
    <w:sig w:usb0="0000028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E6CAF"/>
    <w:multiLevelType w:val="multilevel"/>
    <w:tmpl w:val="163E6CAF"/>
    <w:lvl w:ilvl="0">
      <w:start w:val="1"/>
      <w:numFmt w:val="japaneseCounting"/>
      <w:lvlText w:val="%1、"/>
      <w:lvlJc w:val="left"/>
      <w:pPr>
        <w:tabs>
          <w:tab w:val="num" w:pos="1181"/>
        </w:tabs>
        <w:ind w:left="1181" w:hanging="480"/>
      </w:pPr>
      <w:rPr>
        <w:rFonts w:hint="default"/>
      </w:rPr>
    </w:lvl>
    <w:lvl w:ilvl="1">
      <w:start w:val="1"/>
      <w:numFmt w:val="lowerLetter"/>
      <w:lvlText w:val="%2)"/>
      <w:lvlJc w:val="left"/>
      <w:pPr>
        <w:tabs>
          <w:tab w:val="num" w:pos="1541"/>
        </w:tabs>
        <w:ind w:left="1541" w:hanging="420"/>
      </w:pPr>
    </w:lvl>
    <w:lvl w:ilvl="2">
      <w:start w:val="1"/>
      <w:numFmt w:val="lowerRoman"/>
      <w:lvlText w:val="%3."/>
      <w:lvlJc w:val="right"/>
      <w:pPr>
        <w:tabs>
          <w:tab w:val="num" w:pos="1961"/>
        </w:tabs>
        <w:ind w:left="1961" w:hanging="420"/>
      </w:pPr>
    </w:lvl>
    <w:lvl w:ilvl="3">
      <w:start w:val="1"/>
      <w:numFmt w:val="decimal"/>
      <w:lvlText w:val="%4."/>
      <w:lvlJc w:val="left"/>
      <w:pPr>
        <w:tabs>
          <w:tab w:val="num" w:pos="2381"/>
        </w:tabs>
        <w:ind w:left="2381" w:hanging="420"/>
      </w:pPr>
    </w:lvl>
    <w:lvl w:ilvl="4">
      <w:start w:val="1"/>
      <w:numFmt w:val="lowerLetter"/>
      <w:lvlText w:val="%5)"/>
      <w:lvlJc w:val="left"/>
      <w:pPr>
        <w:tabs>
          <w:tab w:val="num" w:pos="2801"/>
        </w:tabs>
        <w:ind w:left="2801" w:hanging="420"/>
      </w:pPr>
    </w:lvl>
    <w:lvl w:ilvl="5">
      <w:start w:val="1"/>
      <w:numFmt w:val="lowerRoman"/>
      <w:lvlText w:val="%6."/>
      <w:lvlJc w:val="right"/>
      <w:pPr>
        <w:tabs>
          <w:tab w:val="num" w:pos="3221"/>
        </w:tabs>
        <w:ind w:left="3221" w:hanging="420"/>
      </w:pPr>
    </w:lvl>
    <w:lvl w:ilvl="6">
      <w:start w:val="1"/>
      <w:numFmt w:val="decimal"/>
      <w:lvlText w:val="%7."/>
      <w:lvlJc w:val="left"/>
      <w:pPr>
        <w:tabs>
          <w:tab w:val="num" w:pos="3641"/>
        </w:tabs>
        <w:ind w:left="3641" w:hanging="420"/>
      </w:pPr>
    </w:lvl>
    <w:lvl w:ilvl="7">
      <w:start w:val="1"/>
      <w:numFmt w:val="lowerLetter"/>
      <w:lvlText w:val="%8)"/>
      <w:lvlJc w:val="left"/>
      <w:pPr>
        <w:tabs>
          <w:tab w:val="num" w:pos="4061"/>
        </w:tabs>
        <w:ind w:left="4061" w:hanging="420"/>
      </w:pPr>
    </w:lvl>
    <w:lvl w:ilvl="8">
      <w:start w:val="1"/>
      <w:numFmt w:val="lowerRoman"/>
      <w:lvlText w:val="%9."/>
      <w:lvlJc w:val="right"/>
      <w:pPr>
        <w:tabs>
          <w:tab w:val="num" w:pos="4481"/>
        </w:tabs>
        <w:ind w:left="4481" w:hanging="420"/>
      </w:p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2">
    <w:nsid w:val="62175D01"/>
    <w:multiLevelType w:val="multilevel"/>
    <w:tmpl w:val="62175D01"/>
    <w:lvl w:ilvl="0">
      <w:start w:val="8"/>
      <w:numFmt w:val="japaneseCounting"/>
      <w:lvlText w:val="第%1章"/>
      <w:lvlJc w:val="left"/>
      <w:pPr>
        <w:tabs>
          <w:tab w:val="num" w:pos="1140"/>
        </w:tabs>
        <w:ind w:left="1140" w:hanging="114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6A9A66FF"/>
    <w:multiLevelType w:val="multilevel"/>
    <w:tmpl w:val="163E6CAF"/>
    <w:lvl w:ilvl="0">
      <w:start w:val="1"/>
      <w:numFmt w:val="japaneseCounting"/>
      <w:lvlText w:val="%1、"/>
      <w:lvlJc w:val="left"/>
      <w:pPr>
        <w:tabs>
          <w:tab w:val="num" w:pos="1181"/>
        </w:tabs>
        <w:ind w:left="1181" w:hanging="480"/>
      </w:pPr>
      <w:rPr>
        <w:rFonts w:hint="default"/>
      </w:rPr>
    </w:lvl>
    <w:lvl w:ilvl="1">
      <w:start w:val="1"/>
      <w:numFmt w:val="lowerLetter"/>
      <w:lvlText w:val="%2)"/>
      <w:lvlJc w:val="left"/>
      <w:pPr>
        <w:tabs>
          <w:tab w:val="num" w:pos="1541"/>
        </w:tabs>
        <w:ind w:left="1541" w:hanging="420"/>
      </w:pPr>
    </w:lvl>
    <w:lvl w:ilvl="2">
      <w:start w:val="1"/>
      <w:numFmt w:val="lowerRoman"/>
      <w:lvlText w:val="%3."/>
      <w:lvlJc w:val="right"/>
      <w:pPr>
        <w:tabs>
          <w:tab w:val="num" w:pos="1961"/>
        </w:tabs>
        <w:ind w:left="1961" w:hanging="420"/>
      </w:pPr>
    </w:lvl>
    <w:lvl w:ilvl="3">
      <w:start w:val="1"/>
      <w:numFmt w:val="decimal"/>
      <w:lvlText w:val="%4."/>
      <w:lvlJc w:val="left"/>
      <w:pPr>
        <w:tabs>
          <w:tab w:val="num" w:pos="2381"/>
        </w:tabs>
        <w:ind w:left="2381" w:hanging="420"/>
      </w:pPr>
    </w:lvl>
    <w:lvl w:ilvl="4">
      <w:start w:val="1"/>
      <w:numFmt w:val="lowerLetter"/>
      <w:lvlText w:val="%5)"/>
      <w:lvlJc w:val="left"/>
      <w:pPr>
        <w:tabs>
          <w:tab w:val="num" w:pos="2801"/>
        </w:tabs>
        <w:ind w:left="2801" w:hanging="420"/>
      </w:pPr>
    </w:lvl>
    <w:lvl w:ilvl="5">
      <w:start w:val="1"/>
      <w:numFmt w:val="lowerRoman"/>
      <w:lvlText w:val="%6."/>
      <w:lvlJc w:val="right"/>
      <w:pPr>
        <w:tabs>
          <w:tab w:val="num" w:pos="3221"/>
        </w:tabs>
        <w:ind w:left="3221" w:hanging="420"/>
      </w:pPr>
    </w:lvl>
    <w:lvl w:ilvl="6">
      <w:start w:val="1"/>
      <w:numFmt w:val="decimal"/>
      <w:lvlText w:val="%7."/>
      <w:lvlJc w:val="left"/>
      <w:pPr>
        <w:tabs>
          <w:tab w:val="num" w:pos="3641"/>
        </w:tabs>
        <w:ind w:left="3641" w:hanging="420"/>
      </w:pPr>
    </w:lvl>
    <w:lvl w:ilvl="7">
      <w:start w:val="1"/>
      <w:numFmt w:val="lowerLetter"/>
      <w:lvlText w:val="%8)"/>
      <w:lvlJc w:val="left"/>
      <w:pPr>
        <w:tabs>
          <w:tab w:val="num" w:pos="4061"/>
        </w:tabs>
        <w:ind w:left="4061" w:hanging="420"/>
      </w:pPr>
    </w:lvl>
    <w:lvl w:ilvl="8">
      <w:start w:val="1"/>
      <w:numFmt w:val="lowerRoman"/>
      <w:lvlText w:val="%9."/>
      <w:lvlJc w:val="right"/>
      <w:pPr>
        <w:tabs>
          <w:tab w:val="num" w:pos="4481"/>
        </w:tabs>
        <w:ind w:left="4481"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0125"/>
    <w:rsid w:val="000056E1"/>
    <w:rsid w:val="00010AC8"/>
    <w:rsid w:val="00015149"/>
    <w:rsid w:val="00016F07"/>
    <w:rsid w:val="0001707E"/>
    <w:rsid w:val="00017C6D"/>
    <w:rsid w:val="000224C2"/>
    <w:rsid w:val="000275F9"/>
    <w:rsid w:val="00030F7F"/>
    <w:rsid w:val="000313D6"/>
    <w:rsid w:val="000331DA"/>
    <w:rsid w:val="00034BA6"/>
    <w:rsid w:val="0006581F"/>
    <w:rsid w:val="000747C1"/>
    <w:rsid w:val="000765C6"/>
    <w:rsid w:val="00082BCF"/>
    <w:rsid w:val="0008500C"/>
    <w:rsid w:val="00085BD9"/>
    <w:rsid w:val="00092310"/>
    <w:rsid w:val="000A4431"/>
    <w:rsid w:val="000A6C39"/>
    <w:rsid w:val="000A7BB4"/>
    <w:rsid w:val="000A7F07"/>
    <w:rsid w:val="000B15A4"/>
    <w:rsid w:val="000B297A"/>
    <w:rsid w:val="000B6383"/>
    <w:rsid w:val="000B755C"/>
    <w:rsid w:val="000C352A"/>
    <w:rsid w:val="000C710D"/>
    <w:rsid w:val="000C71A8"/>
    <w:rsid w:val="000D5036"/>
    <w:rsid w:val="000D6438"/>
    <w:rsid w:val="000E1844"/>
    <w:rsid w:val="000E5006"/>
    <w:rsid w:val="000E7DE0"/>
    <w:rsid w:val="000F2A90"/>
    <w:rsid w:val="000F45EC"/>
    <w:rsid w:val="000F51F1"/>
    <w:rsid w:val="000F59BC"/>
    <w:rsid w:val="000F6369"/>
    <w:rsid w:val="0010249A"/>
    <w:rsid w:val="00102BCE"/>
    <w:rsid w:val="00102D5F"/>
    <w:rsid w:val="00103C71"/>
    <w:rsid w:val="001116F4"/>
    <w:rsid w:val="00111AD9"/>
    <w:rsid w:val="001142EF"/>
    <w:rsid w:val="0011556B"/>
    <w:rsid w:val="00116CAE"/>
    <w:rsid w:val="00116F69"/>
    <w:rsid w:val="00122144"/>
    <w:rsid w:val="00133774"/>
    <w:rsid w:val="00134623"/>
    <w:rsid w:val="00135F86"/>
    <w:rsid w:val="001418AC"/>
    <w:rsid w:val="00146CB2"/>
    <w:rsid w:val="00153549"/>
    <w:rsid w:val="001628A7"/>
    <w:rsid w:val="00163A94"/>
    <w:rsid w:val="0016718B"/>
    <w:rsid w:val="0017554A"/>
    <w:rsid w:val="00180611"/>
    <w:rsid w:val="00182746"/>
    <w:rsid w:val="001832E1"/>
    <w:rsid w:val="0018650D"/>
    <w:rsid w:val="00186D8F"/>
    <w:rsid w:val="00192570"/>
    <w:rsid w:val="00197306"/>
    <w:rsid w:val="001973AC"/>
    <w:rsid w:val="001A3F52"/>
    <w:rsid w:val="001A54EA"/>
    <w:rsid w:val="001A7C84"/>
    <w:rsid w:val="001B0F90"/>
    <w:rsid w:val="001B16D6"/>
    <w:rsid w:val="001B201D"/>
    <w:rsid w:val="001B2310"/>
    <w:rsid w:val="001C243E"/>
    <w:rsid w:val="001C2A7A"/>
    <w:rsid w:val="001D22CC"/>
    <w:rsid w:val="001D401E"/>
    <w:rsid w:val="001D4F03"/>
    <w:rsid w:val="001D55F4"/>
    <w:rsid w:val="001E15F1"/>
    <w:rsid w:val="001E400E"/>
    <w:rsid w:val="001E4F07"/>
    <w:rsid w:val="001F1346"/>
    <w:rsid w:val="001F1971"/>
    <w:rsid w:val="002179C1"/>
    <w:rsid w:val="0022274C"/>
    <w:rsid w:val="002250A8"/>
    <w:rsid w:val="00225BB9"/>
    <w:rsid w:val="00234541"/>
    <w:rsid w:val="00234C48"/>
    <w:rsid w:val="00235AEC"/>
    <w:rsid w:val="002377F5"/>
    <w:rsid w:val="0024144C"/>
    <w:rsid w:val="00244B7F"/>
    <w:rsid w:val="0024575E"/>
    <w:rsid w:val="00251AAD"/>
    <w:rsid w:val="00251D71"/>
    <w:rsid w:val="00253496"/>
    <w:rsid w:val="00256B2A"/>
    <w:rsid w:val="00257FA6"/>
    <w:rsid w:val="0026089B"/>
    <w:rsid w:val="00263E7E"/>
    <w:rsid w:val="00264716"/>
    <w:rsid w:val="002660CC"/>
    <w:rsid w:val="00284A3B"/>
    <w:rsid w:val="002862F6"/>
    <w:rsid w:val="00286CE1"/>
    <w:rsid w:val="002900C7"/>
    <w:rsid w:val="00296067"/>
    <w:rsid w:val="00296E89"/>
    <w:rsid w:val="002A22D6"/>
    <w:rsid w:val="002A285E"/>
    <w:rsid w:val="002A3E0A"/>
    <w:rsid w:val="002B0116"/>
    <w:rsid w:val="002B58CE"/>
    <w:rsid w:val="002B5FB3"/>
    <w:rsid w:val="002B61E6"/>
    <w:rsid w:val="002C3403"/>
    <w:rsid w:val="002C5D24"/>
    <w:rsid w:val="002C6620"/>
    <w:rsid w:val="002D1937"/>
    <w:rsid w:val="002E19E8"/>
    <w:rsid w:val="002E3A10"/>
    <w:rsid w:val="002E4888"/>
    <w:rsid w:val="002F6EDA"/>
    <w:rsid w:val="00300570"/>
    <w:rsid w:val="00303806"/>
    <w:rsid w:val="00303BEE"/>
    <w:rsid w:val="00305725"/>
    <w:rsid w:val="003074D6"/>
    <w:rsid w:val="0031119E"/>
    <w:rsid w:val="00311975"/>
    <w:rsid w:val="0031284D"/>
    <w:rsid w:val="00316A16"/>
    <w:rsid w:val="00323772"/>
    <w:rsid w:val="003237D2"/>
    <w:rsid w:val="00325709"/>
    <w:rsid w:val="003277FC"/>
    <w:rsid w:val="003278F5"/>
    <w:rsid w:val="0033083D"/>
    <w:rsid w:val="0033274D"/>
    <w:rsid w:val="003348E4"/>
    <w:rsid w:val="0033577F"/>
    <w:rsid w:val="00340FBB"/>
    <w:rsid w:val="00341769"/>
    <w:rsid w:val="00342012"/>
    <w:rsid w:val="0035182D"/>
    <w:rsid w:val="0035194E"/>
    <w:rsid w:val="003523BD"/>
    <w:rsid w:val="00354AA8"/>
    <w:rsid w:val="00354C78"/>
    <w:rsid w:val="0035609F"/>
    <w:rsid w:val="003560C5"/>
    <w:rsid w:val="0036044C"/>
    <w:rsid w:val="00363B42"/>
    <w:rsid w:val="00365401"/>
    <w:rsid w:val="003675F1"/>
    <w:rsid w:val="00371A7C"/>
    <w:rsid w:val="00372C1F"/>
    <w:rsid w:val="00373ADD"/>
    <w:rsid w:val="003742AD"/>
    <w:rsid w:val="00381A4A"/>
    <w:rsid w:val="0038481F"/>
    <w:rsid w:val="003854A9"/>
    <w:rsid w:val="00391F01"/>
    <w:rsid w:val="0039451D"/>
    <w:rsid w:val="0039562B"/>
    <w:rsid w:val="00396AF2"/>
    <w:rsid w:val="003A1760"/>
    <w:rsid w:val="003B15D2"/>
    <w:rsid w:val="003B167B"/>
    <w:rsid w:val="003C0CB0"/>
    <w:rsid w:val="003C39DA"/>
    <w:rsid w:val="003C4BA5"/>
    <w:rsid w:val="003C5BA5"/>
    <w:rsid w:val="003D0948"/>
    <w:rsid w:val="003D4579"/>
    <w:rsid w:val="003D47E4"/>
    <w:rsid w:val="003F0C0B"/>
    <w:rsid w:val="003F6614"/>
    <w:rsid w:val="003F7390"/>
    <w:rsid w:val="003F794C"/>
    <w:rsid w:val="004029EF"/>
    <w:rsid w:val="004062E1"/>
    <w:rsid w:val="00413965"/>
    <w:rsid w:val="00422B9D"/>
    <w:rsid w:val="0042448F"/>
    <w:rsid w:val="00424D7C"/>
    <w:rsid w:val="004258A3"/>
    <w:rsid w:val="00425931"/>
    <w:rsid w:val="004324D0"/>
    <w:rsid w:val="0043640A"/>
    <w:rsid w:val="004424A0"/>
    <w:rsid w:val="0044444E"/>
    <w:rsid w:val="004463C9"/>
    <w:rsid w:val="0045455F"/>
    <w:rsid w:val="00454BE9"/>
    <w:rsid w:val="004556CA"/>
    <w:rsid w:val="004610BF"/>
    <w:rsid w:val="004616EA"/>
    <w:rsid w:val="00464B24"/>
    <w:rsid w:val="004663AE"/>
    <w:rsid w:val="00472621"/>
    <w:rsid w:val="004732F1"/>
    <w:rsid w:val="004759E6"/>
    <w:rsid w:val="0048179C"/>
    <w:rsid w:val="004819AC"/>
    <w:rsid w:val="00482972"/>
    <w:rsid w:val="00482C0D"/>
    <w:rsid w:val="00484053"/>
    <w:rsid w:val="00487126"/>
    <w:rsid w:val="004932D3"/>
    <w:rsid w:val="00496D7C"/>
    <w:rsid w:val="004976DD"/>
    <w:rsid w:val="004A5DC7"/>
    <w:rsid w:val="004A732D"/>
    <w:rsid w:val="004A7D23"/>
    <w:rsid w:val="004B579A"/>
    <w:rsid w:val="004B6A04"/>
    <w:rsid w:val="004B6A6B"/>
    <w:rsid w:val="004B7058"/>
    <w:rsid w:val="004B71D8"/>
    <w:rsid w:val="004C208C"/>
    <w:rsid w:val="004C50F7"/>
    <w:rsid w:val="004C5323"/>
    <w:rsid w:val="004C7539"/>
    <w:rsid w:val="004C7D20"/>
    <w:rsid w:val="004D17F0"/>
    <w:rsid w:val="004D1836"/>
    <w:rsid w:val="004D3B0D"/>
    <w:rsid w:val="004D542E"/>
    <w:rsid w:val="004D65C3"/>
    <w:rsid w:val="004E1616"/>
    <w:rsid w:val="004E3FB8"/>
    <w:rsid w:val="004E5596"/>
    <w:rsid w:val="004E6333"/>
    <w:rsid w:val="004E6F9C"/>
    <w:rsid w:val="004E7137"/>
    <w:rsid w:val="004E771A"/>
    <w:rsid w:val="004F362A"/>
    <w:rsid w:val="00500165"/>
    <w:rsid w:val="00520F92"/>
    <w:rsid w:val="0052332B"/>
    <w:rsid w:val="00523B35"/>
    <w:rsid w:val="00531418"/>
    <w:rsid w:val="00532C4D"/>
    <w:rsid w:val="0053337E"/>
    <w:rsid w:val="005368B4"/>
    <w:rsid w:val="00536DB5"/>
    <w:rsid w:val="005413FF"/>
    <w:rsid w:val="00550A27"/>
    <w:rsid w:val="005529E7"/>
    <w:rsid w:val="00552CB8"/>
    <w:rsid w:val="00553387"/>
    <w:rsid w:val="00554327"/>
    <w:rsid w:val="00554DC0"/>
    <w:rsid w:val="00566A61"/>
    <w:rsid w:val="005725F4"/>
    <w:rsid w:val="00581D20"/>
    <w:rsid w:val="00581D2F"/>
    <w:rsid w:val="00581EC8"/>
    <w:rsid w:val="005840FF"/>
    <w:rsid w:val="0058538A"/>
    <w:rsid w:val="00585778"/>
    <w:rsid w:val="0059029F"/>
    <w:rsid w:val="005905CA"/>
    <w:rsid w:val="00593149"/>
    <w:rsid w:val="005939AB"/>
    <w:rsid w:val="005958C7"/>
    <w:rsid w:val="005963FE"/>
    <w:rsid w:val="0059735F"/>
    <w:rsid w:val="00597B29"/>
    <w:rsid w:val="005A0A0B"/>
    <w:rsid w:val="005A39B3"/>
    <w:rsid w:val="005A3A1E"/>
    <w:rsid w:val="005A3FB7"/>
    <w:rsid w:val="005A4495"/>
    <w:rsid w:val="005A7789"/>
    <w:rsid w:val="005B21E6"/>
    <w:rsid w:val="005B5199"/>
    <w:rsid w:val="005C299D"/>
    <w:rsid w:val="005C4719"/>
    <w:rsid w:val="005D0CC0"/>
    <w:rsid w:val="005D1257"/>
    <w:rsid w:val="005D60AB"/>
    <w:rsid w:val="005D680E"/>
    <w:rsid w:val="005D73F1"/>
    <w:rsid w:val="005D7D2D"/>
    <w:rsid w:val="005E1008"/>
    <w:rsid w:val="005E3454"/>
    <w:rsid w:val="005E38D2"/>
    <w:rsid w:val="005E61D8"/>
    <w:rsid w:val="005F3114"/>
    <w:rsid w:val="005F45B1"/>
    <w:rsid w:val="005F5298"/>
    <w:rsid w:val="005F5ACE"/>
    <w:rsid w:val="0060119B"/>
    <w:rsid w:val="00606453"/>
    <w:rsid w:val="00607217"/>
    <w:rsid w:val="00607CFB"/>
    <w:rsid w:val="0061624E"/>
    <w:rsid w:val="00621E02"/>
    <w:rsid w:val="00622877"/>
    <w:rsid w:val="006247B7"/>
    <w:rsid w:val="00642875"/>
    <w:rsid w:val="006442B9"/>
    <w:rsid w:val="006452BA"/>
    <w:rsid w:val="00647C93"/>
    <w:rsid w:val="00653A60"/>
    <w:rsid w:val="00655C95"/>
    <w:rsid w:val="00662DDA"/>
    <w:rsid w:val="00667E98"/>
    <w:rsid w:val="00670472"/>
    <w:rsid w:val="00670C53"/>
    <w:rsid w:val="00673C14"/>
    <w:rsid w:val="00675A0B"/>
    <w:rsid w:val="006767D4"/>
    <w:rsid w:val="00676864"/>
    <w:rsid w:val="00677567"/>
    <w:rsid w:val="0068609D"/>
    <w:rsid w:val="006875F8"/>
    <w:rsid w:val="006A07F8"/>
    <w:rsid w:val="006A2112"/>
    <w:rsid w:val="006A4B10"/>
    <w:rsid w:val="006A6614"/>
    <w:rsid w:val="006B2687"/>
    <w:rsid w:val="006C00D0"/>
    <w:rsid w:val="006C06F0"/>
    <w:rsid w:val="006C0E89"/>
    <w:rsid w:val="006C524D"/>
    <w:rsid w:val="006C53F8"/>
    <w:rsid w:val="006D4B0E"/>
    <w:rsid w:val="006D6914"/>
    <w:rsid w:val="006D7907"/>
    <w:rsid w:val="006E32E6"/>
    <w:rsid w:val="006E58A3"/>
    <w:rsid w:val="006F0EFB"/>
    <w:rsid w:val="006F11F1"/>
    <w:rsid w:val="006F2C1C"/>
    <w:rsid w:val="006F789B"/>
    <w:rsid w:val="00702765"/>
    <w:rsid w:val="00705D3A"/>
    <w:rsid w:val="00707890"/>
    <w:rsid w:val="00712C15"/>
    <w:rsid w:val="007150B6"/>
    <w:rsid w:val="00715A48"/>
    <w:rsid w:val="00715CC2"/>
    <w:rsid w:val="007164B1"/>
    <w:rsid w:val="00722780"/>
    <w:rsid w:val="00731145"/>
    <w:rsid w:val="00734AE4"/>
    <w:rsid w:val="00737DEB"/>
    <w:rsid w:val="00737E91"/>
    <w:rsid w:val="00741949"/>
    <w:rsid w:val="00750901"/>
    <w:rsid w:val="007515F8"/>
    <w:rsid w:val="00753775"/>
    <w:rsid w:val="00755555"/>
    <w:rsid w:val="00760685"/>
    <w:rsid w:val="007609B4"/>
    <w:rsid w:val="00761806"/>
    <w:rsid w:val="00762E61"/>
    <w:rsid w:val="00770674"/>
    <w:rsid w:val="00774B92"/>
    <w:rsid w:val="00775DC8"/>
    <w:rsid w:val="00776CD6"/>
    <w:rsid w:val="007801F0"/>
    <w:rsid w:val="00782C25"/>
    <w:rsid w:val="00783D05"/>
    <w:rsid w:val="00783E89"/>
    <w:rsid w:val="00786260"/>
    <w:rsid w:val="00787EE5"/>
    <w:rsid w:val="00792B82"/>
    <w:rsid w:val="00795473"/>
    <w:rsid w:val="00796416"/>
    <w:rsid w:val="007969A3"/>
    <w:rsid w:val="00797363"/>
    <w:rsid w:val="007A5C79"/>
    <w:rsid w:val="007B1614"/>
    <w:rsid w:val="007B4AAD"/>
    <w:rsid w:val="007B57E4"/>
    <w:rsid w:val="007B773A"/>
    <w:rsid w:val="007B7B34"/>
    <w:rsid w:val="007C378D"/>
    <w:rsid w:val="007C4000"/>
    <w:rsid w:val="007C4298"/>
    <w:rsid w:val="007C4EEA"/>
    <w:rsid w:val="007D1BBA"/>
    <w:rsid w:val="007E0458"/>
    <w:rsid w:val="007E3AC6"/>
    <w:rsid w:val="007E50B9"/>
    <w:rsid w:val="007E5AD9"/>
    <w:rsid w:val="007E5B8B"/>
    <w:rsid w:val="007E6AA7"/>
    <w:rsid w:val="007E76F9"/>
    <w:rsid w:val="007F3F17"/>
    <w:rsid w:val="007F5485"/>
    <w:rsid w:val="008018B6"/>
    <w:rsid w:val="00821306"/>
    <w:rsid w:val="008272C4"/>
    <w:rsid w:val="00840C7C"/>
    <w:rsid w:val="008438D2"/>
    <w:rsid w:val="00844ECE"/>
    <w:rsid w:val="00851287"/>
    <w:rsid w:val="008516EF"/>
    <w:rsid w:val="00854402"/>
    <w:rsid w:val="00854E45"/>
    <w:rsid w:val="00857EB2"/>
    <w:rsid w:val="0086236F"/>
    <w:rsid w:val="00866F01"/>
    <w:rsid w:val="0087078F"/>
    <w:rsid w:val="00871685"/>
    <w:rsid w:val="00871C04"/>
    <w:rsid w:val="008749F7"/>
    <w:rsid w:val="008752FB"/>
    <w:rsid w:val="00876F10"/>
    <w:rsid w:val="00884B38"/>
    <w:rsid w:val="00891887"/>
    <w:rsid w:val="00891CFE"/>
    <w:rsid w:val="0089216E"/>
    <w:rsid w:val="00893961"/>
    <w:rsid w:val="00893D10"/>
    <w:rsid w:val="008A0182"/>
    <w:rsid w:val="008A0D69"/>
    <w:rsid w:val="008A1C67"/>
    <w:rsid w:val="008A669E"/>
    <w:rsid w:val="008A6848"/>
    <w:rsid w:val="008B17C2"/>
    <w:rsid w:val="008B37E5"/>
    <w:rsid w:val="008B483F"/>
    <w:rsid w:val="008B6591"/>
    <w:rsid w:val="008B75BE"/>
    <w:rsid w:val="008C6E73"/>
    <w:rsid w:val="008C7C48"/>
    <w:rsid w:val="008D0DEC"/>
    <w:rsid w:val="008D4C08"/>
    <w:rsid w:val="008D5086"/>
    <w:rsid w:val="008D6CA4"/>
    <w:rsid w:val="008D7B50"/>
    <w:rsid w:val="008E4449"/>
    <w:rsid w:val="008E52CE"/>
    <w:rsid w:val="008E6F55"/>
    <w:rsid w:val="008E7010"/>
    <w:rsid w:val="008F103B"/>
    <w:rsid w:val="008F158C"/>
    <w:rsid w:val="008F61E8"/>
    <w:rsid w:val="008F63A3"/>
    <w:rsid w:val="00900113"/>
    <w:rsid w:val="00903D8C"/>
    <w:rsid w:val="009075E6"/>
    <w:rsid w:val="00920643"/>
    <w:rsid w:val="00920EE9"/>
    <w:rsid w:val="00921E51"/>
    <w:rsid w:val="0092572D"/>
    <w:rsid w:val="00927A66"/>
    <w:rsid w:val="0093079D"/>
    <w:rsid w:val="009319F9"/>
    <w:rsid w:val="00931D5E"/>
    <w:rsid w:val="00934FF5"/>
    <w:rsid w:val="00937592"/>
    <w:rsid w:val="0095231E"/>
    <w:rsid w:val="00955A8B"/>
    <w:rsid w:val="009575DD"/>
    <w:rsid w:val="00962D9C"/>
    <w:rsid w:val="00972539"/>
    <w:rsid w:val="00973A7E"/>
    <w:rsid w:val="0097419A"/>
    <w:rsid w:val="009772B4"/>
    <w:rsid w:val="00980BB7"/>
    <w:rsid w:val="00985C0A"/>
    <w:rsid w:val="00986076"/>
    <w:rsid w:val="009908C4"/>
    <w:rsid w:val="00993C30"/>
    <w:rsid w:val="009949B6"/>
    <w:rsid w:val="009A3365"/>
    <w:rsid w:val="009A6005"/>
    <w:rsid w:val="009A6010"/>
    <w:rsid w:val="009B54C8"/>
    <w:rsid w:val="009B6A27"/>
    <w:rsid w:val="009B7CAE"/>
    <w:rsid w:val="009C2D29"/>
    <w:rsid w:val="009C3751"/>
    <w:rsid w:val="009C4DAE"/>
    <w:rsid w:val="009C6344"/>
    <w:rsid w:val="009D47B7"/>
    <w:rsid w:val="009D4B42"/>
    <w:rsid w:val="009F1FA3"/>
    <w:rsid w:val="009F5581"/>
    <w:rsid w:val="009F633D"/>
    <w:rsid w:val="00A00486"/>
    <w:rsid w:val="00A034B0"/>
    <w:rsid w:val="00A03590"/>
    <w:rsid w:val="00A03DA4"/>
    <w:rsid w:val="00A05668"/>
    <w:rsid w:val="00A05F80"/>
    <w:rsid w:val="00A16AC5"/>
    <w:rsid w:val="00A17539"/>
    <w:rsid w:val="00A17A52"/>
    <w:rsid w:val="00A2032C"/>
    <w:rsid w:val="00A25922"/>
    <w:rsid w:val="00A27030"/>
    <w:rsid w:val="00A3141F"/>
    <w:rsid w:val="00A32773"/>
    <w:rsid w:val="00A356B4"/>
    <w:rsid w:val="00A37CB8"/>
    <w:rsid w:val="00A4347F"/>
    <w:rsid w:val="00A52DC2"/>
    <w:rsid w:val="00A60D8A"/>
    <w:rsid w:val="00A61FA2"/>
    <w:rsid w:val="00A63B0E"/>
    <w:rsid w:val="00A66574"/>
    <w:rsid w:val="00A66996"/>
    <w:rsid w:val="00A67129"/>
    <w:rsid w:val="00A71E07"/>
    <w:rsid w:val="00A74C0F"/>
    <w:rsid w:val="00A760B8"/>
    <w:rsid w:val="00A83165"/>
    <w:rsid w:val="00A86136"/>
    <w:rsid w:val="00A86C32"/>
    <w:rsid w:val="00A93295"/>
    <w:rsid w:val="00A960EB"/>
    <w:rsid w:val="00AA4B92"/>
    <w:rsid w:val="00AA6098"/>
    <w:rsid w:val="00AA778F"/>
    <w:rsid w:val="00AC2B1A"/>
    <w:rsid w:val="00AC4CE1"/>
    <w:rsid w:val="00AD5B9F"/>
    <w:rsid w:val="00AD64D7"/>
    <w:rsid w:val="00AD65D1"/>
    <w:rsid w:val="00AD6808"/>
    <w:rsid w:val="00AD69DB"/>
    <w:rsid w:val="00AE1B29"/>
    <w:rsid w:val="00AE2F26"/>
    <w:rsid w:val="00AE7E12"/>
    <w:rsid w:val="00AF2AEB"/>
    <w:rsid w:val="00AF7761"/>
    <w:rsid w:val="00B04759"/>
    <w:rsid w:val="00B05A23"/>
    <w:rsid w:val="00B07543"/>
    <w:rsid w:val="00B10E32"/>
    <w:rsid w:val="00B11733"/>
    <w:rsid w:val="00B12515"/>
    <w:rsid w:val="00B12791"/>
    <w:rsid w:val="00B13656"/>
    <w:rsid w:val="00B147B7"/>
    <w:rsid w:val="00B14AB8"/>
    <w:rsid w:val="00B15CEC"/>
    <w:rsid w:val="00B1710C"/>
    <w:rsid w:val="00B22A20"/>
    <w:rsid w:val="00B24732"/>
    <w:rsid w:val="00B3401B"/>
    <w:rsid w:val="00B35E51"/>
    <w:rsid w:val="00B37330"/>
    <w:rsid w:val="00B4453A"/>
    <w:rsid w:val="00B5368D"/>
    <w:rsid w:val="00B571D1"/>
    <w:rsid w:val="00B578F2"/>
    <w:rsid w:val="00B579F6"/>
    <w:rsid w:val="00B62867"/>
    <w:rsid w:val="00B62F1E"/>
    <w:rsid w:val="00B647AB"/>
    <w:rsid w:val="00B66053"/>
    <w:rsid w:val="00B66FE1"/>
    <w:rsid w:val="00B7324D"/>
    <w:rsid w:val="00B76500"/>
    <w:rsid w:val="00B81D4F"/>
    <w:rsid w:val="00B850EE"/>
    <w:rsid w:val="00B85D10"/>
    <w:rsid w:val="00B8627D"/>
    <w:rsid w:val="00B91889"/>
    <w:rsid w:val="00B958C6"/>
    <w:rsid w:val="00B95B8B"/>
    <w:rsid w:val="00B96309"/>
    <w:rsid w:val="00BB1AB5"/>
    <w:rsid w:val="00BC3CAF"/>
    <w:rsid w:val="00BC5A69"/>
    <w:rsid w:val="00BC6E05"/>
    <w:rsid w:val="00BD119C"/>
    <w:rsid w:val="00BD3106"/>
    <w:rsid w:val="00BD5622"/>
    <w:rsid w:val="00BE0752"/>
    <w:rsid w:val="00BE0F04"/>
    <w:rsid w:val="00BE4D81"/>
    <w:rsid w:val="00BF1550"/>
    <w:rsid w:val="00BF4A4C"/>
    <w:rsid w:val="00BF5C23"/>
    <w:rsid w:val="00BF6A55"/>
    <w:rsid w:val="00C017E0"/>
    <w:rsid w:val="00C0394A"/>
    <w:rsid w:val="00C039F6"/>
    <w:rsid w:val="00C11A54"/>
    <w:rsid w:val="00C13333"/>
    <w:rsid w:val="00C134EC"/>
    <w:rsid w:val="00C13A39"/>
    <w:rsid w:val="00C177B3"/>
    <w:rsid w:val="00C22131"/>
    <w:rsid w:val="00C3236F"/>
    <w:rsid w:val="00C3243E"/>
    <w:rsid w:val="00C326EE"/>
    <w:rsid w:val="00C33556"/>
    <w:rsid w:val="00C33C09"/>
    <w:rsid w:val="00C41131"/>
    <w:rsid w:val="00C42412"/>
    <w:rsid w:val="00C42DF5"/>
    <w:rsid w:val="00C4585D"/>
    <w:rsid w:val="00C50427"/>
    <w:rsid w:val="00C54C4D"/>
    <w:rsid w:val="00C61850"/>
    <w:rsid w:val="00C66E6A"/>
    <w:rsid w:val="00C7375F"/>
    <w:rsid w:val="00C8002B"/>
    <w:rsid w:val="00C80BED"/>
    <w:rsid w:val="00C80E86"/>
    <w:rsid w:val="00C840C7"/>
    <w:rsid w:val="00C84DCB"/>
    <w:rsid w:val="00C84FBB"/>
    <w:rsid w:val="00C8680F"/>
    <w:rsid w:val="00C87E8F"/>
    <w:rsid w:val="00C91D14"/>
    <w:rsid w:val="00C93C90"/>
    <w:rsid w:val="00C958B8"/>
    <w:rsid w:val="00CA0824"/>
    <w:rsid w:val="00CA2F7D"/>
    <w:rsid w:val="00CA4348"/>
    <w:rsid w:val="00CA4587"/>
    <w:rsid w:val="00CB0007"/>
    <w:rsid w:val="00CB1757"/>
    <w:rsid w:val="00CB1B83"/>
    <w:rsid w:val="00CB1EE0"/>
    <w:rsid w:val="00CB6E40"/>
    <w:rsid w:val="00CC2E4B"/>
    <w:rsid w:val="00CC444D"/>
    <w:rsid w:val="00CC4E64"/>
    <w:rsid w:val="00CC7283"/>
    <w:rsid w:val="00CD3E21"/>
    <w:rsid w:val="00CD6780"/>
    <w:rsid w:val="00CD774B"/>
    <w:rsid w:val="00CE42E2"/>
    <w:rsid w:val="00CF55D3"/>
    <w:rsid w:val="00CF65DE"/>
    <w:rsid w:val="00D00427"/>
    <w:rsid w:val="00D02F1F"/>
    <w:rsid w:val="00D036BF"/>
    <w:rsid w:val="00D03E5D"/>
    <w:rsid w:val="00D06D4C"/>
    <w:rsid w:val="00D11F99"/>
    <w:rsid w:val="00D12AA7"/>
    <w:rsid w:val="00D134A3"/>
    <w:rsid w:val="00D15990"/>
    <w:rsid w:val="00D21744"/>
    <w:rsid w:val="00D217D6"/>
    <w:rsid w:val="00D23246"/>
    <w:rsid w:val="00D25F05"/>
    <w:rsid w:val="00D30DD8"/>
    <w:rsid w:val="00D31451"/>
    <w:rsid w:val="00D321AF"/>
    <w:rsid w:val="00D323EA"/>
    <w:rsid w:val="00D32C6A"/>
    <w:rsid w:val="00D40C0E"/>
    <w:rsid w:val="00D4293B"/>
    <w:rsid w:val="00D43433"/>
    <w:rsid w:val="00D46576"/>
    <w:rsid w:val="00D47DFA"/>
    <w:rsid w:val="00D5164E"/>
    <w:rsid w:val="00D52528"/>
    <w:rsid w:val="00D642B8"/>
    <w:rsid w:val="00D702E6"/>
    <w:rsid w:val="00D71A4A"/>
    <w:rsid w:val="00D74320"/>
    <w:rsid w:val="00D81905"/>
    <w:rsid w:val="00D91A11"/>
    <w:rsid w:val="00D95551"/>
    <w:rsid w:val="00DB0AE3"/>
    <w:rsid w:val="00DB3B6A"/>
    <w:rsid w:val="00DB5AA2"/>
    <w:rsid w:val="00DC6272"/>
    <w:rsid w:val="00DC6917"/>
    <w:rsid w:val="00DC7889"/>
    <w:rsid w:val="00DD0C87"/>
    <w:rsid w:val="00DD1D82"/>
    <w:rsid w:val="00DD204D"/>
    <w:rsid w:val="00DD2253"/>
    <w:rsid w:val="00DD5C89"/>
    <w:rsid w:val="00DE13E1"/>
    <w:rsid w:val="00DE2B92"/>
    <w:rsid w:val="00DF18FA"/>
    <w:rsid w:val="00DF34C4"/>
    <w:rsid w:val="00DF5379"/>
    <w:rsid w:val="00E030BB"/>
    <w:rsid w:val="00E071E7"/>
    <w:rsid w:val="00E103BF"/>
    <w:rsid w:val="00E145DF"/>
    <w:rsid w:val="00E2338E"/>
    <w:rsid w:val="00E24141"/>
    <w:rsid w:val="00E243FC"/>
    <w:rsid w:val="00E26835"/>
    <w:rsid w:val="00E2784E"/>
    <w:rsid w:val="00E27D84"/>
    <w:rsid w:val="00E30932"/>
    <w:rsid w:val="00E31A6E"/>
    <w:rsid w:val="00E32E21"/>
    <w:rsid w:val="00E37007"/>
    <w:rsid w:val="00E37F12"/>
    <w:rsid w:val="00E422F2"/>
    <w:rsid w:val="00E42760"/>
    <w:rsid w:val="00E45D32"/>
    <w:rsid w:val="00E50CEE"/>
    <w:rsid w:val="00E5352D"/>
    <w:rsid w:val="00E55518"/>
    <w:rsid w:val="00E60171"/>
    <w:rsid w:val="00E63F2E"/>
    <w:rsid w:val="00E64904"/>
    <w:rsid w:val="00E65603"/>
    <w:rsid w:val="00E66903"/>
    <w:rsid w:val="00E669EE"/>
    <w:rsid w:val="00E7487A"/>
    <w:rsid w:val="00E80A00"/>
    <w:rsid w:val="00E90DA7"/>
    <w:rsid w:val="00E93460"/>
    <w:rsid w:val="00E94541"/>
    <w:rsid w:val="00E96563"/>
    <w:rsid w:val="00E96C94"/>
    <w:rsid w:val="00EA508D"/>
    <w:rsid w:val="00EA5CDF"/>
    <w:rsid w:val="00EA5F5A"/>
    <w:rsid w:val="00EB2BEA"/>
    <w:rsid w:val="00EB3FC3"/>
    <w:rsid w:val="00EB5853"/>
    <w:rsid w:val="00EB6DDB"/>
    <w:rsid w:val="00EC0092"/>
    <w:rsid w:val="00EC3AAA"/>
    <w:rsid w:val="00EC5B12"/>
    <w:rsid w:val="00ED1FF8"/>
    <w:rsid w:val="00EE3BC3"/>
    <w:rsid w:val="00EE62F1"/>
    <w:rsid w:val="00EF427C"/>
    <w:rsid w:val="00EF473D"/>
    <w:rsid w:val="00EF5BEC"/>
    <w:rsid w:val="00F02239"/>
    <w:rsid w:val="00F02B71"/>
    <w:rsid w:val="00F05989"/>
    <w:rsid w:val="00F06F2F"/>
    <w:rsid w:val="00F1376D"/>
    <w:rsid w:val="00F23D6A"/>
    <w:rsid w:val="00F25DDB"/>
    <w:rsid w:val="00F27468"/>
    <w:rsid w:val="00F2750C"/>
    <w:rsid w:val="00F3086E"/>
    <w:rsid w:val="00F312F3"/>
    <w:rsid w:val="00F31EB5"/>
    <w:rsid w:val="00F32329"/>
    <w:rsid w:val="00F32788"/>
    <w:rsid w:val="00F33B5F"/>
    <w:rsid w:val="00F33DFB"/>
    <w:rsid w:val="00F4113F"/>
    <w:rsid w:val="00F427E7"/>
    <w:rsid w:val="00F43631"/>
    <w:rsid w:val="00F44406"/>
    <w:rsid w:val="00F51176"/>
    <w:rsid w:val="00F539EC"/>
    <w:rsid w:val="00F53D7B"/>
    <w:rsid w:val="00F57E8A"/>
    <w:rsid w:val="00F57FDC"/>
    <w:rsid w:val="00F6099C"/>
    <w:rsid w:val="00F62394"/>
    <w:rsid w:val="00F6766D"/>
    <w:rsid w:val="00F67CD2"/>
    <w:rsid w:val="00F73589"/>
    <w:rsid w:val="00F74506"/>
    <w:rsid w:val="00F87E56"/>
    <w:rsid w:val="00F9284D"/>
    <w:rsid w:val="00F93333"/>
    <w:rsid w:val="00F952ED"/>
    <w:rsid w:val="00F959A8"/>
    <w:rsid w:val="00F961D4"/>
    <w:rsid w:val="00F96230"/>
    <w:rsid w:val="00F96C56"/>
    <w:rsid w:val="00F97C05"/>
    <w:rsid w:val="00FA0081"/>
    <w:rsid w:val="00FB28A4"/>
    <w:rsid w:val="00FB3310"/>
    <w:rsid w:val="00FB436F"/>
    <w:rsid w:val="00FB43E2"/>
    <w:rsid w:val="00FC15E4"/>
    <w:rsid w:val="00FC36F8"/>
    <w:rsid w:val="00FC4ECB"/>
    <w:rsid w:val="00FC5711"/>
    <w:rsid w:val="00FC6E9F"/>
    <w:rsid w:val="00FD0279"/>
    <w:rsid w:val="00FD153D"/>
    <w:rsid w:val="00FD1969"/>
    <w:rsid w:val="00FD57E4"/>
    <w:rsid w:val="00FE265A"/>
    <w:rsid w:val="00FE2D56"/>
    <w:rsid w:val="00FE4607"/>
    <w:rsid w:val="00FE4CED"/>
    <w:rsid w:val="00FF6DC3"/>
    <w:rsid w:val="0D4B280C"/>
    <w:rsid w:val="0E330C5D"/>
    <w:rsid w:val="15BE1AC7"/>
    <w:rsid w:val="18DB2CF7"/>
    <w:rsid w:val="1B1D2E24"/>
    <w:rsid w:val="25BE71D5"/>
    <w:rsid w:val="29417969"/>
    <w:rsid w:val="3407261D"/>
    <w:rsid w:val="3B307047"/>
    <w:rsid w:val="3F70041E"/>
    <w:rsid w:val="3F732E6A"/>
    <w:rsid w:val="3FD84540"/>
    <w:rsid w:val="47ED3310"/>
    <w:rsid w:val="54E14E7C"/>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keepLines/>
      <w:spacing w:before="340" w:after="330" w:line="578" w:lineRule="auto"/>
      <w:outlineLvl w:val="0"/>
    </w:pPr>
    <w:rPr>
      <w:b/>
      <w:bCs/>
      <w:kern w:val="44"/>
      <w:sz w:val="44"/>
      <w:szCs w:val="44"/>
    </w:rPr>
  </w:style>
  <w:style w:type="paragraph" w:styleId="Heading2">
    <w:name w:val="heading 2"/>
    <w:basedOn w:val="Normal"/>
    <w:next w:val="Normal"/>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link w:val="CharCharCharChar0"/>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spacing w:after="120"/>
    </w:pPr>
    <w:rPr>
      <w:rFonts w:ascii="宋体"/>
      <w:sz w:val="28"/>
      <w:szCs w:val="20"/>
    </w:rPr>
  </w:style>
  <w:style w:type="paragraph" w:styleId="BodyTextIndent">
    <w:name w:val="Body Text Indent"/>
    <w:basedOn w:val="Normal"/>
    <w:pPr>
      <w:spacing w:after="120"/>
      <w:ind w:left="420" w:leftChars="200"/>
    </w:pPr>
  </w:style>
  <w:style w:type="paragraph" w:styleId="PlainText">
    <w:name w:val="Plain Text"/>
    <w:basedOn w:val="Normal"/>
    <w:link w:val="a"/>
    <w:rPr>
      <w:rFonts w:ascii="宋体" w:hAnsi="Courier New" w:cs="Courier New"/>
      <w:szCs w:val="21"/>
    </w:rPr>
  </w:style>
  <w:style w:type="character" w:customStyle="1" w:styleId="a">
    <w:name w:val="纯文本 字符"/>
    <w:aliases w:val="普通文字 Char Char Char Char Char Char Char Char Char 字符,普通文字 Char Char Char Char 字符,普通文字 Char Char Char 字符,普通文字 Char Char 字符,普通文字 Char 字符,普通文字 字符,纯文本 Char Char Char Char Char Char Char Char Char Char Char Char Char 字符,纯文本 Char Char 字符,纯文本 Char 字符"/>
    <w:link w:val="PlainText"/>
    <w:locked/>
    <w:rPr>
      <w:rFonts w:ascii="宋体" w:eastAsia="宋体" w:hAnsi="Courier New" w:cs="Courier New"/>
      <w:kern w:val="2"/>
      <w:sz w:val="21"/>
      <w:szCs w:val="21"/>
      <w:lang w:val="en-US" w:eastAsia="zh-CN" w:bidi="ar-SA"/>
    </w:rPr>
  </w:style>
  <w:style w:type="paragraph" w:styleId="Date">
    <w:name w:val="Date"/>
    <w:basedOn w:val="Normal"/>
    <w:next w:val="Normal"/>
    <w:rPr>
      <w:szCs w:val="20"/>
    </w:rPr>
  </w:style>
  <w:style w:type="paragraph" w:styleId="BodyTextIndent2">
    <w:name w:val="Body Text Indent 2"/>
    <w:basedOn w:val="Normal"/>
    <w:pPr>
      <w:adjustRightInd w:val="0"/>
      <w:spacing w:line="360" w:lineRule="auto"/>
      <w:ind w:firstLine="480" w:firstLineChars="200"/>
      <w:textAlignment w:val="baseline"/>
    </w:pPr>
    <w:rPr>
      <w:kern w:val="0"/>
      <w:sz w:val="24"/>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1"/>
    <w:pPr>
      <w:tabs>
        <w:tab w:val="center" w:pos="4153"/>
        <w:tab w:val="right" w:pos="8306"/>
      </w:tabs>
      <w:snapToGrid w:val="0"/>
      <w:jc w:val="left"/>
    </w:pPr>
    <w:rPr>
      <w:sz w:val="18"/>
      <w:szCs w:val="18"/>
    </w:rPr>
  </w:style>
  <w:style w:type="character" w:customStyle="1" w:styleId="a1">
    <w:name w:val="页脚 字符"/>
    <w:link w:val="Footer"/>
    <w:rPr>
      <w:kern w:val="2"/>
      <w:sz w:val="18"/>
      <w:szCs w:val="18"/>
    </w:rPr>
  </w:style>
  <w:style w:type="paragraph" w:styleId="Header">
    <w:name w:val="header"/>
    <w:basedOn w:val="Normal"/>
    <w:link w:val="a2"/>
    <w:pPr>
      <w:pBdr>
        <w:bottom w:val="single" w:sz="6" w:space="1" w:color="auto"/>
      </w:pBdr>
      <w:tabs>
        <w:tab w:val="center" w:pos="4153"/>
        <w:tab w:val="right" w:pos="8306"/>
      </w:tabs>
      <w:snapToGrid w:val="0"/>
      <w:jc w:val="center"/>
    </w:pPr>
    <w:rPr>
      <w:sz w:val="18"/>
      <w:szCs w:val="18"/>
    </w:rPr>
  </w:style>
  <w:style w:type="character" w:customStyle="1" w:styleId="a2">
    <w:name w:val="页眉 字符"/>
    <w:link w:val="Header"/>
    <w:rPr>
      <w:kern w:val="2"/>
      <w:sz w:val="18"/>
      <w:szCs w:val="18"/>
    </w:rPr>
  </w:style>
  <w:style w:type="paragraph" w:styleId="TOC1">
    <w:name w:val="toc 1"/>
    <w:basedOn w:val="Normal"/>
    <w:next w:val="Normal"/>
    <w:rPr>
      <w:szCs w:val="20"/>
    </w:r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pPr>
      <w:tabs>
        <w:tab w:val="right" w:leader="dot" w:pos="8296"/>
      </w:tabs>
      <w:jc w:val="center"/>
    </w:pPr>
    <w:rPr>
      <w:b/>
      <w:sz w:val="44"/>
      <w:szCs w:val="44"/>
    </w:rPr>
  </w:style>
  <w:style w:type="paragraph" w:styleId="BodyText2">
    <w:name w:val="Body Text 2"/>
    <w:basedOn w:val="Normal"/>
    <w:pPr>
      <w:jc w:val="center"/>
    </w:pPr>
    <w:rPr>
      <w:rFonts w:ascii="宋体" w:eastAsia="宋体" w:hAnsi="宋体" w:cs="Times New Roman"/>
      <w:sz w:val="18"/>
      <w:szCs w:val="20"/>
    </w:rPr>
  </w:style>
  <w:style w:type="paragraph" w:styleId="HTMLPreformatted">
    <w:name w:val="HTML Preformatted"/>
    <w:basedOn w:val="Normal"/>
    <w:link w:val="HTML"/>
    <w:pPr>
      <w:jc w:val="center"/>
    </w:pPr>
    <w:rPr>
      <w:rFonts w:ascii="Courier New" w:hAnsi="Courier New" w:cs="Courier New"/>
      <w:bCs/>
      <w:kern w:val="0"/>
      <w:sz w:val="20"/>
      <w:szCs w:val="20"/>
      <w:lang w:val="de-DE"/>
    </w:rPr>
  </w:style>
  <w:style w:type="character" w:customStyle="1" w:styleId="HTML">
    <w:name w:val="HTML 预设格式 字符"/>
    <w:link w:val="HTMLPreformatted"/>
    <w:rPr>
      <w:rFonts w:ascii="Courier New" w:eastAsia="宋体" w:hAnsi="Courier New" w:cs="Courier New"/>
      <w:bCs/>
      <w:lang w:val="de-DE" w:eastAsia="zh-CN" w:bidi="ar-SA"/>
    </w:rPr>
  </w:style>
  <w:style w:type="paragraph" w:styleId="NormalWeb">
    <w:name w:val="Normal (Web)"/>
    <w:basedOn w:val="Normal"/>
    <w:pPr>
      <w:widowControl/>
      <w:spacing w:before="100" w:beforeAutospacing="1" w:after="100" w:afterAutospacing="1"/>
      <w:jc w:val="left"/>
    </w:pPr>
    <w:rPr>
      <w:rFonts w:ascii="宋体" w:hAnsi="宋体"/>
      <w:color w:val="000000"/>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0">
    <w:name w:val=" Char Char Char Char"/>
    <w:basedOn w:val="Normal"/>
    <w:link w:val="DefaultParagraphFont"/>
    <w:pPr>
      <w:widowControl/>
      <w:spacing w:after="160" w:line="240" w:lineRule="exact"/>
      <w:jc w:val="left"/>
    </w:pPr>
    <w:rPr>
      <w:rFonts w:ascii="Arial" w:eastAsia="Times New Roman" w:hAnsi="Arial" w:cs="Verdana"/>
      <w:b/>
      <w:kern w:val="0"/>
      <w:sz w:val="24"/>
      <w:szCs w:val="20"/>
      <w:lang w:eastAsia="en-US"/>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single"/>
    </w:rPr>
  </w:style>
  <w:style w:type="paragraph" w:customStyle="1" w:styleId="222XW">
    <w:name w:val="样式 标题 2二处标题 2标题 2XW + (中文) 宋体 四号"/>
    <w:basedOn w:val="Heading2"/>
    <w:pPr>
      <w:adjustRightInd w:val="0"/>
      <w:spacing w:before="0" w:after="0" w:line="360" w:lineRule="auto"/>
      <w:textAlignment w:val="baseline"/>
    </w:pPr>
    <w:rPr>
      <w:rFonts w:eastAsia="宋体"/>
      <w:kern w:val="0"/>
      <w:sz w:val="24"/>
    </w:rPr>
  </w:style>
  <w:style w:type="paragraph" w:customStyle="1" w:styleId="1">
    <w:name w:val="样式 标题 1 + 四号"/>
    <w:basedOn w:val="Heading1"/>
    <w:pPr>
      <w:adjustRightInd w:val="0"/>
      <w:spacing w:before="0" w:after="0" w:line="360" w:lineRule="auto"/>
      <w:textAlignment w:val="baseline"/>
    </w:pPr>
    <w:rPr>
      <w:sz w:val="28"/>
    </w:rPr>
  </w:style>
  <w:style w:type="paragraph" w:customStyle="1" w:styleId="222XW0">
    <w:name w:val="样式 标题 2二处标题 2标题 2XW + 宋体 四号"/>
    <w:basedOn w:val="Heading2"/>
    <w:pPr>
      <w:adjustRightInd w:val="0"/>
      <w:spacing w:before="0" w:after="0" w:line="360" w:lineRule="auto"/>
      <w:textAlignment w:val="baseline"/>
    </w:pPr>
    <w:rPr>
      <w:rFonts w:ascii="宋体" w:eastAsia="宋体" w:hAnsi="宋体"/>
      <w:kern w:val="0"/>
      <w:sz w:val="28"/>
    </w:rPr>
  </w:style>
  <w:style w:type="paragraph" w:customStyle="1" w:styleId="215">
    <w:name w:val="样式 正文文本 + (符号) 宋体 首行缩进:  2 字符 行距: 1.5 倍行距"/>
    <w:basedOn w:val="BodyText"/>
    <w:pPr>
      <w:tabs>
        <w:tab w:val="left" w:pos="2187"/>
      </w:tabs>
      <w:spacing w:after="0" w:line="360" w:lineRule="auto"/>
    </w:pPr>
    <w:rPr>
      <w:rFonts w:hAnsi="宋体" w:cs="宋体"/>
      <w:b/>
      <w:color w:val="000000"/>
      <w:sz w:val="21"/>
      <w:szCs w:val="21"/>
    </w:rPr>
  </w:style>
  <w:style w:type="paragraph" w:customStyle="1" w:styleId="a3">
    <w:name w:val="标书正文"/>
    <w:basedOn w:val="Normal"/>
    <w:pPr>
      <w:adjustRightInd w:val="0"/>
      <w:snapToGrid w:val="0"/>
      <w:spacing w:line="300" w:lineRule="auto"/>
      <w:ind w:firstLine="200" w:firstLineChars="200"/>
    </w:pPr>
    <w:rPr>
      <w:rFonts w:ascii="仿宋_GB2312" w:eastAsia="仿宋_GB2312"/>
      <w:snapToGrid w:val="0"/>
      <w:kern w:val="0"/>
      <w:sz w:val="28"/>
    </w:rPr>
  </w:style>
  <w:style w:type="paragraph" w:customStyle="1" w:styleId="jr111">
    <w:name w:val="jr1.1.1"/>
    <w:basedOn w:val="Normal"/>
    <w:pPr>
      <w:widowControl/>
      <w:adjustRightInd w:val="0"/>
      <w:snapToGrid w:val="0"/>
      <w:spacing w:before="78" w:beforeLines="25" w:after="78" w:afterLines="25"/>
    </w:pPr>
    <w:rPr>
      <w:rFonts w:ascii="新宋体" w:eastAsia="新宋体" w:hAnsi="新宋体"/>
      <w:color w:val="000000"/>
      <w:sz w:val="28"/>
      <w:szCs w:val="20"/>
    </w:rPr>
  </w:style>
  <w:style w:type="paragraph" w:customStyle="1" w:styleId="font628330">
    <w:name w:val="font628330"/>
    <w:basedOn w:val="Normal"/>
    <w:pPr>
      <w:widowControl/>
      <w:spacing w:before="100" w:beforeAutospacing="1" w:after="100" w:afterAutospacing="1"/>
      <w:jc w:val="left"/>
    </w:pPr>
    <w:rPr>
      <w:kern w:val="0"/>
      <w:sz w:val="24"/>
    </w:rPr>
  </w:style>
  <w:style w:type="paragraph" w:customStyle="1" w:styleId="xl2828330">
    <w:name w:val="xl2828330"/>
    <w:basedOn w:val="Normal"/>
    <w:pPr>
      <w:widowControl/>
      <w:spacing w:before="100" w:beforeAutospacing="1" w:after="100" w:afterAutospacing="1"/>
      <w:jc w:val="center"/>
      <w:textAlignment w:val="center"/>
    </w:pPr>
    <w:rPr>
      <w:rFonts w:ascii="宋体" w:hAnsi="宋体" w:cs="宋体"/>
      <w:kern w:val="0"/>
      <w:sz w:val="52"/>
      <w:szCs w:val="52"/>
    </w:rPr>
  </w:style>
  <w:style w:type="paragraph" w:customStyle="1" w:styleId="xl2928330">
    <w:name w:val="xl2928330"/>
    <w:basedOn w:val="Normal"/>
    <w:pPr>
      <w:widowControl/>
      <w:spacing w:before="100" w:beforeAutospacing="1" w:after="100" w:afterAutospacing="1"/>
      <w:jc w:val="left"/>
      <w:textAlignment w:val="bottom"/>
    </w:pPr>
    <w:rPr>
      <w:rFonts w:ascii="宋体" w:hAnsi="宋体" w:cs="宋体"/>
      <w:kern w:val="0"/>
      <w:sz w:val="24"/>
    </w:rPr>
  </w:style>
  <w:style w:type="paragraph" w:customStyle="1" w:styleId="xl3028330">
    <w:name w:val="xl3028330"/>
    <w:basedOn w:val="Normal"/>
    <w:pPr>
      <w:widowControl/>
      <w:spacing w:before="100" w:beforeAutospacing="1" w:after="100" w:afterAutospacing="1"/>
      <w:jc w:val="center"/>
      <w:textAlignment w:val="center"/>
    </w:pPr>
    <w:rPr>
      <w:rFonts w:ascii="宋体" w:hAnsi="宋体" w:cs="宋体"/>
      <w:kern w:val="0"/>
      <w:sz w:val="20"/>
      <w:szCs w:val="20"/>
    </w:rPr>
  </w:style>
  <w:style w:type="paragraph" w:customStyle="1" w:styleId="xl3128330">
    <w:name w:val="xl3128330"/>
    <w:basedOn w:val="Normal"/>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宋体" w:hAnsi="宋体" w:cs="宋体"/>
      <w:kern w:val="0"/>
      <w:sz w:val="20"/>
      <w:szCs w:val="20"/>
    </w:rPr>
  </w:style>
  <w:style w:type="paragraph" w:customStyle="1" w:styleId="xl3228330">
    <w:name w:val="xl3228330"/>
    <w:basedOn w:val="Normal"/>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宋体" w:hAnsi="宋体" w:cs="宋体"/>
      <w:kern w:val="0"/>
      <w:sz w:val="20"/>
      <w:szCs w:val="20"/>
    </w:rPr>
  </w:style>
  <w:style w:type="paragraph" w:customStyle="1" w:styleId="xl3328330">
    <w:name w:val="xl3328330"/>
    <w:basedOn w:val="Normal"/>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宋体" w:hAnsi="宋体" w:cs="宋体"/>
      <w:i/>
      <w:iCs/>
      <w:kern w:val="0"/>
      <w:sz w:val="18"/>
      <w:szCs w:val="18"/>
    </w:rPr>
  </w:style>
  <w:style w:type="paragraph" w:customStyle="1" w:styleId="xl3428330">
    <w:name w:val="xl3428330"/>
    <w:basedOn w:val="Normal"/>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宋体" w:hAnsi="宋体" w:cs="宋体"/>
      <w:i/>
      <w:iCs/>
      <w:kern w:val="0"/>
      <w:sz w:val="18"/>
      <w:szCs w:val="18"/>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image" Target="media/image1.jpeg" /><Relationship Id="rId18" Type="http://schemas.openxmlformats.org/officeDocument/2006/relationships/image" Target="file:///C:\Users\zx\Application%2520Data\Tencent\Users\541124565\QQ\WinTemp\RichOle\OIB96%255d$M41XX1(ZOA@AAJU6.jpg" TargetMode="External" /><Relationship Id="rId19" Type="http://schemas.openxmlformats.org/officeDocument/2006/relationships/image" Target="media/image2.jpeg" /><Relationship Id="rId2" Type="http://schemas.openxmlformats.org/officeDocument/2006/relationships/webSettings" Target="webSettings.xml" /><Relationship Id="rId20" Type="http://schemas.openxmlformats.org/officeDocument/2006/relationships/image" Target="file:///C:\Users\Application%2520Data\Tencent\Users\913002723\QQ\WinTemp\RichOle\%257b%257bCZD44)GF%2560ZA$NPYOSOF~G.jpg" TargetMode="Externa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footer" Target="footer19.xml" /><Relationship Id="rId27" Type="http://schemas.openxmlformats.org/officeDocument/2006/relationships/image" Target="media/image3.wmf" /><Relationship Id="rId28" Type="http://schemas.openxmlformats.org/officeDocument/2006/relationships/oleObject" Target="embeddings/oleObject1.bin" /><Relationship Id="rId29" Type="http://schemas.openxmlformats.org/officeDocument/2006/relationships/image" Target="media/image4.wmf" /><Relationship Id="rId3" Type="http://schemas.openxmlformats.org/officeDocument/2006/relationships/fontTable" Target="fontTable.xml" /><Relationship Id="rId30" Type="http://schemas.openxmlformats.org/officeDocument/2006/relationships/oleObject" Target="embeddings/oleObject2.bin" /><Relationship Id="rId31" Type="http://schemas.openxmlformats.org/officeDocument/2006/relationships/image" Target="media/image5.wmf" /><Relationship Id="rId32" Type="http://schemas.openxmlformats.org/officeDocument/2006/relationships/oleObject" Target="embeddings/oleObject3.bin" /><Relationship Id="rId33" Type="http://schemas.openxmlformats.org/officeDocument/2006/relationships/footer" Target="footer20.xml" /><Relationship Id="rId34" Type="http://schemas.openxmlformats.org/officeDocument/2006/relationships/footer" Target="footer21.xml" /><Relationship Id="rId35" Type="http://schemas.openxmlformats.org/officeDocument/2006/relationships/footer" Target="footer22.xml" /><Relationship Id="rId36" Type="http://schemas.openxmlformats.org/officeDocument/2006/relationships/footer" Target="footer23.xml" /><Relationship Id="rId37" Type="http://schemas.openxmlformats.org/officeDocument/2006/relationships/image" Target="media/image6.wmf" /><Relationship Id="rId38" Type="http://schemas.openxmlformats.org/officeDocument/2006/relationships/footer" Target="footer24.xml" /><Relationship Id="rId39" Type="http://schemas.openxmlformats.org/officeDocument/2006/relationships/footer" Target="footer25.xml" /><Relationship Id="rId4" Type="http://schemas.openxmlformats.org/officeDocument/2006/relationships/footer" Target="footer1.xml" /><Relationship Id="rId40" Type="http://schemas.openxmlformats.org/officeDocument/2006/relationships/footer" Target="footer26.xml" /><Relationship Id="rId41" Type="http://schemas.openxmlformats.org/officeDocument/2006/relationships/footer" Target="footer27.xml" /><Relationship Id="rId42" Type="http://schemas.openxmlformats.org/officeDocument/2006/relationships/footer" Target="footer28.xml" /><Relationship Id="rId43" Type="http://schemas.openxmlformats.org/officeDocument/2006/relationships/footer" Target="footer29.xml" /><Relationship Id="rId44" Type="http://schemas.openxmlformats.org/officeDocument/2006/relationships/footer" Target="footer30.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footer" Target="footer34.xml" /><Relationship Id="rId49" Type="http://schemas.openxmlformats.org/officeDocument/2006/relationships/image" Target="media/image7.jpeg" /><Relationship Id="rId5" Type="http://schemas.openxmlformats.org/officeDocument/2006/relationships/footer" Target="footer2.xml" /><Relationship Id="rId50" Type="http://schemas.openxmlformats.org/officeDocument/2006/relationships/image" Target="file:///C:\Users\zx\Application%2520Data\Tencent\Users\541124565\QQ\WinTemp\RichOle\%255bNHG%257bC$Z65K%255d)E_4F4MX1~L.jpg" TargetMode="External" /><Relationship Id="rId51" Type="http://schemas.openxmlformats.org/officeDocument/2006/relationships/footer" Target="footer35.xml" /><Relationship Id="rId52" Type="http://schemas.openxmlformats.org/officeDocument/2006/relationships/image" Target="media/image8.jpeg" /><Relationship Id="rId53" Type="http://schemas.openxmlformats.org/officeDocument/2006/relationships/image" Target="file:///C:\Users\zx\Application%2520Data\Tencent\Users\541124565\QQ\WinTemp\RichOle\%25605%255dCI$4AV%2560E7X11PXX@1)~8.jpg" TargetMode="External" /><Relationship Id="rId54" Type="http://schemas.openxmlformats.org/officeDocument/2006/relationships/image" Target="media/image9.emf" /><Relationship Id="rId55" Type="http://schemas.openxmlformats.org/officeDocument/2006/relationships/hyperlink" Target="https://d.book118.com/546022201122010030" TargetMode="External" /><Relationship Id="rId56" Type="http://schemas.openxmlformats.org/officeDocument/2006/relationships/footer" Target="footer36.xml" /><Relationship Id="rId57" Type="http://schemas.openxmlformats.org/officeDocument/2006/relationships/theme" Target="theme/theme1.xml" /><Relationship Id="rId58" Type="http://schemas.openxmlformats.org/officeDocument/2006/relationships/numbering" Target="numbering.xml" /><Relationship Id="rId59"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5891</Words>
  <Characters>33582</Characters>
  <Application>Microsoft Office Word</Application>
  <DocSecurity>0</DocSecurity>
  <Lines>279</Lines>
  <Paragraphs>78</Paragraphs>
  <ScaleCrop>false</ScaleCrop>
  <Company/>
  <LinksUpToDate>false</LinksUpToDate>
  <CharactersWithSpaces>39395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新;袁晶;admin</dc:creator>
  <cp:lastModifiedBy>张新</cp:lastModifiedBy>
  <cp:revision>715</cp:revision>
  <cp:lastPrinted>2019-07-11T11:55:00Z</cp:lastPrinted>
  <dcterms:created xsi:type="dcterms:W3CDTF">2011-10-09T07:25:00Z</dcterms:created>
  <dcterms:modified xsi:type="dcterms:W3CDTF">2023-12-23T06:05:17Z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F8517EC75A8C4FAEAD53DCFB5D5CEDE1_13</vt:lpwstr>
  </property>
  <property fmtid="{D5CDD505-2E9C-101B-9397-08002B2CF9AE}" pid="3" name="KSOProductBuildVer">
    <vt:lpwstr>2052-12.1.0.16120</vt:lpwstr>
  </property>
</Properties>
</file>