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2018-2023年三亚城市职业学院高职单招（数学／语文／英语）历年常考试题库含答案解析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李煜的《虞美人（春花秋月何时了）》一词抒写的是（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A.美景依旧，人事已非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B.对故国宫殿衰败的痛惜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C.故国宫苑中美好的时光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D.亡国的伤痛与哀怨忧愁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《声声慢》（寻寻觅觅）中体现家破人亡之痛的词句是（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A.三杯两盏淡酒，怎敌他、晚来风急。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D.梧桐更兼细雨，到黄昏、点点滴滴。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“贻笑大方”这个成语出自于（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C.《秋水》（节选）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在屠格涅夫《门槛》中，“门槛”的象征意义是（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B.参加革命的条件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C.革命征途上的艰难险阻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D.革命者的献身精神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有“曲状元”之称的元代散曲家是（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《报刘一丈书》中“权者”暗指（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B.刘一丈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莫泊桑是（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A.自然主义作家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B.法国批判现实主义大师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C.法国19世纪小说家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D.法国20世纪杰出的诗人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下列作品中，属于艾青成名作的一项是（）。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B.《火把》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《季氏将伐颛臾》选自（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D.《荀子》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柳宗元《种树郭橐驼传》的主要写作意图是（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C.记述乡间访民的情景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D.阐述“养民治国”的思想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A.故今具道所以，冀君实或见恕也。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B.若弗与，则请除之，无生民心。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C.及尔偕老，老使我怨。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https://d.book118.com/546042230230010052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546042230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