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21C6" w14:paraId="1FE44B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21C6" w14:paraId="556E2A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21C6" w14:paraId="79CDF1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21C6" w:rsidRPr="00AD21C6" w14:paraId="2A60173F" w14:textId="1F9948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21C6">
        <w:rPr>
          <w:rFonts w:ascii="宋体" w:eastAsia="宋体" w:hAnsi="宋体" w:hint="eastAsia"/>
          <w:b/>
          <w:sz w:val="60"/>
        </w:rPr>
        <w:t>电瓶三轮车企业战略风险管理</w:t>
      </w:r>
    </w:p>
    <w:p w:rsidR="00AD21C6" w:rsidP="00AD21C6" w14:paraId="2A7BCEBE" w14:textId="35A231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21C6">
        <w:rPr>
          <w:rFonts w:ascii="仿宋" w:eastAsia="仿宋" w:hAnsi="仿宋" w:hint="eastAsia"/>
          <w:b/>
          <w:sz w:val="40"/>
        </w:rPr>
        <w:t>目录</w:t>
      </w:r>
    </w:p>
    <w:p w:rsidR="00AD21C6" w14:paraId="434C4734" w14:textId="5F8A20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_Toc156899999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21C6" w14:paraId="60546B88" w14:textId="5A7D62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21C6" w14:paraId="21AE31DA" w14:textId="43A9F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21C6" w14:paraId="32BB2BD2" w14:textId="63AD4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21C6" w14:paraId="518CF6E6" w14:textId="0993E5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21C6" w14:paraId="27E8A6B4" w14:textId="7CEA3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21C6" w14:paraId="2350165E" w14:textId="0AFFA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(二)、电瓶三轮车行业企业战略风险的分类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21C6" w14:paraId="5276D8DB" w14:textId="6E9466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21C6" w14:paraId="346A390E" w14:textId="3231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21C6" w14:paraId="6A1B8C59" w14:textId="1A2884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D21C6" w14:paraId="3DE4305D" w14:textId="3B618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D21C6" w14:paraId="76202730" w14:textId="15E0C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21C6" w14:paraId="4A8C609C" w14:textId="60614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21C6" w14:paraId="06632A66" w14:textId="3FC87C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五、电瓶三轮车行业企业业务流程管理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21C6" w14:paraId="255E49D9" w14:textId="669ED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21C6" w14:paraId="2D43C58D" w14:textId="57126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D21C6" w14:paraId="1BFE8326" w14:textId="5EBB2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D21C6" w14:paraId="0DFA02E1" w14:textId="2B5504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D21C6" w14:paraId="4B4D1C72" w14:textId="29083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(一)、电瓶三轮车行业企业在确定愿景及使命时的风险识别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D21C6" w14:paraId="68492FC8" w14:textId="31438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(二)、制定电瓶三轮车行业企业战略目标的风险识别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D21C6" w14:paraId="5ABAFAD9" w14:textId="4BAEDA5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(三)、电瓶三轮车行业企业战略分析的风险识别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D21C6" w14:paraId="523645F3" w14:textId="31BEA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(四)、电瓶三轮车行业企业战略选择的风险识别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D21C6" w14:paraId="0726636E" w14:textId="29307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(五)、电瓶三轮车行业企业战略实施的风险识别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D21C6" w14:paraId="66C138DE" w14:textId="17AABD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七、电瓶三轮车项目基本情况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D21C6" w14:paraId="1DAF888C" w14:textId="3B829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(一)、电瓶三轮车项目投资人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D21C6" w14:paraId="72162BE9" w14:textId="264C4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(二)、电瓶三轮车项目选址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D21C6" w14:paraId="579F8DAB" w14:textId="32957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(三)、电瓶三轮车项目实施进度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D21C6" w14:paraId="1F0AB50F" w14:textId="5F2DB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D21C6" w14:paraId="78D0D56A" w14:textId="38264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D21C6" w14:paraId="7E9842F5" w14:textId="596FF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D21C6" w14:paraId="324DB029" w14:textId="57E90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D21C6" w14:paraId="696BD1CF" w14:textId="158C0C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D21C6" w14:paraId="685CE5E3" w14:textId="2E991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D21C6" w14:paraId="4EEC20B0" w14:textId="45BDEE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D21C6" w14:paraId="53AED701" w14:textId="03A97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D21C6" w14:paraId="757B1DBF" w14:textId="3D0C13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D21C6" w14:paraId="0F31272B" w14:textId="7BCED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D21C6" w14:paraId="6BB85CFB" w14:textId="209D28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D21C6" w14:paraId="1AD40A83" w14:textId="42CD4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D21C6" w14:paraId="53A40AD9" w14:textId="7600E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D21C6" w14:paraId="5740F6B4" w14:textId="2DAC8D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D21C6" w14:paraId="7245495B" w14:textId="38FA6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D21C6" w14:paraId="671C0C76" w14:textId="7239D12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D21C6" w14:paraId="3A16F3FE" w14:textId="4BF9C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D21C6" w14:paraId="1D9B2B0C" w14:textId="58AAD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D21C6" w14:paraId="64CF21AE" w14:textId="1F94FE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_Toc156900044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D21C6" w14:paraId="794C047F" w14:textId="59A18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D21C6" w14:paraId="745578BD" w14:textId="0784D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D21C6" w14:paraId="0E05ED90" w14:textId="5B7E0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_Toc156900047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D21C6" w14:paraId="14776D61" w14:textId="29586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_Toc156900048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D21C6" w14:paraId="44ABE154" w14:textId="641C25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D21C6" w14:paraId="10F02B1C" w14:textId="584E6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D21C6" w14:paraId="68B2919C" w14:textId="0885F9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十五、电瓶三轮车行业企业过去战略的影响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_Toc156900051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D21C6" w14:paraId="2588EF9B" w14:textId="6B9ED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(一)、电瓶三轮车行业企业过去战略的影响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D21C6" w14:paraId="115CD04C" w14:textId="636210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_Toc156900053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D21C6" w14:paraId="30AFB5EC" w14:textId="1518D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_Toc156900054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D21C6" w14:paraId="5FE2EF0E" w14:textId="1CCE6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_Toc156900055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D21C6" w14:paraId="1FF9E180" w14:textId="14FEC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_Toc156900056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D21C6" w14:paraId="504CB72D" w14:textId="7735A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_Toc156900057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D21C6" w14:paraId="2A1C24B9" w14:textId="224E8E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_Toc156900058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D21C6" w14:paraId="14B98BDA" w14:textId="6B479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_Toc156900059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D21C6" w:rsidP="00AD21C6" w14:paraId="10162218" w14:textId="2D36D7F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D21C6" w:rsidP="00AD21C6" w14:paraId="7BD5E48D" w14:textId="373890C2">
      <w:pPr>
        <w:pStyle w:val="Heading1"/>
        <w:jc w:val="center"/>
        <w:rPr>
          <w:rFonts w:hint="eastAsia"/>
        </w:rPr>
      </w:pPr>
      <w:bookmarkStart w:id="0" w:name="_Toc156899999"/>
      <w:r w:rsidRPr="00AD21C6">
        <w:rPr>
          <w:rFonts w:hint="eastAsia"/>
        </w:rPr>
        <w:t>序言</w:t>
      </w:r>
      <w:bookmarkEnd w:id="0"/>
    </w:p>
    <w:p w:rsidR="00AD21C6" w:rsidP="00AD21C6" w14:paraId="0235ADFA" w14:textId="6060070A">
      <w:pPr>
        <w:ind w:firstLine="560" w:firstLineChars="200"/>
        <w:rPr>
          <w:rFonts w:ascii="仿宋" w:eastAsia="仿宋" w:hint="eastAsia"/>
          <w:sz w:val="28"/>
        </w:rPr>
      </w:pPr>
      <w:r w:rsidRPr="00AD21C6">
        <w:rPr>
          <w:rFonts w:ascii="仿宋" w:eastAsia="仿宋" w:hint="eastAsia"/>
          <w:sz w:val="28"/>
        </w:rPr>
        <w:t>在当前全球市场环境下，电瓶三轮车行业企业战略风险管理显得尤为关键，其目标是为了保障企业的稳定发展和长远竞争优势。有效的风险管理不仅可以帮助企业识别、评估和应对潜在的风险，还可以提升企业对市场变化的适应能力，确保资源的优化配置。鉴于此，本文旨在系统地探讨企业战略风险管理的理论基础、实施路径和效果评价，以促进管理实践的进步。本文内容不可作为商业用途，只用作学习交流。</w:t>
      </w:r>
    </w:p>
    <w:p w:rsidR="00AD21C6" w:rsidP="00AD21C6" w14:paraId="5F1B0515" w14:textId="2A9ECE85">
      <w:pPr>
        <w:pStyle w:val="Heading1"/>
        <w:rPr>
          <w:rFonts w:hint="eastAsia"/>
        </w:rPr>
      </w:pPr>
      <w:bookmarkStart w:id="1" w:name="_Toc156900000"/>
      <w:r w:rsidRPr="00AD21C6">
        <w:rPr>
          <w:rFonts w:hint="eastAsia"/>
        </w:rPr>
        <w:t>一、发展规划分析</w:t>
      </w:r>
      <w:bookmarkEnd w:id="1"/>
    </w:p>
    <w:p w:rsidR="00AD21C6" w:rsidP="00AD21C6" w14:paraId="3AD011F0" w14:textId="5B4CE8AC">
      <w:pPr>
        <w:pStyle w:val="Heading2"/>
      </w:pPr>
      <w:bookmarkStart w:id="2" w:name="_Toc156900001"/>
      <w:r w:rsidRPr="00AD21C6">
        <w:t>(一)、公司发展规划</w:t>
      </w:r>
      <w:bookmarkEnd w:id="2"/>
    </w:p>
    <w:p w:rsidR="00AD21C6" w:rsidRPr="00AD21C6" w:rsidP="00AD21C6" w14:paraId="2FB4BF40" w14:textId="77777777">
      <w:pPr>
        <w:ind w:firstLine="560" w:firstLineChars="200"/>
        <w:rPr>
          <w:rFonts w:ascii="仿宋" w:eastAsia="仿宋" w:hAnsi="仿宋"/>
          <w:sz w:val="28"/>
        </w:rPr>
      </w:pPr>
      <w:r w:rsidRPr="00AD21C6">
        <w:rPr>
          <w:rFonts w:ascii="仿宋" w:eastAsia="仿宋" w:hAnsi="仿宋"/>
          <w:sz w:val="28"/>
        </w:rPr>
        <w:t>1、战略制定</w:t>
      </w:r>
    </w:p>
    <w:p w:rsidR="00AD21C6" w:rsidRPr="00AD21C6" w:rsidP="00AD21C6" w14:paraId="2C469AE9" w14:textId="77777777">
      <w:pPr>
        <w:ind w:firstLine="560" w:firstLineChars="200"/>
        <w:rPr>
          <w:rFonts w:ascii="仿宋" w:eastAsia="仿宋" w:hAnsi="仿宋"/>
          <w:sz w:val="28"/>
        </w:rPr>
      </w:pPr>
      <w:r w:rsidRPr="00AD21C6">
        <w:rPr>
          <w:rFonts w:ascii="仿宋" w:eastAsia="仿宋" w:hAnsi="仿宋"/>
          <w:sz w:val="28"/>
        </w:rPr>
        <w:t>(1)战略方向</w:t>
      </w:r>
    </w:p>
    <w:p w:rsidR="00AD21C6" w:rsidRPr="00AD21C6" w:rsidP="00AD21C6" w14:paraId="0C64E29B" w14:textId="77777777">
      <w:pPr>
        <w:ind w:firstLine="560" w:firstLineChars="200"/>
        <w:rPr>
          <w:rFonts w:ascii="仿宋" w:eastAsia="仿宋" w:hAnsi="仿宋"/>
          <w:sz w:val="28"/>
        </w:rPr>
      </w:pPr>
      <w:r w:rsidRPr="00AD21C6">
        <w:rPr>
          <w:rFonts w:ascii="仿宋" w:eastAsia="仿宋" w:hAnsi="仿宋" w:hint="eastAsia"/>
          <w:sz w:val="28"/>
        </w:rPr>
        <w:t>作为支撑高附加值产业的重要技术支持，公司正在经历由“高速增长”到“高质量发展”的转变。公司秉持“科技、创新”为经营理念，专注于技术创新、智能制造、产品升级和节能环保，致力于构建技术密集、资源节约、环境友好、品质卓越、可持续发展的电瓶三轮车行业企业。这一转型战略旨在推动公司实现高质量可持续发展。</w:t>
      </w:r>
    </w:p>
    <w:p w:rsidR="00AD21C6" w:rsidRPr="00AD21C6" w:rsidP="00AD21C6" w14:paraId="20C8D7F1" w14:textId="77777777">
      <w:pPr>
        <w:ind w:firstLine="560" w:firstLineChars="200"/>
        <w:rPr>
          <w:rFonts w:ascii="仿宋" w:eastAsia="仿宋" w:hAnsi="仿宋"/>
          <w:sz w:val="28"/>
        </w:rPr>
      </w:pPr>
      <w:r w:rsidRPr="00AD21C6">
        <w:rPr>
          <w:rFonts w:ascii="仿宋" w:eastAsia="仿宋" w:hAnsi="仿宋"/>
          <w:sz w:val="28"/>
        </w:rPr>
        <w:t>(2)经营目标</w:t>
      </w:r>
    </w:p>
    <w:p w:rsidR="00AD21C6" w:rsidRPr="00AD21C6" w:rsidP="00AD21C6" w14:paraId="52EC5A5F" w14:textId="77777777">
      <w:pPr>
        <w:ind w:firstLine="560" w:firstLineChars="200"/>
        <w:rPr>
          <w:rFonts w:ascii="仿宋" w:eastAsia="仿宋" w:hAnsi="仿宋"/>
          <w:sz w:val="28"/>
        </w:rPr>
      </w:pPr>
      <w:r w:rsidRPr="00AD21C6">
        <w:rPr>
          <w:rFonts w:ascii="仿宋" w:eastAsia="仿宋" w:hAnsi="仿宋"/>
          <w:sz w:val="28"/>
        </w:rPr>
        <w:br/>
      </w:r>
      <w:r w:rsidRPr="00AD21C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https://d.book118.com/546054222014010043</w:t>
        </w:r>
      </w:hyperlink>
    </w:p>
    <w:p w:rsidR="00AD21C6" w:rsidRPr="00AD21C6" w:rsidP="00AD21C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P="003E05CF" w14:paraId="6E908B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21C6" w14:paraId="61B57D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P="003E05CF" w14:paraId="3A4B47DC" w14:textId="19AB32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21C6" w14:paraId="25B114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paraId="4F8A50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P="003E05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21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P="003E05CF" w14:textId="19AB32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21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P="003E05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21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P="003E05CF" w14:textId="19AB32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D21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P="003E05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21C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P="003E05CF" w14:textId="19AB32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D21C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P="003E05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21C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P="003E05CF" w14:textId="19AB32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D21C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paraId="25FB9B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RPr="00AD21C6" w:rsidP="00AD21C6" w14:paraId="0563C362" w14:textId="08480C40">
    <w:pPr>
      <w:pStyle w:val="Header"/>
      <w:rPr>
        <w:rFonts w:ascii="仿宋" w:eastAsia="仿宋" w:hAnsi="仿宋"/>
      </w:rPr>
    </w:pPr>
    <w:r w:rsidRPr="00AD21C6">
      <w:rPr>
        <w:rFonts w:ascii="仿宋" w:eastAsia="仿宋" w:hAnsi="仿宋" w:hint="eastAsia"/>
      </w:rPr>
      <w:t>电瓶三轮车企业战略风险管理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paraId="30C218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RPr="00AD21C6" w:rsidP="00AD21C6" w14:textId="08480C40">
    <w:pPr>
      <w:pStyle w:val="Header"/>
      <w:rPr>
        <w:rFonts w:ascii="仿宋" w:eastAsia="仿宋" w:hAnsi="仿宋"/>
      </w:rPr>
    </w:pPr>
    <w:r w:rsidRPr="00AD21C6">
      <w:rPr>
        <w:rFonts w:ascii="仿宋" w:eastAsia="仿宋" w:hAnsi="仿宋" w:hint="eastAsia"/>
      </w:rPr>
      <w:t>电瓶三轮车企业战略风险管理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RPr="00AD21C6" w:rsidP="00AD21C6" w14:textId="08480C40">
    <w:pPr>
      <w:pStyle w:val="Header"/>
      <w:rPr>
        <w:rFonts w:ascii="仿宋" w:eastAsia="仿宋" w:hAnsi="仿宋"/>
      </w:rPr>
    </w:pPr>
    <w:r w:rsidRPr="00AD21C6">
      <w:rPr>
        <w:rFonts w:ascii="仿宋" w:eastAsia="仿宋" w:hAnsi="仿宋" w:hint="eastAsia"/>
      </w:rPr>
      <w:t>电瓶三轮车企业战略风险管理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RPr="00AD21C6" w:rsidP="00AD21C6" w14:textId="08480C40">
    <w:pPr>
      <w:pStyle w:val="Header"/>
      <w:rPr>
        <w:rFonts w:ascii="仿宋" w:eastAsia="仿宋" w:hAnsi="仿宋"/>
      </w:rPr>
    </w:pPr>
    <w:r w:rsidRPr="00AD21C6">
      <w:rPr>
        <w:rFonts w:ascii="仿宋" w:eastAsia="仿宋" w:hAnsi="仿宋" w:hint="eastAsia"/>
      </w:rPr>
      <w:t>电瓶三轮车企业战略风险管理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:rsidRPr="00AD21C6" w:rsidP="00AD21C6" w14:textId="08480C40">
    <w:pPr>
      <w:pStyle w:val="Header"/>
      <w:rPr>
        <w:rFonts w:ascii="仿宋" w:eastAsia="仿宋" w:hAnsi="仿宋"/>
      </w:rPr>
    </w:pPr>
    <w:r w:rsidRPr="00AD21C6">
      <w:rPr>
        <w:rFonts w:ascii="仿宋" w:eastAsia="仿宋" w:hAnsi="仿宋" w:hint="eastAsia"/>
      </w:rPr>
      <w:t>电瓶三轮车企业战略风险管理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1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C6"/>
    <w:rsid w:val="003E05CF"/>
    <w:rsid w:val="00AD21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497C89"/>
  <w15:chartTrackingRefBased/>
  <w15:docId w15:val="{8C36A52E-2AB0-4881-A4A7-C3C488DCD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D21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D21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D21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D21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D21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21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2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21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D21C6"/>
  </w:style>
  <w:style w:type="paragraph" w:styleId="TOC1">
    <w:name w:val="toc 1"/>
    <w:basedOn w:val="Normal"/>
    <w:next w:val="Normal"/>
    <w:autoRedefine/>
    <w:uiPriority w:val="39"/>
    <w:unhideWhenUsed/>
    <w:rsid w:val="00AD21C6"/>
  </w:style>
  <w:style w:type="paragraph" w:styleId="TOC2">
    <w:name w:val="toc 2"/>
    <w:basedOn w:val="Normal"/>
    <w:next w:val="Normal"/>
    <w:autoRedefine/>
    <w:uiPriority w:val="39"/>
    <w:unhideWhenUsed/>
    <w:rsid w:val="00AD21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6054222014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5051</Words>
  <Characters>28795</Characters>
  <Application>Microsoft Office Word</Application>
  <DocSecurity>0</DocSecurity>
  <Lines>239</Lines>
  <Paragraphs>67</Paragraphs>
  <ScaleCrop>false</ScaleCrop>
  <Company/>
  <LinksUpToDate>false</LinksUpToDate>
  <CharactersWithSpaces>33779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2024-01-23T02:59:00Z</dcterms:created>
  <dcterms:modified xsi:type="dcterms:W3CDTF">2024-01-23T02:59:00Z</dcterms:modified>
</cp:coreProperties>
</file>