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碳化硅超细粉体项目规划设计纲要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67" w:history="1">
        <w:r>
          <w:rPr>
            <w:rFonts w:ascii="仿宋" w:eastAsia="仿宋" w:hAnsi="仿宋" w:cs="仿宋" w:hint="eastAsia"/>
            <w:lang w:eastAsia="zh-CN"/>
          </w:rPr>
          <w:t>序言</w:t>
        </w:r>
        <w:r>
          <w:tab/>
        </w:r>
        <w:r>
          <w:fldChar w:fldCharType="begin"/>
        </w:r>
        <w:r>
          <w:instrText xml:space="preserve"> PAGEREF _Toc26767 \h </w:instrText>
        </w:r>
        <w:r>
          <w:fldChar w:fldCharType="separate"/>
        </w:r>
        <w:r>
          <w:t>3</w:t>
        </w:r>
        <w:r>
          <w:fldChar w:fldCharType="end"/>
        </w:r>
      </w:hyperlink>
    </w:p>
    <w:p>
      <w:pPr>
        <w:pStyle w:val="TOC1"/>
        <w:tabs>
          <w:tab w:val="right" w:leader="dot" w:pos="8306"/>
        </w:tabs>
      </w:pPr>
      <w:hyperlink w:anchor="_Toc7910" w:history="1">
        <w:r>
          <w:rPr>
            <w:rFonts w:ascii="仿宋" w:eastAsia="仿宋" w:hAnsi="仿宋" w:cs="仿宋" w:hint="eastAsia"/>
            <w:lang w:eastAsia="zh-CN"/>
          </w:rPr>
          <w:t>一、碳化硅超细粉体项目绩效评估</w:t>
        </w:r>
        <w:r>
          <w:tab/>
        </w:r>
        <w:r>
          <w:fldChar w:fldCharType="begin"/>
        </w:r>
        <w:r>
          <w:instrText xml:space="preserve"> PAGEREF _Toc7910 \h </w:instrText>
        </w:r>
        <w:r>
          <w:fldChar w:fldCharType="separate"/>
        </w:r>
        <w:r>
          <w:t>3</w:t>
        </w:r>
        <w:r>
          <w:fldChar w:fldCharType="end"/>
        </w:r>
      </w:hyperlink>
    </w:p>
    <w:p>
      <w:pPr>
        <w:pStyle w:val="TOC2"/>
        <w:tabs>
          <w:tab w:val="right" w:leader="dot" w:pos="8306"/>
        </w:tabs>
      </w:pPr>
      <w:hyperlink w:anchor="_Toc4106" w:history="1">
        <w:r>
          <w:rPr>
            <w:rFonts w:ascii="仿宋" w:eastAsia="仿宋" w:hAnsi="仿宋" w:cs="仿宋" w:hint="eastAsia"/>
            <w:lang w:eastAsia="zh-CN"/>
          </w:rPr>
          <w:t>(一)、绩效评估指标</w:t>
        </w:r>
        <w:r>
          <w:tab/>
        </w:r>
        <w:r>
          <w:fldChar w:fldCharType="begin"/>
        </w:r>
        <w:r>
          <w:instrText xml:space="preserve"> PAGEREF _Toc4106 \h </w:instrText>
        </w:r>
        <w:r>
          <w:fldChar w:fldCharType="separate"/>
        </w:r>
        <w:r>
          <w:t>3</w:t>
        </w:r>
        <w:r>
          <w:fldChar w:fldCharType="end"/>
        </w:r>
      </w:hyperlink>
    </w:p>
    <w:p>
      <w:pPr>
        <w:pStyle w:val="TOC2"/>
        <w:tabs>
          <w:tab w:val="right" w:leader="dot" w:pos="8306"/>
        </w:tabs>
      </w:pPr>
      <w:hyperlink w:anchor="_Toc19605" w:history="1">
        <w:r>
          <w:rPr>
            <w:rFonts w:ascii="仿宋" w:eastAsia="仿宋" w:hAnsi="仿宋" w:cs="仿宋" w:hint="eastAsia"/>
            <w:lang w:eastAsia="zh-CN"/>
          </w:rPr>
          <w:t>(二)、绩效评估方法</w:t>
        </w:r>
        <w:r>
          <w:tab/>
        </w:r>
        <w:r>
          <w:fldChar w:fldCharType="begin"/>
        </w:r>
        <w:r>
          <w:instrText xml:space="preserve"> PAGEREF _Toc19605 \h </w:instrText>
        </w:r>
        <w:r>
          <w:fldChar w:fldCharType="separate"/>
        </w:r>
        <w:r>
          <w:t>4</w:t>
        </w:r>
        <w:r>
          <w:fldChar w:fldCharType="end"/>
        </w:r>
      </w:hyperlink>
    </w:p>
    <w:p>
      <w:pPr>
        <w:pStyle w:val="TOC2"/>
        <w:tabs>
          <w:tab w:val="right" w:leader="dot" w:pos="8306"/>
        </w:tabs>
      </w:pPr>
      <w:hyperlink w:anchor="_Toc16830" w:history="1">
        <w:r>
          <w:rPr>
            <w:rFonts w:ascii="仿宋" w:eastAsia="仿宋" w:hAnsi="仿宋" w:cs="仿宋" w:hint="eastAsia"/>
            <w:lang w:eastAsia="zh-CN"/>
          </w:rPr>
          <w:t>(三)、绩效评估周期</w:t>
        </w:r>
        <w:r>
          <w:tab/>
        </w:r>
        <w:r>
          <w:fldChar w:fldCharType="begin"/>
        </w:r>
        <w:r>
          <w:instrText xml:space="preserve"> PAGEREF _Toc16830 \h </w:instrText>
        </w:r>
        <w:r>
          <w:fldChar w:fldCharType="separate"/>
        </w:r>
        <w:r>
          <w:t>5</w:t>
        </w:r>
        <w:r>
          <w:fldChar w:fldCharType="end"/>
        </w:r>
      </w:hyperlink>
    </w:p>
    <w:p>
      <w:pPr>
        <w:pStyle w:val="TOC1"/>
        <w:tabs>
          <w:tab w:val="right" w:leader="dot" w:pos="8306"/>
        </w:tabs>
      </w:pPr>
      <w:hyperlink w:anchor="_Toc4561" w:history="1">
        <w:r>
          <w:rPr>
            <w:rFonts w:ascii="仿宋" w:eastAsia="仿宋" w:hAnsi="仿宋" w:cs="仿宋" w:hint="eastAsia"/>
            <w:lang w:eastAsia="zh-CN"/>
          </w:rPr>
          <w:t>二、碳化硅超细粉体项目可持续发展</w:t>
        </w:r>
        <w:r>
          <w:tab/>
        </w:r>
        <w:r>
          <w:fldChar w:fldCharType="begin"/>
        </w:r>
        <w:r>
          <w:instrText xml:space="preserve"> PAGEREF _Toc4561 \h </w:instrText>
        </w:r>
        <w:r>
          <w:fldChar w:fldCharType="separate"/>
        </w:r>
        <w:r>
          <w:t>6</w:t>
        </w:r>
        <w:r>
          <w:fldChar w:fldCharType="end"/>
        </w:r>
      </w:hyperlink>
    </w:p>
    <w:p>
      <w:pPr>
        <w:pStyle w:val="TOC2"/>
        <w:tabs>
          <w:tab w:val="right" w:leader="dot" w:pos="8306"/>
        </w:tabs>
      </w:pPr>
      <w:hyperlink w:anchor="_Toc17181" w:history="1">
        <w:r>
          <w:rPr>
            <w:rFonts w:ascii="仿宋" w:eastAsia="仿宋" w:hAnsi="仿宋" w:cs="仿宋" w:hint="eastAsia"/>
            <w:lang w:eastAsia="zh-CN"/>
          </w:rPr>
          <w:t>(一)、可持续战略与实践</w:t>
        </w:r>
        <w:r>
          <w:tab/>
        </w:r>
        <w:r>
          <w:fldChar w:fldCharType="begin"/>
        </w:r>
        <w:r>
          <w:instrText xml:space="preserve"> PAGEREF _Toc17181 \h </w:instrText>
        </w:r>
        <w:r>
          <w:fldChar w:fldCharType="separate"/>
        </w:r>
        <w:r>
          <w:t>6</w:t>
        </w:r>
        <w:r>
          <w:fldChar w:fldCharType="end"/>
        </w:r>
      </w:hyperlink>
    </w:p>
    <w:p>
      <w:pPr>
        <w:pStyle w:val="TOC2"/>
        <w:tabs>
          <w:tab w:val="right" w:leader="dot" w:pos="8306"/>
        </w:tabs>
      </w:pPr>
      <w:hyperlink w:anchor="_Toc31258" w:history="1">
        <w:r>
          <w:rPr>
            <w:rFonts w:ascii="仿宋" w:eastAsia="仿宋" w:hAnsi="仿宋" w:cs="仿宋" w:hint="eastAsia"/>
            <w:lang w:eastAsia="zh-CN"/>
          </w:rPr>
          <w:t>(二)、环保与社会责任</w:t>
        </w:r>
        <w:r>
          <w:tab/>
        </w:r>
        <w:r>
          <w:fldChar w:fldCharType="begin"/>
        </w:r>
        <w:r>
          <w:instrText xml:space="preserve"> PAGEREF _Toc31258 \h </w:instrText>
        </w:r>
        <w:r>
          <w:fldChar w:fldCharType="separate"/>
        </w:r>
        <w:r>
          <w:t>7</w:t>
        </w:r>
        <w:r>
          <w:fldChar w:fldCharType="end"/>
        </w:r>
      </w:hyperlink>
    </w:p>
    <w:p>
      <w:pPr>
        <w:pStyle w:val="TOC1"/>
        <w:tabs>
          <w:tab w:val="right" w:leader="dot" w:pos="8306"/>
        </w:tabs>
      </w:pPr>
      <w:hyperlink w:anchor="_Toc9778" w:history="1">
        <w:r>
          <w:rPr>
            <w:rFonts w:ascii="仿宋" w:eastAsia="仿宋" w:hAnsi="仿宋" w:cs="仿宋" w:hint="eastAsia"/>
            <w:lang w:eastAsia="zh-CN"/>
          </w:rPr>
          <w:t>三、碳化硅超细粉体项目危机管理</w:t>
        </w:r>
        <w:r>
          <w:tab/>
        </w:r>
        <w:r>
          <w:fldChar w:fldCharType="begin"/>
        </w:r>
        <w:r>
          <w:instrText xml:space="preserve"> PAGEREF _Toc9778 \h </w:instrText>
        </w:r>
        <w:r>
          <w:fldChar w:fldCharType="separate"/>
        </w:r>
        <w:r>
          <w:t>8</w:t>
        </w:r>
        <w:r>
          <w:fldChar w:fldCharType="end"/>
        </w:r>
      </w:hyperlink>
    </w:p>
    <w:p>
      <w:pPr>
        <w:pStyle w:val="TOC2"/>
        <w:tabs>
          <w:tab w:val="right" w:leader="dot" w:pos="8306"/>
        </w:tabs>
      </w:pPr>
      <w:hyperlink w:anchor="_Toc22960" w:history="1">
        <w:r>
          <w:rPr>
            <w:rFonts w:ascii="仿宋" w:eastAsia="仿宋" w:hAnsi="仿宋" w:cs="仿宋" w:hint="eastAsia"/>
            <w:lang w:eastAsia="zh-CN"/>
          </w:rPr>
          <w:t>(一)、危机预警与识别</w:t>
        </w:r>
        <w:r>
          <w:tab/>
        </w:r>
        <w:r>
          <w:fldChar w:fldCharType="begin"/>
        </w:r>
        <w:r>
          <w:instrText xml:space="preserve"> PAGEREF _Toc22960 \h </w:instrText>
        </w:r>
        <w:r>
          <w:fldChar w:fldCharType="separate"/>
        </w:r>
        <w:r>
          <w:t>8</w:t>
        </w:r>
        <w:r>
          <w:fldChar w:fldCharType="end"/>
        </w:r>
      </w:hyperlink>
    </w:p>
    <w:p>
      <w:pPr>
        <w:pStyle w:val="TOC2"/>
        <w:tabs>
          <w:tab w:val="right" w:leader="dot" w:pos="8306"/>
        </w:tabs>
      </w:pPr>
      <w:hyperlink w:anchor="_Toc22294" w:history="1">
        <w:r>
          <w:rPr>
            <w:rFonts w:ascii="仿宋" w:eastAsia="仿宋" w:hAnsi="仿宋" w:cs="仿宋" w:hint="eastAsia"/>
            <w:lang w:eastAsia="zh-CN"/>
          </w:rPr>
          <w:t>(二)、危机应对与恢复</w:t>
        </w:r>
        <w:r>
          <w:tab/>
        </w:r>
        <w:r>
          <w:fldChar w:fldCharType="begin"/>
        </w:r>
        <w:r>
          <w:instrText xml:space="preserve"> PAGEREF _Toc22294 \h </w:instrText>
        </w:r>
        <w:r>
          <w:fldChar w:fldCharType="separate"/>
        </w:r>
        <w:r>
          <w:t>9</w:t>
        </w:r>
        <w:r>
          <w:fldChar w:fldCharType="end"/>
        </w:r>
      </w:hyperlink>
    </w:p>
    <w:p>
      <w:pPr>
        <w:pStyle w:val="TOC1"/>
        <w:tabs>
          <w:tab w:val="right" w:leader="dot" w:pos="8306"/>
        </w:tabs>
      </w:pPr>
      <w:hyperlink w:anchor="_Toc6586" w:history="1">
        <w:r>
          <w:rPr>
            <w:rFonts w:ascii="仿宋" w:eastAsia="仿宋" w:hAnsi="仿宋" w:cs="仿宋" w:hint="eastAsia"/>
            <w:lang w:eastAsia="zh-CN"/>
          </w:rPr>
          <w:t>四、工艺说明</w:t>
        </w:r>
        <w:r>
          <w:tab/>
        </w:r>
        <w:r>
          <w:fldChar w:fldCharType="begin"/>
        </w:r>
        <w:r>
          <w:instrText xml:space="preserve"> PAGEREF _Toc6586 \h </w:instrText>
        </w:r>
        <w:r>
          <w:fldChar w:fldCharType="separate"/>
        </w:r>
        <w:r>
          <w:t>11</w:t>
        </w:r>
        <w:r>
          <w:fldChar w:fldCharType="end"/>
        </w:r>
      </w:hyperlink>
    </w:p>
    <w:p>
      <w:pPr>
        <w:pStyle w:val="TOC2"/>
        <w:tabs>
          <w:tab w:val="right" w:leader="dot" w:pos="8306"/>
        </w:tabs>
      </w:pPr>
      <w:hyperlink w:anchor="_Toc23034" w:history="1">
        <w:r>
          <w:rPr>
            <w:rFonts w:ascii="仿宋" w:eastAsia="仿宋" w:hAnsi="仿宋" w:cs="仿宋" w:hint="eastAsia"/>
            <w:lang w:eastAsia="zh-CN"/>
          </w:rPr>
          <w:t>(一)、技术管理特点</w:t>
        </w:r>
        <w:r>
          <w:tab/>
        </w:r>
        <w:r>
          <w:fldChar w:fldCharType="begin"/>
        </w:r>
        <w:r>
          <w:instrText xml:space="preserve"> PAGEREF _Toc23034 \h </w:instrText>
        </w:r>
        <w:r>
          <w:fldChar w:fldCharType="separate"/>
        </w:r>
        <w:r>
          <w:t>11</w:t>
        </w:r>
        <w:r>
          <w:fldChar w:fldCharType="end"/>
        </w:r>
      </w:hyperlink>
    </w:p>
    <w:p>
      <w:pPr>
        <w:pStyle w:val="TOC2"/>
        <w:tabs>
          <w:tab w:val="right" w:leader="dot" w:pos="8306"/>
        </w:tabs>
      </w:pPr>
      <w:hyperlink w:anchor="_Toc5796" w:history="1">
        <w:r>
          <w:rPr>
            <w:rFonts w:ascii="仿宋" w:eastAsia="仿宋" w:hAnsi="仿宋" w:cs="仿宋" w:hint="eastAsia"/>
            <w:lang w:eastAsia="zh-CN"/>
          </w:rPr>
          <w:t>(二)、碳化硅超细粉体项目工艺技术设计方案</w:t>
        </w:r>
        <w:r>
          <w:tab/>
        </w:r>
        <w:r>
          <w:fldChar w:fldCharType="begin"/>
        </w:r>
        <w:r>
          <w:instrText xml:space="preserve"> PAGEREF _Toc5796 \h </w:instrText>
        </w:r>
        <w:r>
          <w:fldChar w:fldCharType="separate"/>
        </w:r>
        <w:r>
          <w:t>12</w:t>
        </w:r>
        <w:r>
          <w:fldChar w:fldCharType="end"/>
        </w:r>
      </w:hyperlink>
    </w:p>
    <w:p>
      <w:pPr>
        <w:pStyle w:val="TOC2"/>
        <w:tabs>
          <w:tab w:val="right" w:leader="dot" w:pos="8306"/>
        </w:tabs>
      </w:pPr>
      <w:hyperlink w:anchor="_Toc26264" w:history="1">
        <w:r>
          <w:rPr>
            <w:rFonts w:ascii="仿宋" w:eastAsia="仿宋" w:hAnsi="仿宋" w:cs="仿宋" w:hint="eastAsia"/>
            <w:lang w:eastAsia="zh-CN"/>
          </w:rPr>
          <w:t>(三)、设备选型方案</w:t>
        </w:r>
        <w:r>
          <w:tab/>
        </w:r>
        <w:r>
          <w:fldChar w:fldCharType="begin"/>
        </w:r>
        <w:r>
          <w:instrText xml:space="preserve"> PAGEREF _Toc26264 \h </w:instrText>
        </w:r>
        <w:r>
          <w:fldChar w:fldCharType="separate"/>
        </w:r>
        <w:r>
          <w:t>13</w:t>
        </w:r>
        <w:r>
          <w:fldChar w:fldCharType="end"/>
        </w:r>
      </w:hyperlink>
    </w:p>
    <w:p>
      <w:pPr>
        <w:pStyle w:val="TOC1"/>
        <w:tabs>
          <w:tab w:val="right" w:leader="dot" w:pos="8306"/>
        </w:tabs>
      </w:pPr>
      <w:hyperlink w:anchor="_Toc10837" w:history="1">
        <w:r>
          <w:rPr>
            <w:rFonts w:ascii="仿宋" w:eastAsia="仿宋" w:hAnsi="仿宋" w:cs="仿宋" w:hint="eastAsia"/>
            <w:lang w:eastAsia="zh-CN"/>
          </w:rPr>
          <w:t>五、碳化硅超细粉体项目建设单位说明</w:t>
        </w:r>
        <w:r>
          <w:tab/>
        </w:r>
        <w:r>
          <w:fldChar w:fldCharType="begin"/>
        </w:r>
        <w:r>
          <w:instrText xml:space="preserve"> PAGEREF _Toc10837 \h </w:instrText>
        </w:r>
        <w:r>
          <w:fldChar w:fldCharType="separate"/>
        </w:r>
        <w:r>
          <w:t>14</w:t>
        </w:r>
        <w:r>
          <w:fldChar w:fldCharType="end"/>
        </w:r>
      </w:hyperlink>
    </w:p>
    <w:p>
      <w:pPr>
        <w:pStyle w:val="TOC2"/>
        <w:tabs>
          <w:tab w:val="right" w:leader="dot" w:pos="8306"/>
        </w:tabs>
      </w:pPr>
      <w:hyperlink w:anchor="_Toc13318" w:history="1">
        <w:r>
          <w:rPr>
            <w:rFonts w:ascii="仿宋" w:eastAsia="仿宋" w:hAnsi="仿宋" w:cs="仿宋" w:hint="eastAsia"/>
            <w:lang w:eastAsia="zh-CN"/>
          </w:rPr>
          <w:t>(一)、碳化硅超细粉体项目承办单位基本情况</w:t>
        </w:r>
        <w:r>
          <w:tab/>
        </w:r>
        <w:r>
          <w:fldChar w:fldCharType="begin"/>
        </w:r>
        <w:r>
          <w:instrText xml:space="preserve"> PAGEREF _Toc13318 \h </w:instrText>
        </w:r>
        <w:r>
          <w:fldChar w:fldCharType="separate"/>
        </w:r>
        <w:r>
          <w:t>14</w:t>
        </w:r>
        <w:r>
          <w:fldChar w:fldCharType="end"/>
        </w:r>
      </w:hyperlink>
    </w:p>
    <w:p>
      <w:pPr>
        <w:pStyle w:val="TOC2"/>
        <w:tabs>
          <w:tab w:val="right" w:leader="dot" w:pos="8306"/>
        </w:tabs>
      </w:pPr>
      <w:hyperlink w:anchor="_Toc2348" w:history="1">
        <w:r>
          <w:rPr>
            <w:rFonts w:ascii="仿宋" w:eastAsia="仿宋" w:hAnsi="仿宋" w:cs="仿宋" w:hint="eastAsia"/>
            <w:lang w:eastAsia="zh-CN"/>
          </w:rPr>
          <w:t>(二)、公司经济效益分析</w:t>
        </w:r>
        <w:r>
          <w:tab/>
        </w:r>
        <w:r>
          <w:fldChar w:fldCharType="begin"/>
        </w:r>
        <w:r>
          <w:instrText xml:space="preserve"> PAGEREF _Toc2348 \h </w:instrText>
        </w:r>
        <w:r>
          <w:fldChar w:fldCharType="separate"/>
        </w:r>
        <w:r>
          <w:t>15</w:t>
        </w:r>
        <w:r>
          <w:fldChar w:fldCharType="end"/>
        </w:r>
      </w:hyperlink>
    </w:p>
    <w:p>
      <w:pPr>
        <w:pStyle w:val="TOC1"/>
        <w:tabs>
          <w:tab w:val="right" w:leader="dot" w:pos="8306"/>
        </w:tabs>
      </w:pPr>
      <w:hyperlink w:anchor="_Toc8254" w:history="1">
        <w:r>
          <w:rPr>
            <w:rFonts w:ascii="仿宋" w:eastAsia="仿宋" w:hAnsi="仿宋" w:cs="仿宋" w:hint="eastAsia"/>
            <w:lang w:eastAsia="zh-CN"/>
          </w:rPr>
          <w:t>六、碳化硅超细粉体项目文档管理</w:t>
        </w:r>
        <w:r>
          <w:tab/>
        </w:r>
        <w:r>
          <w:fldChar w:fldCharType="begin"/>
        </w:r>
        <w:r>
          <w:instrText xml:space="preserve"> PAGEREF _Toc8254 \h </w:instrText>
        </w:r>
        <w:r>
          <w:fldChar w:fldCharType="separate"/>
        </w:r>
        <w:r>
          <w:t>16</w:t>
        </w:r>
        <w:r>
          <w:fldChar w:fldCharType="end"/>
        </w:r>
      </w:hyperlink>
    </w:p>
    <w:p>
      <w:pPr>
        <w:pStyle w:val="TOC2"/>
        <w:tabs>
          <w:tab w:val="right" w:leader="dot" w:pos="8306"/>
        </w:tabs>
      </w:pPr>
      <w:hyperlink w:anchor="_Toc4077" w:history="1">
        <w:r>
          <w:rPr>
            <w:rFonts w:ascii="仿宋" w:eastAsia="仿宋" w:hAnsi="仿宋" w:cs="仿宋" w:hint="eastAsia"/>
            <w:lang w:eastAsia="zh-CN"/>
          </w:rPr>
          <w:t>(一)、文档编制与审查</w:t>
        </w:r>
        <w:r>
          <w:tab/>
        </w:r>
        <w:r>
          <w:fldChar w:fldCharType="begin"/>
        </w:r>
        <w:r>
          <w:instrText xml:space="preserve"> PAGEREF _Toc4077 \h </w:instrText>
        </w:r>
        <w:r>
          <w:fldChar w:fldCharType="separate"/>
        </w:r>
        <w:r>
          <w:t>16</w:t>
        </w:r>
        <w:r>
          <w:fldChar w:fldCharType="end"/>
        </w:r>
      </w:hyperlink>
    </w:p>
    <w:p>
      <w:pPr>
        <w:pStyle w:val="TOC2"/>
        <w:tabs>
          <w:tab w:val="right" w:leader="dot" w:pos="8306"/>
        </w:tabs>
      </w:pPr>
      <w:hyperlink w:anchor="_Toc30942" w:history="1">
        <w:r>
          <w:rPr>
            <w:rFonts w:ascii="仿宋" w:eastAsia="仿宋" w:hAnsi="仿宋" w:cs="仿宋" w:hint="eastAsia"/>
            <w:lang w:eastAsia="zh-CN"/>
          </w:rPr>
          <w:t>(二)、文档发布与分发</w:t>
        </w:r>
        <w:r>
          <w:tab/>
        </w:r>
        <w:r>
          <w:fldChar w:fldCharType="begin"/>
        </w:r>
        <w:r>
          <w:instrText xml:space="preserve"> PAGEREF _Toc30942 \h </w:instrText>
        </w:r>
        <w:r>
          <w:fldChar w:fldCharType="separate"/>
        </w:r>
        <w:r>
          <w:t>17</w:t>
        </w:r>
        <w:r>
          <w:fldChar w:fldCharType="end"/>
        </w:r>
      </w:hyperlink>
    </w:p>
    <w:p>
      <w:pPr>
        <w:pStyle w:val="TOC2"/>
        <w:tabs>
          <w:tab w:val="right" w:leader="dot" w:pos="8306"/>
        </w:tabs>
      </w:pPr>
      <w:hyperlink w:anchor="_Toc20992" w:history="1">
        <w:r>
          <w:rPr>
            <w:rFonts w:ascii="仿宋" w:eastAsia="仿宋" w:hAnsi="仿宋" w:cs="仿宋" w:hint="eastAsia"/>
            <w:lang w:eastAsia="zh-CN"/>
          </w:rPr>
          <w:t>(三)、文档存档与归档</w:t>
        </w:r>
        <w:r>
          <w:tab/>
        </w:r>
        <w:r>
          <w:fldChar w:fldCharType="begin"/>
        </w:r>
        <w:r>
          <w:instrText xml:space="preserve"> PAGEREF _Toc20992 \h </w:instrText>
        </w:r>
        <w:r>
          <w:fldChar w:fldCharType="separate"/>
        </w:r>
        <w:r>
          <w:t>18</w:t>
        </w:r>
        <w:r>
          <w:fldChar w:fldCharType="end"/>
        </w:r>
      </w:hyperlink>
    </w:p>
    <w:p>
      <w:pPr>
        <w:pStyle w:val="TOC1"/>
        <w:tabs>
          <w:tab w:val="right" w:leader="dot" w:pos="8306"/>
        </w:tabs>
      </w:pPr>
      <w:hyperlink w:anchor="_Toc5866" w:history="1">
        <w:r>
          <w:rPr>
            <w:rFonts w:ascii="仿宋" w:eastAsia="仿宋" w:hAnsi="仿宋" w:cs="仿宋" w:hint="eastAsia"/>
            <w:lang w:eastAsia="zh-CN"/>
          </w:rPr>
          <w:t>七、碳化硅超细粉体项目技术管理</w:t>
        </w:r>
        <w:r>
          <w:tab/>
        </w:r>
        <w:r>
          <w:fldChar w:fldCharType="begin"/>
        </w:r>
        <w:r>
          <w:instrText xml:space="preserve"> PAGEREF _Toc5866 \h </w:instrText>
        </w:r>
        <w:r>
          <w:fldChar w:fldCharType="separate"/>
        </w:r>
        <w:r>
          <w:t>20</w:t>
        </w:r>
        <w:r>
          <w:fldChar w:fldCharType="end"/>
        </w:r>
      </w:hyperlink>
    </w:p>
    <w:p>
      <w:pPr>
        <w:pStyle w:val="TOC2"/>
        <w:tabs>
          <w:tab w:val="right" w:leader="dot" w:pos="8306"/>
        </w:tabs>
      </w:pPr>
      <w:hyperlink w:anchor="_Toc29357" w:history="1">
        <w:r>
          <w:rPr>
            <w:rFonts w:ascii="仿宋" w:eastAsia="仿宋" w:hAnsi="仿宋" w:cs="仿宋" w:hint="eastAsia"/>
            <w:lang w:eastAsia="zh-CN"/>
          </w:rPr>
          <w:t>(一)、技术方案选用方向</w:t>
        </w:r>
        <w:r>
          <w:tab/>
        </w:r>
        <w:r>
          <w:fldChar w:fldCharType="begin"/>
        </w:r>
        <w:r>
          <w:instrText xml:space="preserve"> PAGEREF _Toc29357 \h </w:instrText>
        </w:r>
        <w:r>
          <w:fldChar w:fldCharType="separate"/>
        </w:r>
        <w:r>
          <w:t>20</w:t>
        </w:r>
        <w:r>
          <w:fldChar w:fldCharType="end"/>
        </w:r>
      </w:hyperlink>
    </w:p>
    <w:p>
      <w:pPr>
        <w:pStyle w:val="TOC2"/>
        <w:tabs>
          <w:tab w:val="right" w:leader="dot" w:pos="8306"/>
        </w:tabs>
      </w:pPr>
      <w:hyperlink w:anchor="_Toc19860" w:history="1">
        <w:r>
          <w:rPr>
            <w:rFonts w:ascii="仿宋" w:eastAsia="仿宋" w:hAnsi="仿宋" w:cs="仿宋" w:hint="eastAsia"/>
            <w:lang w:eastAsia="zh-CN"/>
          </w:rPr>
          <w:t>(二)、工艺技术方案选用原则</w:t>
        </w:r>
        <w:r>
          <w:tab/>
        </w:r>
        <w:r>
          <w:fldChar w:fldCharType="begin"/>
        </w:r>
        <w:r>
          <w:instrText xml:space="preserve"> PAGEREF _Toc19860 \h </w:instrText>
        </w:r>
        <w:r>
          <w:fldChar w:fldCharType="separate"/>
        </w:r>
        <w:r>
          <w:t>21</w:t>
        </w:r>
        <w:r>
          <w:fldChar w:fldCharType="end"/>
        </w:r>
      </w:hyperlink>
    </w:p>
    <w:p>
      <w:pPr>
        <w:pStyle w:val="TOC2"/>
        <w:tabs>
          <w:tab w:val="right" w:leader="dot" w:pos="8306"/>
        </w:tabs>
      </w:pPr>
      <w:hyperlink w:anchor="_Toc26941" w:history="1">
        <w:r>
          <w:rPr>
            <w:rFonts w:ascii="仿宋" w:eastAsia="仿宋" w:hAnsi="仿宋" w:cs="仿宋" w:hint="eastAsia"/>
            <w:lang w:eastAsia="zh-CN"/>
          </w:rPr>
          <w:t>(三)、工艺技术方案要求</w:t>
        </w:r>
        <w:r>
          <w:tab/>
        </w:r>
        <w:r>
          <w:fldChar w:fldCharType="begin"/>
        </w:r>
        <w:r>
          <w:instrText xml:space="preserve"> PAGEREF _Toc26941 \h </w:instrText>
        </w:r>
        <w:r>
          <w:fldChar w:fldCharType="separate"/>
        </w:r>
        <w:r>
          <w:t>24</w:t>
        </w:r>
        <w:r>
          <w:fldChar w:fldCharType="end"/>
        </w:r>
      </w:hyperlink>
    </w:p>
    <w:p>
      <w:pPr>
        <w:pStyle w:val="TOC1"/>
        <w:tabs>
          <w:tab w:val="right" w:leader="dot" w:pos="8306"/>
        </w:tabs>
      </w:pPr>
      <w:hyperlink w:anchor="_Toc27737" w:history="1">
        <w:r>
          <w:rPr>
            <w:rFonts w:ascii="仿宋" w:eastAsia="仿宋" w:hAnsi="仿宋" w:cs="仿宋" w:hint="eastAsia"/>
            <w:lang w:eastAsia="zh-CN"/>
          </w:rPr>
          <w:t>八、碳化硅超细粉体项目计划安排</w:t>
        </w:r>
        <w:r>
          <w:tab/>
        </w:r>
        <w:r>
          <w:fldChar w:fldCharType="begin"/>
        </w:r>
        <w:r>
          <w:instrText xml:space="preserve"> PAGEREF _Toc27737 \h </w:instrText>
        </w:r>
        <w:r>
          <w:fldChar w:fldCharType="separate"/>
        </w:r>
        <w:r>
          <w:t>26</w:t>
        </w:r>
        <w:r>
          <w:fldChar w:fldCharType="end"/>
        </w:r>
      </w:hyperlink>
    </w:p>
    <w:p>
      <w:pPr>
        <w:pStyle w:val="TOC2"/>
        <w:tabs>
          <w:tab w:val="right" w:leader="dot" w:pos="8306"/>
        </w:tabs>
      </w:pPr>
      <w:hyperlink w:anchor="_Toc3882" w:history="1">
        <w:r>
          <w:rPr>
            <w:rFonts w:ascii="仿宋" w:eastAsia="仿宋" w:hAnsi="仿宋" w:cs="仿宋" w:hint="eastAsia"/>
            <w:lang w:eastAsia="zh-CN"/>
          </w:rPr>
          <w:t>(一)、建设周期</w:t>
        </w:r>
        <w:r>
          <w:tab/>
        </w:r>
        <w:r>
          <w:fldChar w:fldCharType="begin"/>
        </w:r>
        <w:r>
          <w:instrText xml:space="preserve"> PAGEREF _Toc3882 \h </w:instrText>
        </w:r>
        <w:r>
          <w:fldChar w:fldCharType="separate"/>
        </w:r>
        <w:r>
          <w:t>26</w:t>
        </w:r>
        <w:r>
          <w:fldChar w:fldCharType="end"/>
        </w:r>
      </w:hyperlink>
    </w:p>
    <w:p>
      <w:pPr>
        <w:pStyle w:val="TOC2"/>
        <w:tabs>
          <w:tab w:val="right" w:leader="dot" w:pos="8306"/>
        </w:tabs>
      </w:pPr>
      <w:hyperlink w:anchor="_Toc22262" w:history="1">
        <w:r>
          <w:rPr>
            <w:rFonts w:ascii="仿宋" w:eastAsia="仿宋" w:hAnsi="仿宋" w:cs="仿宋" w:hint="eastAsia"/>
            <w:lang w:eastAsia="zh-CN"/>
          </w:rPr>
          <w:t>(二)、建设进度</w:t>
        </w:r>
        <w:r>
          <w:tab/>
        </w:r>
        <w:r>
          <w:fldChar w:fldCharType="begin"/>
        </w:r>
        <w:r>
          <w:instrText xml:space="preserve"> PAGEREF _Toc22262 \h </w:instrText>
        </w:r>
        <w:r>
          <w:fldChar w:fldCharType="separate"/>
        </w:r>
        <w:r>
          <w:t>27</w:t>
        </w:r>
        <w:r>
          <w:fldChar w:fldCharType="end"/>
        </w:r>
      </w:hyperlink>
    </w:p>
    <w:p>
      <w:pPr>
        <w:pStyle w:val="TOC2"/>
        <w:tabs>
          <w:tab w:val="right" w:leader="dot" w:pos="8306"/>
        </w:tabs>
      </w:pPr>
      <w:hyperlink w:anchor="_Toc4291" w:history="1">
        <w:r>
          <w:rPr>
            <w:rFonts w:ascii="仿宋" w:eastAsia="仿宋" w:hAnsi="仿宋" w:cs="仿宋" w:hint="eastAsia"/>
            <w:lang w:eastAsia="zh-CN"/>
          </w:rPr>
          <w:t>(三)、进度安排注意事项</w:t>
        </w:r>
        <w:r>
          <w:tab/>
        </w:r>
        <w:r>
          <w:fldChar w:fldCharType="begin"/>
        </w:r>
        <w:r>
          <w:instrText xml:space="preserve"> PAGEREF _Toc4291 \h </w:instrText>
        </w:r>
        <w:r>
          <w:fldChar w:fldCharType="separate"/>
        </w:r>
        <w:r>
          <w:t>28</w:t>
        </w:r>
        <w:r>
          <w:fldChar w:fldCharType="end"/>
        </w:r>
      </w:hyperlink>
    </w:p>
    <w:p>
      <w:pPr>
        <w:pStyle w:val="TOC2"/>
        <w:tabs>
          <w:tab w:val="right" w:leader="dot" w:pos="8306"/>
        </w:tabs>
      </w:pPr>
      <w:hyperlink w:anchor="_Toc2555" w:history="1">
        <w:r>
          <w:rPr>
            <w:rFonts w:ascii="仿宋" w:eastAsia="仿宋" w:hAnsi="仿宋" w:cs="仿宋" w:hint="eastAsia"/>
            <w:lang w:eastAsia="zh-CN"/>
          </w:rPr>
          <w:t>(四)、人力资源配置</w:t>
        </w:r>
        <w:r>
          <w:tab/>
        </w:r>
        <w:r>
          <w:fldChar w:fldCharType="begin"/>
        </w:r>
        <w:r>
          <w:instrText xml:space="preserve"> PAGEREF _Toc2555 \h </w:instrText>
        </w:r>
        <w:r>
          <w:fldChar w:fldCharType="separate"/>
        </w:r>
        <w:r>
          <w:t>29</w:t>
        </w:r>
        <w:r>
          <w:fldChar w:fldCharType="end"/>
        </w:r>
      </w:hyperlink>
    </w:p>
    <w:p>
      <w:pPr>
        <w:pStyle w:val="TOC1"/>
        <w:tabs>
          <w:tab w:val="right" w:leader="dot" w:pos="8306"/>
        </w:tabs>
      </w:pPr>
      <w:hyperlink w:anchor="_Toc23530" w:history="1">
        <w:r>
          <w:rPr>
            <w:rFonts w:ascii="仿宋" w:eastAsia="仿宋" w:hAnsi="仿宋" w:cs="仿宋" w:hint="eastAsia"/>
            <w:lang w:eastAsia="zh-CN"/>
          </w:rPr>
          <w:t>九、碳化硅超细粉体项目投资规划</w:t>
        </w:r>
        <w:r>
          <w:tab/>
        </w:r>
        <w:r>
          <w:fldChar w:fldCharType="begin"/>
        </w:r>
        <w:r>
          <w:instrText xml:space="preserve"> PAGEREF _Toc23530 \h </w:instrText>
        </w:r>
        <w:r>
          <w:fldChar w:fldCharType="separate"/>
        </w:r>
        <w:r>
          <w:t>30</w:t>
        </w:r>
        <w:r>
          <w:fldChar w:fldCharType="end"/>
        </w:r>
      </w:hyperlink>
    </w:p>
    <w:p>
      <w:pPr>
        <w:pStyle w:val="TOC2"/>
        <w:tabs>
          <w:tab w:val="right" w:leader="dot" w:pos="8306"/>
        </w:tabs>
      </w:pPr>
      <w:hyperlink w:anchor="_Toc22793" w:history="1">
        <w:r>
          <w:rPr>
            <w:rFonts w:ascii="仿宋" w:eastAsia="仿宋" w:hAnsi="仿宋" w:cs="仿宋" w:hint="eastAsia"/>
            <w:lang w:eastAsia="zh-CN"/>
          </w:rPr>
          <w:t>(一)、碳化硅超细粉体项目总投资估算</w:t>
        </w:r>
        <w:r>
          <w:tab/>
        </w:r>
        <w:r>
          <w:fldChar w:fldCharType="begin"/>
        </w:r>
        <w:r>
          <w:instrText xml:space="preserve"> PAGEREF _Toc22793 \h </w:instrText>
        </w:r>
        <w:r>
          <w:fldChar w:fldCharType="separate"/>
        </w:r>
        <w:r>
          <w:t>30</w:t>
        </w:r>
        <w:r>
          <w:fldChar w:fldCharType="end"/>
        </w:r>
      </w:hyperlink>
    </w:p>
    <w:p>
      <w:pPr>
        <w:pStyle w:val="TOC2"/>
        <w:tabs>
          <w:tab w:val="right" w:leader="dot" w:pos="8306"/>
        </w:tabs>
      </w:pPr>
      <w:hyperlink w:anchor="_Toc17883" w:history="1">
        <w:r>
          <w:rPr>
            <w:rFonts w:ascii="仿宋" w:eastAsia="仿宋" w:hAnsi="仿宋" w:cs="仿宋" w:hint="eastAsia"/>
            <w:lang w:eastAsia="zh-CN"/>
          </w:rPr>
          <w:t>(二)、资金筹措</w:t>
        </w:r>
        <w:r>
          <w:tab/>
        </w:r>
        <w:r>
          <w:fldChar w:fldCharType="begin"/>
        </w:r>
        <w:r>
          <w:instrText xml:space="preserve"> PAGEREF _Toc17883 \h </w:instrText>
        </w:r>
        <w:r>
          <w:fldChar w:fldCharType="separate"/>
        </w:r>
        <w:r>
          <w:t>31</w:t>
        </w:r>
        <w:r>
          <w:fldChar w:fldCharType="end"/>
        </w:r>
      </w:hyperlink>
    </w:p>
    <w:p>
      <w:pPr>
        <w:pStyle w:val="TOC1"/>
        <w:tabs>
          <w:tab w:val="right" w:leader="dot" w:pos="8306"/>
        </w:tabs>
      </w:pPr>
      <w:hyperlink w:anchor="_Toc23554" w:history="1">
        <w:r>
          <w:rPr>
            <w:rFonts w:ascii="仿宋" w:eastAsia="仿宋" w:hAnsi="仿宋" w:cs="仿宋" w:hint="eastAsia"/>
            <w:lang w:eastAsia="zh-CN"/>
          </w:rPr>
          <w:t>十、碳化硅超细粉体项目经营效益</w:t>
        </w:r>
        <w:r>
          <w:tab/>
        </w:r>
        <w:r>
          <w:fldChar w:fldCharType="begin"/>
        </w:r>
        <w:r>
          <w:instrText xml:space="preserve"> PAGEREF _Toc23554 \h </w:instrText>
        </w:r>
        <w:r>
          <w:fldChar w:fldCharType="separate"/>
        </w:r>
        <w:r>
          <w:t>32</w:t>
        </w:r>
        <w:r>
          <w:fldChar w:fldCharType="end"/>
        </w:r>
      </w:hyperlink>
    </w:p>
    <w:p>
      <w:pPr>
        <w:pStyle w:val="TOC2"/>
        <w:tabs>
          <w:tab w:val="right" w:leader="dot" w:pos="8306"/>
        </w:tabs>
      </w:pPr>
      <w:hyperlink w:anchor="_Toc10275" w:history="1">
        <w:r>
          <w:rPr>
            <w:rFonts w:ascii="仿宋" w:eastAsia="仿宋" w:hAnsi="仿宋" w:cs="仿宋" w:hint="eastAsia"/>
            <w:lang w:eastAsia="zh-CN"/>
          </w:rPr>
          <w:t>(一)、经济评价财务测算</w:t>
        </w:r>
        <w:r>
          <w:tab/>
        </w:r>
        <w:r>
          <w:fldChar w:fldCharType="begin"/>
        </w:r>
        <w:r>
          <w:instrText xml:space="preserve"> PAGEREF _Toc10275 \h </w:instrText>
        </w:r>
        <w:r>
          <w:fldChar w:fldCharType="separate"/>
        </w:r>
        <w:r>
          <w:t>32</w:t>
        </w:r>
        <w:r>
          <w:fldChar w:fldCharType="end"/>
        </w:r>
      </w:hyperlink>
    </w:p>
    <w:p>
      <w:pPr>
        <w:pStyle w:val="TOC2"/>
        <w:tabs>
          <w:tab w:val="right" w:leader="dot" w:pos="8306"/>
        </w:tabs>
      </w:pPr>
      <w:hyperlink w:anchor="_Toc27315" w:history="1">
        <w:r>
          <w:rPr>
            <w:rFonts w:ascii="仿宋" w:eastAsia="仿宋" w:hAnsi="仿宋" w:cs="仿宋" w:hint="eastAsia"/>
            <w:lang w:eastAsia="zh-CN"/>
          </w:rPr>
          <w:t>(二)、碳化硅超细粉体项目盈利能力分析</w:t>
        </w:r>
        <w:r>
          <w:tab/>
        </w:r>
        <w:r>
          <w:fldChar w:fldCharType="begin"/>
        </w:r>
        <w:r>
          <w:instrText xml:space="preserve"> PAGEREF _Toc27315 \h </w:instrText>
        </w:r>
        <w:r>
          <w:fldChar w:fldCharType="separate"/>
        </w:r>
        <w:r>
          <w:t>34</w:t>
        </w:r>
        <w:r>
          <w:fldChar w:fldCharType="end"/>
        </w:r>
      </w:hyperlink>
    </w:p>
    <w:p>
      <w:pPr>
        <w:pStyle w:val="TOC1"/>
        <w:tabs>
          <w:tab w:val="right" w:leader="dot" w:pos="8306"/>
        </w:tabs>
      </w:pPr>
      <w:hyperlink w:anchor="_Toc30238" w:history="1">
        <w:r>
          <w:rPr>
            <w:rFonts w:ascii="仿宋" w:eastAsia="仿宋" w:hAnsi="仿宋" w:cs="仿宋" w:hint="eastAsia"/>
            <w:lang w:eastAsia="zh-CN"/>
          </w:rPr>
          <w:t>十一、碳化硅超细粉体项目人力资源培养与发展</w:t>
        </w:r>
        <w:r>
          <w:tab/>
        </w:r>
        <w:r>
          <w:fldChar w:fldCharType="begin"/>
        </w:r>
        <w:r>
          <w:instrText xml:space="preserve"> PAGEREF _Toc30238 \h </w:instrText>
        </w:r>
        <w:r>
          <w:fldChar w:fldCharType="separate"/>
        </w:r>
        <w:r>
          <w:t>34</w:t>
        </w:r>
        <w:r>
          <w:fldChar w:fldCharType="end"/>
        </w:r>
      </w:hyperlink>
    </w:p>
    <w:p>
      <w:pPr>
        <w:pStyle w:val="TOC2"/>
        <w:tabs>
          <w:tab w:val="right" w:leader="dot" w:pos="8306"/>
        </w:tabs>
      </w:pPr>
      <w:hyperlink w:anchor="_Toc17081" w:history="1">
        <w:r>
          <w:rPr>
            <w:rFonts w:ascii="仿宋" w:eastAsia="仿宋" w:hAnsi="仿宋" w:cs="仿宋" w:hint="eastAsia"/>
            <w:lang w:eastAsia="zh-CN"/>
          </w:rPr>
          <w:t>(一)、人才需求与规划</w:t>
        </w:r>
        <w:r>
          <w:tab/>
        </w:r>
        <w:r>
          <w:fldChar w:fldCharType="begin"/>
        </w:r>
        <w:r>
          <w:instrText xml:space="preserve"> PAGEREF _Toc17081 \h </w:instrText>
        </w:r>
        <w:r>
          <w:fldChar w:fldCharType="separate"/>
        </w:r>
        <w:r>
          <w:t>34</w:t>
        </w:r>
        <w:r>
          <w:fldChar w:fldCharType="end"/>
        </w:r>
      </w:hyperlink>
    </w:p>
    <w:p>
      <w:pPr>
        <w:pStyle w:val="TOC2"/>
        <w:tabs>
          <w:tab w:val="right" w:leader="dot" w:pos="8306"/>
        </w:tabs>
      </w:pPr>
      <w:hyperlink w:anchor="_Toc6084" w:history="1">
        <w:r>
          <w:rPr>
            <w:rFonts w:ascii="仿宋" w:eastAsia="仿宋" w:hAnsi="仿宋" w:cs="仿宋" w:hint="eastAsia"/>
            <w:lang w:eastAsia="zh-CN"/>
          </w:rPr>
          <w:t>(二)、培训与发展计划</w:t>
        </w:r>
        <w:r>
          <w:tab/>
        </w:r>
        <w:r>
          <w:fldChar w:fldCharType="begin"/>
        </w:r>
        <w:r>
          <w:instrText xml:space="preserve"> PAGEREF _Toc6084 \h </w:instrText>
        </w:r>
        <w:r>
          <w:fldChar w:fldCharType="separate"/>
        </w:r>
        <w:r>
          <w:t>35</w:t>
        </w:r>
        <w:r>
          <w:fldChar w:fldCharType="end"/>
        </w:r>
      </w:hyperlink>
    </w:p>
    <w:p>
      <w:pPr>
        <w:pStyle w:val="TOC1"/>
        <w:tabs>
          <w:tab w:val="right" w:leader="dot" w:pos="8306"/>
        </w:tabs>
      </w:pPr>
      <w:hyperlink w:anchor="_Toc4536" w:history="1">
        <w:r>
          <w:rPr>
            <w:rFonts w:ascii="仿宋" w:eastAsia="仿宋" w:hAnsi="仿宋" w:cs="仿宋" w:hint="eastAsia"/>
            <w:lang w:eastAsia="zh-CN"/>
          </w:rPr>
          <w:t>十二、生产安全保护</w:t>
        </w:r>
        <w:r>
          <w:tab/>
        </w:r>
        <w:r>
          <w:fldChar w:fldCharType="begin"/>
        </w:r>
        <w:r>
          <w:instrText xml:space="preserve"> PAGEREF _Toc4536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34" w:history="1">
        <w:r>
          <w:rPr>
            <w:rFonts w:ascii="仿宋" w:eastAsia="仿宋" w:hAnsi="仿宋" w:cs="仿宋" w:hint="eastAsia"/>
            <w:lang w:eastAsia="zh-CN"/>
          </w:rPr>
          <w:t>(一)、消防安全</w:t>
        </w:r>
        <w:r>
          <w:tab/>
        </w:r>
        <w:r>
          <w:fldChar w:fldCharType="begin"/>
        </w:r>
        <w:r>
          <w:instrText xml:space="preserve"> PAGEREF _Toc31634 \h </w:instrText>
        </w:r>
        <w:r>
          <w:fldChar w:fldCharType="separate"/>
        </w:r>
        <w:r>
          <w:t>35</w:t>
        </w:r>
        <w:r>
          <w:fldChar w:fldCharType="end"/>
        </w:r>
      </w:hyperlink>
    </w:p>
    <w:p>
      <w:pPr>
        <w:pStyle w:val="TOC2"/>
        <w:tabs>
          <w:tab w:val="right" w:leader="dot" w:pos="8306"/>
        </w:tabs>
      </w:pPr>
      <w:hyperlink w:anchor="_Toc11800" w:history="1">
        <w:r>
          <w:rPr>
            <w:rFonts w:ascii="仿宋" w:eastAsia="仿宋" w:hAnsi="仿宋" w:cs="仿宋" w:hint="eastAsia"/>
            <w:lang w:eastAsia="zh-CN"/>
          </w:rPr>
          <w:t>(二)、防火防爆总图布置措施</w:t>
        </w:r>
        <w:r>
          <w:tab/>
        </w:r>
        <w:r>
          <w:fldChar w:fldCharType="begin"/>
        </w:r>
        <w:r>
          <w:instrText xml:space="preserve"> PAGEREF _Toc11800 \h </w:instrText>
        </w:r>
        <w:r>
          <w:fldChar w:fldCharType="separate"/>
        </w:r>
        <w:r>
          <w:t>37</w:t>
        </w:r>
        <w:r>
          <w:fldChar w:fldCharType="end"/>
        </w:r>
      </w:hyperlink>
    </w:p>
    <w:p>
      <w:pPr>
        <w:pStyle w:val="TOC2"/>
        <w:tabs>
          <w:tab w:val="right" w:leader="dot" w:pos="8306"/>
        </w:tabs>
      </w:pPr>
      <w:hyperlink w:anchor="_Toc8377" w:history="1">
        <w:r>
          <w:rPr>
            <w:rFonts w:ascii="仿宋" w:eastAsia="仿宋" w:hAnsi="仿宋" w:cs="仿宋" w:hint="eastAsia"/>
            <w:lang w:eastAsia="zh-CN"/>
          </w:rPr>
          <w:t>(三)、自然灾害防范措施</w:t>
        </w:r>
        <w:r>
          <w:tab/>
        </w:r>
        <w:r>
          <w:fldChar w:fldCharType="begin"/>
        </w:r>
        <w:r>
          <w:instrText xml:space="preserve"> PAGEREF _Toc8377 \h </w:instrText>
        </w:r>
        <w:r>
          <w:fldChar w:fldCharType="separate"/>
        </w:r>
        <w:r>
          <w:t>38</w:t>
        </w:r>
        <w:r>
          <w:fldChar w:fldCharType="end"/>
        </w:r>
      </w:hyperlink>
    </w:p>
    <w:p>
      <w:pPr>
        <w:pStyle w:val="TOC2"/>
        <w:tabs>
          <w:tab w:val="right" w:leader="dot" w:pos="8306"/>
        </w:tabs>
      </w:pPr>
      <w:hyperlink w:anchor="_Toc23272" w:history="1">
        <w:r>
          <w:rPr>
            <w:rFonts w:ascii="仿宋" w:eastAsia="仿宋" w:hAnsi="仿宋" w:cs="仿宋" w:hint="eastAsia"/>
            <w:lang w:eastAsia="zh-CN"/>
          </w:rPr>
          <w:t>(四)、安全色及安全标志使用要求</w:t>
        </w:r>
        <w:r>
          <w:tab/>
        </w:r>
        <w:r>
          <w:fldChar w:fldCharType="begin"/>
        </w:r>
        <w:r>
          <w:instrText xml:space="preserve"> PAGEREF _Toc23272 \h </w:instrText>
        </w:r>
        <w:r>
          <w:fldChar w:fldCharType="separate"/>
        </w:r>
        <w:r>
          <w:t>39</w:t>
        </w:r>
        <w:r>
          <w:fldChar w:fldCharType="end"/>
        </w:r>
      </w:hyperlink>
    </w:p>
    <w:p>
      <w:pPr>
        <w:pStyle w:val="TOC2"/>
        <w:tabs>
          <w:tab w:val="right" w:leader="dot" w:pos="8306"/>
        </w:tabs>
      </w:pPr>
      <w:hyperlink w:anchor="_Toc9237" w:history="1">
        <w:r>
          <w:rPr>
            <w:rFonts w:ascii="仿宋" w:eastAsia="仿宋" w:hAnsi="仿宋" w:cs="仿宋" w:hint="eastAsia"/>
            <w:lang w:eastAsia="zh-CN"/>
          </w:rPr>
          <w:t>(五)、防尘防毒措施</w:t>
        </w:r>
        <w:r>
          <w:tab/>
        </w:r>
        <w:r>
          <w:fldChar w:fldCharType="begin"/>
        </w:r>
        <w:r>
          <w:instrText xml:space="preserve"> PAGEREF _Toc9237 \h </w:instrText>
        </w:r>
        <w:r>
          <w:fldChar w:fldCharType="separate"/>
        </w:r>
        <w:r>
          <w:t>40</w:t>
        </w:r>
        <w:r>
          <w:fldChar w:fldCharType="end"/>
        </w:r>
      </w:hyperlink>
    </w:p>
    <w:p>
      <w:pPr>
        <w:pStyle w:val="TOC2"/>
        <w:tabs>
          <w:tab w:val="right" w:leader="dot" w:pos="8306"/>
        </w:tabs>
      </w:pPr>
      <w:hyperlink w:anchor="_Toc6037" w:history="1">
        <w:r>
          <w:rPr>
            <w:rFonts w:ascii="仿宋" w:eastAsia="仿宋" w:hAnsi="仿宋" w:cs="仿宋" w:hint="eastAsia"/>
            <w:lang w:eastAsia="zh-CN"/>
          </w:rPr>
          <w:t>(六)、防静电、触电防护及防雷措施</w:t>
        </w:r>
        <w:r>
          <w:tab/>
        </w:r>
        <w:r>
          <w:fldChar w:fldCharType="begin"/>
        </w:r>
        <w:r>
          <w:instrText xml:space="preserve"> PAGEREF _Toc6037 \h </w:instrText>
        </w:r>
        <w:r>
          <w:fldChar w:fldCharType="separate"/>
        </w:r>
        <w:r>
          <w:t>41</w:t>
        </w:r>
        <w:r>
          <w:fldChar w:fldCharType="end"/>
        </w:r>
      </w:hyperlink>
    </w:p>
    <w:p>
      <w:pPr>
        <w:pStyle w:val="TOC2"/>
        <w:tabs>
          <w:tab w:val="right" w:leader="dot" w:pos="8306"/>
        </w:tabs>
      </w:pPr>
      <w:hyperlink w:anchor="_Toc28011" w:history="1">
        <w:r>
          <w:rPr>
            <w:rFonts w:ascii="仿宋" w:eastAsia="仿宋" w:hAnsi="仿宋" w:cs="仿宋" w:hint="eastAsia"/>
            <w:lang w:eastAsia="zh-CN"/>
          </w:rPr>
          <w:t>(七)、机械设备安全保障措施</w:t>
        </w:r>
        <w:r>
          <w:tab/>
        </w:r>
        <w:r>
          <w:fldChar w:fldCharType="begin"/>
        </w:r>
        <w:r>
          <w:instrText xml:space="preserve"> PAGEREF _Toc28011 \h </w:instrText>
        </w:r>
        <w:r>
          <w:fldChar w:fldCharType="separate"/>
        </w:r>
        <w:r>
          <w:t>42</w:t>
        </w:r>
        <w:r>
          <w:fldChar w:fldCharType="end"/>
        </w:r>
      </w:hyperlink>
    </w:p>
    <w:p>
      <w:pPr>
        <w:pStyle w:val="TOC1"/>
        <w:tabs>
          <w:tab w:val="right" w:leader="dot" w:pos="8306"/>
        </w:tabs>
      </w:pPr>
      <w:hyperlink w:anchor="_Toc17046" w:history="1">
        <w:r>
          <w:rPr>
            <w:rFonts w:ascii="仿宋" w:eastAsia="仿宋" w:hAnsi="仿宋" w:cs="仿宋" w:hint="eastAsia"/>
            <w:lang w:eastAsia="zh-CN"/>
          </w:rPr>
          <w:t>十三、碳化硅超细粉体项目工程方案分析</w:t>
        </w:r>
        <w:r>
          <w:tab/>
        </w:r>
        <w:r>
          <w:fldChar w:fldCharType="begin"/>
        </w:r>
        <w:r>
          <w:instrText xml:space="preserve"> PAGEREF _Toc17046 \h </w:instrText>
        </w:r>
        <w:r>
          <w:fldChar w:fldCharType="separate"/>
        </w:r>
        <w:r>
          <w:t>44</w:t>
        </w:r>
        <w:r>
          <w:fldChar w:fldCharType="end"/>
        </w:r>
      </w:hyperlink>
    </w:p>
    <w:p>
      <w:pPr>
        <w:pStyle w:val="TOC2"/>
        <w:tabs>
          <w:tab w:val="right" w:leader="dot" w:pos="8306"/>
        </w:tabs>
      </w:pPr>
      <w:hyperlink w:anchor="_Toc18431" w:history="1">
        <w:r>
          <w:rPr>
            <w:rFonts w:ascii="仿宋" w:eastAsia="仿宋" w:hAnsi="仿宋" w:cs="仿宋" w:hint="eastAsia"/>
            <w:lang w:eastAsia="zh-CN"/>
          </w:rPr>
          <w:t>(一)、建筑工程设计原则</w:t>
        </w:r>
        <w:r>
          <w:tab/>
        </w:r>
        <w:r>
          <w:fldChar w:fldCharType="begin"/>
        </w:r>
        <w:r>
          <w:instrText xml:space="preserve"> PAGEREF _Toc18431 \h </w:instrText>
        </w:r>
        <w:r>
          <w:fldChar w:fldCharType="separate"/>
        </w:r>
        <w:r>
          <w:t>44</w:t>
        </w:r>
        <w:r>
          <w:fldChar w:fldCharType="end"/>
        </w:r>
      </w:hyperlink>
    </w:p>
    <w:p>
      <w:pPr>
        <w:pStyle w:val="TOC2"/>
        <w:tabs>
          <w:tab w:val="right" w:leader="dot" w:pos="8306"/>
        </w:tabs>
      </w:pPr>
      <w:hyperlink w:anchor="_Toc20028" w:history="1">
        <w:r>
          <w:rPr>
            <w:rFonts w:ascii="仿宋" w:eastAsia="仿宋" w:hAnsi="仿宋" w:cs="仿宋" w:hint="eastAsia"/>
            <w:lang w:eastAsia="zh-CN"/>
          </w:rPr>
          <w:t>(二)、土建工程建设指标</w:t>
        </w:r>
        <w:r>
          <w:tab/>
        </w:r>
        <w:r>
          <w:fldChar w:fldCharType="begin"/>
        </w:r>
        <w:r>
          <w:instrText xml:space="preserve"> PAGEREF _Toc20028 \h </w:instrText>
        </w:r>
        <w:r>
          <w:fldChar w:fldCharType="separate"/>
        </w:r>
        <w:r>
          <w:t>47</w:t>
        </w:r>
        <w:r>
          <w:fldChar w:fldCharType="end"/>
        </w:r>
      </w:hyperlink>
    </w:p>
    <w:p>
      <w:pPr>
        <w:pStyle w:val="TOC1"/>
        <w:tabs>
          <w:tab w:val="right" w:leader="dot" w:pos="8306"/>
        </w:tabs>
      </w:pPr>
      <w:hyperlink w:anchor="_Toc18567" w:history="1">
        <w:r>
          <w:rPr>
            <w:rFonts w:ascii="仿宋" w:eastAsia="仿宋" w:hAnsi="仿宋" w:cs="仿宋" w:hint="eastAsia"/>
            <w:lang w:eastAsia="zh-CN"/>
          </w:rPr>
          <w:t>十四、营销与推广策略</w:t>
        </w:r>
        <w:r>
          <w:tab/>
        </w:r>
        <w:r>
          <w:fldChar w:fldCharType="begin"/>
        </w:r>
        <w:r>
          <w:instrText xml:space="preserve"> PAGEREF _Toc18567 \h </w:instrText>
        </w:r>
        <w:r>
          <w:fldChar w:fldCharType="separate"/>
        </w:r>
        <w:r>
          <w:t>49</w:t>
        </w:r>
        <w:r>
          <w:fldChar w:fldCharType="end"/>
        </w:r>
      </w:hyperlink>
    </w:p>
    <w:p>
      <w:pPr>
        <w:pStyle w:val="TOC2"/>
        <w:tabs>
          <w:tab w:val="right" w:leader="dot" w:pos="8306"/>
        </w:tabs>
      </w:pPr>
      <w:hyperlink w:anchor="_Toc331" w:history="1">
        <w:r>
          <w:rPr>
            <w:rFonts w:ascii="仿宋" w:eastAsia="仿宋" w:hAnsi="仿宋" w:cs="仿宋" w:hint="eastAsia"/>
            <w:lang w:eastAsia="zh-CN"/>
          </w:rPr>
          <w:t>(一)、产品/服务定位与特点</w:t>
        </w:r>
        <w:r>
          <w:tab/>
        </w:r>
        <w:r>
          <w:fldChar w:fldCharType="begin"/>
        </w:r>
        <w:r>
          <w:instrText xml:space="preserve"> PAGEREF _Toc331 \h </w:instrText>
        </w:r>
        <w:r>
          <w:fldChar w:fldCharType="separate"/>
        </w:r>
        <w:r>
          <w:t>49</w:t>
        </w:r>
        <w:r>
          <w:fldChar w:fldCharType="end"/>
        </w:r>
      </w:hyperlink>
    </w:p>
    <w:p>
      <w:pPr>
        <w:pStyle w:val="TOC2"/>
        <w:tabs>
          <w:tab w:val="right" w:leader="dot" w:pos="8306"/>
        </w:tabs>
      </w:pPr>
      <w:hyperlink w:anchor="_Toc13315" w:history="1">
        <w:r>
          <w:rPr>
            <w:rFonts w:ascii="仿宋" w:eastAsia="仿宋" w:hAnsi="仿宋" w:cs="仿宋" w:hint="eastAsia"/>
            <w:lang w:eastAsia="zh-CN"/>
          </w:rPr>
          <w:t>(二)、市场定位与竞争分析</w:t>
        </w:r>
        <w:r>
          <w:tab/>
        </w:r>
        <w:r>
          <w:fldChar w:fldCharType="begin"/>
        </w:r>
        <w:r>
          <w:instrText xml:space="preserve"> PAGEREF _Toc13315 \h </w:instrText>
        </w:r>
        <w:r>
          <w:fldChar w:fldCharType="separate"/>
        </w:r>
        <w:r>
          <w:t>50</w:t>
        </w:r>
        <w:r>
          <w:fldChar w:fldCharType="end"/>
        </w:r>
      </w:hyperlink>
    </w:p>
    <w:p>
      <w:pPr>
        <w:pStyle w:val="TOC2"/>
        <w:tabs>
          <w:tab w:val="right" w:leader="dot" w:pos="8306"/>
        </w:tabs>
      </w:pPr>
      <w:hyperlink w:anchor="_Toc18690" w:history="1">
        <w:r>
          <w:rPr>
            <w:rFonts w:ascii="仿宋" w:eastAsia="仿宋" w:hAnsi="仿宋" w:cs="仿宋" w:hint="eastAsia"/>
            <w:lang w:eastAsia="zh-CN"/>
          </w:rPr>
          <w:t>(三)、营销渠道与策略</w:t>
        </w:r>
        <w:r>
          <w:tab/>
        </w:r>
        <w:r>
          <w:fldChar w:fldCharType="begin"/>
        </w:r>
        <w:r>
          <w:instrText xml:space="preserve"> PAGEREF _Toc18690 \h </w:instrText>
        </w:r>
        <w:r>
          <w:fldChar w:fldCharType="separate"/>
        </w:r>
        <w:r>
          <w:t>51</w:t>
        </w:r>
        <w:r>
          <w:fldChar w:fldCharType="end"/>
        </w:r>
      </w:hyperlink>
    </w:p>
    <w:p>
      <w:pPr>
        <w:pStyle w:val="TOC2"/>
        <w:tabs>
          <w:tab w:val="right" w:leader="dot" w:pos="8306"/>
        </w:tabs>
      </w:pPr>
      <w:hyperlink w:anchor="_Toc30209" w:history="1">
        <w:r>
          <w:rPr>
            <w:rFonts w:ascii="仿宋" w:eastAsia="仿宋" w:hAnsi="仿宋" w:cs="仿宋" w:hint="eastAsia"/>
            <w:lang w:eastAsia="zh-CN"/>
          </w:rPr>
          <w:t>(四)、推广与宣传活动</w:t>
        </w:r>
        <w:r>
          <w:tab/>
        </w:r>
        <w:r>
          <w:fldChar w:fldCharType="begin"/>
        </w:r>
        <w:r>
          <w:instrText xml:space="preserve"> PAGEREF _Toc30209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910"/>
      <w:r>
        <w:rPr>
          <w:rFonts w:ascii="仿宋" w:eastAsia="仿宋" w:hAnsi="仿宋" w:cs="仿宋" w:hint="eastAsia"/>
          <w:sz w:val="28"/>
          <w:lang w:eastAsia="zh-CN"/>
        </w:rPr>
        <w:t>一、碳化硅超细粉体项目绩效评估</w:t>
      </w:r>
      <w:bookmarkEnd w:id="2"/>
    </w:p>
    <w:p>
      <w:pPr>
        <w:pStyle w:val="Heading2"/>
        <w:rPr>
          <w:rFonts w:ascii="仿宋" w:eastAsia="仿宋" w:hAnsi="仿宋" w:cs="仿宋" w:hint="eastAsia"/>
          <w:lang w:eastAsia="zh-CN"/>
        </w:rPr>
      </w:pPr>
      <w:bookmarkStart w:id="3" w:name="_Toc410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碳化硅超细粉体项目中，我们设计了一套全面的绩效评估指标，以确保碳化硅超细粉体项目的可控和成功交付。这些指标跨足碳化硅超细粉体项目目标、成本、进度和质量等多个维度，为我们提供了全面洞察碳化硅超细粉体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超细粉体项目目标达成率是我们关注的首要指标。我们设定了明确的目标，并通过定期监测和评估，迅速发现并应对潜在的目标偏差。这为碳化硅超细粉体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成本绩效是另一个核心关注点。通过实际成本与预算成本的对比分析，我们深入了解成本差异的原因，及时调整资源分配，保持碳化硅超细粉体项目在经济效益方面的合理水平。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超细粉体项目进度作为关键的绩效指标之一，得到了精心的关注。我们制定了详细的碳化硅超细粉体项目进度计划，并设立了进度符合度指标，确保实际进度与计划进度保持一致。这使我们能够快速发现和解决潜在的进度问题，保持碳化硅超细粉体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碳化硅超细粉体项目绩效的不可或缺的一环。我们引入了一系列的质量标准和客户满意度指标，以确保碳化硅超细粉体项目交付的成果在质量上达到或超越预期水平。通过持续监测这些指标，我们努力提升碳化硅超细粉体项目整体质量水平，为碳化硅超细粉体项目的成功交付提供有力保障。通过这些科学且全面的绩效评估，我们能够更好地引导碳化硅超细粉体项目的持续改进，确保碳化硅超细粉体项目目标的顺利达成。</w:t>
      </w:r>
    </w:p>
    <w:p>
      <w:pPr>
        <w:pStyle w:val="Heading2"/>
        <w:ind w:firstLine="560" w:firstLineChars="200"/>
        <w:rPr>
          <w:rFonts w:ascii="仿宋" w:eastAsia="仿宋" w:hAnsi="仿宋" w:cs="仿宋" w:hint="eastAsia"/>
          <w:sz w:val="28"/>
          <w:lang w:eastAsia="zh-CN"/>
        </w:rPr>
      </w:pPr>
      <w:bookmarkStart w:id="4" w:name="_Toc1960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绩效评估是碳化硅超细粉体项目中的关键环节，为确保碳化硅超细粉体项目达到预期目标，我们采用了多层次、多维度的绩效评估方法。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碳化硅超细粉体项目的战略目标对齐，确保每个决策和行动都与碳化硅超细粉体项目整体目标保持一致。团队会定期召开战略对齐会议，审视当前工作与碳化硅超细粉体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碳化硅超细粉体项目进度、质量、成本和风险等方面。这些指标通过数据收集和分析，为碳化硅超细粉体项目管理团队提供了客观的评估依据。例如，我们通过碳化硅超细粉体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碳化硅超细粉体项目内部，还考虑了碳化硅超细粉体项目对外部环境的影响。我们定期进行干系人满意度调查，以了解各利益相关方对碳化硅超细粉体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这种多层次、多角度的绩效评估方法，使得我们能够全面了解碳化硅超细粉体项目的运行状态，及时做出调整，确保碳化硅超细粉体项目在不断变化的环境中保持稳健前行。</w:t>
      </w:r>
    </w:p>
    <w:p>
      <w:pPr>
        <w:pStyle w:val="Heading2"/>
        <w:ind w:firstLine="560" w:firstLineChars="200"/>
        <w:rPr>
          <w:rFonts w:ascii="仿宋" w:eastAsia="仿宋" w:hAnsi="仿宋" w:cs="仿宋" w:hint="eastAsia"/>
          <w:sz w:val="28"/>
          <w:lang w:eastAsia="zh-CN"/>
        </w:rPr>
      </w:pPr>
      <w:bookmarkStart w:id="5" w:name="_Toc1683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为了确保碳化硅超细粉体项目的有效管理和不断优化，我们采用了精心设计的绩效评估周期。这个周期旨在实现灵活、实时和全面的评估，以适应碳化硅超细粉体项目执行中的各种挑战。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碳化硅超细粉体项目的不同需求，分为短期、中期和长期。短期评估关注每个迭代或工作周期，以及时发现和解决当前任务中的问题。中期评估涵盖几个迭代，深入了解整体碳化硅超细粉体项目的趋势和性能。长期评估则着眼于整个碳化硅超细粉体项目阶段，确保碳化硅超细粉体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碳化硅超细粉体项目管理工具和协作平台，团队成员能够随时更新和分享碳化硅超细粉体项目数据。这种实时性的反馈机制使我们能够及时察觉潜在问题，快速调整，保持碳化硅超细粉体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碳化硅超细粉体项目的决策制定密不可分。每个周期的碳化硅超细粉体项目回顾会议成为集体总结经验、识别问题深层次原因并找到创新解决方案的平台。这种定期的反思与调整机制使碳化硅超细粉体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4561"/>
      <w:r>
        <w:rPr>
          <w:rFonts w:ascii="仿宋" w:eastAsia="仿宋" w:hAnsi="仿宋" w:cs="仿宋" w:hint="eastAsia"/>
          <w:sz w:val="28"/>
          <w:lang w:eastAsia="zh-CN"/>
        </w:rPr>
        <w:t>二、碳化硅超细粉体项目可持续发展</w:t>
      </w:r>
      <w:bookmarkEnd w:id="6"/>
    </w:p>
    <w:p>
      <w:pPr>
        <w:pStyle w:val="Heading2"/>
        <w:rPr>
          <w:rFonts w:ascii="仿宋" w:eastAsia="仿宋" w:hAnsi="仿宋" w:cs="仿宋" w:hint="eastAsia"/>
          <w:lang w:eastAsia="zh-CN"/>
        </w:rPr>
      </w:pPr>
      <w:bookmarkStart w:id="7" w:name="_Toc17181"/>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碳化硅超细粉体项目中，碳化硅超细粉体项目团队着眼于未来，明确了可持续发展的战略方向。制定的具体可持续发展目标包括降低资源使用、采用环保技术、最大化社会效益等。这一步骤不仅有助于碳化硅超细粉体项目在环保和社会责任方面达到最高标准，也为未来提供了明确的指引，确保碳化硅超细粉体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可持续实践的融入碳化硅超细粉体项目管理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碳化硅超细粉体项目管理周期。从碳化硅超细粉体项目规划开始，碳化硅超细粉体项目团队就考虑了环境和社会的因素。在执行阶段，碳化硅超细粉体项目团队积极推动绿色技术的应用，优化资源利用。此外，关注员工的社会责任，通过培训和沟通活动提高员工对可持续发展的认知，使他们能够在日常工作中践行可持续实践。这些举措不仅为碳化硅超细粉体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31258"/>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扎根于碳化硅超细粉体项目的可持续发展理念，我们深信环保与社会责任是碳化硅超细粉体项目成功的关键支柱。在碳化硅超细粉体项目的每一步，我们都致力于通过创新和实践，履行对环境和社会的坚定责任。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超细粉体项目团队通过引入先进的环保技术、建立高效的废物处理系统以及推动能源节约措施，积极履行环保责任。定期的环保监测和评估确保碳化硅超细粉体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超细粉体项目不仅致力于自身可持续发展，还注重对社会的回馈。通过支持社区碳化硅超细粉体项目、参与慈善事业、提供培训机会等方式，碳化硅超细粉体项目积极履行社会责任。与当地社区建立积极互动，关注员工的工作与生活平衡，以及员工的身心健康，是碳化硅超细粉体项目在社会责任层面的关键举措。这样的实践不仅增强了碳化硅超细粉体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9778"/>
      <w:r>
        <w:rPr>
          <w:rFonts w:ascii="仿宋" w:eastAsia="仿宋" w:hAnsi="仿宋" w:cs="仿宋" w:hint="eastAsia"/>
          <w:sz w:val="28"/>
          <w:lang w:eastAsia="zh-CN"/>
        </w:rPr>
        <w:t>三、碳化硅超细粉体项目危机管理</w:t>
      </w:r>
      <w:bookmarkEnd w:id="9"/>
    </w:p>
    <w:p>
      <w:pPr>
        <w:pStyle w:val="Heading2"/>
        <w:rPr>
          <w:rFonts w:ascii="仿宋" w:eastAsia="仿宋" w:hAnsi="仿宋" w:cs="仿宋" w:hint="eastAsia"/>
          <w:lang w:eastAsia="zh-CN"/>
        </w:rPr>
      </w:pPr>
      <w:bookmarkStart w:id="10" w:name="_Toc22960"/>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碳化硅超细粉体项目危机管理中，危机预警与识别是确保碳化硅超细粉体项目稳健运行的核心步骤。通过建立全面的监测机制，碳化硅超细粉体项目团队旨在及时发现和理解潜在的风险和危机因素，以便采取及时的预防和应对措施，确保碳化硅超细粉体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碳化硅超细粉体项目团队全面分析了整个碳化硅超细粉体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碳化硅超细粉体项目团队着重于明确定义碳化硅超细粉体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碳化硅超细粉体项目进展的持续监控，团队能够及时发现潜在问题并作出迅速反应。碳化硅超细粉体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在这一阶段，团队的专业素养和反应速度将发挥至关重要的作用，以确保潜在危机能够在初期得到有效的处理，最大程度地减轻负面影响。通过危机预警与识别，碳化硅超细粉体项目得以更有序、可控地推进。</w:t>
      </w:r>
    </w:p>
    <w:p>
      <w:pPr>
        <w:pStyle w:val="Heading2"/>
        <w:ind w:firstLine="560" w:firstLineChars="200"/>
        <w:rPr>
          <w:rFonts w:ascii="仿宋" w:eastAsia="仿宋" w:hAnsi="仿宋" w:cs="仿宋" w:hint="eastAsia"/>
          <w:sz w:val="28"/>
          <w:lang w:eastAsia="zh-CN"/>
        </w:rPr>
      </w:pPr>
      <w:bookmarkStart w:id="11" w:name="_Toc22294"/>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在危机发生时，碳化硅超细粉体项目团队立即行动，成立了应急小组。该小组的任务是迅速制定并实施紧急应对措施，以最小化潜在损失。以下是采取的主要措施：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暂停碳化硅超细粉体项目进度：为遏制危机蔓延，碳化硅超细粉体项目暂时停止进行，以便全面评估当前状况。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资源重新分配：重新评估碳化硅超细粉体项目资源的分配，确保最大限度地减小损失。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实时沟通：与关键利益相关者建立实时沟通机制，向他们传递碳化硅超细粉体项目危机的实际状况，保障碳化硅超细粉体项目核心利益。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在紧急应对的同时，碳化硅超细粉体项目团队强调了团队协作和有效沟通的重要性。以下是团队协作的关键举措：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信息共享机制：建立了信息共享平台，确保团队成员能够及时获取碳化硅超细粉体项目危机的实时信息。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领导者沟通：碳化硅超细粉体项目领导者通过定期会议和即时沟通工具，指导团队应对危机，保持团队稳定运行。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随着危机得到初步控制，碳化硅超细粉体项目团队转向制定恢复计划，以确保碳化硅超细粉体项目能够从中迅速恢复。主要恢复计划包括：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修复受损的进度计划：重新评估碳化硅超细粉体项目进度，制定修复计划，确保碳化硅超细粉体项目尽快回归正常进程。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重新调整资源分配：优化资源分配，确保碳化硅超细粉体项目在有限资源下高效运转。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风险管理机制加强：对碳化硅超细粉体项目风险进行全面评估，制定更强化的风险管理策略，以预防未来可能的危机。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6586"/>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3034"/>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碳化硅超细粉体项目的技术管理特点体现在其创新导向。通过引入最先进的技术趋势和解决方案，碳化硅超细粉体项目致力于提升科技含量、提高质量和效率水平。这意味着我们将采用最新的工具和方法，确保碳化硅超细粉体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碳化硅超细粉体项目技术管理的显著特征。通过整合不同领域的技术资源，我们实现了跨学科的协同工作。这有助于优化技术架构，提高整体效能。此外，整合性策略还促进了不同技术团队之间的紧密沟通和高效合作，确保碳化硅超细粉体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碳化硅超细粉体项目所采用的技术。通过不断优化技术方案，碳化硅超细粉体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碳化硅超细粉体项目团队将在碳化硅超细粉体项目初期识别可能的技术风险，并采取相应的预防和应对措施。通过建立健全的风险评估机制，碳化硅超细粉体项目能够在实施过程中及时发现并解决潜在的技术问题，保障碳化硅超细粉体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碳化硅超细粉体项目中，技术将成为碳化硅超细粉体项目成功的有力支持。这一深度剖析揭示了技术管理在碳化硅超细粉体项目实施中的关键作用，为碳化硅超细粉体项目的技术基础奠定了坚实的基础。</w:t>
      </w:r>
    </w:p>
    <w:p>
      <w:pPr>
        <w:pStyle w:val="Heading2"/>
        <w:ind w:firstLine="560" w:firstLineChars="200"/>
        <w:rPr>
          <w:rFonts w:ascii="仿宋" w:eastAsia="仿宋" w:hAnsi="仿宋" w:cs="仿宋" w:hint="eastAsia"/>
          <w:sz w:val="28"/>
          <w:lang w:eastAsia="zh-CN"/>
        </w:rPr>
      </w:pPr>
      <w:bookmarkStart w:id="14" w:name="_Toc5796"/>
      <w:r>
        <w:rPr>
          <w:rFonts w:ascii="仿宋" w:eastAsia="仿宋" w:hAnsi="仿宋" w:cs="仿宋" w:hint="eastAsia"/>
          <w:sz w:val="28"/>
          <w:lang w:eastAsia="zh-CN"/>
        </w:rPr>
        <w:t>(二)、碳化硅超细粉体项目工艺技术设计方案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碳化硅超细粉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碳化硅超细粉体项目将严格按照相关行业规范要求进行组织。通过有效控制产品质量，碳化硅超细粉体项目将致力于为顾客提供优质的碳化硅超细粉体项目产品和良好的服务。这体现了碳化硅超细粉体项目对于生产活动合规性和质量标准的高度重视，为碳化硅超细粉体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工艺技术方面，碳化硅超细粉体项目注重生态效益和清洁生产原则。碳化硅超细粉体项目建设将紧密结合地方特色经济发展，与社会经济发展规划和区域环境保护规划方案相协调一致。通过与当地区域自然生态系统的结合，碳化硅超细粉体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碳化硅超细粉体项目产品具有多样化的客户需求和个性化的特点。因此，碳化硅超细粉体项目产品规格品种多样，且单批生产数量较小。为满足这一特点，碳化硅超细粉体项目承办单位将建设先进的柔性制造生产线。通过广泛应用柔性制造技术，碳化硅超细粉体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碳化硅超细粉体项目采用的技术具有较高的技术含量和自动化水平，处于国内先进水平。这一技术选用不仅体现了对生产效率、质量和环境友好性的高标准要求，同时为碳化硅超细粉体项目的可持续发展奠定了坚实的基础。</w:t>
      </w:r>
    </w:p>
    <w:p>
      <w:pPr>
        <w:pStyle w:val="Heading2"/>
        <w:ind w:firstLine="560" w:firstLineChars="200"/>
        <w:rPr>
          <w:rFonts w:ascii="仿宋" w:eastAsia="仿宋" w:hAnsi="仿宋" w:cs="仿宋" w:hint="eastAsia"/>
          <w:sz w:val="28"/>
          <w:lang w:eastAsia="zh-CN"/>
        </w:rPr>
      </w:pPr>
      <w:bookmarkStart w:id="15" w:name="_Toc26264"/>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为确保碳化硅超细粉体项目的高效生产和技术实施，我们制定了一套精心设计的设备选型方案，以满足碳化硅超细粉体项目生产、质量和环保的要求。该方案的主要特点如下：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碳化硅超细粉体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针对碳化硅超细粉体项目产品的多样性和小批量生产的特点，我们将建设柔性制造生产线。通过在设备选型中考虑柔性制造技术，可以灵活应对不同产品规格和生产需求，实现生产线的高度灵活性和适应性。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0837"/>
      <w:r>
        <w:rPr>
          <w:rFonts w:ascii="仿宋" w:eastAsia="仿宋" w:hAnsi="仿宋" w:cs="仿宋" w:hint="eastAsia"/>
          <w:sz w:val="28"/>
          <w:lang w:eastAsia="zh-CN"/>
        </w:rPr>
        <w:t>五、碳化硅超细粉体项目建设单位说明</w:t>
      </w:r>
      <w:bookmarkEnd w:id="16"/>
    </w:p>
    <w:p>
      <w:pPr>
        <w:pStyle w:val="Heading2"/>
        <w:rPr>
          <w:rFonts w:ascii="仿宋" w:eastAsia="仿宋" w:hAnsi="仿宋" w:cs="仿宋" w:hint="eastAsia"/>
          <w:lang w:eastAsia="zh-CN"/>
        </w:rPr>
      </w:pPr>
      <w:bookmarkStart w:id="17" w:name="_Toc13318"/>
      <w:r>
        <w:rPr>
          <w:rFonts w:ascii="仿宋" w:eastAsia="仿宋" w:hAnsi="仿宋" w:cs="仿宋" w:hint="eastAsia"/>
          <w:lang w:eastAsia="zh-CN"/>
        </w:rPr>
        <w:t>(一)、碳化硅超细粉体项目承办单位基本情况</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348"/>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碳化硅超细粉体项目承办单位的XXXX，我们着眼于实现可持续的经济效益。通过技术创新和解决方案的提供，公司预计在碳化硅超细粉体项目执行期间将获得可观的收入增长。这一收入来源主要包括碳化硅超细粉体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同时，我们注重成本控制和效率提升，以确保碳化硅超细粉体项目的可持续盈利。透过精细的管理和资源优化，公司期望实现碳化硅超细粉体项目利润最大化。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碳化硅超细粉体项目实施进行全面的投资评估，包括碳化硅超细粉体项目启动阶段的资金投入和后续运营成本。通过对碳化硅超细粉体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碳化硅超细粉体项目实施过程中具备足够的资金流动性，公司将进行详尽的现金流分析。这包括资金需求的合理预测、碳化硅超细粉体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8254"/>
      <w:r>
        <w:rPr>
          <w:rFonts w:ascii="仿宋" w:eastAsia="仿宋" w:hAnsi="仿宋" w:cs="仿宋" w:hint="eastAsia"/>
          <w:sz w:val="28"/>
          <w:lang w:eastAsia="zh-CN"/>
        </w:rPr>
        <w:t>六、碳化硅超细粉体项目文档管理</w:t>
      </w:r>
      <w:bookmarkEnd w:id="19"/>
    </w:p>
    <w:p>
      <w:pPr>
        <w:pStyle w:val="Heading2"/>
        <w:rPr>
          <w:rFonts w:ascii="仿宋" w:eastAsia="仿宋" w:hAnsi="仿宋" w:cs="仿宋" w:hint="eastAsia"/>
          <w:lang w:eastAsia="zh-CN"/>
        </w:rPr>
      </w:pPr>
      <w:bookmarkStart w:id="20" w:name="_Toc4077"/>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碳化硅超细粉体项目高度重视文档的质量和准确性，以支持碳化硅超细粉体项目的各项活动和决策。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超细粉体项目文档的编制始于碳化硅超细粉体项目计划的初期，我们制定了详细的文档编制计划，明确了每个文档的内容、格式和编写责任人。在碳化硅超细粉体项目启动阶段，我们首先编制了碳化硅超细粉体项目章程，明确定义了碳化硅超细粉体项目的目标、范围、风险等关键要素。随后，碳化硅超细粉体项目团队根据计划陆续编制了需求文档、设计文档、测试文档等各类文档，确保碳化硅超细粉体项目的每个阶段都有清晰的文档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https://d.book118.com/546102152053010041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756DAC"/>
    <w:rsid w:val="7C756D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6102152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2024-01-20T14:00:00Z</dcterms:created>
  <dcterms:modified xsi:type="dcterms:W3CDTF">2024-01-20T14:00:16Z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DFB6C5E3C05C411EAA65EEE7F747B0FA_11</vt:lpwstr>
  </property>
  <property fmtid="{D5CDD505-2E9C-101B-9397-08002B2CF9AE}" pid="3" name="KSOProductBuildVer">
    <vt:lpwstr>2052-12.1.0.16120</vt:lpwstr>
  </property>
</Properties>
</file>