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植物稳态营养肥料项目规划设计蓝图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7" w:history="1">
        <w:r>
          <w:rPr>
            <w:rFonts w:ascii="仿宋" w:eastAsia="仿宋" w:hAnsi="仿宋" w:cs="仿宋" w:hint="eastAsia"/>
            <w:lang w:eastAsia="zh-CN"/>
          </w:rPr>
          <w:t>前言</w:t>
        </w:r>
        <w:r>
          <w:tab/>
        </w:r>
        <w:r>
          <w:fldChar w:fldCharType="begin"/>
        </w:r>
        <w:r>
          <w:instrText xml:space="preserve"> PAGEREF _Toc14607 \h </w:instrText>
        </w:r>
        <w:r>
          <w:fldChar w:fldCharType="separate"/>
        </w:r>
        <w:r>
          <w:t>3</w:t>
        </w:r>
        <w:r>
          <w:fldChar w:fldCharType="end"/>
        </w:r>
      </w:hyperlink>
    </w:p>
    <w:p>
      <w:pPr>
        <w:pStyle w:val="TOC1"/>
        <w:tabs>
          <w:tab w:val="right" w:leader="dot" w:pos="8306"/>
        </w:tabs>
      </w:pPr>
      <w:hyperlink w:anchor="_Toc3384" w:history="1">
        <w:r>
          <w:rPr>
            <w:rFonts w:ascii="仿宋" w:eastAsia="仿宋" w:hAnsi="仿宋" w:cs="仿宋" w:hint="eastAsia"/>
            <w:lang w:eastAsia="zh-CN"/>
          </w:rPr>
          <w:t>一、植物稳态营养肥料项目建设背景及必要性分析</w:t>
        </w:r>
        <w:r>
          <w:tab/>
        </w:r>
        <w:r>
          <w:fldChar w:fldCharType="begin"/>
        </w:r>
        <w:r>
          <w:instrText xml:space="preserve"> PAGEREF _Toc3384 \h </w:instrText>
        </w:r>
        <w:r>
          <w:fldChar w:fldCharType="separate"/>
        </w:r>
        <w:r>
          <w:t>3</w:t>
        </w:r>
        <w:r>
          <w:fldChar w:fldCharType="end"/>
        </w:r>
      </w:hyperlink>
    </w:p>
    <w:p>
      <w:pPr>
        <w:pStyle w:val="TOC2"/>
        <w:tabs>
          <w:tab w:val="right" w:leader="dot" w:pos="8306"/>
        </w:tabs>
      </w:pPr>
      <w:hyperlink w:anchor="_Toc29391" w:history="1">
        <w:r>
          <w:rPr>
            <w:rFonts w:ascii="仿宋" w:eastAsia="仿宋" w:hAnsi="仿宋" w:cs="仿宋" w:hint="eastAsia"/>
            <w:lang w:eastAsia="zh-CN"/>
          </w:rPr>
          <w:t>(一)、植物稳态营养肥料项目背景分析</w:t>
        </w:r>
        <w:r>
          <w:tab/>
        </w:r>
        <w:r>
          <w:fldChar w:fldCharType="begin"/>
        </w:r>
        <w:r>
          <w:instrText xml:space="preserve"> PAGEREF _Toc29391 \h </w:instrText>
        </w:r>
        <w:r>
          <w:fldChar w:fldCharType="separate"/>
        </w:r>
        <w:r>
          <w:t>3</w:t>
        </w:r>
        <w:r>
          <w:fldChar w:fldCharType="end"/>
        </w:r>
      </w:hyperlink>
    </w:p>
    <w:p>
      <w:pPr>
        <w:pStyle w:val="TOC2"/>
        <w:tabs>
          <w:tab w:val="right" w:leader="dot" w:pos="8306"/>
        </w:tabs>
      </w:pPr>
      <w:hyperlink w:anchor="_Toc29572" w:history="1">
        <w:r>
          <w:rPr>
            <w:rFonts w:ascii="仿宋" w:eastAsia="仿宋" w:hAnsi="仿宋" w:cs="仿宋" w:hint="eastAsia"/>
            <w:lang w:eastAsia="zh-CN"/>
          </w:rPr>
          <w:t>(二)、植物稳态营养肥料项目建设必要性分析</w:t>
        </w:r>
        <w:r>
          <w:tab/>
        </w:r>
        <w:r>
          <w:fldChar w:fldCharType="begin"/>
        </w:r>
        <w:r>
          <w:instrText xml:space="preserve"> PAGEREF _Toc29572 \h </w:instrText>
        </w:r>
        <w:r>
          <w:fldChar w:fldCharType="separate"/>
        </w:r>
        <w:r>
          <w:t>5</w:t>
        </w:r>
        <w:r>
          <w:fldChar w:fldCharType="end"/>
        </w:r>
      </w:hyperlink>
    </w:p>
    <w:p>
      <w:pPr>
        <w:pStyle w:val="TOC1"/>
        <w:tabs>
          <w:tab w:val="right" w:leader="dot" w:pos="8306"/>
        </w:tabs>
      </w:pPr>
      <w:hyperlink w:anchor="_Toc5608" w:history="1">
        <w:r>
          <w:rPr>
            <w:rFonts w:ascii="仿宋" w:eastAsia="仿宋" w:hAnsi="仿宋" w:cs="仿宋" w:hint="eastAsia"/>
            <w:lang w:eastAsia="zh-CN"/>
          </w:rPr>
          <w:t>二、植物稳态营养肥料项目绩效评估</w:t>
        </w:r>
        <w:r>
          <w:tab/>
        </w:r>
        <w:r>
          <w:fldChar w:fldCharType="begin"/>
        </w:r>
        <w:r>
          <w:instrText xml:space="preserve"> PAGEREF _Toc5608 \h </w:instrText>
        </w:r>
        <w:r>
          <w:fldChar w:fldCharType="separate"/>
        </w:r>
        <w:r>
          <w:t>6</w:t>
        </w:r>
        <w:r>
          <w:fldChar w:fldCharType="end"/>
        </w:r>
      </w:hyperlink>
    </w:p>
    <w:p>
      <w:pPr>
        <w:pStyle w:val="TOC2"/>
        <w:tabs>
          <w:tab w:val="right" w:leader="dot" w:pos="8306"/>
        </w:tabs>
      </w:pPr>
      <w:hyperlink w:anchor="_Toc22114" w:history="1">
        <w:r>
          <w:rPr>
            <w:rFonts w:ascii="仿宋" w:eastAsia="仿宋" w:hAnsi="仿宋" w:cs="仿宋" w:hint="eastAsia"/>
            <w:lang w:eastAsia="zh-CN"/>
          </w:rPr>
          <w:t>(一)、绩效评估指标</w:t>
        </w:r>
        <w:r>
          <w:tab/>
        </w:r>
        <w:r>
          <w:fldChar w:fldCharType="begin"/>
        </w:r>
        <w:r>
          <w:instrText xml:space="preserve"> PAGEREF _Toc22114 \h </w:instrText>
        </w:r>
        <w:r>
          <w:fldChar w:fldCharType="separate"/>
        </w:r>
        <w:r>
          <w:t>6</w:t>
        </w:r>
        <w:r>
          <w:fldChar w:fldCharType="end"/>
        </w:r>
      </w:hyperlink>
    </w:p>
    <w:p>
      <w:pPr>
        <w:pStyle w:val="TOC2"/>
        <w:tabs>
          <w:tab w:val="right" w:leader="dot" w:pos="8306"/>
        </w:tabs>
      </w:pPr>
      <w:hyperlink w:anchor="_Toc7794" w:history="1">
        <w:r>
          <w:rPr>
            <w:rFonts w:ascii="仿宋" w:eastAsia="仿宋" w:hAnsi="仿宋" w:cs="仿宋" w:hint="eastAsia"/>
            <w:lang w:eastAsia="zh-CN"/>
          </w:rPr>
          <w:t>(二)、绩效评估方法</w:t>
        </w:r>
        <w:r>
          <w:tab/>
        </w:r>
        <w:r>
          <w:fldChar w:fldCharType="begin"/>
        </w:r>
        <w:r>
          <w:instrText xml:space="preserve"> PAGEREF _Toc7794 \h </w:instrText>
        </w:r>
        <w:r>
          <w:fldChar w:fldCharType="separate"/>
        </w:r>
        <w:r>
          <w:t>7</w:t>
        </w:r>
        <w:r>
          <w:fldChar w:fldCharType="end"/>
        </w:r>
      </w:hyperlink>
    </w:p>
    <w:p>
      <w:pPr>
        <w:pStyle w:val="TOC2"/>
        <w:tabs>
          <w:tab w:val="right" w:leader="dot" w:pos="8306"/>
        </w:tabs>
      </w:pPr>
      <w:hyperlink w:anchor="_Toc26739" w:history="1">
        <w:r>
          <w:rPr>
            <w:rFonts w:ascii="仿宋" w:eastAsia="仿宋" w:hAnsi="仿宋" w:cs="仿宋" w:hint="eastAsia"/>
            <w:lang w:eastAsia="zh-CN"/>
          </w:rPr>
          <w:t>(三)、绩效评估周期</w:t>
        </w:r>
        <w:r>
          <w:tab/>
        </w:r>
        <w:r>
          <w:fldChar w:fldCharType="begin"/>
        </w:r>
        <w:r>
          <w:instrText xml:space="preserve"> PAGEREF _Toc26739 \h </w:instrText>
        </w:r>
        <w:r>
          <w:fldChar w:fldCharType="separate"/>
        </w:r>
        <w:r>
          <w:t>8</w:t>
        </w:r>
        <w:r>
          <w:fldChar w:fldCharType="end"/>
        </w:r>
      </w:hyperlink>
    </w:p>
    <w:p>
      <w:pPr>
        <w:pStyle w:val="TOC1"/>
        <w:tabs>
          <w:tab w:val="right" w:leader="dot" w:pos="8306"/>
        </w:tabs>
      </w:pPr>
      <w:hyperlink w:anchor="_Toc10193" w:history="1">
        <w:r>
          <w:rPr>
            <w:rFonts w:ascii="仿宋" w:eastAsia="仿宋" w:hAnsi="仿宋" w:cs="仿宋" w:hint="eastAsia"/>
            <w:lang w:eastAsia="zh-CN"/>
          </w:rPr>
          <w:t>三、植物稳态营养肥料项目危机管理</w:t>
        </w:r>
        <w:r>
          <w:tab/>
        </w:r>
        <w:r>
          <w:fldChar w:fldCharType="begin"/>
        </w:r>
        <w:r>
          <w:instrText xml:space="preserve"> PAGEREF _Toc10193 \h </w:instrText>
        </w:r>
        <w:r>
          <w:fldChar w:fldCharType="separate"/>
        </w:r>
        <w:r>
          <w:t>9</w:t>
        </w:r>
        <w:r>
          <w:fldChar w:fldCharType="end"/>
        </w:r>
      </w:hyperlink>
    </w:p>
    <w:p>
      <w:pPr>
        <w:pStyle w:val="TOC2"/>
        <w:tabs>
          <w:tab w:val="right" w:leader="dot" w:pos="8306"/>
        </w:tabs>
      </w:pPr>
      <w:hyperlink w:anchor="_Toc17864" w:history="1">
        <w:r>
          <w:rPr>
            <w:rFonts w:ascii="仿宋" w:eastAsia="仿宋" w:hAnsi="仿宋" w:cs="仿宋" w:hint="eastAsia"/>
            <w:lang w:eastAsia="zh-CN"/>
          </w:rPr>
          <w:t>(一)、危机预警与识别</w:t>
        </w:r>
        <w:r>
          <w:tab/>
        </w:r>
        <w:r>
          <w:fldChar w:fldCharType="begin"/>
        </w:r>
        <w:r>
          <w:instrText xml:space="preserve"> PAGEREF _Toc17864 \h </w:instrText>
        </w:r>
        <w:r>
          <w:fldChar w:fldCharType="separate"/>
        </w:r>
        <w:r>
          <w:t>9</w:t>
        </w:r>
        <w:r>
          <w:fldChar w:fldCharType="end"/>
        </w:r>
      </w:hyperlink>
    </w:p>
    <w:p>
      <w:pPr>
        <w:pStyle w:val="TOC2"/>
        <w:tabs>
          <w:tab w:val="right" w:leader="dot" w:pos="8306"/>
        </w:tabs>
      </w:pPr>
      <w:hyperlink w:anchor="_Toc31516" w:history="1">
        <w:r>
          <w:rPr>
            <w:rFonts w:ascii="仿宋" w:eastAsia="仿宋" w:hAnsi="仿宋" w:cs="仿宋" w:hint="eastAsia"/>
            <w:lang w:eastAsia="zh-CN"/>
          </w:rPr>
          <w:t>(二)、危机应对与恢复</w:t>
        </w:r>
        <w:r>
          <w:tab/>
        </w:r>
        <w:r>
          <w:fldChar w:fldCharType="begin"/>
        </w:r>
        <w:r>
          <w:instrText xml:space="preserve"> PAGEREF _Toc31516 \h </w:instrText>
        </w:r>
        <w:r>
          <w:fldChar w:fldCharType="separate"/>
        </w:r>
        <w:r>
          <w:t>10</w:t>
        </w:r>
        <w:r>
          <w:fldChar w:fldCharType="end"/>
        </w:r>
      </w:hyperlink>
    </w:p>
    <w:p>
      <w:pPr>
        <w:pStyle w:val="TOC1"/>
        <w:tabs>
          <w:tab w:val="right" w:leader="dot" w:pos="8306"/>
        </w:tabs>
      </w:pPr>
      <w:hyperlink w:anchor="_Toc804" w:history="1">
        <w:r>
          <w:rPr>
            <w:rFonts w:ascii="仿宋" w:eastAsia="仿宋" w:hAnsi="仿宋" w:cs="仿宋" w:hint="eastAsia"/>
            <w:lang w:eastAsia="zh-CN"/>
          </w:rPr>
          <w:t>四、植物稳态营养肥料项目选址可行性分析</w:t>
        </w:r>
        <w:r>
          <w:tab/>
        </w:r>
        <w:r>
          <w:fldChar w:fldCharType="begin"/>
        </w:r>
        <w:r>
          <w:instrText xml:space="preserve"> PAGEREF _Toc804 \h </w:instrText>
        </w:r>
        <w:r>
          <w:fldChar w:fldCharType="separate"/>
        </w:r>
        <w:r>
          <w:t>12</w:t>
        </w:r>
        <w:r>
          <w:fldChar w:fldCharType="end"/>
        </w:r>
      </w:hyperlink>
    </w:p>
    <w:p>
      <w:pPr>
        <w:pStyle w:val="TOC2"/>
        <w:tabs>
          <w:tab w:val="right" w:leader="dot" w:pos="8306"/>
        </w:tabs>
      </w:pPr>
      <w:hyperlink w:anchor="_Toc12788" w:history="1">
        <w:r>
          <w:rPr>
            <w:rFonts w:ascii="仿宋" w:eastAsia="仿宋" w:hAnsi="仿宋" w:cs="仿宋" w:hint="eastAsia"/>
            <w:lang w:eastAsia="zh-CN"/>
          </w:rPr>
          <w:t>(一)、植物稳态营养肥料项目选址</w:t>
        </w:r>
        <w:r>
          <w:tab/>
        </w:r>
        <w:r>
          <w:fldChar w:fldCharType="begin"/>
        </w:r>
        <w:r>
          <w:instrText xml:space="preserve"> PAGEREF _Toc12788 \h </w:instrText>
        </w:r>
        <w:r>
          <w:fldChar w:fldCharType="separate"/>
        </w:r>
        <w:r>
          <w:t>12</w:t>
        </w:r>
        <w:r>
          <w:fldChar w:fldCharType="end"/>
        </w:r>
      </w:hyperlink>
    </w:p>
    <w:p>
      <w:pPr>
        <w:pStyle w:val="TOC2"/>
        <w:tabs>
          <w:tab w:val="right" w:leader="dot" w:pos="8306"/>
        </w:tabs>
      </w:pPr>
      <w:hyperlink w:anchor="_Toc21502" w:history="1">
        <w:r>
          <w:rPr>
            <w:rFonts w:ascii="仿宋" w:eastAsia="仿宋" w:hAnsi="仿宋" w:cs="仿宋" w:hint="eastAsia"/>
            <w:lang w:eastAsia="zh-CN"/>
          </w:rPr>
          <w:t>(二)、用地控制指标</w:t>
        </w:r>
        <w:r>
          <w:tab/>
        </w:r>
        <w:r>
          <w:fldChar w:fldCharType="begin"/>
        </w:r>
        <w:r>
          <w:instrText xml:space="preserve"> PAGEREF _Toc21502 \h </w:instrText>
        </w:r>
        <w:r>
          <w:fldChar w:fldCharType="separate"/>
        </w:r>
        <w:r>
          <w:t>12</w:t>
        </w:r>
        <w:r>
          <w:fldChar w:fldCharType="end"/>
        </w:r>
      </w:hyperlink>
    </w:p>
    <w:p>
      <w:pPr>
        <w:pStyle w:val="TOC2"/>
        <w:tabs>
          <w:tab w:val="right" w:leader="dot" w:pos="8306"/>
        </w:tabs>
      </w:pPr>
      <w:hyperlink w:anchor="_Toc6367" w:history="1">
        <w:r>
          <w:rPr>
            <w:rFonts w:ascii="仿宋" w:eastAsia="仿宋" w:hAnsi="仿宋" w:cs="仿宋" w:hint="eastAsia"/>
            <w:lang w:eastAsia="zh-CN"/>
          </w:rPr>
          <w:t>(三)、节约用地措施</w:t>
        </w:r>
        <w:r>
          <w:tab/>
        </w:r>
        <w:r>
          <w:fldChar w:fldCharType="begin"/>
        </w:r>
        <w:r>
          <w:instrText xml:space="preserve"> PAGEREF _Toc6367 \h </w:instrText>
        </w:r>
        <w:r>
          <w:fldChar w:fldCharType="separate"/>
        </w:r>
        <w:r>
          <w:t>14</w:t>
        </w:r>
        <w:r>
          <w:fldChar w:fldCharType="end"/>
        </w:r>
      </w:hyperlink>
    </w:p>
    <w:p>
      <w:pPr>
        <w:pStyle w:val="TOC2"/>
        <w:tabs>
          <w:tab w:val="right" w:leader="dot" w:pos="8306"/>
        </w:tabs>
      </w:pPr>
      <w:hyperlink w:anchor="_Toc26093" w:history="1">
        <w:r>
          <w:rPr>
            <w:rFonts w:ascii="仿宋" w:eastAsia="仿宋" w:hAnsi="仿宋" w:cs="仿宋" w:hint="eastAsia"/>
            <w:lang w:eastAsia="zh-CN"/>
          </w:rPr>
          <w:t>(四)、总图布置方案</w:t>
        </w:r>
        <w:r>
          <w:tab/>
        </w:r>
        <w:r>
          <w:fldChar w:fldCharType="begin"/>
        </w:r>
        <w:r>
          <w:instrText xml:space="preserve"> PAGEREF _Toc26093 \h </w:instrText>
        </w:r>
        <w:r>
          <w:fldChar w:fldCharType="separate"/>
        </w:r>
        <w:r>
          <w:t>15</w:t>
        </w:r>
        <w:r>
          <w:fldChar w:fldCharType="end"/>
        </w:r>
      </w:hyperlink>
    </w:p>
    <w:p>
      <w:pPr>
        <w:pStyle w:val="TOC2"/>
        <w:tabs>
          <w:tab w:val="right" w:leader="dot" w:pos="8306"/>
        </w:tabs>
      </w:pPr>
      <w:hyperlink w:anchor="_Toc5535" w:history="1">
        <w:r>
          <w:rPr>
            <w:rFonts w:ascii="仿宋" w:eastAsia="仿宋" w:hAnsi="仿宋" w:cs="仿宋" w:hint="eastAsia"/>
            <w:lang w:eastAsia="zh-CN"/>
          </w:rPr>
          <w:t>(五)、选址综合评价</w:t>
        </w:r>
        <w:r>
          <w:tab/>
        </w:r>
        <w:r>
          <w:fldChar w:fldCharType="begin"/>
        </w:r>
        <w:r>
          <w:instrText xml:space="preserve"> PAGEREF _Toc5535 \h </w:instrText>
        </w:r>
        <w:r>
          <w:fldChar w:fldCharType="separate"/>
        </w:r>
        <w:r>
          <w:t>16</w:t>
        </w:r>
        <w:r>
          <w:fldChar w:fldCharType="end"/>
        </w:r>
      </w:hyperlink>
    </w:p>
    <w:p>
      <w:pPr>
        <w:pStyle w:val="TOC1"/>
        <w:tabs>
          <w:tab w:val="right" w:leader="dot" w:pos="8306"/>
        </w:tabs>
      </w:pPr>
      <w:hyperlink w:anchor="_Toc17448" w:history="1">
        <w:r>
          <w:rPr>
            <w:rFonts w:ascii="仿宋" w:eastAsia="仿宋" w:hAnsi="仿宋" w:cs="仿宋" w:hint="eastAsia"/>
            <w:lang w:eastAsia="zh-CN"/>
          </w:rPr>
          <w:t>五、植物稳态营养肥料项目概论</w:t>
        </w:r>
        <w:r>
          <w:tab/>
        </w:r>
        <w:r>
          <w:fldChar w:fldCharType="begin"/>
        </w:r>
        <w:r>
          <w:instrText xml:space="preserve"> PAGEREF _Toc17448 \h </w:instrText>
        </w:r>
        <w:r>
          <w:fldChar w:fldCharType="separate"/>
        </w:r>
        <w:r>
          <w:t>18</w:t>
        </w:r>
        <w:r>
          <w:fldChar w:fldCharType="end"/>
        </w:r>
      </w:hyperlink>
    </w:p>
    <w:p>
      <w:pPr>
        <w:pStyle w:val="TOC2"/>
        <w:tabs>
          <w:tab w:val="right" w:leader="dot" w:pos="8306"/>
        </w:tabs>
      </w:pPr>
      <w:hyperlink w:anchor="_Toc14623" w:history="1">
        <w:r>
          <w:rPr>
            <w:rFonts w:ascii="仿宋" w:eastAsia="仿宋" w:hAnsi="仿宋" w:cs="仿宋" w:hint="eastAsia"/>
            <w:lang w:eastAsia="zh-CN"/>
          </w:rPr>
          <w:t>(一)、植物稳态营养肥料项目概况</w:t>
        </w:r>
        <w:r>
          <w:tab/>
        </w:r>
        <w:r>
          <w:fldChar w:fldCharType="begin"/>
        </w:r>
        <w:r>
          <w:instrText xml:space="preserve"> PAGEREF _Toc14623 \h </w:instrText>
        </w:r>
        <w:r>
          <w:fldChar w:fldCharType="separate"/>
        </w:r>
        <w:r>
          <w:t>18</w:t>
        </w:r>
        <w:r>
          <w:fldChar w:fldCharType="end"/>
        </w:r>
      </w:hyperlink>
    </w:p>
    <w:p>
      <w:pPr>
        <w:pStyle w:val="TOC2"/>
        <w:tabs>
          <w:tab w:val="right" w:leader="dot" w:pos="8306"/>
        </w:tabs>
      </w:pPr>
      <w:hyperlink w:anchor="_Toc27702" w:history="1">
        <w:r>
          <w:rPr>
            <w:rFonts w:ascii="仿宋" w:eastAsia="仿宋" w:hAnsi="仿宋" w:cs="仿宋" w:hint="eastAsia"/>
            <w:lang w:eastAsia="zh-CN"/>
          </w:rPr>
          <w:t>(二)、植物稳态营养肥料项目目标</w:t>
        </w:r>
        <w:r>
          <w:tab/>
        </w:r>
        <w:r>
          <w:fldChar w:fldCharType="begin"/>
        </w:r>
        <w:r>
          <w:instrText xml:space="preserve"> PAGEREF _Toc27702 \h </w:instrText>
        </w:r>
        <w:r>
          <w:fldChar w:fldCharType="separate"/>
        </w:r>
        <w:r>
          <w:t>20</w:t>
        </w:r>
        <w:r>
          <w:fldChar w:fldCharType="end"/>
        </w:r>
      </w:hyperlink>
    </w:p>
    <w:p>
      <w:pPr>
        <w:pStyle w:val="TOC2"/>
        <w:tabs>
          <w:tab w:val="right" w:leader="dot" w:pos="8306"/>
        </w:tabs>
      </w:pPr>
      <w:hyperlink w:anchor="_Toc8682" w:history="1">
        <w:r>
          <w:rPr>
            <w:rFonts w:ascii="仿宋" w:eastAsia="仿宋" w:hAnsi="仿宋" w:cs="仿宋" w:hint="eastAsia"/>
            <w:lang w:eastAsia="zh-CN"/>
          </w:rPr>
          <w:t>(三)、植物稳态营养肥料项目提出的理由</w:t>
        </w:r>
        <w:r>
          <w:tab/>
        </w:r>
        <w:r>
          <w:fldChar w:fldCharType="begin"/>
        </w:r>
        <w:r>
          <w:instrText xml:space="preserve"> PAGEREF _Toc8682 \h </w:instrText>
        </w:r>
        <w:r>
          <w:fldChar w:fldCharType="separate"/>
        </w:r>
        <w:r>
          <w:t>21</w:t>
        </w:r>
        <w:r>
          <w:fldChar w:fldCharType="end"/>
        </w:r>
      </w:hyperlink>
    </w:p>
    <w:p>
      <w:pPr>
        <w:pStyle w:val="TOC2"/>
        <w:tabs>
          <w:tab w:val="right" w:leader="dot" w:pos="8306"/>
        </w:tabs>
      </w:pPr>
      <w:hyperlink w:anchor="_Toc17679" w:history="1">
        <w:r>
          <w:rPr>
            <w:rFonts w:ascii="仿宋" w:eastAsia="仿宋" w:hAnsi="仿宋" w:cs="仿宋" w:hint="eastAsia"/>
            <w:lang w:eastAsia="zh-CN"/>
          </w:rPr>
          <w:t>(四)、植物稳态营养肥料项目意义</w:t>
        </w:r>
        <w:r>
          <w:tab/>
        </w:r>
        <w:r>
          <w:fldChar w:fldCharType="begin"/>
        </w:r>
        <w:r>
          <w:instrText xml:space="preserve"> PAGEREF _Toc17679 \h </w:instrText>
        </w:r>
        <w:r>
          <w:fldChar w:fldCharType="separate"/>
        </w:r>
        <w:r>
          <w:t>23</w:t>
        </w:r>
        <w:r>
          <w:fldChar w:fldCharType="end"/>
        </w:r>
      </w:hyperlink>
    </w:p>
    <w:p>
      <w:pPr>
        <w:pStyle w:val="TOC2"/>
        <w:tabs>
          <w:tab w:val="right" w:leader="dot" w:pos="8306"/>
        </w:tabs>
      </w:pPr>
      <w:hyperlink w:anchor="_Toc15185" w:history="1">
        <w:r>
          <w:rPr>
            <w:rFonts w:ascii="仿宋" w:eastAsia="仿宋" w:hAnsi="仿宋" w:cs="仿宋" w:hint="eastAsia"/>
            <w:lang w:eastAsia="zh-CN"/>
          </w:rPr>
          <w:t>(五)、植物稳态营养肥料项目背景</w:t>
        </w:r>
        <w:r>
          <w:tab/>
        </w:r>
        <w:r>
          <w:fldChar w:fldCharType="begin"/>
        </w:r>
        <w:r>
          <w:instrText xml:space="preserve"> PAGEREF _Toc15185 \h </w:instrText>
        </w:r>
        <w:r>
          <w:fldChar w:fldCharType="separate"/>
        </w:r>
        <w:r>
          <w:t>24</w:t>
        </w:r>
        <w:r>
          <w:fldChar w:fldCharType="end"/>
        </w:r>
      </w:hyperlink>
    </w:p>
    <w:p>
      <w:pPr>
        <w:pStyle w:val="TOC1"/>
        <w:tabs>
          <w:tab w:val="right" w:leader="dot" w:pos="8306"/>
        </w:tabs>
      </w:pPr>
      <w:hyperlink w:anchor="_Toc29743" w:history="1">
        <w:r>
          <w:rPr>
            <w:rFonts w:ascii="仿宋" w:eastAsia="仿宋" w:hAnsi="仿宋" w:cs="仿宋" w:hint="eastAsia"/>
            <w:lang w:eastAsia="zh-CN"/>
          </w:rPr>
          <w:t>六、植物稳态营养肥料项目可持续发展</w:t>
        </w:r>
        <w:r>
          <w:tab/>
        </w:r>
        <w:r>
          <w:fldChar w:fldCharType="begin"/>
        </w:r>
        <w:r>
          <w:instrText xml:space="preserve"> PAGEREF _Toc29743 \h </w:instrText>
        </w:r>
        <w:r>
          <w:fldChar w:fldCharType="separate"/>
        </w:r>
        <w:r>
          <w:t>25</w:t>
        </w:r>
        <w:r>
          <w:fldChar w:fldCharType="end"/>
        </w:r>
      </w:hyperlink>
    </w:p>
    <w:p>
      <w:pPr>
        <w:pStyle w:val="TOC2"/>
        <w:tabs>
          <w:tab w:val="right" w:leader="dot" w:pos="8306"/>
        </w:tabs>
      </w:pPr>
      <w:hyperlink w:anchor="_Toc1691" w:history="1">
        <w:r>
          <w:rPr>
            <w:rFonts w:ascii="仿宋" w:eastAsia="仿宋" w:hAnsi="仿宋" w:cs="仿宋" w:hint="eastAsia"/>
            <w:lang w:eastAsia="zh-CN"/>
          </w:rPr>
          <w:t>(一)、可持续战略与实践</w:t>
        </w:r>
        <w:r>
          <w:tab/>
        </w:r>
        <w:r>
          <w:fldChar w:fldCharType="begin"/>
        </w:r>
        <w:r>
          <w:instrText xml:space="preserve"> PAGEREF _Toc1691 \h </w:instrText>
        </w:r>
        <w:r>
          <w:fldChar w:fldCharType="separate"/>
        </w:r>
        <w:r>
          <w:t>25</w:t>
        </w:r>
        <w:r>
          <w:fldChar w:fldCharType="end"/>
        </w:r>
      </w:hyperlink>
    </w:p>
    <w:p>
      <w:pPr>
        <w:pStyle w:val="TOC2"/>
        <w:tabs>
          <w:tab w:val="right" w:leader="dot" w:pos="8306"/>
        </w:tabs>
      </w:pPr>
      <w:hyperlink w:anchor="_Toc10356" w:history="1">
        <w:r>
          <w:rPr>
            <w:rFonts w:ascii="仿宋" w:eastAsia="仿宋" w:hAnsi="仿宋" w:cs="仿宋" w:hint="eastAsia"/>
            <w:lang w:eastAsia="zh-CN"/>
          </w:rPr>
          <w:t>(二)、环保与社会责任</w:t>
        </w:r>
        <w:r>
          <w:tab/>
        </w:r>
        <w:r>
          <w:fldChar w:fldCharType="begin"/>
        </w:r>
        <w:r>
          <w:instrText xml:space="preserve"> PAGEREF _Toc10356 \h </w:instrText>
        </w:r>
        <w:r>
          <w:fldChar w:fldCharType="separate"/>
        </w:r>
        <w:r>
          <w:t>25</w:t>
        </w:r>
        <w:r>
          <w:fldChar w:fldCharType="end"/>
        </w:r>
      </w:hyperlink>
    </w:p>
    <w:p>
      <w:pPr>
        <w:pStyle w:val="TOC1"/>
        <w:tabs>
          <w:tab w:val="right" w:leader="dot" w:pos="8306"/>
        </w:tabs>
      </w:pPr>
      <w:hyperlink w:anchor="_Toc18177" w:history="1">
        <w:r>
          <w:rPr>
            <w:rFonts w:ascii="仿宋" w:eastAsia="仿宋" w:hAnsi="仿宋" w:cs="仿宋" w:hint="eastAsia"/>
            <w:lang w:eastAsia="zh-CN"/>
          </w:rPr>
          <w:t>七、植物稳态营养肥料项目财务管理</w:t>
        </w:r>
        <w:r>
          <w:tab/>
        </w:r>
        <w:r>
          <w:fldChar w:fldCharType="begin"/>
        </w:r>
        <w:r>
          <w:instrText xml:space="preserve"> PAGEREF _Toc18177 \h </w:instrText>
        </w:r>
        <w:r>
          <w:fldChar w:fldCharType="separate"/>
        </w:r>
        <w:r>
          <w:t>26</w:t>
        </w:r>
        <w:r>
          <w:fldChar w:fldCharType="end"/>
        </w:r>
      </w:hyperlink>
    </w:p>
    <w:p>
      <w:pPr>
        <w:pStyle w:val="TOC2"/>
        <w:tabs>
          <w:tab w:val="right" w:leader="dot" w:pos="8306"/>
        </w:tabs>
      </w:pPr>
      <w:hyperlink w:anchor="_Toc28862" w:history="1">
        <w:r>
          <w:rPr>
            <w:rFonts w:ascii="仿宋" w:eastAsia="仿宋" w:hAnsi="仿宋" w:cs="仿宋" w:hint="eastAsia"/>
            <w:lang w:eastAsia="zh-CN"/>
          </w:rPr>
          <w:t>(一)、资金需求大</w:t>
        </w:r>
        <w:r>
          <w:tab/>
        </w:r>
        <w:r>
          <w:fldChar w:fldCharType="begin"/>
        </w:r>
        <w:r>
          <w:instrText xml:space="preserve"> PAGEREF _Toc28862 \h </w:instrText>
        </w:r>
        <w:r>
          <w:fldChar w:fldCharType="separate"/>
        </w:r>
        <w:r>
          <w:t>26</w:t>
        </w:r>
        <w:r>
          <w:fldChar w:fldCharType="end"/>
        </w:r>
      </w:hyperlink>
    </w:p>
    <w:p>
      <w:pPr>
        <w:pStyle w:val="TOC2"/>
        <w:tabs>
          <w:tab w:val="right" w:leader="dot" w:pos="8306"/>
        </w:tabs>
      </w:pPr>
      <w:hyperlink w:anchor="_Toc28230" w:history="1">
        <w:r>
          <w:rPr>
            <w:rFonts w:ascii="仿宋" w:eastAsia="仿宋" w:hAnsi="仿宋" w:cs="仿宋" w:hint="eastAsia"/>
            <w:lang w:eastAsia="zh-CN"/>
          </w:rPr>
          <w:t>(二)、研发周期长</w:t>
        </w:r>
        <w:r>
          <w:tab/>
        </w:r>
        <w:r>
          <w:fldChar w:fldCharType="begin"/>
        </w:r>
        <w:r>
          <w:instrText xml:space="preserve"> PAGEREF _Toc28230 \h </w:instrText>
        </w:r>
        <w:r>
          <w:fldChar w:fldCharType="separate"/>
        </w:r>
        <w:r>
          <w:t>28</w:t>
        </w:r>
        <w:r>
          <w:fldChar w:fldCharType="end"/>
        </w:r>
      </w:hyperlink>
    </w:p>
    <w:p>
      <w:pPr>
        <w:pStyle w:val="TOC2"/>
        <w:tabs>
          <w:tab w:val="right" w:leader="dot" w:pos="8306"/>
        </w:tabs>
      </w:pPr>
      <w:hyperlink w:anchor="_Toc9380" w:history="1">
        <w:r>
          <w:rPr>
            <w:rFonts w:ascii="仿宋" w:eastAsia="仿宋" w:hAnsi="仿宋" w:cs="仿宋" w:hint="eastAsia"/>
            <w:lang w:eastAsia="zh-CN"/>
          </w:rPr>
          <w:t>(三)、市场风险大</w:t>
        </w:r>
        <w:r>
          <w:tab/>
        </w:r>
        <w:r>
          <w:fldChar w:fldCharType="begin"/>
        </w:r>
        <w:r>
          <w:instrText xml:space="preserve"> PAGEREF _Toc9380 \h </w:instrText>
        </w:r>
        <w:r>
          <w:fldChar w:fldCharType="separate"/>
        </w:r>
        <w:r>
          <w:t>29</w:t>
        </w:r>
        <w:r>
          <w:fldChar w:fldCharType="end"/>
        </w:r>
      </w:hyperlink>
    </w:p>
    <w:p>
      <w:pPr>
        <w:pStyle w:val="TOC2"/>
        <w:tabs>
          <w:tab w:val="right" w:leader="dot" w:pos="8306"/>
        </w:tabs>
      </w:pPr>
      <w:hyperlink w:anchor="_Toc22298" w:history="1">
        <w:r>
          <w:rPr>
            <w:rFonts w:ascii="仿宋" w:eastAsia="仿宋" w:hAnsi="仿宋" w:cs="仿宋" w:hint="eastAsia"/>
            <w:lang w:eastAsia="zh-CN"/>
          </w:rPr>
          <w:t>(四)、利润率高</w:t>
        </w:r>
        <w:r>
          <w:tab/>
        </w:r>
        <w:r>
          <w:fldChar w:fldCharType="begin"/>
        </w:r>
        <w:r>
          <w:instrText xml:space="preserve"> PAGEREF _Toc22298 \h </w:instrText>
        </w:r>
        <w:r>
          <w:fldChar w:fldCharType="separate"/>
        </w:r>
        <w:r>
          <w:t>32</w:t>
        </w:r>
        <w:r>
          <w:fldChar w:fldCharType="end"/>
        </w:r>
      </w:hyperlink>
    </w:p>
    <w:p>
      <w:pPr>
        <w:pStyle w:val="TOC1"/>
        <w:tabs>
          <w:tab w:val="right" w:leader="dot" w:pos="8306"/>
        </w:tabs>
      </w:pPr>
      <w:hyperlink w:anchor="_Toc22460" w:history="1">
        <w:r>
          <w:rPr>
            <w:rFonts w:ascii="仿宋" w:eastAsia="仿宋" w:hAnsi="仿宋" w:cs="仿宋" w:hint="eastAsia"/>
            <w:lang w:eastAsia="zh-CN"/>
          </w:rPr>
          <w:t>八、植物稳态营养肥料项目技术管理</w:t>
        </w:r>
        <w:r>
          <w:tab/>
        </w:r>
        <w:r>
          <w:fldChar w:fldCharType="begin"/>
        </w:r>
        <w:r>
          <w:instrText xml:space="preserve"> PAGEREF _Toc22460 \h </w:instrText>
        </w:r>
        <w:r>
          <w:fldChar w:fldCharType="separate"/>
        </w:r>
        <w:r>
          <w:t>34</w:t>
        </w:r>
        <w:r>
          <w:fldChar w:fldCharType="end"/>
        </w:r>
      </w:hyperlink>
    </w:p>
    <w:p>
      <w:pPr>
        <w:pStyle w:val="TOC2"/>
        <w:tabs>
          <w:tab w:val="right" w:leader="dot" w:pos="8306"/>
        </w:tabs>
      </w:pPr>
      <w:hyperlink w:anchor="_Toc953" w:history="1">
        <w:r>
          <w:rPr>
            <w:rFonts w:ascii="仿宋" w:eastAsia="仿宋" w:hAnsi="仿宋" w:cs="仿宋" w:hint="eastAsia"/>
            <w:lang w:eastAsia="zh-CN"/>
          </w:rPr>
          <w:t>(一)、技术方案选用方向</w:t>
        </w:r>
        <w:r>
          <w:tab/>
        </w:r>
        <w:r>
          <w:fldChar w:fldCharType="begin"/>
        </w:r>
        <w:r>
          <w:instrText xml:space="preserve"> PAGEREF _Toc953 \h </w:instrText>
        </w:r>
        <w:r>
          <w:fldChar w:fldCharType="separate"/>
        </w:r>
        <w:r>
          <w:t>34</w:t>
        </w:r>
        <w:r>
          <w:fldChar w:fldCharType="end"/>
        </w:r>
      </w:hyperlink>
    </w:p>
    <w:p>
      <w:pPr>
        <w:pStyle w:val="TOC2"/>
        <w:tabs>
          <w:tab w:val="right" w:leader="dot" w:pos="8306"/>
        </w:tabs>
      </w:pPr>
      <w:hyperlink w:anchor="_Toc21580" w:history="1">
        <w:r>
          <w:rPr>
            <w:rFonts w:ascii="仿宋" w:eastAsia="仿宋" w:hAnsi="仿宋" w:cs="仿宋" w:hint="eastAsia"/>
            <w:lang w:eastAsia="zh-CN"/>
          </w:rPr>
          <w:t>(二)、工艺技术方案选用原则</w:t>
        </w:r>
        <w:r>
          <w:tab/>
        </w:r>
        <w:r>
          <w:fldChar w:fldCharType="begin"/>
        </w:r>
        <w:r>
          <w:instrText xml:space="preserve"> PAGEREF _Toc21580 \h </w:instrText>
        </w:r>
        <w:r>
          <w:fldChar w:fldCharType="separate"/>
        </w:r>
        <w:r>
          <w:t>36</w:t>
        </w:r>
        <w:r>
          <w:fldChar w:fldCharType="end"/>
        </w:r>
      </w:hyperlink>
    </w:p>
    <w:p>
      <w:pPr>
        <w:pStyle w:val="TOC2"/>
        <w:tabs>
          <w:tab w:val="right" w:leader="dot" w:pos="8306"/>
        </w:tabs>
      </w:pPr>
      <w:hyperlink w:anchor="_Toc2658" w:history="1">
        <w:r>
          <w:rPr>
            <w:rFonts w:ascii="仿宋" w:eastAsia="仿宋" w:hAnsi="仿宋" w:cs="仿宋" w:hint="eastAsia"/>
            <w:lang w:eastAsia="zh-CN"/>
          </w:rPr>
          <w:t>(三)、工艺技术方案要求</w:t>
        </w:r>
        <w:r>
          <w:tab/>
        </w:r>
        <w:r>
          <w:fldChar w:fldCharType="begin"/>
        </w:r>
        <w:r>
          <w:instrText xml:space="preserve"> PAGEREF _Toc2658 \h </w:instrText>
        </w:r>
        <w:r>
          <w:fldChar w:fldCharType="separate"/>
        </w:r>
        <w:r>
          <w:t>38</w:t>
        </w:r>
        <w:r>
          <w:fldChar w:fldCharType="end"/>
        </w:r>
      </w:hyperlink>
    </w:p>
    <w:p>
      <w:pPr>
        <w:pStyle w:val="TOC1"/>
        <w:tabs>
          <w:tab w:val="right" w:leader="dot" w:pos="8306"/>
        </w:tabs>
      </w:pPr>
      <w:hyperlink w:anchor="_Toc16480" w:history="1">
        <w:r>
          <w:rPr>
            <w:rFonts w:ascii="仿宋" w:eastAsia="仿宋" w:hAnsi="仿宋" w:cs="仿宋" w:hint="eastAsia"/>
            <w:lang w:eastAsia="zh-CN"/>
          </w:rPr>
          <w:t>九、植物稳态营养肥料项目经营效益</w:t>
        </w:r>
        <w:r>
          <w:tab/>
        </w:r>
        <w:r>
          <w:fldChar w:fldCharType="begin"/>
        </w:r>
        <w:r>
          <w:instrText xml:space="preserve"> PAGEREF _Toc16480 \h </w:instrText>
        </w:r>
        <w:r>
          <w:fldChar w:fldCharType="separate"/>
        </w:r>
        <w:r>
          <w:t>40</w:t>
        </w:r>
        <w:r>
          <w:fldChar w:fldCharType="end"/>
        </w:r>
      </w:hyperlink>
    </w:p>
    <w:p>
      <w:pPr>
        <w:pStyle w:val="TOC2"/>
        <w:tabs>
          <w:tab w:val="right" w:leader="dot" w:pos="8306"/>
        </w:tabs>
      </w:pPr>
      <w:hyperlink w:anchor="_Toc26263" w:history="1">
        <w:r>
          <w:rPr>
            <w:rFonts w:ascii="仿宋" w:eastAsia="仿宋" w:hAnsi="仿宋" w:cs="仿宋" w:hint="eastAsia"/>
            <w:lang w:eastAsia="zh-CN"/>
          </w:rPr>
          <w:t>(一)、经济评价财务测算</w:t>
        </w:r>
        <w:r>
          <w:tab/>
        </w:r>
        <w:r>
          <w:fldChar w:fldCharType="begin"/>
        </w:r>
        <w:r>
          <w:instrText xml:space="preserve"> PAGEREF _Toc26263 \h </w:instrText>
        </w:r>
        <w:r>
          <w:fldChar w:fldCharType="separate"/>
        </w:r>
        <w:r>
          <w:t>40</w:t>
        </w:r>
        <w:r>
          <w:fldChar w:fldCharType="end"/>
        </w:r>
      </w:hyperlink>
    </w:p>
    <w:p>
      <w:pPr>
        <w:pStyle w:val="TOC2"/>
        <w:tabs>
          <w:tab w:val="right" w:leader="dot" w:pos="8306"/>
        </w:tabs>
      </w:pPr>
      <w:hyperlink w:anchor="_Toc26767" w:history="1">
        <w:r>
          <w:rPr>
            <w:rFonts w:ascii="仿宋" w:eastAsia="仿宋" w:hAnsi="仿宋" w:cs="仿宋" w:hint="eastAsia"/>
            <w:lang w:eastAsia="zh-CN"/>
          </w:rPr>
          <w:t>(二)、植物稳态营养肥料项目盈利能力分析</w:t>
        </w:r>
        <w:r>
          <w:tab/>
        </w:r>
        <w:r>
          <w:fldChar w:fldCharType="begin"/>
        </w:r>
        <w:r>
          <w:instrText xml:space="preserve"> PAGEREF _Toc26767 \h </w:instrText>
        </w:r>
        <w:r>
          <w:fldChar w:fldCharType="separate"/>
        </w:r>
        <w:r>
          <w:t>41</w:t>
        </w:r>
        <w:r>
          <w:fldChar w:fldCharType="end"/>
        </w:r>
      </w:hyperlink>
    </w:p>
    <w:p>
      <w:pPr>
        <w:pStyle w:val="TOC1"/>
        <w:tabs>
          <w:tab w:val="right" w:leader="dot" w:pos="8306"/>
        </w:tabs>
      </w:pPr>
      <w:hyperlink w:anchor="_Toc23876" w:history="1">
        <w:r>
          <w:rPr>
            <w:rFonts w:ascii="仿宋" w:eastAsia="仿宋" w:hAnsi="仿宋" w:cs="仿宋" w:hint="eastAsia"/>
            <w:lang w:eastAsia="zh-CN"/>
          </w:rPr>
          <w:t>十、植物稳态营养肥料项目投资规划</w:t>
        </w:r>
        <w:r>
          <w:tab/>
        </w:r>
        <w:r>
          <w:fldChar w:fldCharType="begin"/>
        </w:r>
        <w:r>
          <w:instrText xml:space="preserve"> PAGEREF _Toc23876 \h </w:instrText>
        </w:r>
        <w:r>
          <w:fldChar w:fldCharType="separate"/>
        </w:r>
        <w:r>
          <w:t>42</w:t>
        </w:r>
        <w:r>
          <w:fldChar w:fldCharType="end"/>
        </w:r>
      </w:hyperlink>
    </w:p>
    <w:p>
      <w:pPr>
        <w:pStyle w:val="TOC2"/>
        <w:tabs>
          <w:tab w:val="right" w:leader="dot" w:pos="8306"/>
        </w:tabs>
      </w:pPr>
      <w:hyperlink w:anchor="_Toc17915" w:history="1">
        <w:r>
          <w:rPr>
            <w:rFonts w:ascii="仿宋" w:eastAsia="仿宋" w:hAnsi="仿宋" w:cs="仿宋" w:hint="eastAsia"/>
            <w:lang w:eastAsia="zh-CN"/>
          </w:rPr>
          <w:t>(一)、植物稳态营养肥料项目总投资估算</w:t>
        </w:r>
        <w:r>
          <w:tab/>
        </w:r>
        <w:r>
          <w:fldChar w:fldCharType="begin"/>
        </w:r>
        <w:r>
          <w:instrText xml:space="preserve"> PAGEREF _Toc17915 \h </w:instrText>
        </w:r>
        <w:r>
          <w:fldChar w:fldCharType="separate"/>
        </w:r>
        <w:r>
          <w:t>42</w:t>
        </w:r>
        <w:r>
          <w:fldChar w:fldCharType="end"/>
        </w:r>
      </w:hyperlink>
    </w:p>
    <w:p>
      <w:pPr>
        <w:pStyle w:val="TOC2"/>
        <w:tabs>
          <w:tab w:val="right" w:leader="dot" w:pos="8306"/>
        </w:tabs>
      </w:pPr>
      <w:hyperlink w:anchor="_Toc21314" w:history="1">
        <w:r>
          <w:rPr>
            <w:rFonts w:ascii="仿宋" w:eastAsia="仿宋" w:hAnsi="仿宋" w:cs="仿宋" w:hint="eastAsia"/>
            <w:lang w:eastAsia="zh-CN"/>
          </w:rPr>
          <w:t>(二)、资金筹措</w:t>
        </w:r>
        <w:r>
          <w:tab/>
        </w:r>
        <w:r>
          <w:fldChar w:fldCharType="begin"/>
        </w:r>
        <w:r>
          <w:instrText xml:space="preserve"> PAGEREF _Toc21314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6" w:history="1">
        <w:r>
          <w:rPr>
            <w:rFonts w:ascii="仿宋" w:eastAsia="仿宋" w:hAnsi="仿宋" w:cs="仿宋" w:hint="eastAsia"/>
            <w:lang w:eastAsia="zh-CN"/>
          </w:rPr>
          <w:t>十一、植物稳态营养肥料项目人力资源管理</w:t>
        </w:r>
        <w:r>
          <w:tab/>
        </w:r>
        <w:r>
          <w:fldChar w:fldCharType="begin"/>
        </w:r>
        <w:r>
          <w:instrText xml:space="preserve"> PAGEREF _Toc16726 \h </w:instrText>
        </w:r>
        <w:r>
          <w:fldChar w:fldCharType="separate"/>
        </w:r>
        <w:r>
          <w:t>44</w:t>
        </w:r>
        <w:r>
          <w:fldChar w:fldCharType="end"/>
        </w:r>
      </w:hyperlink>
    </w:p>
    <w:p>
      <w:pPr>
        <w:pStyle w:val="TOC2"/>
        <w:tabs>
          <w:tab w:val="right" w:leader="dot" w:pos="8306"/>
        </w:tabs>
      </w:pPr>
      <w:hyperlink w:anchor="_Toc12498" w:history="1">
        <w:r>
          <w:rPr>
            <w:rFonts w:ascii="仿宋" w:eastAsia="仿宋" w:hAnsi="仿宋" w:cs="仿宋" w:hint="eastAsia"/>
            <w:lang w:eastAsia="zh-CN"/>
          </w:rPr>
          <w:t>(一)、建立健全的预算管理制度</w:t>
        </w:r>
        <w:r>
          <w:tab/>
        </w:r>
        <w:r>
          <w:fldChar w:fldCharType="begin"/>
        </w:r>
        <w:r>
          <w:instrText xml:space="preserve"> PAGEREF _Toc12498 \h </w:instrText>
        </w:r>
        <w:r>
          <w:fldChar w:fldCharType="separate"/>
        </w:r>
        <w:r>
          <w:t>44</w:t>
        </w:r>
        <w:r>
          <w:fldChar w:fldCharType="end"/>
        </w:r>
      </w:hyperlink>
    </w:p>
    <w:p>
      <w:pPr>
        <w:pStyle w:val="TOC2"/>
        <w:tabs>
          <w:tab w:val="right" w:leader="dot" w:pos="8306"/>
        </w:tabs>
      </w:pPr>
      <w:hyperlink w:anchor="_Toc742" w:history="1">
        <w:r>
          <w:rPr>
            <w:rFonts w:ascii="仿宋" w:eastAsia="仿宋" w:hAnsi="仿宋" w:cs="仿宋" w:hint="eastAsia"/>
            <w:lang w:eastAsia="zh-CN"/>
          </w:rPr>
          <w:t>(二)、加强资金流动监控</w:t>
        </w:r>
        <w:r>
          <w:tab/>
        </w:r>
        <w:r>
          <w:fldChar w:fldCharType="begin"/>
        </w:r>
        <w:r>
          <w:instrText xml:space="preserve"> PAGEREF _Toc742 \h </w:instrText>
        </w:r>
        <w:r>
          <w:fldChar w:fldCharType="separate"/>
        </w:r>
        <w:r>
          <w:t>46</w:t>
        </w:r>
        <w:r>
          <w:fldChar w:fldCharType="end"/>
        </w:r>
      </w:hyperlink>
    </w:p>
    <w:p>
      <w:pPr>
        <w:pStyle w:val="TOC2"/>
        <w:tabs>
          <w:tab w:val="right" w:leader="dot" w:pos="8306"/>
        </w:tabs>
      </w:pPr>
      <w:hyperlink w:anchor="_Toc510" w:history="1">
        <w:r>
          <w:rPr>
            <w:rFonts w:ascii="仿宋" w:eastAsia="仿宋" w:hAnsi="仿宋" w:cs="仿宋" w:hint="eastAsia"/>
            <w:lang w:eastAsia="zh-CN"/>
          </w:rPr>
          <w:t>(三)、制定完善的风险控制机制</w:t>
        </w:r>
        <w:r>
          <w:tab/>
        </w:r>
        <w:r>
          <w:fldChar w:fldCharType="begin"/>
        </w:r>
        <w:r>
          <w:instrText xml:space="preserve"> PAGEREF _Toc510 \h </w:instrText>
        </w:r>
        <w:r>
          <w:fldChar w:fldCharType="separate"/>
        </w:r>
        <w:r>
          <w:t>47</w:t>
        </w:r>
        <w:r>
          <w:fldChar w:fldCharType="end"/>
        </w:r>
      </w:hyperlink>
    </w:p>
    <w:p>
      <w:pPr>
        <w:pStyle w:val="TOC2"/>
        <w:tabs>
          <w:tab w:val="right" w:leader="dot" w:pos="8306"/>
        </w:tabs>
      </w:pPr>
      <w:hyperlink w:anchor="_Toc24551" w:history="1">
        <w:r>
          <w:rPr>
            <w:rFonts w:ascii="仿宋" w:eastAsia="仿宋" w:hAnsi="仿宋" w:cs="仿宋" w:hint="eastAsia"/>
            <w:lang w:eastAsia="zh-CN"/>
          </w:rPr>
          <w:t>(四)、优化成本管理</w:t>
        </w:r>
        <w:r>
          <w:tab/>
        </w:r>
        <w:r>
          <w:fldChar w:fldCharType="begin"/>
        </w:r>
        <w:r>
          <w:instrText xml:space="preserve"> PAGEREF _Toc24551 \h </w:instrText>
        </w:r>
        <w:r>
          <w:fldChar w:fldCharType="separate"/>
        </w:r>
        <w:r>
          <w:t>49</w:t>
        </w:r>
        <w:r>
          <w:fldChar w:fldCharType="end"/>
        </w:r>
      </w:hyperlink>
    </w:p>
    <w:p>
      <w:pPr>
        <w:pStyle w:val="TOC1"/>
        <w:tabs>
          <w:tab w:val="right" w:leader="dot" w:pos="8306"/>
        </w:tabs>
      </w:pPr>
      <w:hyperlink w:anchor="_Toc17162" w:history="1">
        <w:r>
          <w:rPr>
            <w:rFonts w:ascii="仿宋" w:eastAsia="仿宋" w:hAnsi="仿宋" w:cs="仿宋" w:hint="eastAsia"/>
            <w:lang w:eastAsia="zh-CN"/>
          </w:rPr>
          <w:t>十二、植物稳态营养肥料项目创新与研发</w:t>
        </w:r>
        <w:r>
          <w:tab/>
        </w:r>
        <w:r>
          <w:fldChar w:fldCharType="begin"/>
        </w:r>
        <w:r>
          <w:instrText xml:space="preserve"> PAGEREF _Toc17162 \h </w:instrText>
        </w:r>
        <w:r>
          <w:fldChar w:fldCharType="separate"/>
        </w:r>
        <w:r>
          <w:t>50</w:t>
        </w:r>
        <w:r>
          <w:fldChar w:fldCharType="end"/>
        </w:r>
      </w:hyperlink>
    </w:p>
    <w:p>
      <w:pPr>
        <w:pStyle w:val="TOC2"/>
        <w:tabs>
          <w:tab w:val="right" w:leader="dot" w:pos="8306"/>
        </w:tabs>
      </w:pPr>
      <w:hyperlink w:anchor="_Toc14265" w:history="1">
        <w:r>
          <w:rPr>
            <w:rFonts w:ascii="仿宋" w:eastAsia="仿宋" w:hAnsi="仿宋" w:cs="仿宋" w:hint="eastAsia"/>
            <w:lang w:eastAsia="zh-CN"/>
          </w:rPr>
          <w:t>(一)、创新策略与方向</w:t>
        </w:r>
        <w:r>
          <w:tab/>
        </w:r>
        <w:r>
          <w:fldChar w:fldCharType="begin"/>
        </w:r>
        <w:r>
          <w:instrText xml:space="preserve"> PAGEREF _Toc14265 \h </w:instrText>
        </w:r>
        <w:r>
          <w:fldChar w:fldCharType="separate"/>
        </w:r>
        <w:r>
          <w:t>50</w:t>
        </w:r>
        <w:r>
          <w:fldChar w:fldCharType="end"/>
        </w:r>
      </w:hyperlink>
    </w:p>
    <w:p>
      <w:pPr>
        <w:pStyle w:val="TOC2"/>
        <w:tabs>
          <w:tab w:val="right" w:leader="dot" w:pos="8306"/>
        </w:tabs>
      </w:pPr>
      <w:hyperlink w:anchor="_Toc340" w:history="1">
        <w:r>
          <w:rPr>
            <w:rFonts w:ascii="仿宋" w:eastAsia="仿宋" w:hAnsi="仿宋" w:cs="仿宋" w:hint="eastAsia"/>
            <w:lang w:eastAsia="zh-CN"/>
          </w:rPr>
          <w:t>(二)、研发规划与投入</w:t>
        </w:r>
        <w:r>
          <w:tab/>
        </w:r>
        <w:r>
          <w:fldChar w:fldCharType="begin"/>
        </w:r>
        <w:r>
          <w:instrText xml:space="preserve"> PAGEREF _Toc340 \h </w:instrText>
        </w:r>
        <w:r>
          <w:fldChar w:fldCharType="separate"/>
        </w:r>
        <w:r>
          <w:t>51</w:t>
        </w:r>
        <w:r>
          <w:fldChar w:fldCharType="end"/>
        </w:r>
      </w:hyperlink>
    </w:p>
    <w:p>
      <w:pPr>
        <w:pStyle w:val="TOC1"/>
        <w:tabs>
          <w:tab w:val="right" w:leader="dot" w:pos="8306"/>
        </w:tabs>
      </w:pPr>
      <w:hyperlink w:anchor="_Toc26554" w:history="1">
        <w:r>
          <w:rPr>
            <w:rFonts w:ascii="仿宋" w:eastAsia="仿宋" w:hAnsi="仿宋" w:cs="仿宋" w:hint="eastAsia"/>
            <w:lang w:eastAsia="zh-CN"/>
          </w:rPr>
          <w:t>十三、植物稳态营养肥料项目工程方案分析</w:t>
        </w:r>
        <w:r>
          <w:tab/>
        </w:r>
        <w:r>
          <w:fldChar w:fldCharType="begin"/>
        </w:r>
        <w:r>
          <w:instrText xml:space="preserve"> PAGEREF _Toc26554 \h </w:instrText>
        </w:r>
        <w:r>
          <w:fldChar w:fldCharType="separate"/>
        </w:r>
        <w:r>
          <w:t>53</w:t>
        </w:r>
        <w:r>
          <w:fldChar w:fldCharType="end"/>
        </w:r>
      </w:hyperlink>
    </w:p>
    <w:p>
      <w:pPr>
        <w:pStyle w:val="TOC2"/>
        <w:tabs>
          <w:tab w:val="right" w:leader="dot" w:pos="8306"/>
        </w:tabs>
      </w:pPr>
      <w:hyperlink w:anchor="_Toc31832" w:history="1">
        <w:r>
          <w:rPr>
            <w:rFonts w:ascii="仿宋" w:eastAsia="仿宋" w:hAnsi="仿宋" w:cs="仿宋" w:hint="eastAsia"/>
            <w:lang w:eastAsia="zh-CN"/>
          </w:rPr>
          <w:t>(一)、建筑工程设计原则</w:t>
        </w:r>
        <w:r>
          <w:tab/>
        </w:r>
        <w:r>
          <w:fldChar w:fldCharType="begin"/>
        </w:r>
        <w:r>
          <w:instrText xml:space="preserve"> PAGEREF _Toc31832 \h </w:instrText>
        </w:r>
        <w:r>
          <w:fldChar w:fldCharType="separate"/>
        </w:r>
        <w:r>
          <w:t>53</w:t>
        </w:r>
        <w:r>
          <w:fldChar w:fldCharType="end"/>
        </w:r>
      </w:hyperlink>
    </w:p>
    <w:p>
      <w:pPr>
        <w:pStyle w:val="TOC2"/>
        <w:tabs>
          <w:tab w:val="right" w:leader="dot" w:pos="8306"/>
        </w:tabs>
      </w:pPr>
      <w:hyperlink w:anchor="_Toc29374" w:history="1">
        <w:r>
          <w:rPr>
            <w:rFonts w:ascii="仿宋" w:eastAsia="仿宋" w:hAnsi="仿宋" w:cs="仿宋" w:hint="eastAsia"/>
            <w:lang w:eastAsia="zh-CN"/>
          </w:rPr>
          <w:t>(二)、土建工程建设指标</w:t>
        </w:r>
        <w:r>
          <w:tab/>
        </w:r>
        <w:r>
          <w:fldChar w:fldCharType="begin"/>
        </w:r>
        <w:r>
          <w:instrText xml:space="preserve"> PAGEREF _Toc29374 \h </w:instrText>
        </w:r>
        <w:r>
          <w:fldChar w:fldCharType="separate"/>
        </w:r>
        <w:r>
          <w:t>57</w:t>
        </w:r>
        <w:r>
          <w:fldChar w:fldCharType="end"/>
        </w:r>
      </w:hyperlink>
    </w:p>
    <w:p>
      <w:pPr>
        <w:pStyle w:val="TOC1"/>
        <w:tabs>
          <w:tab w:val="right" w:leader="dot" w:pos="8306"/>
        </w:tabs>
      </w:pPr>
      <w:hyperlink w:anchor="_Toc4021" w:history="1">
        <w:r>
          <w:rPr>
            <w:rFonts w:ascii="仿宋" w:eastAsia="仿宋" w:hAnsi="仿宋" w:cs="仿宋" w:hint="eastAsia"/>
            <w:lang w:eastAsia="zh-CN"/>
          </w:rPr>
          <w:t>十四、植物稳态营养肥料项目实施保障措施</w:t>
        </w:r>
        <w:r>
          <w:tab/>
        </w:r>
        <w:r>
          <w:fldChar w:fldCharType="begin"/>
        </w:r>
        <w:r>
          <w:instrText xml:space="preserve"> PAGEREF _Toc4021 \h </w:instrText>
        </w:r>
        <w:r>
          <w:fldChar w:fldCharType="separate"/>
        </w:r>
        <w:r>
          <w:t>58</w:t>
        </w:r>
        <w:r>
          <w:fldChar w:fldCharType="end"/>
        </w:r>
      </w:hyperlink>
    </w:p>
    <w:p>
      <w:pPr>
        <w:pStyle w:val="TOC2"/>
        <w:tabs>
          <w:tab w:val="right" w:leader="dot" w:pos="8306"/>
        </w:tabs>
      </w:pPr>
      <w:hyperlink w:anchor="_Toc8583" w:history="1">
        <w:r>
          <w:rPr>
            <w:rFonts w:ascii="仿宋" w:eastAsia="仿宋" w:hAnsi="仿宋" w:cs="仿宋" w:hint="eastAsia"/>
            <w:lang w:eastAsia="zh-CN"/>
          </w:rPr>
          <w:t>(一)、植物稳态营养肥料项目实施保障机制</w:t>
        </w:r>
        <w:r>
          <w:tab/>
        </w:r>
        <w:r>
          <w:fldChar w:fldCharType="begin"/>
        </w:r>
        <w:r>
          <w:instrText xml:space="preserve"> PAGEREF _Toc8583 \h </w:instrText>
        </w:r>
        <w:r>
          <w:fldChar w:fldCharType="separate"/>
        </w:r>
        <w:r>
          <w:t>58</w:t>
        </w:r>
        <w:r>
          <w:fldChar w:fldCharType="end"/>
        </w:r>
      </w:hyperlink>
    </w:p>
    <w:p>
      <w:pPr>
        <w:pStyle w:val="TOC2"/>
        <w:tabs>
          <w:tab w:val="right" w:leader="dot" w:pos="8306"/>
        </w:tabs>
      </w:pPr>
      <w:hyperlink w:anchor="_Toc13917" w:history="1">
        <w:r>
          <w:rPr>
            <w:rFonts w:ascii="仿宋" w:eastAsia="仿宋" w:hAnsi="仿宋" w:cs="仿宋" w:hint="eastAsia"/>
            <w:lang w:eastAsia="zh-CN"/>
          </w:rPr>
          <w:t>(二)、植物稳态营养肥料项目法律合规要求</w:t>
        </w:r>
        <w:r>
          <w:tab/>
        </w:r>
        <w:r>
          <w:fldChar w:fldCharType="begin"/>
        </w:r>
        <w:r>
          <w:instrText xml:space="preserve"> PAGEREF _Toc13917 \h </w:instrText>
        </w:r>
        <w:r>
          <w:fldChar w:fldCharType="separate"/>
        </w:r>
        <w:r>
          <w:t>62</w:t>
        </w:r>
        <w:r>
          <w:fldChar w:fldCharType="end"/>
        </w:r>
      </w:hyperlink>
    </w:p>
    <w:p>
      <w:pPr>
        <w:pStyle w:val="TOC2"/>
        <w:tabs>
          <w:tab w:val="right" w:leader="dot" w:pos="8306"/>
        </w:tabs>
      </w:pPr>
      <w:hyperlink w:anchor="_Toc19366" w:history="1">
        <w:r>
          <w:rPr>
            <w:rFonts w:ascii="仿宋" w:eastAsia="仿宋" w:hAnsi="仿宋" w:cs="仿宋" w:hint="eastAsia"/>
            <w:lang w:eastAsia="zh-CN"/>
          </w:rPr>
          <w:t>(三)、植物稳态营养肥料项目合同管理与法律事务</w:t>
        </w:r>
        <w:r>
          <w:tab/>
        </w:r>
        <w:r>
          <w:fldChar w:fldCharType="begin"/>
        </w:r>
        <w:r>
          <w:instrText xml:space="preserve"> PAGEREF _Toc19366 \h </w:instrText>
        </w:r>
        <w:r>
          <w:fldChar w:fldCharType="separate"/>
        </w:r>
        <w:r>
          <w:t>67</w:t>
        </w:r>
        <w:r>
          <w:fldChar w:fldCharType="end"/>
        </w:r>
      </w:hyperlink>
    </w:p>
    <w:p>
      <w:pPr>
        <w:pStyle w:val="TOC2"/>
        <w:tabs>
          <w:tab w:val="right" w:leader="dot" w:pos="8306"/>
        </w:tabs>
      </w:pPr>
      <w:hyperlink w:anchor="_Toc14432" w:history="1">
        <w:r>
          <w:rPr>
            <w:rFonts w:ascii="仿宋" w:eastAsia="仿宋" w:hAnsi="仿宋" w:cs="仿宋" w:hint="eastAsia"/>
            <w:lang w:eastAsia="zh-CN"/>
          </w:rPr>
          <w:t>(四)、植物稳态营养肥料项目知识产权保护策略</w:t>
        </w:r>
        <w:r>
          <w:tab/>
        </w:r>
        <w:r>
          <w:fldChar w:fldCharType="begin"/>
        </w:r>
        <w:r>
          <w:instrText xml:space="preserve"> PAGEREF _Toc14432 \h </w:instrText>
        </w:r>
        <w:r>
          <w:fldChar w:fldCharType="separate"/>
        </w:r>
        <w:r>
          <w:t>73</w:t>
        </w:r>
        <w:r>
          <w:fldChar w:fldCharType="end"/>
        </w:r>
      </w:hyperlink>
    </w:p>
    <w:p>
      <w:pPr>
        <w:pStyle w:val="TOC1"/>
        <w:tabs>
          <w:tab w:val="right" w:leader="dot" w:pos="8306"/>
        </w:tabs>
      </w:pPr>
      <w:hyperlink w:anchor="_Toc13476" w:history="1">
        <w:r>
          <w:rPr>
            <w:rFonts w:ascii="仿宋" w:eastAsia="仿宋" w:hAnsi="仿宋" w:cs="仿宋" w:hint="eastAsia"/>
            <w:lang w:eastAsia="zh-CN"/>
          </w:rPr>
          <w:t>十五、利益相关者分析与沟通计划</w:t>
        </w:r>
        <w:r>
          <w:tab/>
        </w:r>
        <w:r>
          <w:fldChar w:fldCharType="begin"/>
        </w:r>
        <w:r>
          <w:instrText xml:space="preserve"> PAGEREF _Toc13476 \h </w:instrText>
        </w:r>
        <w:r>
          <w:fldChar w:fldCharType="separate"/>
        </w:r>
        <w:r>
          <w:t>76</w:t>
        </w:r>
        <w:r>
          <w:fldChar w:fldCharType="end"/>
        </w:r>
      </w:hyperlink>
    </w:p>
    <w:p>
      <w:pPr>
        <w:pStyle w:val="TOC2"/>
        <w:tabs>
          <w:tab w:val="right" w:leader="dot" w:pos="8306"/>
        </w:tabs>
      </w:pPr>
      <w:hyperlink w:anchor="_Toc24559" w:history="1">
        <w:r>
          <w:rPr>
            <w:rFonts w:ascii="仿宋" w:eastAsia="仿宋" w:hAnsi="仿宋" w:cs="仿宋" w:hint="eastAsia"/>
            <w:lang w:eastAsia="zh-CN"/>
          </w:rPr>
          <w:t>(一)、利益相关者分析</w:t>
        </w:r>
        <w:r>
          <w:tab/>
        </w:r>
        <w:r>
          <w:fldChar w:fldCharType="begin"/>
        </w:r>
        <w:r>
          <w:instrText xml:space="preserve"> PAGEREF _Toc24559 \h </w:instrText>
        </w:r>
        <w:r>
          <w:fldChar w:fldCharType="separate"/>
        </w:r>
        <w:r>
          <w:t>76</w:t>
        </w:r>
        <w:r>
          <w:fldChar w:fldCharType="end"/>
        </w:r>
      </w:hyperlink>
    </w:p>
    <w:p>
      <w:pPr>
        <w:pStyle w:val="TOC2"/>
        <w:tabs>
          <w:tab w:val="right" w:leader="dot" w:pos="8306"/>
        </w:tabs>
      </w:pPr>
      <w:hyperlink w:anchor="_Toc1914" w:history="1">
        <w:r>
          <w:rPr>
            <w:rFonts w:ascii="仿宋" w:eastAsia="仿宋" w:hAnsi="仿宋" w:cs="仿宋" w:hint="eastAsia"/>
            <w:lang w:eastAsia="zh-CN"/>
          </w:rPr>
          <w:t>(二)、沟通计划</w:t>
        </w:r>
        <w:r>
          <w:tab/>
        </w:r>
        <w:r>
          <w:fldChar w:fldCharType="begin"/>
        </w:r>
        <w:r>
          <w:instrText xml:space="preserve"> PAGEREF _Toc1914 \h </w:instrText>
        </w:r>
        <w:r>
          <w:fldChar w:fldCharType="separate"/>
        </w:r>
        <w:r>
          <w:t>77</w:t>
        </w:r>
        <w:r>
          <w:fldChar w:fldCharType="end"/>
        </w:r>
      </w:hyperlink>
    </w:p>
    <w:p>
      <w:pPr>
        <w:pStyle w:val="TOC1"/>
        <w:tabs>
          <w:tab w:val="right" w:leader="dot" w:pos="8306"/>
        </w:tabs>
      </w:pPr>
      <w:hyperlink w:anchor="_Toc14214" w:history="1">
        <w:r>
          <w:rPr>
            <w:rFonts w:ascii="仿宋" w:eastAsia="仿宋" w:hAnsi="仿宋" w:cs="仿宋" w:hint="eastAsia"/>
            <w:lang w:eastAsia="zh-CN"/>
          </w:rPr>
          <w:t>十六、供应链管理</w:t>
        </w:r>
        <w:r>
          <w:tab/>
        </w:r>
        <w:r>
          <w:fldChar w:fldCharType="begin"/>
        </w:r>
        <w:r>
          <w:instrText xml:space="preserve"> PAGEREF _Toc14214 \h </w:instrText>
        </w:r>
        <w:r>
          <w:fldChar w:fldCharType="separate"/>
        </w:r>
        <w:r>
          <w:t>78</w:t>
        </w:r>
        <w:r>
          <w:fldChar w:fldCharType="end"/>
        </w:r>
      </w:hyperlink>
    </w:p>
    <w:p>
      <w:pPr>
        <w:pStyle w:val="TOC2"/>
        <w:tabs>
          <w:tab w:val="right" w:leader="dot" w:pos="8306"/>
        </w:tabs>
      </w:pPr>
      <w:hyperlink w:anchor="_Toc2702" w:history="1">
        <w:r>
          <w:rPr>
            <w:rFonts w:ascii="仿宋" w:eastAsia="仿宋" w:hAnsi="仿宋" w:cs="仿宋" w:hint="eastAsia"/>
            <w:lang w:eastAsia="zh-CN"/>
          </w:rPr>
          <w:t>(一)、供应链战略规划</w:t>
        </w:r>
        <w:r>
          <w:tab/>
        </w:r>
        <w:r>
          <w:fldChar w:fldCharType="begin"/>
        </w:r>
        <w:r>
          <w:instrText xml:space="preserve"> PAGEREF _Toc2702 \h </w:instrText>
        </w:r>
        <w:r>
          <w:fldChar w:fldCharType="separate"/>
        </w:r>
        <w:r>
          <w:t>78</w:t>
        </w:r>
        <w:r>
          <w:fldChar w:fldCharType="end"/>
        </w:r>
      </w:hyperlink>
    </w:p>
    <w:p>
      <w:pPr>
        <w:pStyle w:val="TOC2"/>
        <w:tabs>
          <w:tab w:val="right" w:leader="dot" w:pos="8306"/>
        </w:tabs>
      </w:pPr>
      <w:hyperlink w:anchor="_Toc8801" w:history="1">
        <w:r>
          <w:rPr>
            <w:rFonts w:ascii="仿宋" w:eastAsia="仿宋" w:hAnsi="仿宋" w:cs="仿宋" w:hint="eastAsia"/>
            <w:lang w:eastAsia="zh-CN"/>
          </w:rPr>
          <w:t>(二)、供应商选择与合作</w:t>
        </w:r>
        <w:r>
          <w:tab/>
        </w:r>
        <w:r>
          <w:fldChar w:fldCharType="begin"/>
        </w:r>
        <w:r>
          <w:instrText xml:space="preserve"> PAGEREF _Toc8801 \h </w:instrText>
        </w:r>
        <w:r>
          <w:fldChar w:fldCharType="separate"/>
        </w:r>
        <w:r>
          <w:t>80</w:t>
        </w:r>
        <w:r>
          <w:fldChar w:fldCharType="end"/>
        </w:r>
      </w:hyperlink>
    </w:p>
    <w:p>
      <w:pPr>
        <w:pStyle w:val="TOC2"/>
        <w:tabs>
          <w:tab w:val="right" w:leader="dot" w:pos="8306"/>
        </w:tabs>
      </w:pPr>
      <w:hyperlink w:anchor="_Toc14548" w:history="1">
        <w:r>
          <w:rPr>
            <w:rFonts w:ascii="仿宋" w:eastAsia="仿宋" w:hAnsi="仿宋" w:cs="仿宋" w:hint="eastAsia"/>
            <w:lang w:eastAsia="zh-CN"/>
          </w:rPr>
          <w:t>(三)、物流与库存管理</w:t>
        </w:r>
        <w:r>
          <w:tab/>
        </w:r>
        <w:r>
          <w:fldChar w:fldCharType="begin"/>
        </w:r>
        <w:r>
          <w:instrText xml:space="preserve"> PAGEREF _Toc14548 \h </w:instrText>
        </w:r>
        <w:r>
          <w:fldChar w:fldCharType="separate"/>
        </w:r>
        <w:r>
          <w:t>81</w:t>
        </w:r>
        <w:r>
          <w:fldChar w:fldCharType="end"/>
        </w:r>
      </w:hyperlink>
    </w:p>
    <w:p>
      <w:pPr>
        <w:pStyle w:val="TOC1"/>
        <w:tabs>
          <w:tab w:val="right" w:leader="dot" w:pos="8306"/>
        </w:tabs>
      </w:pPr>
      <w:hyperlink w:anchor="_Toc27051" w:history="1">
        <w:r>
          <w:rPr>
            <w:rFonts w:ascii="仿宋" w:eastAsia="仿宋" w:hAnsi="仿宋" w:cs="仿宋" w:hint="eastAsia"/>
            <w:lang w:eastAsia="zh-CN"/>
          </w:rPr>
          <w:t>十七、植物稳态营养肥料项目治理与监督</w:t>
        </w:r>
        <w:r>
          <w:tab/>
        </w:r>
        <w:r>
          <w:fldChar w:fldCharType="begin"/>
        </w:r>
        <w:r>
          <w:instrText xml:space="preserve"> PAGEREF _Toc27051 \h </w:instrText>
        </w:r>
        <w:r>
          <w:fldChar w:fldCharType="separate"/>
        </w:r>
        <w:r>
          <w:t>82</w:t>
        </w:r>
        <w:r>
          <w:fldChar w:fldCharType="end"/>
        </w:r>
      </w:hyperlink>
    </w:p>
    <w:p>
      <w:pPr>
        <w:pStyle w:val="TOC2"/>
        <w:tabs>
          <w:tab w:val="right" w:leader="dot" w:pos="8306"/>
        </w:tabs>
      </w:pPr>
      <w:hyperlink w:anchor="_Toc4294" w:history="1">
        <w:r>
          <w:rPr>
            <w:rFonts w:ascii="仿宋" w:eastAsia="仿宋" w:hAnsi="仿宋" w:cs="仿宋" w:hint="eastAsia"/>
            <w:lang w:eastAsia="zh-CN"/>
          </w:rPr>
          <w:t>(一)、植物稳态营养肥料项目治理结构</w:t>
        </w:r>
        <w:r>
          <w:tab/>
        </w:r>
        <w:r>
          <w:fldChar w:fldCharType="begin"/>
        </w:r>
        <w:r>
          <w:instrText xml:space="preserve"> PAGEREF _Toc4294 \h </w:instrText>
        </w:r>
        <w:r>
          <w:fldChar w:fldCharType="separate"/>
        </w:r>
        <w:r>
          <w:t>82</w:t>
        </w:r>
        <w:r>
          <w:fldChar w:fldCharType="end"/>
        </w:r>
      </w:hyperlink>
    </w:p>
    <w:p>
      <w:pPr>
        <w:pStyle w:val="TOC2"/>
        <w:tabs>
          <w:tab w:val="right" w:leader="dot" w:pos="8306"/>
        </w:tabs>
      </w:pPr>
      <w:hyperlink w:anchor="_Toc27652" w:history="1">
        <w:r>
          <w:rPr>
            <w:rFonts w:ascii="仿宋" w:eastAsia="仿宋" w:hAnsi="仿宋" w:cs="仿宋" w:hint="eastAsia"/>
            <w:lang w:eastAsia="zh-CN"/>
          </w:rPr>
          <w:t>(二)、监督与审计</w:t>
        </w:r>
        <w:r>
          <w:tab/>
        </w:r>
        <w:r>
          <w:fldChar w:fldCharType="begin"/>
        </w:r>
        <w:r>
          <w:instrText xml:space="preserve"> PAGEREF _Toc27652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84"/>
      <w:r>
        <w:rPr>
          <w:rFonts w:ascii="仿宋" w:eastAsia="仿宋" w:hAnsi="仿宋" w:cs="仿宋" w:hint="eastAsia"/>
          <w:sz w:val="28"/>
          <w:lang w:eastAsia="zh-CN"/>
        </w:rPr>
        <w:t>一、植物稳态营养肥料项目建设背景及必要性分析</w:t>
      </w:r>
      <w:bookmarkEnd w:id="2"/>
    </w:p>
    <w:p>
      <w:pPr>
        <w:pStyle w:val="Heading2"/>
        <w:rPr>
          <w:rFonts w:ascii="仿宋" w:eastAsia="仿宋" w:hAnsi="仿宋" w:cs="仿宋" w:hint="eastAsia"/>
          <w:lang w:eastAsia="zh-CN"/>
        </w:rPr>
      </w:pPr>
      <w:bookmarkStart w:id="3" w:name="_Toc29391"/>
      <w:r>
        <w:rPr>
          <w:rFonts w:ascii="仿宋" w:eastAsia="仿宋" w:hAnsi="仿宋" w:cs="仿宋" w:hint="eastAsia"/>
          <w:lang w:eastAsia="zh-CN"/>
        </w:rPr>
        <w:t>(一)、植物稳态营养肥料项目背景分析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稳态营养肥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稳态营养肥料项目在这个潮流中的定位。同时，我们将关注行业内涌现的新兴机遇，以便植物稳态营养肥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稳态营养肥料项目提供了强大的发展动力。我们将聚焦于行业内最新的技术发展趋势，包括但不限于人工智能、大数据分析、物联网等领域。通过深度的技术研究，我们将确保植物稳态营养肥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稳态营养肥料项目发展的源泉。我们将投入更多的精力对市场需求进行深入剖析，超越表面的需求，深入挖掘潜在的市场痛点和机遇。通过对市场需求的细致了解，植物稳态营养肥料项目将更有针对性地设计解决方案，满足市场的多样化需求，从而更好地促进植物稳态营养肥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稳态营养肥料项目战略至关重要。我们将对竞争态势进行更为深入的分析，包括但不限于市场份额、产品特点、客户满意度等多个维度。通过深度的竞争分析，植物稳态营养肥料项目将能够更准确地把握市场脉搏，制定具有竞争力的植物稳态营养肥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植物稳态营养肥料项目的发展具有直接的影响。我们将进行更为全面的法规和政策分析，了解行业发展中的潜在法律风险和合规挑战。通过充分了解和遵守相关法规，植物稳态营养肥料项目将确保在法律框架内合法合规运营，为植物稳态营养肥料项目的稳健发展提供有力支持。</w:t>
      </w:r>
    </w:p>
    <w:p>
      <w:pPr>
        <w:pStyle w:val="Heading2"/>
        <w:ind w:firstLine="560" w:firstLineChars="200"/>
        <w:rPr>
          <w:rFonts w:ascii="仿宋" w:eastAsia="仿宋" w:hAnsi="仿宋" w:cs="仿宋" w:hint="eastAsia"/>
          <w:sz w:val="28"/>
          <w:lang w:eastAsia="zh-CN"/>
        </w:rPr>
      </w:pPr>
      <w:bookmarkStart w:id="4" w:name="_Toc29572"/>
      <w:r>
        <w:rPr>
          <w:rFonts w:ascii="仿宋" w:eastAsia="仿宋" w:hAnsi="仿宋" w:cs="仿宋" w:hint="eastAsia"/>
          <w:sz w:val="28"/>
          <w:lang w:eastAsia="zh-CN"/>
        </w:rPr>
        <w:t>(二)、植物稳态营养肥料项目建设必要性分析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建设的迫切性源于对行业发展趋势的深刻洞察。我们正处于一个行业变革的时代，科技创新、数字化转型成为企业发展的关键动力。植物稳态营养肥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建设不仅仅是为了跟上潮流，更是为了通过技术创新推动企业的持续发展。通过引入先进的技术和解决方案，植物稳态营养肥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稳态营养肥料项目的建设成为必然选择，通过提高产品质量、拓展服务领域，从而在竞争中获得更多的机会。植物稳态营养肥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稳态营养肥料项目建设的必要性体现在对客户需求更精准的满足。通过植物稳态营养肥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建设的背后是对企业持续创新的追求。只有通过不断创新，企业才能在竞争中立于不败之地。植物稳态营养肥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08"/>
      <w:r>
        <w:rPr>
          <w:rFonts w:ascii="仿宋" w:eastAsia="仿宋" w:hAnsi="仿宋" w:cs="仿宋" w:hint="eastAsia"/>
          <w:sz w:val="28"/>
          <w:lang w:eastAsia="zh-CN"/>
        </w:rPr>
        <w:t>二、植物稳态营养肥料项目绩效评估</w:t>
      </w:r>
      <w:bookmarkEnd w:id="5"/>
    </w:p>
    <w:p>
      <w:pPr>
        <w:pStyle w:val="Heading2"/>
        <w:rPr>
          <w:rFonts w:ascii="仿宋" w:eastAsia="仿宋" w:hAnsi="仿宋" w:cs="仿宋" w:hint="eastAsia"/>
          <w:lang w:eastAsia="zh-CN"/>
        </w:rPr>
      </w:pPr>
      <w:bookmarkStart w:id="6" w:name="_Toc221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中，我们设计了一套全面的绩效评估指标，以确保植物稳态营养肥料项目的可控和成功交付。这些指标跨足植物稳态营养肥料项目目标、成本、进度和质量等多个维度，为我们提供了全面洞察植物稳态营养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目标达成率是我们关注的首要指标。我们设定了明确的目标，并通过定期监测和评估，迅速发现并应对潜在的目标偏差。这为植物稳态营养肥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成本绩效是另一个核心关注点。通过实际成本与预算成本的对比分析，我们深入了解成本差异的原因，及时调整资源分配，保持植物稳态营养肥料项目在经济效益方面的合理水平。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进度作为关键的绩效指标之一，得到了精心的关注。我们制定了详细的植物稳态营养肥料项目进度计划，并设立了进度符合度指标，确保实际进度与计划进度保持一致。这使我们能够快速发现和解决潜在的进度问题，保持植物稳态营养肥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稳态营养肥料项目绩效的不可或缺的一环。我们引入了一系列的质量标准和客户满意度指标，以确保植物稳态营养肥料项目交付的成果在质量上达到或超越预期水平。通过持续监测这些指标，我们努力提升植物稳态营养肥料项目整体质量水平，为植物稳态营养肥料项目的成功交付提供有力保障。通过这些科学且全面的绩效评估，我们能够更好地引导植物稳态营养肥料项目的持续改进，确保植物稳态营养肥料项目目标的顺利达成。</w:t>
      </w:r>
    </w:p>
    <w:p>
      <w:pPr>
        <w:pStyle w:val="Heading2"/>
        <w:ind w:firstLine="560" w:firstLineChars="200"/>
        <w:rPr>
          <w:rFonts w:ascii="仿宋" w:eastAsia="仿宋" w:hAnsi="仿宋" w:cs="仿宋" w:hint="eastAsia"/>
          <w:sz w:val="28"/>
          <w:lang w:eastAsia="zh-CN"/>
        </w:rPr>
      </w:pPr>
      <w:bookmarkStart w:id="7" w:name="_Toc77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绩效评估是植物稳态营养肥料项目中的关键环节，为确保植物稳态营养肥料项目达到预期目标，我们采用了多层次、多维度的绩效评估方法。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植物稳态营养肥料项目的战略目标对齐，确保每个决策和行动都与植物稳态营养肥料项目整体目标保持一致。团队会定期召开战略对齐会议，审视当前工作与植物稳态营养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稳态营养肥料项目进度、质量、成本和风险等方面。这些指标通过数据收集和分析，为植物稳态营养肥料项目管理团队提供了客观的评估依据。例如，我们通过植物稳态营养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稳态营养肥料项目内部，还考虑了植物稳态营养肥料项目对外部环境的影响。我们定期进行干系人满意度调查，以了解各利益相关方对植物稳态营养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这种多层次、多角度的绩效评估方法，使得我们能够全面了解植物稳态营养肥料项目的运行状态，及时做出调整，确保植物稳态营养肥料项目在不断变化的环境中保持稳健前行。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67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为了确保植物稳态营养肥料项目的有效管理和不断优化，我们采用了精心设计的绩效评估周期。这个周期旨在实现灵活、实时和全面的评估，以适应植物稳态营养肥料项目执行中的各种挑战。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稳态营养肥料项目的不同需求，分为短期、中期和长期。短期评估关注每个迭代或工作周期，以及时发现和解决当前任务中的问题。中期评估涵盖几个迭代，深入了解整体植物稳态营养肥料项目的趋势和性能。长期评估则着眼于整个植物稳态营养肥料项目阶段，确保植物稳态营养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稳态营养肥料项目管理工具和协作平台，团队成员能够随时更新和分享植物稳态营养肥料项目数据。这种实时性的反馈机制使我们能够及时察觉潜在问题，快速调整，保持植物稳态营养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稳态营养肥料项目的决策制定密不可分。每个周期的植物稳态营养肥料项目回顾会议成为集体总结经验、识别问题深层次原因并找到创新解决方案的平台。这种定期的反思与调整机制使植物稳态营养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93"/>
      <w:r>
        <w:rPr>
          <w:rFonts w:ascii="仿宋" w:eastAsia="仿宋" w:hAnsi="仿宋" w:cs="仿宋" w:hint="eastAsia"/>
          <w:sz w:val="28"/>
          <w:lang w:eastAsia="zh-CN"/>
        </w:rPr>
        <w:t>三、植物稳态营养肥料项目危机管理</w:t>
      </w:r>
      <w:bookmarkEnd w:id="9"/>
    </w:p>
    <w:p>
      <w:pPr>
        <w:pStyle w:val="Heading2"/>
        <w:rPr>
          <w:rFonts w:ascii="仿宋" w:eastAsia="仿宋" w:hAnsi="仿宋" w:cs="仿宋" w:hint="eastAsia"/>
          <w:lang w:eastAsia="zh-CN"/>
        </w:rPr>
      </w:pPr>
      <w:bookmarkStart w:id="10" w:name="_Toc178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危机管理中，危机预警与识别是确保植物稳态营养肥料项目稳健运行的核心步骤。通过建立全面的监测机制，植物稳态营养肥料项目团队旨在及时发现和理解潜在的风险和危机因素，以便采取及时的预防和应对措施，确保植物稳态营养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稳态营养肥料项目团队全面分析了整个植物稳态营养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稳态营养肥料项目团队着重于明确定义植物稳态营养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稳态营养肥料项目进展的持续监控，团队能够及时发现潜在问题并作出迅速反应。植物稳态营养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在这一阶段，团队的专业素养和反应速度将发挥至关重要的作用，以确保潜在危机能够在初期得到有效的处理，最大程度地减轻负面影响。通过危机预警与识别，植物稳态营养肥料项目得以更有序、可控地推进。</w:t>
      </w:r>
    </w:p>
    <w:p>
      <w:pPr>
        <w:pStyle w:val="Heading2"/>
        <w:ind w:firstLine="560" w:firstLineChars="200"/>
        <w:rPr>
          <w:rFonts w:ascii="仿宋" w:eastAsia="仿宋" w:hAnsi="仿宋" w:cs="仿宋" w:hint="eastAsia"/>
          <w:sz w:val="28"/>
          <w:lang w:eastAsia="zh-CN"/>
        </w:rPr>
      </w:pPr>
      <w:bookmarkStart w:id="11" w:name="_Toc3151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在危机发生时，植物稳态营养肥料项目团队立即行动，成立了应急小组。该小组的任务是迅速制定并实施紧急应对措施，以最小化潜在损失。以下是采取的主要措施：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暂停植物稳态营养肥料项目进度：为遏制危机蔓延，植物稳态营养肥料项目暂时停止进行，以便全面评估当前状况。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资源重新分配：重新评估植物稳态营养肥料项目资源的分配，确保最大限度地减小损失。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实时沟通：与关键利益相关者建立实时沟通机制，向他们传递植物稳态营养肥料项目危机的实际状况，保障植物稳态营养肥料项目核心利益。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在紧急应对的同时，植物稳态营养肥料项目团队强调了团队协作和有效沟通的重要性。以下是团队协作的关键举措：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信息共享机制：建立了信息共享平台，确保团队成员能够及时获取植物稳态营养肥料项目危机的实时信息。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领导者沟通：植物稳态营养肥料项目领导者通过定期会议和即时沟通工具，指导团队应对危机，保持团队稳定运行。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随着危机得到初步控制，植物稳态营养肥料项目团队转向制定恢复计划，以确保植物稳态营养肥料项目能够从中迅速恢复。主要恢复计划包括：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修复受损的进度计划：重新评估植物稳态营养肥料项目进度，制定修复计划，确保植物稳态营养肥料项目尽快回归正常进程。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重新调整资源分配：优化资源分配，确保植物稳态营养肥料项目在有限资源下高效运转。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风险管理机制加强：对植物稳态营养肥料项目风险进行全面评估，制定更强化的风险管理策略，以预防未来可能的危机。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04"/>
      <w:r>
        <w:rPr>
          <w:rFonts w:ascii="仿宋" w:eastAsia="仿宋" w:hAnsi="仿宋" w:cs="仿宋" w:hint="eastAsia"/>
          <w:sz w:val="28"/>
          <w:lang w:eastAsia="zh-CN"/>
        </w:rPr>
        <w:t>四、植物稳态营养肥料项目选址可行性分析</w:t>
      </w:r>
      <w:bookmarkEnd w:id="12"/>
    </w:p>
    <w:p>
      <w:pPr>
        <w:pStyle w:val="Heading2"/>
        <w:rPr>
          <w:rFonts w:ascii="仿宋" w:eastAsia="仿宋" w:hAnsi="仿宋" w:cs="仿宋" w:hint="eastAsia"/>
          <w:lang w:eastAsia="zh-CN"/>
        </w:rPr>
      </w:pPr>
      <w:bookmarkStart w:id="13" w:name="_Toc12788"/>
      <w:r>
        <w:rPr>
          <w:rFonts w:ascii="仿宋" w:eastAsia="仿宋" w:hAnsi="仿宋" w:cs="仿宋" w:hint="eastAsia"/>
          <w:lang w:eastAsia="zh-CN"/>
        </w:rPr>
        <w:t>(一)、植物稳态营养肥料项目选址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该植物稳态营养肥料项目选址位于XX省XX市XX区XXX街道</w:t>
      </w:r>
    </w:p>
    <w:p>
      <w:pPr>
        <w:pStyle w:val="Heading2"/>
        <w:ind w:firstLine="560" w:firstLineChars="200"/>
        <w:rPr>
          <w:rFonts w:ascii="仿宋" w:eastAsia="仿宋" w:hAnsi="仿宋" w:cs="仿宋" w:hint="eastAsia"/>
          <w:sz w:val="28"/>
          <w:lang w:eastAsia="zh-CN"/>
        </w:rPr>
      </w:pPr>
      <w:bookmarkStart w:id="14" w:name="_Toc2150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物稳态营养肥料项目的征地面积将根据植物稳态营养肥料项目的实际规模和需求进行精确规划。具体面积XXX平方米，旨在确保植物稳态营养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净用地面积是在征地面积基础上去除不可利用面积后的实际可开发用地。具体面积XXX平方米，考虑到环保、交通、安全等多方面因素，以确保植物稳态营养肥料项目在整体利用效率上达到最优。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植物稳态营养肥料项目计划建设的建筑总规模具体面积XXX平方米。这一规模的确定综合考虑了植物稳态营养肥料项目的性质、规模，以及城市规划的相关要求，确保建筑布局与周边环境协调一致。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绿地率是植物稳态营养肥料项目用地中被规划为绿地的比例。具体面积XXX平方米，旨在通过合理规划绿地，改善植物稳态营养肥料项目周边环境，提升居民生活质量，并符合城市整体绿化规划。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容积率是用地上可以建设的建筑总体积与用地面积之比。具体面积XXX，通过合理的容积率规划，确保植物稳态营养肥料项目建筑规模与周边环境和谐共生。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物稳态营养肥料项目选址与当地城市规划相一致，具体面积XXX平方米。通过与城市规划部门深入沟通，确保植物稳态营养肥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物稳态营养肥料项目选址符合当地产业政策，具体面积XXX平方米。这包括植物稳态营养肥料项目对当地经济的促进作用，以及对相关产业的带动效应，确保植物稳态营养肥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用地总体要求必须符合环保和可持续发展的原则，具体面积XXX平方米。通过采用绿色建筑设计、节能减排等措施，确保植物稳态营养肥料项目在建设和运营过程中对环境的影响最小化，达到可持续发展的要求。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确保植物稳态营养肥料项目选址具备必要的公共设施配套，具体面积XXX平方米。这包括交通便利性、教育、医疗等基础设施，以提高居民生活品质，使得植物稳态营养肥料项目选址更具吸引力。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考虑用地总体要求对当地社会稳定性的影响，具体面积XXX平方米。通过深入了解当地社区反馈，确保植物稳态营养肥料项目的选址和建设过程对当地社会和谐稳定产生积极作用。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物稳态营养肥料项目选址不仅符合法规和规划，还在实际操作中具有可行性。这一全面规划将为植物稳态营养肥料项目的成功实施提供坚实的基础，确保植物稳态营养肥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36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稳态营养肥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植物稳态营养肥料项目的设备规划和空间设计中，我们将采取灵活设备布局的措施。设备布局将根据实际需求进行灵活设计，避免不必要的浪费。通过合理规划设备摆放位置，我们将提高设备的利用率，减少设备间距，以确保植物稳态营养肥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物稳态营养肥料项目内部引入共享设施的概念，例如共享会议室、办公区等。通过这种方式，我们可以减少对资源的重复建设，提高资源共享效率，从而减小植物稳态营养肥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09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植物稳态营养肥料项目的总图布置中，我们将不同功能区域进行明确的规划，以最大程度满足植物稳态营养肥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53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物稳态营养肥料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https://d.book118.com/546121225235010033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61578"/>
    <w:rsid w:val="2AF61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2122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2024-01-12T09:51:00Z</dcterms:created>
  <dcterms:modified xsi:type="dcterms:W3CDTF">2024-01-12T09:51:34Z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841E06607CCF4AAABEA52BB061F253C3_11</vt:lpwstr>
  </property>
  <property fmtid="{D5CDD505-2E9C-101B-9397-08002B2CF9AE}" pid="3" name="KSOProductBuildVer">
    <vt:lpwstr>2052-12.1.0.16120</vt:lpwstr>
  </property>
</Properties>
</file>