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2018-2023年武汉海事职业学院高职单招（数学／语文／英语）历年常考试题库含答案解析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下列成语出于《庄子·秋水》的是（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C.贻笑大方，分崩离析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D.祸起萧墙、分崩离析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王实甫的《西厢记》是一部（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下列各句中，带点的字解释错误的是（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715140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《左传》是一部（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A.编年体史书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B.国别体史书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C.纪传体史书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屈原的《国殇》选自（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A.《离骚》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D.《天问》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提出新格律诗“三美”主张的诗人是（）。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A.郭沫若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“举案齐眉”，“乘舟梦日”、“鲈鱼堪脍”三个典故所涉及的人物依次是（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A.孟光、季鹰、伊尹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B.孟光、伊尹、季鹰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C.伊尹、孟光、季鹰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D.季鹰、伊尹、孟光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下列哪个诗句是出自于闻一多的《发现》的（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A.“我是中国人”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B.“请告诉我谁是中国人”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C.“我要回来，乘着你的拳头像兰花未放，”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D.“这不是我的中华，不对，不对!”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下列选项中，不属于辛弃疾《水龙吟·登建康赏心亭》表现手法的一项是（）。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被人称作具有“含泪的微笑”风格的小说家是（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李白被称为（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B.诗豪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韩愈的作品集是（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A.《饮冰室文集》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B.《临川先生文集》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C.《昌黎先生集》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D.《柳河东集》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“既来之，则安之”这句古语出自（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https://d.book118.com/546125043230010052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546125043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