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汽油机油行业相关公司筹备报告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_Toc30761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_Toc26304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五、汽油机油项目概况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_Toc7093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(二)、汽油机油项目提出的理由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(三)、汽油机油项目选址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(六)、汽油机油项目投资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(七)、汽油机油项目进度规划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_Toc17005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(九)、汽油机油项目综合评价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0" w:history="1">
        <w:r>
          <w:rPr>
            <w:rFonts w:ascii="仿宋" w:eastAsia="仿宋" w:hAnsi="仿宋" w:cs="仿宋" w:hint="eastAsia"/>
            <w:lang w:eastAsia="zh-CN"/>
          </w:rPr>
          <w:t>(五)、汽油机油项目总投资</w:t>
        </w:r>
        <w:r>
          <w:tab/>
        </w:r>
        <w:r>
          <w:fldChar w:fldCharType="begin"/>
        </w:r>
        <w:r>
          <w:instrText xml:space="preserve"> PAGEREF _Toc6020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(一)、汽油机油项目进度安排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2" w:history="1">
        <w:r>
          <w:rPr>
            <w:rFonts w:ascii="仿宋" w:eastAsia="仿宋" w:hAnsi="仿宋" w:cs="仿宋" w:hint="eastAsia"/>
            <w:lang w:eastAsia="zh-CN"/>
          </w:rPr>
          <w:t>(二)、汽油机油项目实施保障措施</w:t>
        </w:r>
        <w:r>
          <w:tab/>
        </w:r>
        <w:r>
          <w:fldChar w:fldCharType="begin"/>
        </w:r>
        <w:r>
          <w:instrText xml:space="preserve"> PAGEREF _Toc32732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八、汽油机油项目风险分析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(一)、汽油机油项目风险分析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(二)、汽油机油项目风险对策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十、汽油机油项目经济效益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(三)、汽油机油项目盈利能力分析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十三、汽油机油项目总结分析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0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5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8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https://d.book118.com/546132014224010050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汽油机油行业相关公司筹备报告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汽油机油行业相关公司筹备报告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汽油机油行业相关公司筹备报告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汽油机油行业相关公司筹备报告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汽油机油行业相关公司筹备报告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6132014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2024-02-05T08:18:00Z</dcterms:created>
  <dcterms:modified xsi:type="dcterms:W3CDTF">2024-02-05T08:19:10Z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B1479E3770964C6685E5550376CE0B61_11</vt:lpwstr>
  </property>
  <property fmtid="{D5CDD505-2E9C-101B-9397-08002B2CF9AE}" pid="3" name="KSOProductBuildVer">
    <vt:lpwstr>2052-12.1.0.16250</vt:lpwstr>
  </property>
</Properties>
</file>