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adjustRightInd w:val="0"/>
        <w:snapToGrid w:val="0"/>
        <w:spacing w:before="332" w:beforeLines="100"/>
        <w:jc w:val="center"/>
        <w:rPr>
          <w:rFonts w:ascii="隶书" w:eastAsia="隶书" w:hAnsi="隶书" w:cs="隶书" w:hint="eastAsia"/>
          <w:b/>
          <w:bCs/>
          <w:sz w:val="48"/>
          <w:szCs w:val="48"/>
        </w:rPr>
      </w:pPr>
    </w:p>
    <w:p>
      <w:pPr>
        <w:adjustRightInd w:val="0"/>
        <w:snapToGrid w:val="0"/>
        <w:jc w:val="center"/>
        <w:rPr>
          <w:rFonts w:ascii="隶书" w:eastAsia="隶书" w:hAnsi="隶书" w:cs="隶书"/>
          <w:b/>
          <w:bCs/>
          <w:sz w:val="72"/>
          <w:szCs w:val="72"/>
        </w:rPr>
      </w:pPr>
      <w:r>
        <w:rPr>
          <w:rFonts w:ascii="隶书" w:eastAsia="隶书" w:hAnsi="隶书" w:cs="隶书" w:hint="eastAsia"/>
          <w:b/>
          <w:bCs/>
          <w:sz w:val="72"/>
          <w:szCs w:val="72"/>
        </w:rPr>
        <w:t>塔吊基础施工方案</w:t>
      </w:r>
    </w:p>
    <w:p>
      <w:pPr>
        <w:adjustRightInd w:val="0"/>
        <w:snapToGrid w:val="0"/>
        <w:spacing w:line="500" w:lineRule="exact"/>
        <w:jc w:val="center"/>
        <w:rPr>
          <w:rFonts w:asciiTheme="minorEastAsia" w:hAnsiTheme="minorEastAsia" w:cstheme="minorEastAsia"/>
          <w:shd w:val="pct10" w:color="auto" w:fill="FFFFFF"/>
        </w:rPr>
      </w:pPr>
    </w:p>
    <w:p>
      <w:pPr>
        <w:adjustRightInd w:val="0"/>
        <w:snapToGrid w:val="0"/>
        <w:spacing w:line="500" w:lineRule="exact"/>
        <w:jc w:val="center"/>
        <w:rPr>
          <w:rFonts w:asciiTheme="minorEastAsia" w:hAnsiTheme="minorEastAsia" w:cstheme="minorEastAsia"/>
          <w:shd w:val="pct10" w:color="auto" w:fill="FFFFFF"/>
        </w:rPr>
      </w:pPr>
    </w:p>
    <w:p>
      <w:pPr>
        <w:adjustRightInd w:val="0"/>
        <w:snapToGrid w:val="0"/>
        <w:spacing w:line="500" w:lineRule="exact"/>
        <w:jc w:val="center"/>
        <w:rPr>
          <w:rFonts w:asciiTheme="minorEastAsia" w:hAnsiTheme="minorEastAsia" w:cstheme="minorEastAsia"/>
          <w:shd w:val="pct10" w:color="auto" w:fill="FFFFFF"/>
        </w:rPr>
      </w:pPr>
    </w:p>
    <w:p>
      <w:pPr>
        <w:adjustRightInd w:val="0"/>
        <w:snapToGrid w:val="0"/>
        <w:spacing w:line="500" w:lineRule="exact"/>
        <w:ind w:firstLine="600" w:firstLineChars="200"/>
        <w:rPr>
          <w:rFonts w:asciiTheme="minorEastAsia" w:hAnsiTheme="minorEastAsia" w:cstheme="minorEastAsia"/>
          <w:sz w:val="30"/>
          <w:szCs w:val="30"/>
        </w:rPr>
      </w:pPr>
    </w:p>
    <w:p>
      <w:pPr>
        <w:adjustRightInd w:val="0"/>
        <w:snapToGrid w:val="0"/>
        <w:spacing w:line="480" w:lineRule="auto"/>
        <w:rPr>
          <w:rFonts w:asciiTheme="minorEastAsia" w:hAnsiTheme="minorEastAsia" w:cstheme="minorEastAsia"/>
          <w:shd w:val="pct10" w:color="auto" w:fill="FFFFFF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编制单位：</w:t>
      </w:r>
      <w:r>
        <w:rPr>
          <w:rFonts w:asciiTheme="minorEastAsia" w:hAnsiTheme="minorEastAsia" w:cstheme="minorEastAsia" w:hint="eastAsia"/>
          <w:sz w:val="30"/>
          <w:szCs w:val="30"/>
          <w:u w:val="single"/>
        </w:rPr>
        <w:t xml:space="preserve">  施工技术组   </w:t>
      </w:r>
    </w:p>
    <w:p>
      <w:pPr>
        <w:adjustRightInd w:val="0"/>
        <w:snapToGrid w:val="0"/>
        <w:spacing w:line="480" w:lineRule="auto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编制时间：</w:t>
      </w:r>
      <w:r>
        <w:rPr>
          <w:rFonts w:asciiTheme="minorEastAsia" w:hAnsiTheme="minorEastAsia" w:cstheme="minorEastAsia" w:hint="eastAsia"/>
          <w:sz w:val="30"/>
          <w:szCs w:val="30"/>
          <w:u w:val="single"/>
        </w:rPr>
        <w:t xml:space="preserve">             2020年</w:t>
      </w:r>
      <w:r>
        <w:rPr>
          <w:rFonts w:asciiTheme="minorEastAsia" w:hAnsiTheme="minorEastAsia" w:cstheme="minorEastAsia"/>
          <w:sz w:val="30"/>
          <w:szCs w:val="30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30"/>
          <w:szCs w:val="30"/>
          <w:u w:val="single"/>
        </w:rPr>
        <w:t>月</w:t>
      </w:r>
      <w:r>
        <w:rPr>
          <w:rFonts w:asciiTheme="minorEastAsia" w:hAnsiTheme="minorEastAsia" w:cstheme="minorEastAsia"/>
          <w:sz w:val="30"/>
          <w:szCs w:val="30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30"/>
          <w:szCs w:val="30"/>
          <w:u w:val="single"/>
        </w:rPr>
        <w:t xml:space="preserve">日              </w:t>
      </w:r>
    </w:p>
    <w:p>
      <w:pPr>
        <w:adjustRightInd w:val="0"/>
        <w:snapToGrid w:val="0"/>
        <w:spacing w:line="480" w:lineRule="auto"/>
        <w:rPr>
          <w:rFonts w:asciiTheme="minorEastAsia" w:hAnsiTheme="minorEastAsia" w:cstheme="minor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编 制 人：</w:t>
      </w:r>
      <w:r>
        <w:rPr>
          <w:rFonts w:asciiTheme="minorEastAsia" w:hAnsiTheme="minorEastAsia" w:cstheme="minorEastAsia" w:hint="eastAsia"/>
          <w:sz w:val="30"/>
          <w:szCs w:val="30"/>
          <w:u w:val="single"/>
        </w:rPr>
        <w:t xml:space="preserve">                                           </w:t>
      </w:r>
    </w:p>
    <w:p>
      <w:pPr>
        <w:adjustRightInd w:val="0"/>
        <w:snapToGrid w:val="0"/>
        <w:spacing w:line="480" w:lineRule="auto"/>
        <w:rPr>
          <w:rFonts w:asciiTheme="minorEastAsia" w:hAnsiTheme="minorEastAsia" w:cstheme="minorEastAsia"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审 核 人：</w:t>
      </w:r>
      <w:r>
        <w:rPr>
          <w:rFonts w:asciiTheme="minorEastAsia" w:hAnsiTheme="minorEastAsia" w:cstheme="minorEastAsia" w:hint="eastAsia"/>
          <w:sz w:val="30"/>
          <w:szCs w:val="30"/>
          <w:u w:val="single"/>
        </w:rPr>
        <w:t xml:space="preserve">                                           </w:t>
      </w:r>
    </w:p>
    <w:p>
      <w:pPr>
        <w:adjustRightInd w:val="0"/>
        <w:snapToGrid w:val="0"/>
        <w:spacing w:line="480" w:lineRule="auto"/>
        <w:rPr>
          <w:rFonts w:asciiTheme="minorEastAsia" w:hAnsiTheme="minorEastAsia" w:cstheme="minorEastAsia"/>
          <w:sz w:val="30"/>
          <w:szCs w:val="30"/>
          <w:u w:val="single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审 批 人：</w:t>
      </w:r>
      <w:r>
        <w:rPr>
          <w:rFonts w:asciiTheme="minorEastAsia" w:hAnsiTheme="minorEastAsia" w:cstheme="minorEastAsia" w:hint="eastAsia"/>
          <w:sz w:val="30"/>
          <w:szCs w:val="30"/>
          <w:u w:val="single"/>
        </w:rPr>
        <w:t xml:space="preserve">                                           </w:t>
      </w:r>
    </w:p>
    <w:p>
      <w:pPr>
        <w:adjustRightInd w:val="0"/>
        <w:snapToGrid w:val="0"/>
        <w:spacing w:line="500" w:lineRule="exact"/>
        <w:rPr>
          <w:rFonts w:asciiTheme="minorEastAsia" w:hAnsiTheme="minorEastAsia" w:cstheme="minorEastAsia"/>
          <w:sz w:val="30"/>
          <w:szCs w:val="30"/>
        </w:rPr>
        <w:sectPr>
          <w:headerReference w:type="default" r:id="rId6"/>
          <w:footerReference w:type="default" r:id="rId7"/>
          <w:pgSz w:w="11906" w:h="16838"/>
          <w:pgMar w:top="1440" w:right="1803" w:bottom="1418" w:left="1803" w:header="851" w:footer="992" w:gutter="0"/>
          <w:pgNumType w:fmt="numberInDash"/>
          <w:cols w:num="1" w:space="0"/>
          <w:docGrid w:type="lines" w:linePitch="332" w:charSpace="0"/>
        </w:sectPr>
      </w:pPr>
    </w:p>
    <w:p>
      <w:pPr>
        <w:pStyle w:val="Default"/>
      </w:pPr>
    </w:p>
    <w:sdt>
      <w:sdtPr>
        <w:rPr>
          <w:rFonts w:ascii="Calibri" w:eastAsia="宋体" w:hAnsi="Calibri" w:cs="Times New Roman"/>
          <w:color w:val="000000"/>
          <w:sz w:val="40"/>
          <w:szCs w:val="40"/>
          <w:lang w:val="zh-CN"/>
        </w:rPr>
        <w:id w:val="422384255"/>
        <w:docPartObj>
          <w:docPartGallery w:val="Table of Contents"/>
          <w:docPartUnique/>
        </w:docPartObj>
      </w:sdtPr>
      <w:sdtEndPr>
        <w:rPr>
          <w:rFonts w:ascii="Calibri" w:eastAsia="宋体" w:hAnsi="Calibri" w:cs="Times New Roman"/>
          <w:b/>
          <w:bCs/>
          <w:color w:val="000000"/>
          <w:sz w:val="32"/>
          <w:szCs w:val="24"/>
          <w:lang w:val="zh-CN"/>
        </w:rPr>
      </w:sdtEndPr>
      <w:sdtContent>
        <w:p>
          <w:pPr>
            <w:pStyle w:val="TOCHeading"/>
            <w:jc w:val="center"/>
            <w:rPr>
              <w:color w:val="auto"/>
              <w:sz w:val="44"/>
              <w:szCs w:val="44"/>
            </w:rPr>
          </w:pPr>
          <w:r>
            <w:rPr>
              <w:color w:val="auto"/>
              <w:sz w:val="44"/>
              <w:szCs w:val="44"/>
              <w:lang w:val="zh-CN"/>
            </w:rPr>
            <w:t>目录</w:t>
          </w:r>
        </w:p>
        <w:p>
          <w:pPr>
            <w:pStyle w:val="TOC1"/>
            <w:rPr>
              <w:rFonts w:asciiTheme="minorHAnsi" w:eastAsiaTheme="minorEastAsia" w:hAnsiTheme="minorHAnsi" w:cstheme="minorBidi"/>
              <w:sz w:val="28"/>
              <w:szCs w:val="32"/>
            </w:rPr>
          </w:pPr>
          <w:r>
            <w:rPr>
              <w:sz w:val="52"/>
              <w:szCs w:val="40"/>
            </w:rPr>
            <w:fldChar w:fldCharType="begin"/>
          </w:r>
          <w:r>
            <w:rPr>
              <w:sz w:val="52"/>
              <w:szCs w:val="40"/>
            </w:rPr>
            <w:instrText xml:space="preserve"> TOC \o "1-3" \h \z \u </w:instrText>
          </w:r>
          <w:r>
            <w:rPr>
              <w:sz w:val="52"/>
              <w:szCs w:val="40"/>
            </w:rPr>
            <w:fldChar w:fldCharType="separate"/>
          </w:r>
          <w:hyperlink w:anchor="_Toc58166037" w:history="1">
            <w:r>
              <w:rPr>
                <w:rStyle w:val="Hyperlink"/>
                <w:sz w:val="36"/>
                <w:szCs w:val="24"/>
              </w:rPr>
              <w:t>一、编制依据</w:t>
            </w:r>
            <w:r>
              <w:rPr>
                <w:sz w:val="36"/>
                <w:szCs w:val="24"/>
              </w:rPr>
              <w:tab/>
            </w:r>
            <w:r>
              <w:rPr>
                <w:sz w:val="36"/>
                <w:szCs w:val="24"/>
              </w:rPr>
              <w:fldChar w:fldCharType="begin"/>
            </w:r>
            <w:r>
              <w:rPr>
                <w:sz w:val="36"/>
                <w:szCs w:val="24"/>
              </w:rPr>
              <w:instrText xml:space="preserve"> PAGEREF _Toc58166037 \h </w:instrText>
            </w:r>
            <w:r>
              <w:rPr>
                <w:sz w:val="36"/>
                <w:szCs w:val="24"/>
              </w:rPr>
              <w:fldChar w:fldCharType="separate"/>
            </w:r>
            <w:r>
              <w:rPr>
                <w:sz w:val="36"/>
                <w:szCs w:val="24"/>
              </w:rPr>
              <w:t>- 3 -</w:t>
            </w:r>
            <w:r>
              <w:rPr>
                <w:sz w:val="36"/>
                <w:szCs w:val="24"/>
              </w:rPr>
              <w:fldChar w:fldCharType="end"/>
            </w:r>
          </w:hyperlink>
        </w:p>
        <w:p>
          <w:pPr>
            <w:pStyle w:val="TOC1"/>
            <w:rPr>
              <w:rFonts w:asciiTheme="minorHAnsi" w:eastAsiaTheme="minorEastAsia" w:hAnsiTheme="minorHAnsi" w:cstheme="minorBidi"/>
              <w:sz w:val="28"/>
              <w:szCs w:val="32"/>
            </w:rPr>
          </w:pPr>
          <w:hyperlink w:anchor="_Toc58166038" w:history="1">
            <w:r>
              <w:rPr>
                <w:rStyle w:val="Hyperlink"/>
                <w:sz w:val="36"/>
                <w:szCs w:val="24"/>
              </w:rPr>
              <w:t>二、工程概况</w:t>
            </w:r>
            <w:r>
              <w:rPr>
                <w:sz w:val="36"/>
                <w:szCs w:val="24"/>
              </w:rPr>
              <w:tab/>
            </w:r>
            <w:r>
              <w:rPr>
                <w:sz w:val="36"/>
                <w:szCs w:val="24"/>
              </w:rPr>
              <w:fldChar w:fldCharType="begin"/>
            </w:r>
            <w:r>
              <w:rPr>
                <w:sz w:val="36"/>
                <w:szCs w:val="24"/>
              </w:rPr>
              <w:instrText xml:space="preserve"> PAGEREF _Toc58166038 \h </w:instrText>
            </w:r>
            <w:r>
              <w:rPr>
                <w:sz w:val="36"/>
                <w:szCs w:val="24"/>
              </w:rPr>
              <w:fldChar w:fldCharType="separate"/>
            </w:r>
            <w:r>
              <w:rPr>
                <w:sz w:val="36"/>
                <w:szCs w:val="24"/>
              </w:rPr>
              <w:t>- 3 -</w:t>
            </w:r>
            <w:r>
              <w:rPr>
                <w:sz w:val="36"/>
                <w:szCs w:val="24"/>
              </w:rPr>
              <w:fldChar w:fldCharType="end"/>
            </w:r>
          </w:hyperlink>
        </w:p>
        <w:p>
          <w:pPr>
            <w:pStyle w:val="TOC1"/>
            <w:rPr>
              <w:rFonts w:asciiTheme="minorHAnsi" w:eastAsiaTheme="minorEastAsia" w:hAnsiTheme="minorHAnsi" w:cstheme="minorBidi"/>
              <w:sz w:val="28"/>
              <w:szCs w:val="32"/>
            </w:rPr>
          </w:pPr>
          <w:hyperlink w:anchor="_Toc58166039" w:history="1">
            <w:r>
              <w:rPr>
                <w:rStyle w:val="Hyperlink"/>
                <w:sz w:val="36"/>
                <w:szCs w:val="24"/>
              </w:rPr>
              <w:t>三、塔吊基础设计</w:t>
            </w:r>
            <w:r>
              <w:rPr>
                <w:sz w:val="36"/>
                <w:szCs w:val="24"/>
              </w:rPr>
              <w:tab/>
            </w:r>
            <w:r>
              <w:rPr>
                <w:sz w:val="36"/>
                <w:szCs w:val="24"/>
              </w:rPr>
              <w:fldChar w:fldCharType="begin"/>
            </w:r>
            <w:r>
              <w:rPr>
                <w:sz w:val="36"/>
                <w:szCs w:val="24"/>
              </w:rPr>
              <w:instrText xml:space="preserve"> PAGEREF _Toc58166039 \h </w:instrText>
            </w:r>
            <w:r>
              <w:rPr>
                <w:sz w:val="36"/>
                <w:szCs w:val="24"/>
              </w:rPr>
              <w:fldChar w:fldCharType="separate"/>
            </w:r>
            <w:r>
              <w:rPr>
                <w:sz w:val="36"/>
                <w:szCs w:val="24"/>
              </w:rPr>
              <w:t>- 6 -</w:t>
            </w:r>
            <w:r>
              <w:rPr>
                <w:sz w:val="36"/>
                <w:szCs w:val="24"/>
              </w:rPr>
              <w:fldChar w:fldCharType="end"/>
            </w:r>
          </w:hyperlink>
        </w:p>
        <w:p>
          <w:pPr>
            <w:pStyle w:val="TOC1"/>
            <w:rPr>
              <w:rFonts w:asciiTheme="minorHAnsi" w:eastAsiaTheme="minorEastAsia" w:hAnsiTheme="minorHAnsi" w:cstheme="minorBidi"/>
              <w:sz w:val="28"/>
              <w:szCs w:val="32"/>
            </w:rPr>
          </w:pPr>
          <w:hyperlink w:anchor="_Toc58166040" w:history="1">
            <w:r>
              <w:rPr>
                <w:rStyle w:val="Hyperlink"/>
                <w:sz w:val="36"/>
                <w:szCs w:val="24"/>
              </w:rPr>
              <w:t>四、塔机基础施工</w:t>
            </w:r>
            <w:r>
              <w:rPr>
                <w:sz w:val="36"/>
                <w:szCs w:val="24"/>
              </w:rPr>
              <w:tab/>
            </w:r>
            <w:r>
              <w:rPr>
                <w:sz w:val="36"/>
                <w:szCs w:val="24"/>
              </w:rPr>
              <w:fldChar w:fldCharType="begin"/>
            </w:r>
            <w:r>
              <w:rPr>
                <w:sz w:val="36"/>
                <w:szCs w:val="24"/>
              </w:rPr>
              <w:instrText xml:space="preserve"> PAGEREF _Toc58166040 \h </w:instrText>
            </w:r>
            <w:r>
              <w:rPr>
                <w:sz w:val="36"/>
                <w:szCs w:val="24"/>
              </w:rPr>
              <w:fldChar w:fldCharType="separate"/>
            </w:r>
            <w:r>
              <w:rPr>
                <w:sz w:val="36"/>
                <w:szCs w:val="24"/>
              </w:rPr>
              <w:t>- 15 -</w:t>
            </w:r>
            <w:r>
              <w:rPr>
                <w:sz w:val="36"/>
                <w:szCs w:val="24"/>
              </w:rPr>
              <w:fldChar w:fldCharType="end"/>
            </w:r>
          </w:hyperlink>
        </w:p>
        <w:p>
          <w:pPr>
            <w:pStyle w:val="TOC1"/>
            <w:rPr>
              <w:rFonts w:asciiTheme="minorHAnsi" w:eastAsiaTheme="minorEastAsia" w:hAnsiTheme="minorHAnsi" w:cstheme="minorBidi"/>
              <w:sz w:val="28"/>
              <w:szCs w:val="32"/>
            </w:rPr>
          </w:pPr>
          <w:hyperlink w:anchor="_Toc58166041" w:history="1">
            <w:r>
              <w:rPr>
                <w:rStyle w:val="Hyperlink"/>
                <w:sz w:val="36"/>
                <w:szCs w:val="24"/>
              </w:rPr>
              <w:t>五、附图与附件</w:t>
            </w:r>
            <w:r>
              <w:rPr>
                <w:sz w:val="36"/>
                <w:szCs w:val="24"/>
              </w:rPr>
              <w:tab/>
            </w:r>
            <w:r>
              <w:rPr>
                <w:sz w:val="36"/>
                <w:szCs w:val="24"/>
              </w:rPr>
              <w:fldChar w:fldCharType="begin"/>
            </w:r>
            <w:r>
              <w:rPr>
                <w:sz w:val="36"/>
                <w:szCs w:val="24"/>
              </w:rPr>
              <w:instrText xml:space="preserve"> PAGEREF _Toc58166041 \h </w:instrText>
            </w:r>
            <w:r>
              <w:rPr>
                <w:sz w:val="36"/>
                <w:szCs w:val="24"/>
              </w:rPr>
              <w:fldChar w:fldCharType="separate"/>
            </w:r>
            <w:r>
              <w:rPr>
                <w:sz w:val="36"/>
                <w:szCs w:val="24"/>
              </w:rPr>
              <w:t>- 23 -</w:t>
            </w:r>
            <w:r>
              <w:rPr>
                <w:sz w:val="36"/>
                <w:szCs w:val="24"/>
              </w:rPr>
              <w:fldChar w:fldCharType="end"/>
            </w:r>
          </w:hyperlink>
        </w:p>
        <w:p>
          <w:pPr>
            <w:rPr>
              <w:b/>
              <w:bCs/>
              <w:sz w:val="32"/>
              <w:szCs w:val="24"/>
              <w:lang w:val="zh-CN"/>
            </w:rPr>
            <w:sectPr>
              <w:headerReference w:type="default" r:id="rId8"/>
              <w:footerReference w:type="default" r:id="rId9"/>
              <w:type w:val="nextPage"/>
              <w:pgSz w:w="11906" w:h="16838"/>
              <w:pgMar w:top="1440" w:right="1803" w:bottom="1418" w:left="1803" w:header="851" w:footer="992" w:gutter="0"/>
              <w:pgNumType w:fmt="numberInDash" w:start="2"/>
              <w:cols w:num="1" w:space="0"/>
              <w:titlePg w:val="0"/>
              <w:docGrid w:type="lines" w:linePitch="332" w:charSpace="0"/>
            </w:sectPr>
          </w:pPr>
          <w:r>
            <w:rPr>
              <w:b/>
              <w:bCs/>
              <w:sz w:val="52"/>
              <w:szCs w:val="44"/>
              <w:lang w:val="zh-CN"/>
            </w:rPr>
            <w:fldChar w:fldCharType="end"/>
          </w:r>
        </w:p>
      </w:sdtContent>
    </w:sdt>
    <w:p>
      <w:pPr>
        <w:pStyle w:val="Heading1"/>
      </w:pPr>
      <w:bookmarkStart w:id="0" w:name="_Toc58166037"/>
      <w:r>
        <w:rPr>
          <w:rFonts w:hint="eastAsia"/>
        </w:rPr>
        <w:t>一、编制依据</w:t>
      </w:r>
      <w:bookmarkEnd w:id="0"/>
    </w:p>
    <w:p>
      <w:r>
        <w:rPr>
          <w:rFonts w:hint="eastAsia"/>
        </w:rPr>
        <w:t>1</w:t>
      </w:r>
      <w:r>
        <w:t>.1</w:t>
      </w:r>
      <w:r>
        <w:rPr>
          <w:rFonts w:hint="eastAsia"/>
        </w:rPr>
        <w:t>主要应用规范、规程、标准</w:t>
      </w:r>
    </w:p>
    <w:p>
      <w:pPr>
        <w:pStyle w:val="BodyTextIndent2"/>
        <w:ind w:firstLine="0"/>
      </w:pPr>
      <w:r>
        <w:rPr>
          <w:rFonts w:hint="eastAsia"/>
        </w:rPr>
        <w:t>（1）《建筑地基基础设计规范》 GB 50007-2011</w:t>
      </w:r>
    </w:p>
    <w:p>
      <w:pPr>
        <w:pStyle w:val="BodyTextIndent2"/>
        <w:ind w:firstLine="0"/>
      </w:pPr>
      <w:r>
        <w:rPr>
          <w:rFonts w:hint="eastAsia"/>
        </w:rPr>
        <w:t xml:space="preserve">（2）《建筑地基基础工程施工质量验收规范》 </w:t>
      </w:r>
      <w:r>
        <w:t>GB 50202</w:t>
      </w:r>
      <w:r>
        <w:rPr>
          <w:rFonts w:hint="eastAsia"/>
        </w:rPr>
        <w:t>-</w:t>
      </w:r>
      <w:r>
        <w:t>2018</w:t>
      </w:r>
    </w:p>
    <w:p>
      <w:pPr>
        <w:pStyle w:val="BodyTextIndent2"/>
        <w:ind w:firstLine="0"/>
      </w:pPr>
      <w:r>
        <w:rPr>
          <w:rFonts w:hint="eastAsia"/>
        </w:rPr>
        <w:t>（3）《建筑机械使用安全技术规程》J</w:t>
      </w:r>
      <w:r>
        <w:t>GJ 33</w:t>
      </w:r>
      <w:r>
        <w:rPr>
          <w:rFonts w:hint="eastAsia"/>
        </w:rPr>
        <w:t>-</w:t>
      </w:r>
      <w:r>
        <w:t>2012</w:t>
      </w:r>
    </w:p>
    <w:p>
      <w:pPr>
        <w:pStyle w:val="BodyTextIndent2"/>
        <w:ind w:firstLine="0"/>
      </w:pPr>
      <w:r>
        <w:rPr>
          <w:rFonts w:hint="eastAsia"/>
        </w:rPr>
        <w:t xml:space="preserve">（4）《施工现场临时用电安全技术规范》 </w:t>
      </w:r>
      <w:r>
        <w:t>JGJ 46-2005</w:t>
      </w:r>
    </w:p>
    <w:p>
      <w:pPr>
        <w:pStyle w:val="BodyTextIndent2"/>
        <w:ind w:firstLine="0"/>
      </w:pPr>
      <w:r>
        <w:rPr>
          <w:rFonts w:hint="eastAsia"/>
        </w:rPr>
        <w:t>（5）《建筑桩基技术规范》（JGJ 94-2008）</w:t>
      </w:r>
    </w:p>
    <w:p>
      <w:pPr>
        <w:pStyle w:val="BodyTextIndent2"/>
        <w:ind w:firstLine="0"/>
      </w:pPr>
      <w:r>
        <w:rPr>
          <w:rFonts w:hint="eastAsia"/>
        </w:rPr>
        <w:t>（6）《塔式起重机混凝土基础工程技术规程》（JGJT 187-20</w:t>
      </w:r>
      <w:r>
        <w:t>1</w:t>
      </w:r>
      <w:r>
        <w:rPr>
          <w:rFonts w:hint="eastAsia"/>
        </w:rPr>
        <w:t>9）</w:t>
      </w:r>
    </w:p>
    <w:p>
      <w:pPr>
        <w:pStyle w:val="BodyTextIndent2"/>
        <w:ind w:firstLine="0"/>
      </w:pPr>
      <w:r>
        <w:rPr>
          <w:rFonts w:hint="eastAsia"/>
        </w:rPr>
        <w:t>（7）塔式起重机安装使用说明书——厂家提供</w:t>
      </w:r>
    </w:p>
    <w:p>
      <w:pPr>
        <w:pStyle w:val="BodyTextIndent2"/>
        <w:ind w:firstLine="0"/>
      </w:pPr>
      <w:r>
        <w:rPr>
          <w:rFonts w:hint="eastAsia"/>
        </w:rPr>
        <w:t>1</w:t>
      </w:r>
      <w:r>
        <w:t>.2</w:t>
      </w:r>
      <w:r>
        <w:rPr>
          <w:rFonts w:hint="eastAsia"/>
        </w:rPr>
        <w:t>设计文件</w:t>
      </w:r>
    </w:p>
    <w:p>
      <w:pPr>
        <w:pStyle w:val="BodyTextIndent2"/>
        <w:numPr>
          <w:ilvl w:val="0"/>
          <w:numId w:val="3"/>
        </w:numPr>
        <w:ind w:firstLine="0"/>
      </w:pPr>
      <w:r>
        <w:rPr>
          <w:rFonts w:hint="eastAsia"/>
        </w:rPr>
        <w:t>施工图纸</w:t>
      </w:r>
    </w:p>
    <w:p>
      <w:pPr>
        <w:pStyle w:val="BodyTextIndent2"/>
        <w:numPr>
          <w:ilvl w:val="0"/>
          <w:numId w:val="3"/>
        </w:numPr>
        <w:ind w:firstLine="0"/>
      </w:pPr>
      <w:r>
        <w:t>岩土工程勘察报告</w:t>
      </w:r>
    </w:p>
    <w:p>
      <w:pPr>
        <w:pStyle w:val="Heading1"/>
      </w:pPr>
      <w:bookmarkStart w:id="1" w:name="_Toc58166038"/>
      <w:r>
        <w:rPr>
          <w:rFonts w:hint="eastAsia"/>
        </w:rPr>
        <w:t>二、工程概况</w:t>
      </w:r>
      <w:bookmarkEnd w:id="1"/>
    </w:p>
    <w:p>
      <w:pPr>
        <w:adjustRightInd w:val="0"/>
        <w:snapToGrid w:val="0"/>
        <w:ind w:firstLine="560" w:firstLineChars="200"/>
        <w:rPr>
          <w:rFonts w:asciiTheme="minorEastAsia" w:hAnsiTheme="minorEastAsia" w:cstheme="minorEastAsia"/>
          <w:sz w:val="28"/>
          <w:szCs w:val="28"/>
        </w:rPr>
      </w:pPr>
      <w:r>
        <w:rPr>
          <w:rFonts w:asciiTheme="minorEastAsia" w:hAnsiTheme="minorEastAsia" w:cstheme="minorEastAsia" w:hint="eastAsia"/>
          <w:sz w:val="28"/>
          <w:szCs w:val="28"/>
        </w:rPr>
        <w:t>2</w:t>
      </w:r>
      <w:r>
        <w:rPr>
          <w:rFonts w:asciiTheme="minorEastAsia" w:hAnsiTheme="minorEastAsia" w:cstheme="minorEastAsia"/>
          <w:sz w:val="28"/>
          <w:szCs w:val="28"/>
        </w:rPr>
        <w:t>.1</w:t>
      </w:r>
      <w:r>
        <w:rPr>
          <w:rFonts w:asciiTheme="minorEastAsia" w:hAnsiTheme="minorEastAsia" w:cstheme="minorEastAsia" w:hint="eastAsia"/>
          <w:sz w:val="28"/>
          <w:szCs w:val="28"/>
        </w:rPr>
        <w:t>工程简介</w:t>
      </w:r>
    </w:p>
    <w:p>
      <w:pPr>
        <w:pStyle w:val="BodyTextIndent2"/>
        <w:jc w:val="center"/>
        <w:sectPr>
          <w:headerReference w:type="default" r:id="rId10"/>
          <w:footerReference w:type="default" r:id="rId11"/>
          <w:type w:val="nextPage"/>
          <w:pgSz w:w="11906" w:h="16838"/>
          <w:pgMar w:top="1440" w:right="1803" w:bottom="1418" w:left="1803" w:header="851" w:footer="992" w:gutter="0"/>
          <w:pgNumType w:fmt="numberInDash" w:start="3"/>
          <w:cols w:num="1" w:space="0"/>
          <w:titlePg w:val="0"/>
          <w:docGrid w:type="lines" w:linePitch="332" w:charSpace="0"/>
        </w:sectPr>
      </w:pPr>
    </w:p>
    <w:p>
      <w:r>
        <w:rPr>
          <w:rFonts w:hint="eastAsia"/>
          <w:sz w:val="28"/>
          <w:szCs w:val="20"/>
        </w:rPr>
        <w:t>2</w:t>
      </w:r>
      <w:r>
        <w:rPr>
          <w:sz w:val="28"/>
          <w:szCs w:val="20"/>
        </w:rPr>
        <w:t>.2</w:t>
      </w:r>
      <w:r>
        <w:rPr>
          <w:rFonts w:hint="eastAsia"/>
          <w:sz w:val="28"/>
          <w:szCs w:val="20"/>
        </w:rPr>
        <w:t>塔吊位置与选型</w:t>
      </w:r>
    </w:p>
    <w:p>
      <w:pPr>
        <w:pStyle w:val="BodyTextIndent2"/>
        <w:ind w:firstLine="0"/>
      </w:pPr>
      <w:r>
        <w:t>2.2.1</w:t>
      </w:r>
      <w:r>
        <w:rPr>
          <w:rFonts w:hint="eastAsia"/>
        </w:rPr>
        <w:t>塔吊位置：</w:t>
      </w:r>
      <w:bookmarkStart w:id="2" w:name="_Toc12145"/>
    </w:p>
    <w:p>
      <w:pPr>
        <w:pStyle w:val="BodyTextIndent2"/>
        <w:ind w:firstLine="560" w:firstLineChars="200"/>
      </w:pPr>
      <w:r>
        <w:rPr>
          <w:rFonts w:hint="eastAsia"/>
        </w:rPr>
        <w:t>塔吊序号布置</w:t>
      </w:r>
      <w:bookmarkEnd w:id="2"/>
      <w:r>
        <w:rPr>
          <w:rFonts w:hint="eastAsia"/>
        </w:rPr>
        <w:t>根据施工现场情况由东北向东南顺时针排列塔机编号为1#~6#，以便于识别和施工组织安排。</w:t>
      </w:r>
      <w:bookmarkStart w:id="3" w:name="_Toc15702"/>
      <w:bookmarkStart w:id="4" w:name="_Toc6896"/>
    </w:p>
    <w:p>
      <w:pPr>
        <w:pStyle w:val="BodyTextIndent2"/>
        <w:ind w:firstLine="560" w:firstLineChars="200"/>
      </w:pPr>
      <w:r>
        <w:rPr>
          <w:rFonts w:hint="eastAsia"/>
        </w:rPr>
        <w:t>根据本拟建工程施工筑面积较大及施工现场复杂的情况，考虑塔机基础沿足球场挖轮廓进行布置，塔吊基础埋在建筑物外的自然土层内，充分考虑施工过程中塔机垂直运输便利、覆盖范围大、群塔作业高差布置方便等因素，因此必须选用独立高度高、作业半径大、起重量大的塔型。</w:t>
      </w:r>
      <w:bookmarkEnd w:id="3"/>
      <w:bookmarkEnd w:id="4"/>
    </w:p>
    <w:p>
      <w:pPr>
        <w:pStyle w:val="BodyTextIndent2"/>
        <w:ind w:firstLine="560" w:firstLineChars="200"/>
      </w:pPr>
      <w:r>
        <w:rPr>
          <w:rFonts w:hint="eastAsia"/>
        </w:rPr>
        <w:t>经施工技术组及咨询专业厂家商议，确定现场共布置6台塔吊，作为本工程垂直运输的起重设备。塔吊之间交叉范围为约10m-39m，相邻塔吊采用高低塔形式。</w:t>
      </w:r>
    </w:p>
    <w:p>
      <w:pPr>
        <w:pStyle w:val="BodyTextIndent2"/>
        <w:ind w:firstLine="0"/>
      </w:pPr>
      <w:r>
        <w:rPr>
          <w:rFonts w:hint="eastAsia"/>
        </w:rPr>
        <w:t>2</w:t>
      </w:r>
      <w:r>
        <w:t>.2.2</w:t>
      </w:r>
      <w:r>
        <w:rPr>
          <w:rFonts w:hint="eastAsia"/>
        </w:rPr>
        <w:t>塔吊选型：</w:t>
      </w:r>
    </w:p>
    <w:p>
      <w:pPr>
        <w:pStyle w:val="BodyTextIndent2"/>
        <w:ind w:right="0" w:firstLine="560" w:firstLineChars="200"/>
      </w:pPr>
      <w:r>
        <w:rPr>
          <w:rFonts w:hint="eastAsia"/>
        </w:rPr>
        <w:t>根据足球体育场外形和周边建筑物平台尺寸，6台塔吊均选用</w:t>
      </w:r>
      <w:r>
        <w:t>W</w:t>
      </w:r>
      <w:r>
        <w:rPr>
          <w:rFonts w:hint="eastAsia"/>
        </w:rPr>
        <w:t>7</w:t>
      </w:r>
      <w:r>
        <w:t>527</w:t>
      </w:r>
      <w:r>
        <w:rPr>
          <w:rFonts w:hint="eastAsia"/>
        </w:rPr>
        <w:t>型平头式塔吊，塔吊基础为预埋支腿式固定基础，</w:t>
      </w:r>
      <w:r>
        <w:t>6</w:t>
      </w:r>
      <w:r>
        <w:rPr>
          <w:rFonts w:hint="eastAsia"/>
        </w:rPr>
        <w:t>台塔吊臂长均为7</w:t>
      </w:r>
      <w:r>
        <w:t>5</w:t>
      </w:r>
      <w:r>
        <w:rPr>
          <w:rFonts w:hint="eastAsia"/>
        </w:rPr>
        <w:t>m全臂。独立固定式塔机由</w:t>
      </w:r>
      <w:r>
        <w:t>1</w:t>
      </w:r>
      <w:r>
        <w:rPr>
          <w:rFonts w:hint="eastAsia"/>
        </w:rPr>
        <w:t>节7</w:t>
      </w:r>
      <w:r>
        <w:t>.5</w:t>
      </w:r>
      <w:r>
        <w:rPr>
          <w:rFonts w:hint="eastAsia"/>
        </w:rPr>
        <w:t>m基节、3节L</w:t>
      </w:r>
      <w:r>
        <w:t>68B8</w:t>
      </w:r>
      <w:r>
        <w:rPr>
          <w:rFonts w:hint="eastAsia"/>
        </w:rPr>
        <w:t>标准节、</w:t>
      </w:r>
      <w:r>
        <w:t>1</w:t>
      </w:r>
      <w:r>
        <w:rPr>
          <w:rFonts w:hint="eastAsia"/>
        </w:rPr>
        <w:t>节L</w:t>
      </w:r>
      <w:r>
        <w:t>68B7</w:t>
      </w:r>
      <w:r>
        <w:rPr>
          <w:rFonts w:hint="eastAsia"/>
        </w:rPr>
        <w:t>标准节及</w:t>
      </w:r>
      <w:r>
        <w:t>13</w:t>
      </w:r>
      <w:r>
        <w:rPr>
          <w:rFonts w:hint="eastAsia"/>
        </w:rPr>
        <w:t>节L</w:t>
      </w:r>
      <w:r>
        <w:t>68B6</w:t>
      </w:r>
      <w:r>
        <w:rPr>
          <w:rFonts w:hint="eastAsia"/>
        </w:rPr>
        <w:t>标准节组成，独立式最大起升高度为6</w:t>
      </w:r>
      <w:r>
        <w:t>0</w:t>
      </w:r>
      <w:r>
        <w:rPr>
          <w:rFonts w:hint="eastAsia"/>
        </w:rPr>
        <w:t>米，7</w:t>
      </w:r>
      <w:r>
        <w:t>5</w:t>
      </w:r>
      <w:r>
        <w:rPr>
          <w:rFonts w:hint="eastAsia"/>
        </w:rPr>
        <w:t>m起重臂端吊重2</w:t>
      </w:r>
      <w:r>
        <w:t>.7</w:t>
      </w:r>
      <w:r>
        <w:rPr>
          <w:rFonts w:hint="eastAsia"/>
        </w:rPr>
        <w:t>t，最大起重量2</w:t>
      </w:r>
      <w:r>
        <w:t>0</w:t>
      </w:r>
      <w:r>
        <w:rPr>
          <w:rFonts w:hint="eastAsia"/>
        </w:rPr>
        <w:t>t。其中2#、4#、6#、3台塔吊起升高度要求为6</w:t>
      </w:r>
      <w:r>
        <w:t>0</w:t>
      </w:r>
      <w:r>
        <w:rPr>
          <w:rFonts w:hint="eastAsia"/>
        </w:rPr>
        <w:t>m；1#塔吊起升高度要求为</w:t>
      </w:r>
      <w:r>
        <w:t>51</w:t>
      </w:r>
      <w:r>
        <w:rPr>
          <w:rFonts w:hint="eastAsia"/>
        </w:rPr>
        <w:t>m，3#塔吊和5#塔吊起升高度要求为</w:t>
      </w:r>
      <w:r>
        <w:t>54m</w:t>
      </w:r>
      <w:r>
        <w:rPr>
          <w:rFonts w:hint="eastAsia"/>
        </w:rPr>
        <w:t>。</w:t>
      </w:r>
    </w:p>
    <w:p>
      <w:pPr>
        <w:pStyle w:val="BodyTextIndent2"/>
        <w:ind w:firstLine="0"/>
        <w:sectPr>
          <w:headerReference w:type="default" r:id="rId12"/>
          <w:footerReference w:type="default" r:id="rId13"/>
          <w:type w:val="nextPage"/>
          <w:pgSz w:w="11906" w:h="16838"/>
          <w:pgMar w:top="1440" w:right="1803" w:bottom="1418" w:left="1803" w:header="851" w:footer="992" w:gutter="0"/>
          <w:pgNumType w:fmt="numberInDash" w:start="4"/>
          <w:cols w:num="1" w:space="0"/>
          <w:titlePg w:val="0"/>
          <w:docGrid w:type="lines" w:linePitch="332" w:charSpace="0"/>
        </w:sectPr>
      </w:pPr>
      <w:r>
        <w:rPr>
          <w:rFonts w:hint="eastAsia"/>
        </w:rPr>
        <w:t>2</w:t>
      </w:r>
      <w:r>
        <w:t>.3</w:t>
      </w:r>
      <w:r>
        <w:rPr>
          <w:rFonts w:hint="eastAsia"/>
        </w:rPr>
        <w:t>塔吊布置原则与塔吊定位</w:t>
      </w:r>
    </w:p>
    <w:p>
      <w:pPr>
        <w:pStyle w:val="BodyTextIndent2"/>
        <w:ind w:firstLine="0"/>
      </w:pPr>
      <w:r>
        <w:rPr>
          <w:rFonts w:hint="eastAsia"/>
        </w:rPr>
        <w:t>2.</w:t>
      </w:r>
      <w:r>
        <w:t xml:space="preserve">3.1  </w:t>
      </w:r>
      <w:r>
        <w:rPr>
          <w:rFonts w:hint="eastAsia"/>
        </w:rPr>
        <w:t>满足施工吊次、吊重需要，尽可能不出现施工盲区；</w:t>
      </w:r>
      <w:bookmarkStart w:id="5" w:name="_Toc18342"/>
      <w:r>
        <w:rPr>
          <w:rFonts w:hint="eastAsia"/>
        </w:rPr>
        <w:t>保证塔吊安拆方便，塔吊距离待建结构边缘距离尽量靠近。</w:t>
      </w:r>
      <w:bookmarkEnd w:id="5"/>
      <w:bookmarkStart w:id="6" w:name="_Toc5248"/>
      <w:r>
        <w:rPr>
          <w:rFonts w:hint="eastAsia"/>
        </w:rPr>
        <w:t>塔吊初始安装高度时，起重臂、平衡臂等可回转部件尽可能能够整周回转而不碰到周围的树木、已有建筑等实体结构。</w:t>
      </w:r>
      <w:bookmarkEnd w:id="6"/>
    </w:p>
    <w:p>
      <w:pPr>
        <w:rPr>
          <w:sz w:val="28"/>
          <w:szCs w:val="20"/>
        </w:rPr>
      </w:pPr>
      <w:r>
        <w:rPr>
          <w:sz w:val="28"/>
          <w:szCs w:val="20"/>
        </w:rPr>
        <w:t xml:space="preserve">2.3.2 </w:t>
      </w:r>
      <w:r>
        <w:rPr>
          <w:rFonts w:hint="eastAsia"/>
          <w:sz w:val="28"/>
          <w:szCs w:val="20"/>
        </w:rPr>
        <w:t>根据本拟建工程各施工现场环境的特点，和塔机安装、拆除的需要，将塔机基础定位于离拟建建筑物近，方便拆除的位置。</w:t>
      </w:r>
    </w:p>
    <w:p>
      <w:pPr>
        <w:pStyle w:val="BodyTextIndent2"/>
        <w:ind w:firstLine="0"/>
      </w:pPr>
      <w:r>
        <w:rPr>
          <w:rFonts w:hint="eastAsia"/>
        </w:rPr>
        <w:t>2</w:t>
      </w:r>
      <w:r>
        <w:t xml:space="preserve">.3.3 </w:t>
      </w:r>
      <w:r>
        <w:rPr>
          <w:color w:val="FF0000"/>
        </w:rPr>
        <w:t xml:space="preserve"> </w:t>
      </w:r>
      <w:r>
        <w:rPr>
          <w:rFonts w:hint="eastAsia"/>
        </w:rPr>
        <w:t>本工程根据测量坐标系，1#塔吊基础中心坐标为</w:t>
      </w:r>
      <w:r>
        <w:t>X</w:t>
      </w:r>
      <w:r>
        <w:rPr>
          <w:rFonts w:hint="eastAsia"/>
        </w:rPr>
        <w:t>=-</w:t>
      </w:r>
      <w:r>
        <w:t>2439.293</w:t>
      </w:r>
      <w:r>
        <w:rPr>
          <w:rFonts w:hint="eastAsia"/>
        </w:rPr>
        <w:t>、Y=</w:t>
      </w:r>
      <w:r>
        <w:t>3943.516</w:t>
      </w:r>
      <w:r>
        <w:rPr>
          <w:rFonts w:hint="eastAsia"/>
        </w:rPr>
        <w:t>；2#塔吊基础中心坐标为X=-</w:t>
      </w:r>
      <w:r>
        <w:t>2567</w:t>
      </w:r>
      <w:r>
        <w:rPr>
          <w:rFonts w:hint="eastAsia"/>
        </w:rPr>
        <w:t>.</w:t>
      </w:r>
      <w:r>
        <w:t>315</w:t>
      </w:r>
      <w:r>
        <w:rPr>
          <w:rFonts w:hint="eastAsia"/>
        </w:rPr>
        <w:t>、Y=</w:t>
      </w:r>
      <w:r>
        <w:t>4000.226</w:t>
      </w:r>
      <w:r>
        <w:rPr>
          <w:rFonts w:hint="eastAsia"/>
        </w:rPr>
        <w:t>；3#塔吊基础中心为X=-</w:t>
      </w:r>
      <w:r>
        <w:t>2673</w:t>
      </w:r>
      <w:r>
        <w:rPr>
          <w:rFonts w:hint="eastAsia"/>
        </w:rPr>
        <w:t>.</w:t>
      </w:r>
      <w:r>
        <w:t>768</w:t>
      </w:r>
      <w:r>
        <w:rPr>
          <w:rFonts w:hint="eastAsia"/>
        </w:rPr>
        <w:t>、Y</w:t>
      </w:r>
      <w:r>
        <w:t>=3950</w:t>
      </w:r>
      <w:r>
        <w:rPr>
          <w:rFonts w:hint="eastAsia"/>
        </w:rPr>
        <w:t>.</w:t>
      </w:r>
      <w:r>
        <w:t>552</w:t>
      </w:r>
      <w:r>
        <w:rPr>
          <w:rFonts w:hint="eastAsia"/>
        </w:rPr>
        <w:t>；4#塔吊基础中心坐标为X=-</w:t>
      </w:r>
      <w:r>
        <w:t>2666.021</w:t>
      </w:r>
      <w:r>
        <w:rPr>
          <w:rFonts w:hint="eastAsia"/>
        </w:rPr>
        <w:t>、Y</w:t>
      </w:r>
      <w:r>
        <w:t>=3833.112</w:t>
      </w:r>
      <w:r>
        <w:rPr>
          <w:rFonts w:hint="eastAsia"/>
        </w:rPr>
        <w:t>；5#塔吊基础中心坐标为X=-</w:t>
      </w:r>
      <w:r>
        <w:t>2561.723</w:t>
      </w:r>
      <w:r>
        <w:rPr>
          <w:rFonts w:hint="eastAsia"/>
        </w:rPr>
        <w:t>、Y=</w:t>
      </w:r>
      <w:r>
        <w:t>3792</w:t>
      </w:r>
      <w:r>
        <w:rPr>
          <w:rFonts w:hint="eastAsia"/>
        </w:rPr>
        <w:t>.4</w:t>
      </w:r>
      <w:r>
        <w:t>67</w:t>
      </w:r>
      <w:r>
        <w:rPr>
          <w:rFonts w:hint="eastAsia"/>
        </w:rPr>
        <w:t>；6#塔吊基础中心坐标为X=-</w:t>
      </w:r>
      <w:r>
        <w:t>2455</w:t>
      </w:r>
      <w:r>
        <w:rPr>
          <w:rFonts w:hint="eastAsia"/>
        </w:rPr>
        <w:t>.</w:t>
      </w:r>
      <w:r>
        <w:t>164</w:t>
      </w:r>
      <w:r>
        <w:rPr>
          <w:rFonts w:hint="eastAsia"/>
        </w:rPr>
        <w:t>、</w:t>
      </w:r>
      <w:r>
        <w:t>Y</w:t>
      </w:r>
      <w:r>
        <w:rPr>
          <w:rFonts w:hint="eastAsia"/>
        </w:rPr>
        <w:t>=</w:t>
      </w:r>
      <w:r>
        <w:t>3824.963</w:t>
      </w:r>
      <w:r>
        <w:rPr>
          <w:rFonts w:hint="eastAsia"/>
        </w:rPr>
        <w:t>。详见附图一《塔吊基础定位图》</w:t>
      </w:r>
    </w:p>
    <w:p>
      <w:pPr>
        <w:pStyle w:val="BodyTextIndent2"/>
        <w:ind w:firstLine="0"/>
      </w:pPr>
      <w:r>
        <w:rPr>
          <w:rFonts w:hint="eastAsia"/>
        </w:rPr>
        <w:t>2</w:t>
      </w:r>
      <w:r>
        <w:t>.4</w:t>
      </w:r>
      <w:r>
        <w:rPr>
          <w:rFonts w:hint="eastAsia"/>
        </w:rPr>
        <w:t>工程难点</w:t>
      </w:r>
    </w:p>
    <w:p>
      <w:pPr>
        <w:pStyle w:val="BodyTextIndent2"/>
        <w:ind w:firstLine="0"/>
      </w:pPr>
      <w:r>
        <w:rPr>
          <w:rFonts w:hint="eastAsia"/>
        </w:rPr>
        <w:t xml:space="preserve"> </w:t>
      </w:r>
      <w:r>
        <w:t xml:space="preserve">   </w:t>
      </w:r>
      <w:r>
        <w:rPr>
          <w:rFonts w:hint="eastAsia"/>
        </w:rPr>
        <w:t>结构主体形式为椭圆形，自上而下为外挑型，所有塔吊不使用锚固，纯粹依靠塔吊最大自由高度满足施工。其中5#塔吊基础位于开挖基坑边，桩基分布密集，主体周围分布平台与裙房给塔吊基础布置位置带来困难，影响塔吊覆盖范围。</w:t>
      </w:r>
    </w:p>
    <w:p>
      <w:pPr>
        <w:pStyle w:val="Heading1"/>
      </w:pPr>
      <w:bookmarkStart w:id="7" w:name="_Toc58166039"/>
      <w:r>
        <w:rPr>
          <w:rFonts w:hint="eastAsia"/>
        </w:rPr>
        <w:t>三、塔吊基础设计</w:t>
      </w:r>
      <w:bookmarkEnd w:id="7"/>
    </w:p>
    <w:p>
      <w:pPr>
        <w:rPr>
          <w:sz w:val="28"/>
          <w:szCs w:val="20"/>
        </w:rPr>
      </w:pPr>
      <w:r>
        <w:rPr>
          <w:rFonts w:hint="eastAsia"/>
          <w:sz w:val="28"/>
          <w:szCs w:val="20"/>
        </w:rPr>
        <w:t>3</w:t>
      </w:r>
      <w:r>
        <w:rPr>
          <w:sz w:val="28"/>
          <w:szCs w:val="20"/>
        </w:rPr>
        <w:t>.1</w:t>
      </w:r>
      <w:r>
        <w:rPr>
          <w:rFonts w:hint="eastAsia"/>
          <w:sz w:val="28"/>
          <w:szCs w:val="20"/>
        </w:rPr>
        <w:t>塔吊基础选型</w:t>
      </w:r>
    </w:p>
    <w:p>
      <w:pPr>
        <w:pStyle w:val="Default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3" w:bottom="1418" w:left="1803" w:header="851" w:footer="992" w:gutter="0"/>
          <w:pgNumType w:fmt="numberInDash" w:start="5"/>
          <w:cols w:num="1" w:space="0"/>
          <w:titlePg w:val="0"/>
          <w:docGrid w:type="lines" w:linePitch="332" w:charSpace="0"/>
        </w:sectPr>
      </w:pP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 xml:space="preserve"> 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 xml:space="preserve">   </w:t>
      </w:r>
    </w:p>
    <w:p>
      <w:pPr>
        <w:pStyle w:val="Default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整体工程西侧为主要开挖局域，涉及降水措施，降水过程中对塔机基础会带来不均匀沉降等不利因素，为保证塔吊整体安全，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 xml:space="preserve"> 4#、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5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#、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6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#塔机基础采用桩基承台式基础。1#、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2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#、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3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#塔机不在降水影响半径范围内，采用承台式基础。</w:t>
      </w:r>
    </w:p>
    <w:p>
      <w:pPr>
        <w:pStyle w:val="Default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3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.1.1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承台式基础选型</w:t>
      </w:r>
    </w:p>
    <w:p>
      <w:pPr>
        <w:pStyle w:val="Default"/>
        <w:ind w:firstLine="564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3" w:bottom="1418" w:left="1803" w:header="851" w:footer="992" w:gutter="0"/>
          <w:pgNumType w:fmt="numberInDash" w:start="6"/>
          <w:cols w:num="1" w:space="0"/>
          <w:titlePg w:val="0"/>
          <w:docGrid w:type="lines" w:linePitch="332" w:charSpace="0"/>
        </w:sectPr>
      </w:pP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1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#、2#、3#塔机现场基础持力层承载力可达到1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80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k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P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a，基础尺寸为8m×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8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m×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1.6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m，混凝土标号≥C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35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，上下层主筋纵横向均匀布置4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根</w:t>
      </w:r>
      <w:r>
        <w:rPr>
          <w:rFonts w:ascii="Cambria" w:eastAsia="SJQY" w:hAnsi="Cambria" w:cstheme="minorBidi"/>
          <w:color w:val="auto"/>
          <w:kern w:val="2"/>
          <w:sz w:val="28"/>
          <w:szCs w:val="20"/>
        </w:rPr>
        <w:t>HRB400</w:t>
      </w:r>
      <w:r>
        <w:rPr>
          <w:rFonts w:ascii="宋体" w:hAnsi="宋体" w:cs="宋体" w:hint="eastAsia"/>
          <w:color w:val="auto"/>
          <w:kern w:val="2"/>
          <w:sz w:val="28"/>
          <w:szCs w:val="20"/>
        </w:rPr>
        <w:t>直径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25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mm间距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200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,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架立筋布置4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00</w:t>
      </w:r>
      <w:r>
        <w:rPr>
          <w:rFonts w:ascii="Cambria" w:eastAsia="SJQY" w:hAnsi="Cambria" w:cs="Cambria" w:hint="eastAsia"/>
          <w:color w:val="auto"/>
          <w:kern w:val="2"/>
          <w:sz w:val="28"/>
          <w:szCs w:val="20"/>
        </w:rPr>
        <w:t>H</w:t>
      </w:r>
      <w:r>
        <w:rPr>
          <w:rFonts w:ascii="Cambria" w:eastAsia="SJQY" w:hAnsi="Cambria" w:cs="Cambria"/>
          <w:color w:val="auto"/>
          <w:kern w:val="2"/>
          <w:sz w:val="28"/>
          <w:szCs w:val="20"/>
        </w:rPr>
        <w:t>PB300</w:t>
      </w:r>
      <w:r>
        <w:rPr>
          <w:rFonts w:ascii="宋体" w:hAnsi="宋体" w:cs="宋体" w:hint="eastAsia"/>
          <w:color w:val="auto"/>
          <w:kern w:val="2"/>
          <w:sz w:val="28"/>
          <w:szCs w:val="20"/>
        </w:rPr>
        <w:t>直径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12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mm间距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400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 xml:space="preserve">mm，具体尺寸图如下 </w:t>
      </w:r>
    </w:p>
    <w:p>
      <w:pPr>
        <w:pStyle w:val="Default"/>
        <w:ind w:firstLine="564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</w:p>
    <w:p>
      <w:pPr>
        <w:pStyle w:val="Default"/>
        <w:ind w:left="0" w:hanging="425" w:leftChars="-177" w:hangingChars="177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rPr>
          <w:rFonts w:hint="eastAsia"/>
        </w:rPr>
        <w:drawing>
          <wp:inline distT="0" distB="0" distL="0" distR="0">
            <wp:extent cx="6014085" cy="2047875"/>
            <wp:effectExtent l="0" t="0" r="571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" t="11866" r="2528" b="7995"/>
                    <a:stretch>
                      <a:fillRect/>
                    </a:stretch>
                  </pic:blipFill>
                  <pic:spPr>
                    <a:xfrm>
                      <a:off x="0" y="0"/>
                      <a:ext cx="6052885" cy="20610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Default"/>
        <w:jc w:val="center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drawing>
          <wp:inline distT="0" distB="0" distL="0" distR="0">
            <wp:extent cx="5143500" cy="515175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49" t="18751" r="2028" b="20416"/>
                    <a:stretch>
                      <a:fillRect/>
                    </a:stretch>
                  </pic:blipFill>
                  <pic:spPr>
                    <a:xfrm>
                      <a:off x="0" y="0"/>
                      <a:ext cx="5232162" cy="524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/>
        <w:spacing w:line="240" w:lineRule="auto"/>
        <w:jc w:val="center"/>
        <w:rPr>
          <w:sz w:val="28"/>
          <w:szCs w:val="20"/>
        </w:rPr>
      </w:pPr>
      <w:r>
        <w:rPr>
          <w:rFonts w:hint="eastAsia"/>
          <w:sz w:val="28"/>
          <w:szCs w:val="20"/>
        </w:rPr>
        <w:t>承台基础尺寸加工图</w:t>
      </w:r>
    </w:p>
    <w:p>
      <w:pPr>
        <w:pStyle w:val="Default"/>
        <w:jc w:val="center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3" w:bottom="1418" w:left="1803" w:header="851" w:footer="992" w:gutter="0"/>
          <w:pgNumType w:fmt="numberInDash" w:start="7"/>
          <w:cols w:num="1" w:space="0"/>
          <w:titlePg w:val="0"/>
          <w:docGrid w:type="lines" w:linePitch="332" w:charSpace="0"/>
        </w:sectPr>
      </w:pPr>
    </w:p>
    <w:p>
      <w:pPr>
        <w:ind w:firstLine="560"/>
        <w:rPr>
          <w:sz w:val="28"/>
          <w:szCs w:val="20"/>
        </w:rPr>
      </w:pPr>
      <w:r>
        <w:rPr>
          <w:rFonts w:hint="eastAsia"/>
          <w:sz w:val="28"/>
          <w:szCs w:val="20"/>
        </w:rPr>
        <w:t>本工程±</w:t>
      </w:r>
      <w:r>
        <w:rPr>
          <w:sz w:val="28"/>
          <w:szCs w:val="20"/>
        </w:rPr>
        <w:t>0.000</w:t>
      </w:r>
      <w:r>
        <w:rPr>
          <w:rFonts w:hint="eastAsia"/>
          <w:sz w:val="28"/>
          <w:szCs w:val="20"/>
        </w:rPr>
        <w:t>标高相当于绝对标高1</w:t>
      </w:r>
      <w:r>
        <w:rPr>
          <w:sz w:val="28"/>
          <w:szCs w:val="20"/>
        </w:rPr>
        <w:t>96.000</w:t>
      </w:r>
      <w:r>
        <w:rPr>
          <w:rFonts w:hint="eastAsia"/>
          <w:sz w:val="28"/>
          <w:szCs w:val="20"/>
        </w:rPr>
        <w:t>m，根据本工程的地质勘探资料，和各塔机的基础位置及基础底标高情况确定本工程1~</w:t>
      </w:r>
      <w:r>
        <w:rPr>
          <w:sz w:val="28"/>
          <w:szCs w:val="20"/>
        </w:rPr>
        <w:t>3</w:t>
      </w:r>
      <w:r>
        <w:rPr>
          <w:rFonts w:hint="eastAsia"/>
          <w:sz w:val="28"/>
          <w:szCs w:val="20"/>
        </w:rPr>
        <w:t>#塔机所对应勘探点位置和对应基础下土层承载力。塔机基础位置与勘探点位如下图</w:t>
      </w:r>
    </w:p>
    <w:p>
      <w:pPr>
        <w:widowControl/>
        <w:spacing w:line="240" w:lineRule="auto"/>
        <w:rPr>
          <w:sz w:val="28"/>
          <w:szCs w:val="20"/>
        </w:rPr>
      </w:pPr>
      <w:r>
        <w:drawing>
          <wp:inline distT="0" distB="0" distL="0" distR="0">
            <wp:extent cx="5270500" cy="314960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315" t="16186" b="207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501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Default"/>
        <w:jc w:val="center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1#塔吊基础勘探点剖面图</w:t>
      </w:r>
    </w:p>
    <w:p>
      <w:pPr>
        <w:pStyle w:val="BodyTextIndent2"/>
        <w:ind w:firstLine="560" w:firstLineChars="200"/>
        <w:sectPr>
          <w:headerReference w:type="default" r:id="rId23"/>
          <w:footerReference w:type="default" r:id="rId24"/>
          <w:type w:val="nextPage"/>
          <w:pgSz w:w="11906" w:h="16838"/>
          <w:pgMar w:top="1440" w:right="1803" w:bottom="1418" w:left="1803" w:header="851" w:footer="992" w:gutter="0"/>
          <w:pgNumType w:fmt="numberInDash" w:start="8"/>
          <w:cols w:num="1" w:space="0"/>
          <w:titlePg w:val="0"/>
          <w:docGrid w:type="lines" w:linePitch="332" w:charSpace="0"/>
        </w:sectPr>
      </w:pPr>
      <w:r>
        <w:rPr>
          <w:rFonts w:hint="eastAsia"/>
        </w:rPr>
        <w:t>1#塔机基础因吊装高度需求，基础底未在设计持力层，距离设计持力层8</w:t>
      </w:r>
      <w:r>
        <w:t>00</w:t>
      </w:r>
      <w:r>
        <w:rPr>
          <w:rFonts w:hint="eastAsia"/>
        </w:rPr>
        <w:t>mm，为保证基础土层承载力特征值。开挖至持力层后用基础同等标号混凝土垫高至设计标高。</w:t>
      </w:r>
    </w:p>
    <w:p>
      <w:pPr>
        <w:pStyle w:val="Default"/>
      </w:pPr>
      <w:r>
        <w:drawing>
          <wp:inline distT="0" distB="0" distL="0" distR="0">
            <wp:extent cx="5270500" cy="2922270"/>
            <wp:effectExtent l="0" t="0" r="635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649" r="11841" b="1822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2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Default"/>
        <w:jc w:val="center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2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#塔吊基础勘探点剖面图</w:t>
      </w:r>
    </w:p>
    <w:p>
      <w:pPr>
        <w:pStyle w:val="Default"/>
        <w:jc w:val="center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</w:p>
    <w:p>
      <w:pPr>
        <w:pStyle w:val="Default"/>
      </w:pPr>
      <w:r>
        <w:drawing>
          <wp:inline distT="0" distB="0" distL="0" distR="0">
            <wp:extent cx="5270500" cy="1824355"/>
            <wp:effectExtent l="0" t="0" r="635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01" t="11350" r="1130" b="42168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82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Default"/>
        <w:jc w:val="center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3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#塔吊基础勘探点剖面图</w:t>
      </w:r>
    </w:p>
    <w:p>
      <w:pPr>
        <w:rPr>
          <w:sz w:val="28"/>
          <w:szCs w:val="20"/>
        </w:rPr>
        <w:sectPr>
          <w:headerReference w:type="default" r:id="rId27"/>
          <w:footerReference w:type="default" r:id="rId28"/>
          <w:type w:val="nextPage"/>
          <w:pgSz w:w="11906" w:h="16838"/>
          <w:pgMar w:top="1440" w:right="1803" w:bottom="1418" w:left="1803" w:header="851" w:footer="992" w:gutter="0"/>
          <w:pgNumType w:fmt="numberInDash" w:start="9"/>
          <w:cols w:num="1" w:space="0"/>
          <w:titlePg w:val="0"/>
          <w:docGrid w:type="lines" w:linePitch="332" w:charSpace="0"/>
        </w:sectPr>
      </w:pPr>
      <w:r>
        <w:rPr>
          <w:rFonts w:hint="eastAsia"/>
          <w:sz w:val="28"/>
          <w:szCs w:val="20"/>
        </w:rPr>
        <w:t>3.1.</w:t>
      </w:r>
      <w:r>
        <w:rPr>
          <w:sz w:val="28"/>
          <w:szCs w:val="20"/>
        </w:rPr>
        <w:t>3</w:t>
      </w:r>
      <w:r>
        <w:rPr>
          <w:rFonts w:hint="eastAsia"/>
          <w:sz w:val="28"/>
          <w:szCs w:val="20"/>
        </w:rPr>
        <w:t>地质水文情况</w:t>
      </w:r>
    </w:p>
    <w:tbl>
      <w:tblPr>
        <w:tblStyle w:val="TableNormal"/>
        <w:tblpPr w:leftFromText="180" w:rightFromText="180" w:vertAnchor="text" w:horzAnchor="margin" w:tblpXSpec="center" w:tblpY="1931"/>
        <w:tblW w:w="5553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1276"/>
        <w:gridCol w:w="1269"/>
        <w:gridCol w:w="1409"/>
        <w:gridCol w:w="1212"/>
        <w:gridCol w:w="1177"/>
        <w:gridCol w:w="1451"/>
      </w:tblGrid>
      <w:tr>
        <w:tblPrEx>
          <w:tblW w:w="5553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/>
          <w:tblHeader/>
        </w:trPr>
        <w:tc>
          <w:tcPr>
            <w:tcW w:w="76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土名及层号</w:t>
            </w:r>
          </w:p>
        </w:tc>
        <w:tc>
          <w:tcPr>
            <w:tcW w:w="693" w:type="pct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层底深度</w:t>
            </w:r>
          </w:p>
        </w:tc>
        <w:tc>
          <w:tcPr>
            <w:tcW w:w="689" w:type="pct"/>
            <w:vAlign w:val="center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 w:hint="eastAsia"/>
                <w:b/>
              </w:rPr>
              <w:t>底层标高</w:t>
            </w:r>
          </w:p>
        </w:tc>
        <w:tc>
          <w:tcPr>
            <w:tcW w:w="765" w:type="pct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锥尖阻力平均值q</w:t>
            </w:r>
            <w:r>
              <w:rPr>
                <w:rFonts w:ascii="Times New Roman" w:hAnsi="Times New Roman"/>
                <w:b/>
                <w:bCs/>
              </w:rPr>
              <w:t>c(MPa)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侧壁摩阻力平均值</w:t>
            </w:r>
          </w:p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f</w:t>
            </w:r>
            <w:r>
              <w:rPr>
                <w:rFonts w:ascii="Times New Roman" w:hAnsi="Times New Roman"/>
                <w:b/>
                <w:bCs/>
              </w:rPr>
              <w:t>s(</w:t>
            </w:r>
            <w:r>
              <w:rPr>
                <w:rFonts w:ascii="Times New Roman" w:hAnsi="Times New Roman" w:hint="eastAsia"/>
                <w:b/>
                <w:bCs/>
              </w:rPr>
              <w:t>M</w:t>
            </w:r>
            <w:r>
              <w:rPr>
                <w:rFonts w:ascii="Times New Roman" w:hAnsi="Times New Roman"/>
                <w:b/>
                <w:bCs/>
              </w:rPr>
              <w:t>Pa)</w:t>
            </w:r>
          </w:p>
        </w:tc>
        <w:tc>
          <w:tcPr>
            <w:tcW w:w="639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承载力特征值</w:t>
            </w:r>
          </w:p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Fak(kPa)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 w:hint="eastAsia"/>
                <w:b/>
                <w:bCs/>
              </w:rPr>
              <w:t>压缩</w:t>
            </w:r>
            <w:r>
              <w:rPr>
                <w:rFonts w:ascii="Times New Roman" w:hAnsi="Times New Roman"/>
                <w:b/>
                <w:bCs/>
              </w:rPr>
              <w:t>模量</w:t>
            </w:r>
          </w:p>
          <w:p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E</w:t>
            </w:r>
            <w:r>
              <w:rPr>
                <w:rFonts w:ascii="Times New Roman" w:hAnsi="Times New Roman" w:hint="eastAsia"/>
                <w:b/>
                <w:bCs/>
              </w:rPr>
              <w:t>s</w:t>
            </w:r>
            <w:r>
              <w:rPr>
                <w:rFonts w:ascii="Times New Roman" w:hAnsi="Times New Roman"/>
                <w:b/>
                <w:bCs/>
              </w:rPr>
              <w:t>（MPa）</w:t>
            </w:r>
            <w:r>
              <w:rPr>
                <w:rFonts w:ascii="Times New Roman" w:hAnsi="Times New Roman" w:hint="eastAsia"/>
                <w:b/>
                <w:bCs/>
              </w:rPr>
              <w:t>(变形模量)</w:t>
            </w:r>
          </w:p>
        </w:tc>
      </w:tr>
      <w:tr>
        <w:tblPrEx>
          <w:tblW w:w="5553" w:type="pct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/>
          <w:tblHeader/>
        </w:trPr>
        <w:tc>
          <w:tcPr>
            <w:tcW w:w="76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bookmarkStart w:id="8" w:name="_Toc52330437"/>
            <w:r>
              <w:rPr>
                <w:rFonts w:ascii="Times New Roman" w:hAnsi="Times New Roman" w:hint="eastAsia"/>
              </w:rPr>
              <w:t>②细中砂</w:t>
            </w:r>
          </w:p>
        </w:tc>
        <w:tc>
          <w:tcPr>
            <w:tcW w:w="693" w:type="pct"/>
            <w:vMerge w:val="restart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4</w:t>
            </w:r>
            <w:r>
              <w:rPr>
                <w:rFonts w:ascii="Times New Roman" w:hAnsi="Times New Roman"/>
              </w:rPr>
              <w:t>.1</w:t>
            </w:r>
            <w:r>
              <w:rPr>
                <w:rFonts w:ascii="Times New Roman" w:hAnsi="Times New Roman" w:hint="eastAsia"/>
              </w:rPr>
              <w:t>~</w:t>
            </w:r>
            <w:r>
              <w:rPr>
                <w:rFonts w:ascii="Times New Roman" w:hAnsi="Times New Roman"/>
              </w:rPr>
              <w:t>12</w:t>
            </w:r>
            <w:r>
              <w:rPr>
                <w:rFonts w:ascii="Times New Roman" w:hAnsi="Times New Roman" w:hint="eastAsia"/>
              </w:rPr>
              <w:t>m</w:t>
            </w:r>
          </w:p>
        </w:tc>
        <w:tc>
          <w:tcPr>
            <w:tcW w:w="689" w:type="pct"/>
            <w:vMerge w:val="restart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184.04～191.74m</w:t>
            </w:r>
          </w:p>
        </w:tc>
        <w:tc>
          <w:tcPr>
            <w:tcW w:w="765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11.90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0.094</w:t>
            </w:r>
          </w:p>
        </w:tc>
        <w:tc>
          <w:tcPr>
            <w:tcW w:w="639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180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15.0</w:t>
            </w:r>
          </w:p>
        </w:tc>
      </w:tr>
      <w:tr>
        <w:tblPrEx>
          <w:tblW w:w="5553" w:type="pct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/>
          <w:tblHeader/>
        </w:trPr>
        <w:tc>
          <w:tcPr>
            <w:tcW w:w="76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②</w:t>
            </w:r>
            <w:r>
              <w:rPr>
                <w:rFonts w:ascii="Times New Roman" w:hAnsi="Times New Roman" w:hint="eastAsia"/>
                <w:vertAlign w:val="subscript"/>
              </w:rPr>
              <w:t>1</w:t>
            </w:r>
            <w:r>
              <w:rPr>
                <w:rFonts w:ascii="Times New Roman" w:hAnsi="Times New Roman" w:hint="eastAsia"/>
              </w:rPr>
              <w:t>细中砂</w:t>
            </w:r>
          </w:p>
        </w:tc>
        <w:tc>
          <w:tcPr>
            <w:tcW w:w="693" w:type="pct"/>
            <w:vMerge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9" w:type="pct"/>
            <w:vMerge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4.80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0.047</w:t>
            </w:r>
          </w:p>
        </w:tc>
        <w:tc>
          <w:tcPr>
            <w:tcW w:w="639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140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10.0</w:t>
            </w:r>
          </w:p>
        </w:tc>
      </w:tr>
      <w:tr>
        <w:tblPrEx>
          <w:tblW w:w="5553" w:type="pct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/>
          <w:tblHeader/>
        </w:trPr>
        <w:tc>
          <w:tcPr>
            <w:tcW w:w="76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③中粗砂</w:t>
            </w:r>
          </w:p>
        </w:tc>
        <w:tc>
          <w:tcPr>
            <w:tcW w:w="693" w:type="pct"/>
            <w:vMerge w:val="restart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7.10～14.90m</w:t>
            </w:r>
          </w:p>
        </w:tc>
        <w:tc>
          <w:tcPr>
            <w:tcW w:w="689" w:type="pct"/>
            <w:vMerge w:val="restart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179.82～188.88m</w:t>
            </w:r>
          </w:p>
        </w:tc>
        <w:tc>
          <w:tcPr>
            <w:tcW w:w="765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21.52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0.203</w:t>
            </w:r>
          </w:p>
        </w:tc>
        <w:tc>
          <w:tcPr>
            <w:tcW w:w="639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220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20.0</w:t>
            </w:r>
          </w:p>
        </w:tc>
      </w:tr>
      <w:tr>
        <w:tblPrEx>
          <w:tblW w:w="5553" w:type="pct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/>
          <w:tblHeader/>
        </w:trPr>
        <w:tc>
          <w:tcPr>
            <w:tcW w:w="76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③</w:t>
            </w:r>
            <w:r>
              <w:rPr>
                <w:rFonts w:ascii="Times New Roman" w:hAnsi="Times New Roman" w:hint="eastAsia"/>
                <w:vertAlign w:val="subscript"/>
              </w:rPr>
              <w:t>1</w:t>
            </w:r>
            <w:r>
              <w:rPr>
                <w:rFonts w:ascii="Times New Roman" w:hAnsi="Times New Roman" w:hint="eastAsia"/>
              </w:rPr>
              <w:t>中粗砂</w:t>
            </w:r>
          </w:p>
        </w:tc>
        <w:tc>
          <w:tcPr>
            <w:tcW w:w="693" w:type="pct"/>
            <w:vMerge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689" w:type="pct"/>
            <w:vMerge/>
          </w:tcPr>
          <w:p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65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13.44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0.185</w:t>
            </w:r>
          </w:p>
        </w:tc>
        <w:tc>
          <w:tcPr>
            <w:tcW w:w="639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200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18.0</w:t>
            </w:r>
          </w:p>
        </w:tc>
      </w:tr>
      <w:tr>
        <w:tblPrEx>
          <w:tblW w:w="5553" w:type="pct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/>
          <w:tblHeader/>
        </w:trPr>
        <w:tc>
          <w:tcPr>
            <w:tcW w:w="76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④粉土</w:t>
            </w:r>
          </w:p>
        </w:tc>
        <w:tc>
          <w:tcPr>
            <w:tcW w:w="693" w:type="pct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16.50～22.30m</w:t>
            </w:r>
          </w:p>
        </w:tc>
        <w:tc>
          <w:tcPr>
            <w:tcW w:w="689" w:type="pct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172.66～177.06m</w:t>
            </w:r>
          </w:p>
        </w:tc>
        <w:tc>
          <w:tcPr>
            <w:tcW w:w="765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3.11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0.069</w:t>
            </w:r>
          </w:p>
        </w:tc>
        <w:tc>
          <w:tcPr>
            <w:tcW w:w="639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160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10.0</w:t>
            </w:r>
          </w:p>
        </w:tc>
      </w:tr>
      <w:tr>
        <w:tblPrEx>
          <w:tblW w:w="5553" w:type="pct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/>
          <w:tblHeader/>
        </w:trPr>
        <w:tc>
          <w:tcPr>
            <w:tcW w:w="76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⑤细中砂</w:t>
            </w:r>
          </w:p>
        </w:tc>
        <w:tc>
          <w:tcPr>
            <w:tcW w:w="693" w:type="pct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23.80～36.00m</w:t>
            </w:r>
          </w:p>
        </w:tc>
        <w:tc>
          <w:tcPr>
            <w:tcW w:w="689" w:type="pct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158.19～171.62m</w:t>
            </w:r>
          </w:p>
        </w:tc>
        <w:tc>
          <w:tcPr>
            <w:tcW w:w="765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26.17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0.231</w:t>
            </w:r>
          </w:p>
        </w:tc>
        <w:tc>
          <w:tcPr>
            <w:tcW w:w="639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250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25.0</w:t>
            </w:r>
          </w:p>
        </w:tc>
      </w:tr>
      <w:tr>
        <w:tblPrEx>
          <w:tblW w:w="5553" w:type="pct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/>
          <w:tblHeader/>
        </w:trPr>
        <w:tc>
          <w:tcPr>
            <w:tcW w:w="76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⑥粉细砂</w:t>
            </w:r>
          </w:p>
        </w:tc>
        <w:tc>
          <w:tcPr>
            <w:tcW w:w="693" w:type="pct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27.00～46.50m</w:t>
            </w:r>
          </w:p>
        </w:tc>
        <w:tc>
          <w:tcPr>
            <w:tcW w:w="689" w:type="pct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148.83～160.48m</w:t>
            </w:r>
          </w:p>
        </w:tc>
        <w:tc>
          <w:tcPr>
            <w:tcW w:w="765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31.83</w:t>
            </w:r>
          </w:p>
        </w:tc>
        <w:tc>
          <w:tcPr>
            <w:tcW w:w="658" w:type="pct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0.341</w:t>
            </w:r>
          </w:p>
        </w:tc>
        <w:tc>
          <w:tcPr>
            <w:tcW w:w="639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280</w:t>
            </w:r>
          </w:p>
        </w:tc>
        <w:tc>
          <w:tcPr>
            <w:tcW w:w="788" w:type="pct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 w:hint="eastAsia"/>
              </w:rPr>
              <w:t>28.0</w:t>
            </w:r>
          </w:p>
        </w:tc>
      </w:tr>
      <w:bookmarkEnd w:id="8"/>
    </w:tbl>
    <w:p>
      <w:pPr>
        <w:ind w:firstLine="560" w:firstLineChars="200"/>
        <w:rPr>
          <w:sz w:val="28"/>
          <w:szCs w:val="20"/>
        </w:rPr>
      </w:pPr>
      <w:r>
        <w:rPr>
          <w:rFonts w:hint="eastAsia"/>
          <w:sz w:val="28"/>
          <w:szCs w:val="20"/>
        </w:rPr>
        <w:t>根据机械工业勘察设计研究院提供的岩土工程勘察报告，现场土属于Ⅰ类土，1</w:t>
      </w:r>
      <w:r>
        <w:t>～</w:t>
      </w:r>
      <w:r>
        <w:rPr>
          <w:sz w:val="28"/>
          <w:szCs w:val="20"/>
        </w:rPr>
        <w:t>3</w:t>
      </w:r>
      <w:r>
        <w:rPr>
          <w:rFonts w:hint="eastAsia"/>
          <w:sz w:val="28"/>
          <w:szCs w:val="20"/>
        </w:rPr>
        <w:t>#塔机基础持力层为</w:t>
      </w:r>
      <w:r>
        <w:rPr>
          <w:rFonts w:ascii="Times New Roman" w:hAnsi="Times New Roman" w:hint="eastAsia"/>
        </w:rPr>
        <w:t>②</w:t>
      </w:r>
      <w:r>
        <w:rPr>
          <w:rFonts w:hint="eastAsia"/>
          <w:sz w:val="28"/>
          <w:szCs w:val="20"/>
        </w:rPr>
        <w:t>细中砂，承载力特征值Fak=180KPa。地质情况详见下表：</w:t>
      </w:r>
    </w:p>
    <w:p>
      <w:pPr>
        <w:pStyle w:val="BodyTextIndent2"/>
        <w:ind w:firstLine="560" w:firstLineChars="200"/>
      </w:pPr>
      <w:r>
        <w:t>勘察期间</w:t>
      </w:r>
      <w:r>
        <w:rPr>
          <w:rFonts w:hint="eastAsia"/>
        </w:rPr>
        <w:t>（2019年7月10日～8月23日）为该地区多雨季，</w:t>
      </w:r>
      <w:r>
        <w:t>实测地下水位埋深为地面下</w:t>
      </w:r>
      <w:r>
        <w:rPr>
          <w:rFonts w:hint="eastAsia"/>
        </w:rPr>
        <w:t>3.00</w:t>
      </w:r>
      <w:r>
        <w:t>～</w:t>
      </w:r>
      <w:r>
        <w:rPr>
          <w:rFonts w:hint="eastAsia"/>
        </w:rPr>
        <w:t>6.00</w:t>
      </w:r>
      <w:r>
        <w:t>m，相应标高</w:t>
      </w:r>
      <w:r>
        <w:rPr>
          <w:rFonts w:hint="eastAsia"/>
        </w:rPr>
        <w:t>190.19</w:t>
      </w:r>
      <w:r>
        <w:t>～</w:t>
      </w:r>
      <w:r>
        <w:rPr>
          <w:rFonts w:hint="eastAsia"/>
        </w:rPr>
        <w:t>192.04</w:t>
      </w:r>
      <w:r>
        <w:t>m</w:t>
      </w:r>
      <w:r>
        <w:rPr>
          <w:rFonts w:hint="eastAsia"/>
        </w:rPr>
        <w:t>。</w:t>
      </w:r>
      <w:r>
        <w:t>场地地下水</w:t>
      </w:r>
      <w:r>
        <w:rPr>
          <w:rFonts w:hint="eastAsia"/>
        </w:rPr>
        <w:t>为潜水。</w:t>
      </w:r>
      <w:r>
        <w:t>地下水主要受大气降水</w:t>
      </w:r>
      <w:r>
        <w:rPr>
          <w:rFonts w:hint="eastAsia"/>
        </w:rPr>
        <w:t>和地表积水的</w:t>
      </w:r>
      <w:r>
        <w:t>补给，向周边低洼地带</w:t>
      </w:r>
      <w:r>
        <w:rPr>
          <w:rFonts w:hint="eastAsia"/>
        </w:rPr>
        <w:t>、水渠</w:t>
      </w:r>
      <w:r>
        <w:t>排泄。</w:t>
      </w:r>
    </w:p>
    <w:p>
      <w:pPr>
        <w:ind w:firstLine="560" w:firstLineChars="200"/>
        <w:rPr>
          <w:sz w:val="28"/>
          <w:szCs w:val="20"/>
        </w:rPr>
      </w:pPr>
      <w:r>
        <w:rPr>
          <w:rFonts w:hint="eastAsia"/>
          <w:sz w:val="28"/>
          <w:szCs w:val="20"/>
        </w:rPr>
        <w:t>因勘察期间正处于当地多雨季，</w:t>
      </w:r>
      <w:r>
        <w:rPr>
          <w:sz w:val="28"/>
          <w:szCs w:val="20"/>
        </w:rPr>
        <w:t>场地水位受</w:t>
      </w:r>
      <w:r>
        <w:rPr>
          <w:rFonts w:hint="eastAsia"/>
          <w:sz w:val="28"/>
          <w:szCs w:val="20"/>
        </w:rPr>
        <w:t>降水、</w:t>
      </w:r>
      <w:r>
        <w:rPr>
          <w:sz w:val="28"/>
          <w:szCs w:val="20"/>
        </w:rPr>
        <w:t>周围环境影响，按地下水季节变化规律，地下水位动态变化幅度可按</w:t>
      </w:r>
      <w:r>
        <w:rPr>
          <w:rFonts w:hint="eastAsia"/>
          <w:sz w:val="28"/>
          <w:szCs w:val="20"/>
        </w:rPr>
        <w:t>1.0</w:t>
      </w:r>
      <w:r>
        <w:rPr>
          <w:sz w:val="28"/>
          <w:szCs w:val="20"/>
        </w:rPr>
        <w:t>m左右考虑。</w:t>
      </w:r>
      <w:r>
        <w:rPr>
          <w:rFonts w:hint="eastAsia"/>
          <w:sz w:val="28"/>
          <w:szCs w:val="20"/>
        </w:rPr>
        <w:t>拟建建（构）筑物</w:t>
      </w:r>
      <w:r>
        <w:rPr>
          <w:sz w:val="28"/>
          <w:szCs w:val="20"/>
        </w:rPr>
        <w:t>抗浮设计水位可按标高</w:t>
      </w:r>
      <w:r>
        <w:rPr>
          <w:rFonts w:hint="eastAsia"/>
          <w:sz w:val="28"/>
          <w:szCs w:val="20"/>
        </w:rPr>
        <w:t>193.00m</w:t>
      </w:r>
      <w:r>
        <w:rPr>
          <w:sz w:val="28"/>
          <w:szCs w:val="20"/>
        </w:rPr>
        <w:t>考虑</w:t>
      </w:r>
      <w:r>
        <w:rPr>
          <w:rFonts w:hint="eastAsia"/>
          <w:sz w:val="28"/>
          <w:szCs w:val="20"/>
        </w:rPr>
        <w:t>。</w:t>
      </w:r>
    </w:p>
    <w:p>
      <w:pPr>
        <w:pStyle w:val="Default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sectPr>
          <w:headerReference w:type="default" r:id="rId29"/>
          <w:footerReference w:type="default" r:id="rId30"/>
          <w:type w:val="nextPage"/>
          <w:pgSz w:w="11906" w:h="16838"/>
          <w:pgMar w:top="1440" w:right="1803" w:bottom="1418" w:left="1803" w:header="851" w:footer="992" w:gutter="0"/>
          <w:pgNumType w:fmt="numberInDash" w:start="10"/>
          <w:cols w:num="1" w:space="0"/>
          <w:titlePg w:val="0"/>
          <w:docGrid w:type="lines" w:linePitch="332" w:charSpace="0"/>
        </w:sectPr>
      </w:pP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3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.1.2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桩基承台式基础选型</w:t>
      </w:r>
    </w:p>
    <w:p>
      <w:pPr>
        <w:pStyle w:val="Default"/>
        <w:ind w:firstLine="560" w:firstLineChars="200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sectPr>
          <w:headerReference w:type="default" r:id="rId31"/>
          <w:footerReference w:type="default" r:id="rId32"/>
          <w:type w:val="nextPage"/>
          <w:pgSz w:w="11906" w:h="16838"/>
          <w:pgMar w:top="1440" w:right="1803" w:bottom="1418" w:left="1803" w:header="851" w:footer="992" w:gutter="0"/>
          <w:pgNumType w:fmt="numberInDash" w:start="11"/>
          <w:cols w:num="1" w:space="0"/>
          <w:titlePg w:val="0"/>
          <w:docGrid w:type="lines" w:linePitch="332" w:charSpace="0"/>
        </w:sectPr>
      </w:pP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4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#、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5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#、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6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#塔机基础采用桩基承台基础设计采用4根φ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600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mm灌注桩，桩中心距为4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.8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m，桩长2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m，混凝土标号≥C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30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，桩主筋8根H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RB500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直径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16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mm钢筋，桩身布置螺旋箍筋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HRB400</w:t>
      </w:r>
      <w:r>
        <w:rPr>
          <w:rFonts w:ascii="宋体" w:hAnsi="宋体" w:cs="宋体" w:hint="eastAsia"/>
          <w:color w:val="auto"/>
          <w:kern w:val="2"/>
          <w:sz w:val="28"/>
          <w:szCs w:val="20"/>
        </w:rPr>
        <w:t>直径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8mm间距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200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mm（桩顶以下3m范围内螺旋箍筋加密为H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RB400</w:t>
      </w:r>
      <w:r>
        <w:rPr>
          <w:rFonts w:ascii="宋体" w:hAnsi="宋体" w:cs="宋体" w:hint="eastAsia"/>
          <w:color w:val="auto"/>
          <w:kern w:val="2"/>
          <w:sz w:val="28"/>
          <w:szCs w:val="20"/>
        </w:rPr>
        <w:t>直径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 xml:space="preserve"> 8间距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100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mm），在桩身通长范围布置</w:t>
      </w:r>
      <w:r>
        <w:rPr>
          <w:rFonts w:ascii="Cambria" w:eastAsia="SJQY" w:hAnsi="Cambria" w:cstheme="minorBidi"/>
          <w:color w:val="auto"/>
          <w:kern w:val="2"/>
          <w:sz w:val="28"/>
          <w:szCs w:val="20"/>
        </w:rPr>
        <w:t>HRB400</w:t>
      </w:r>
      <w:r>
        <w:rPr>
          <w:rFonts w:ascii="宋体" w:hAnsi="宋体" w:cs="宋体" w:hint="eastAsia"/>
          <w:color w:val="auto"/>
          <w:kern w:val="2"/>
          <w:sz w:val="28"/>
          <w:szCs w:val="20"/>
        </w:rPr>
        <w:t>直径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14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间距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2000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mm加强箍筋，单桩设计与本工程桩设计一致；承台尺寸为6m×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6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m×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1.6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m，混凝土标号≥C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35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，承台上下层主筋纵横向均匀布置3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5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根</w:t>
      </w:r>
      <w:r>
        <w:rPr>
          <w:rFonts w:ascii="Cambria" w:eastAsia="SJQY" w:hAnsi="Cambria" w:cstheme="minorBidi"/>
          <w:color w:val="auto"/>
          <w:kern w:val="2"/>
          <w:sz w:val="28"/>
          <w:szCs w:val="20"/>
        </w:rPr>
        <w:t>HRB400</w:t>
      </w:r>
      <w:r>
        <w:rPr>
          <w:rFonts w:ascii="宋体" w:hAnsi="宋体" w:cs="宋体" w:hint="eastAsia"/>
          <w:color w:val="auto"/>
          <w:kern w:val="2"/>
          <w:sz w:val="28"/>
          <w:szCs w:val="20"/>
        </w:rPr>
        <w:t>直径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25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mm间距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170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mm，架立筋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324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根</w:t>
      </w:r>
      <w:r>
        <w:rPr>
          <w:rFonts w:ascii="Cambria" w:eastAsia="SJQY" w:hAnsi="Cambria" w:cstheme="minorBidi"/>
          <w:color w:val="auto"/>
          <w:kern w:val="2"/>
          <w:sz w:val="28"/>
          <w:szCs w:val="20"/>
        </w:rPr>
        <w:t>HPB300</w:t>
      </w:r>
      <w:r>
        <w:rPr>
          <w:rFonts w:ascii="宋体" w:hAnsi="宋体" w:cs="宋体" w:hint="eastAsia"/>
          <w:color w:val="auto"/>
          <w:kern w:val="2"/>
          <w:sz w:val="28"/>
          <w:szCs w:val="20"/>
        </w:rPr>
        <w:t>直径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12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mm间距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340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mm。桩身制作图详见附图二《桩基钢筋构造图》；承台具体尺寸图如下</w:t>
      </w:r>
    </w:p>
    <w:p>
      <w:pPr>
        <w:pStyle w:val="Default"/>
        <w:ind w:firstLine="560" w:firstLineChars="200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</w:p>
    <w:p>
      <w:pPr>
        <w:pStyle w:val="Default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rPr>
          <w:rFonts w:hint="eastAsia"/>
        </w:rPr>
        <w:drawing>
          <wp:inline distT="0" distB="0" distL="0" distR="0">
            <wp:extent cx="5909310" cy="2057400"/>
            <wp:effectExtent l="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0" t="10049" r="2528" b="7995"/>
                    <a:stretch>
                      <a:fillRect/>
                    </a:stretch>
                  </pic:blipFill>
                  <pic:spPr>
                    <a:xfrm>
                      <a:off x="0" y="0"/>
                      <a:ext cx="5954737" cy="2073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Default"/>
        <w:jc w:val="center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drawing>
          <wp:inline distT="0" distB="0" distL="0" distR="0">
            <wp:extent cx="5467350" cy="518541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61" t="21429" r="2503" b="18743"/>
                    <a:stretch>
                      <a:fillRect/>
                    </a:stretch>
                  </pic:blipFill>
                  <pic:spPr>
                    <a:xfrm>
                      <a:off x="0" y="0"/>
                      <a:ext cx="5483636" cy="520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Default"/>
        <w:jc w:val="center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桩基承台基础尺寸加工图</w:t>
      </w:r>
    </w:p>
    <w:p>
      <w:pPr>
        <w:pStyle w:val="BodyTextIndent2"/>
        <w:ind w:firstLine="0"/>
        <w:sectPr>
          <w:headerReference w:type="default" r:id="rId34"/>
          <w:footerReference w:type="default" r:id="rId35"/>
          <w:type w:val="nextPage"/>
          <w:pgSz w:w="11906" w:h="16838"/>
          <w:pgMar w:top="1440" w:right="1803" w:bottom="1418" w:left="1803" w:header="851" w:footer="992" w:gutter="0"/>
          <w:pgNumType w:fmt="numberInDash" w:start="12"/>
          <w:cols w:num="1" w:space="0"/>
          <w:titlePg w:val="0"/>
          <w:docGrid w:type="lines" w:linePitch="332" w:charSpace="0"/>
        </w:sectPr>
      </w:pPr>
      <w:r>
        <w:t xml:space="preserve"> </w:t>
      </w:r>
    </w:p>
    <w:p>
      <w:pPr>
        <w:widowControl/>
        <w:spacing w:line="240" w:lineRule="auto"/>
        <w:ind w:left="-3" w:hanging="283" w:leftChars="-119" w:hangingChars="118"/>
        <w:rPr>
          <w:sz w:val="28"/>
          <w:szCs w:val="20"/>
        </w:rPr>
      </w:pPr>
      <w:r>
        <w:drawing>
          <wp:inline distT="0" distB="0" distL="0" distR="0">
            <wp:extent cx="2896870" cy="5189855"/>
            <wp:effectExtent l="0" t="3493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60" t="3407" r="21292" b="2538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938936" cy="5265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Default"/>
        <w:jc w:val="center"/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</w:pP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4</w:t>
      </w:r>
      <w:r>
        <w:rPr>
          <w:rFonts w:asciiTheme="minorHAnsi" w:eastAsiaTheme="minorEastAsia" w:hAnsiTheme="minorHAnsi" w:cstheme="minorBidi"/>
          <w:color w:val="auto"/>
          <w:kern w:val="2"/>
          <w:sz w:val="28"/>
          <w:szCs w:val="20"/>
        </w:rPr>
        <w:t>#</w:t>
      </w:r>
      <w:r>
        <w:rPr>
          <w:rFonts w:asciiTheme="minorHAnsi" w:eastAsiaTheme="minorEastAsia" w:hAnsiTheme="minorHAnsi" w:cstheme="minorBidi" w:hint="eastAsia"/>
          <w:color w:val="auto"/>
          <w:kern w:val="2"/>
          <w:sz w:val="28"/>
          <w:szCs w:val="20"/>
        </w:rPr>
        <w:t>塔吊基础开挖图</w:t>
      </w:r>
    </w:p>
    <w:p>
      <w:pPr>
        <w:pStyle w:val="BodyTextIndent2"/>
        <w:ind w:firstLine="560" w:firstLineChars="200"/>
      </w:pPr>
      <w:r>
        <w:rPr>
          <w:rFonts w:hint="eastAsia"/>
        </w:rPr>
        <w:t>4#塔机基础现绝对标高为1</w:t>
      </w:r>
      <w:r>
        <w:t>94</w:t>
      </w:r>
      <w:r>
        <w:rPr>
          <w:rFonts w:hint="eastAsia"/>
        </w:rPr>
        <w:t>.</w:t>
      </w:r>
      <w:r>
        <w:t>000</w:t>
      </w:r>
      <w:r>
        <w:rPr>
          <w:rFonts w:hint="eastAsia"/>
        </w:rPr>
        <w:t>m，设计基础底绝对标高为1</w:t>
      </w:r>
      <w:r>
        <w:t>94.500</w:t>
      </w:r>
      <w:r>
        <w:rPr>
          <w:rFonts w:hint="eastAsia"/>
        </w:rPr>
        <w:t>m，因桩基施工要求使用天然砂砾将基础土层垫高至绝对标高1</w:t>
      </w:r>
      <w:r>
        <w:t>95.700</w:t>
      </w:r>
      <w:r>
        <w:rPr>
          <w:rFonts w:hint="eastAsia"/>
        </w:rPr>
        <w:t>m。</w:t>
      </w:r>
    </w:p>
    <w:p>
      <w:pPr>
        <w:pStyle w:val="Default"/>
      </w:pPr>
      <w:r>
        <w:drawing>
          <wp:inline distT="0" distB="0" distL="0" distR="0">
            <wp:extent cx="3623945" cy="4658995"/>
            <wp:effectExtent l="0" t="3175" r="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图片 9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3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9" t="11990" r="10918" b="1094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685478" cy="4737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BodyTextIndent2"/>
        <w:ind w:firstLine="0"/>
        <w:jc w:val="center"/>
      </w:pPr>
      <w:r>
        <w:rPr>
          <w:rFonts w:hint="eastAsia"/>
        </w:rPr>
        <w:t>5#塔吊基础开挖图</w:t>
      </w:r>
      <w:r>
        <w:br/>
      </w:r>
      <w:r>
        <w:br/>
      </w:r>
    </w:p>
    <w:p>
      <w:pPr>
        <w:widowControl/>
        <w:spacing w:line="240" w:lineRule="auto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https://d.book118.com/547012123011006031</w:t>
        </w:r>
      </w:hyperlink>
    </w:p>
    <w:p>
      <w:pPr>
        <w:pStyle w:val="BodyTextIndent2"/>
        <w:ind w:firstLine="0"/>
        <w:jc w:val="center"/>
      </w:pPr>
    </w:p>
    <w:sectPr>
      <w:headerReference w:type="default" r:id="rId39"/>
      <w:footerReference w:type="default" r:id="rId40"/>
      <w:type w:val="nextPage"/>
      <w:pgSz w:w="11906" w:h="16838"/>
      <w:pgMar w:top="1440" w:right="1803" w:bottom="1418" w:left="1803" w:header="851" w:footer="992" w:gutter="0"/>
      <w:pgNumType w:fmt="numberInDash" w:start="13"/>
      <w:cols w:num="1" w:space="0"/>
      <w:titlePg w:val="0"/>
      <w:docGrid w:type="lines" w:linePitch="33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JQY">
    <w:altName w:val="微软雅黑"/>
    <w:panose1 w:val="02010600030101010101"/>
    <w:charset w:val="86"/>
    <w:family w:val="auto"/>
    <w:pitch w:val="default"/>
    <w:sig w:usb0="00000000" w:usb1="00000000" w:usb2="00000010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1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4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5824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066363323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5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028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07032697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- 3 -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5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233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- 3 -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99528366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- 4 -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52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438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- 4 -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22413977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- 5 -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53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643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- 5 -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11095258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- 6 -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54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6848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- 6 -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00593936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- 7 -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55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052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- 7 -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96697332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- 8 -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56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257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- 8 -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0613319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- 9 -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57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4624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- 9 -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56372216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- 10 -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58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6672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- 10 -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162019448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- 11 -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59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78720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- 11 -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589688878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- 12 -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60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0768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- 12 -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mc:AlternateContent>
        <mc:Choice Requires="wps">
          <w:drawing>
            <wp:anchor distT="0" distB="0" distL="114300" distR="114300" simplePos="0" relativeHeight="2516838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74886036" name="文本框 10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- 13 -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01" o:spid="_x0000_s2061" type="#_x0000_t202" style="width:2in;height:2in;margin-top:0;margin-left:0;mso-position-horizontal:center;mso-position-horizontal-relative:margin;mso-wrap-distance-bottom:0;mso-wrap-distance-left:9pt;mso-wrap-distance-right:9pt;mso-wrap-distance-top:0;mso-wrap-style:none;position:absolute;v-text-anchor:top;z-index:251682816" filled="f" fillcolor="this" stroked="f" strokeweight="0.5pt">
              <v:textbox style="mso-fit-shape-to-text:t" inset="0,0,0,0">
                <w:txbxContent>
                  <w:p>
                    <w:pPr>
                      <w:pStyle w:val="Footer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- 13 -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single" w:sz="4" w:space="1" w:color="auto"/>
      </w:pBdr>
      <w:jc w:val="both"/>
    </w:pPr>
    <w:r>
      <w:rPr>
        <w:rFonts w:hint="eastAsia"/>
      </w:rPr>
      <w:t xml:space="preserve">          </w:t>
    </w:r>
    <w:r>
      <w:rPr>
        <w:rFonts w:hint="eastAsia"/>
        <w:b/>
        <w:bCs/>
      </w:rPr>
      <w:t xml:space="preserve"> </w:t>
    </w:r>
    <w:r>
      <w:rPr>
        <w:rFonts w:ascii="华文楷体" w:eastAsia="华文楷体" w:hAnsi="华文楷体" w:cs="华文楷体" w:hint="eastAsia"/>
        <w:b/>
        <w:bCs/>
      </w:rPr>
      <w:t xml:space="preserve">                   塔吊基础施工方案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D445C713"/>
    <w:multiLevelType w:val="singleLevel"/>
    <w:tmpl w:val="D445C713"/>
    <w:lvl w:ilvl="0">
      <w:start w:val="1"/>
      <w:numFmt w:val="decimal"/>
      <w:suff w:val="nothing"/>
      <w:lvlText w:val="（%1）"/>
      <w:lvlJc w:val="left"/>
    </w:lvl>
  </w:abstractNum>
  <w:abstractNum w:abstractNumId="1">
    <w:nsid w:val="36CC6E22"/>
    <w:multiLevelType w:val="multilevel"/>
    <w:tmpl w:val="36CC6E22"/>
    <w:lvl w:ilvl="0">
      <w:start w:val="1"/>
      <w:numFmt w:val="decimal"/>
      <w:pStyle w:val="1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0" w:firstLine="0"/>
      </w:pPr>
      <w:rPr>
        <w:rFonts w:ascii="华文宋体" w:eastAsia="华文宋体" w:hAnsiTheme="minorHAnsi" w:hint="eastAsia"/>
        <w:sz w:val="28"/>
      </w:rPr>
    </w:lvl>
    <w:lvl w:ilvl="2">
      <w:start w:val="1"/>
      <w:numFmt w:val="decimal"/>
      <w:pStyle w:val="3"/>
      <w:lvlText w:val="%1.%2.%3"/>
      <w:lvlJc w:val="left"/>
      <w:pPr>
        <w:ind w:left="113" w:hanging="113"/>
      </w:pPr>
      <w:rPr>
        <w:rFonts w:hint="eastAsia"/>
        <w:sz w:val="24"/>
        <w:szCs w:val="28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D6805FF"/>
    <w:multiLevelType w:val="multilevel"/>
    <w:tmpl w:val="3D6805FF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7053B64"/>
    <w:multiLevelType w:val="multilevel"/>
    <w:tmpl w:val="47053B64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4">
    <w:nsid w:val="671430E9"/>
    <w:multiLevelType w:val="singleLevel"/>
    <w:tmpl w:val="671430E9"/>
    <w:lvl w:ilvl="0">
      <w:start w:val="1"/>
      <w:numFmt w:val="decimal"/>
      <w:pStyle w:val="31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5">
    <w:nsid w:val="6EDF2474"/>
    <w:multiLevelType w:val="multilevel"/>
    <w:tmpl w:val="6EDF2474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34615FE"/>
    <w:multiLevelType w:val="multilevel"/>
    <w:tmpl w:val="734615FE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HorizontalSpacing w:val="120"/>
  <w:drawingGridVerticalSpacing w:val="16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54C7"/>
    <w:rsid w:val="00001644"/>
    <w:rsid w:val="0000615C"/>
    <w:rsid w:val="00006E20"/>
    <w:rsid w:val="00011864"/>
    <w:rsid w:val="0002114C"/>
    <w:rsid w:val="00023F18"/>
    <w:rsid w:val="0002469E"/>
    <w:rsid w:val="000273B1"/>
    <w:rsid w:val="000331FE"/>
    <w:rsid w:val="00033E08"/>
    <w:rsid w:val="00034E2E"/>
    <w:rsid w:val="00046A72"/>
    <w:rsid w:val="00047ED2"/>
    <w:rsid w:val="00050D6E"/>
    <w:rsid w:val="000631C6"/>
    <w:rsid w:val="00066006"/>
    <w:rsid w:val="0006675D"/>
    <w:rsid w:val="00070AAB"/>
    <w:rsid w:val="000712F7"/>
    <w:rsid w:val="00077873"/>
    <w:rsid w:val="000846F2"/>
    <w:rsid w:val="00090CD0"/>
    <w:rsid w:val="00094E5C"/>
    <w:rsid w:val="00096728"/>
    <w:rsid w:val="000A06BD"/>
    <w:rsid w:val="000A2230"/>
    <w:rsid w:val="000A4FB4"/>
    <w:rsid w:val="000B0B54"/>
    <w:rsid w:val="000B0FCA"/>
    <w:rsid w:val="000B0FEF"/>
    <w:rsid w:val="000C505A"/>
    <w:rsid w:val="000C5E53"/>
    <w:rsid w:val="000C787F"/>
    <w:rsid w:val="000D27B8"/>
    <w:rsid w:val="000D5491"/>
    <w:rsid w:val="000D5BC3"/>
    <w:rsid w:val="000D7B04"/>
    <w:rsid w:val="000E49EB"/>
    <w:rsid w:val="000F179D"/>
    <w:rsid w:val="000F2619"/>
    <w:rsid w:val="000F2DDF"/>
    <w:rsid w:val="000F3350"/>
    <w:rsid w:val="000F4531"/>
    <w:rsid w:val="000F4AA2"/>
    <w:rsid w:val="000F59B8"/>
    <w:rsid w:val="000F74ED"/>
    <w:rsid w:val="000F7CF8"/>
    <w:rsid w:val="0010094A"/>
    <w:rsid w:val="00101DDF"/>
    <w:rsid w:val="00103469"/>
    <w:rsid w:val="00106AD9"/>
    <w:rsid w:val="00111CC5"/>
    <w:rsid w:val="00112CB4"/>
    <w:rsid w:val="00116BA7"/>
    <w:rsid w:val="00127CBA"/>
    <w:rsid w:val="00130570"/>
    <w:rsid w:val="001321A0"/>
    <w:rsid w:val="00132394"/>
    <w:rsid w:val="0013267B"/>
    <w:rsid w:val="00132B3B"/>
    <w:rsid w:val="00142E79"/>
    <w:rsid w:val="001433E5"/>
    <w:rsid w:val="00154543"/>
    <w:rsid w:val="00156053"/>
    <w:rsid w:val="00156D4C"/>
    <w:rsid w:val="001601D6"/>
    <w:rsid w:val="001615D8"/>
    <w:rsid w:val="00167B59"/>
    <w:rsid w:val="00170039"/>
    <w:rsid w:val="00173114"/>
    <w:rsid w:val="001803D8"/>
    <w:rsid w:val="00183C1D"/>
    <w:rsid w:val="00186801"/>
    <w:rsid w:val="001918A6"/>
    <w:rsid w:val="00193896"/>
    <w:rsid w:val="00195434"/>
    <w:rsid w:val="00195802"/>
    <w:rsid w:val="001A22A9"/>
    <w:rsid w:val="001A37C2"/>
    <w:rsid w:val="001A7AEC"/>
    <w:rsid w:val="001B1FFF"/>
    <w:rsid w:val="001B672F"/>
    <w:rsid w:val="001C02A9"/>
    <w:rsid w:val="001C60EF"/>
    <w:rsid w:val="001C6644"/>
    <w:rsid w:val="001D009B"/>
    <w:rsid w:val="001D0D65"/>
    <w:rsid w:val="001E676C"/>
    <w:rsid w:val="001F015A"/>
    <w:rsid w:val="001F0EF4"/>
    <w:rsid w:val="001F1538"/>
    <w:rsid w:val="001F185E"/>
    <w:rsid w:val="001F6CB6"/>
    <w:rsid w:val="001F77DF"/>
    <w:rsid w:val="00202759"/>
    <w:rsid w:val="0020355E"/>
    <w:rsid w:val="002135DF"/>
    <w:rsid w:val="002162E4"/>
    <w:rsid w:val="00217F11"/>
    <w:rsid w:val="00221B2A"/>
    <w:rsid w:val="00221B9D"/>
    <w:rsid w:val="00224845"/>
    <w:rsid w:val="00225CC4"/>
    <w:rsid w:val="0022719E"/>
    <w:rsid w:val="00233BF8"/>
    <w:rsid w:val="002361E8"/>
    <w:rsid w:val="0023754E"/>
    <w:rsid w:val="00243513"/>
    <w:rsid w:val="0024414F"/>
    <w:rsid w:val="0025122E"/>
    <w:rsid w:val="00252383"/>
    <w:rsid w:val="0025481F"/>
    <w:rsid w:val="00256C68"/>
    <w:rsid w:val="0026140A"/>
    <w:rsid w:val="00263D82"/>
    <w:rsid w:val="002669F6"/>
    <w:rsid w:val="0026776E"/>
    <w:rsid w:val="002727EE"/>
    <w:rsid w:val="00276440"/>
    <w:rsid w:val="002764BF"/>
    <w:rsid w:val="002766E9"/>
    <w:rsid w:val="002766FB"/>
    <w:rsid w:val="00277ADB"/>
    <w:rsid w:val="00293AB3"/>
    <w:rsid w:val="00294643"/>
    <w:rsid w:val="0029583C"/>
    <w:rsid w:val="002A016B"/>
    <w:rsid w:val="002A060D"/>
    <w:rsid w:val="002B098D"/>
    <w:rsid w:val="002B32ED"/>
    <w:rsid w:val="002C343B"/>
    <w:rsid w:val="002C6250"/>
    <w:rsid w:val="002D0AF4"/>
    <w:rsid w:val="002D119B"/>
    <w:rsid w:val="002D11C7"/>
    <w:rsid w:val="002D1690"/>
    <w:rsid w:val="002D3614"/>
    <w:rsid w:val="002E07AE"/>
    <w:rsid w:val="002E0FEB"/>
    <w:rsid w:val="002E3399"/>
    <w:rsid w:val="002E33F1"/>
    <w:rsid w:val="002E4110"/>
    <w:rsid w:val="002E68AD"/>
    <w:rsid w:val="002E7B05"/>
    <w:rsid w:val="002F4AD2"/>
    <w:rsid w:val="002F571A"/>
    <w:rsid w:val="002F75BA"/>
    <w:rsid w:val="003022A6"/>
    <w:rsid w:val="00302467"/>
    <w:rsid w:val="00304221"/>
    <w:rsid w:val="003057D0"/>
    <w:rsid w:val="00307F86"/>
    <w:rsid w:val="0031550A"/>
    <w:rsid w:val="00316C57"/>
    <w:rsid w:val="00316F81"/>
    <w:rsid w:val="00323454"/>
    <w:rsid w:val="00327FB1"/>
    <w:rsid w:val="0033019E"/>
    <w:rsid w:val="00331CC2"/>
    <w:rsid w:val="00333684"/>
    <w:rsid w:val="003424F1"/>
    <w:rsid w:val="00343839"/>
    <w:rsid w:val="003536D3"/>
    <w:rsid w:val="0035666A"/>
    <w:rsid w:val="003600DC"/>
    <w:rsid w:val="00362E95"/>
    <w:rsid w:val="003679C7"/>
    <w:rsid w:val="00370BFD"/>
    <w:rsid w:val="00380596"/>
    <w:rsid w:val="00383D6B"/>
    <w:rsid w:val="00386DCB"/>
    <w:rsid w:val="00393606"/>
    <w:rsid w:val="003A2903"/>
    <w:rsid w:val="003A746D"/>
    <w:rsid w:val="003A7D43"/>
    <w:rsid w:val="003B0918"/>
    <w:rsid w:val="003B437C"/>
    <w:rsid w:val="003B6741"/>
    <w:rsid w:val="003C03A8"/>
    <w:rsid w:val="003C59C4"/>
    <w:rsid w:val="003C676F"/>
    <w:rsid w:val="003D01BD"/>
    <w:rsid w:val="003D3E65"/>
    <w:rsid w:val="003D69B0"/>
    <w:rsid w:val="003E0424"/>
    <w:rsid w:val="003E0449"/>
    <w:rsid w:val="003E074E"/>
    <w:rsid w:val="003E278C"/>
    <w:rsid w:val="003E5FE3"/>
    <w:rsid w:val="003F49E9"/>
    <w:rsid w:val="003F5493"/>
    <w:rsid w:val="003F587F"/>
    <w:rsid w:val="003F72D7"/>
    <w:rsid w:val="00402043"/>
    <w:rsid w:val="004023E7"/>
    <w:rsid w:val="00402D97"/>
    <w:rsid w:val="00403ECC"/>
    <w:rsid w:val="0041320C"/>
    <w:rsid w:val="00416CB2"/>
    <w:rsid w:val="00425F5D"/>
    <w:rsid w:val="00426AB8"/>
    <w:rsid w:val="00426F3A"/>
    <w:rsid w:val="00430570"/>
    <w:rsid w:val="00432CE5"/>
    <w:rsid w:val="00440A44"/>
    <w:rsid w:val="00440F81"/>
    <w:rsid w:val="00444F3C"/>
    <w:rsid w:val="00445AAB"/>
    <w:rsid w:val="00451E2C"/>
    <w:rsid w:val="00454CDE"/>
    <w:rsid w:val="0046183C"/>
    <w:rsid w:val="00465FEF"/>
    <w:rsid w:val="004663A9"/>
    <w:rsid w:val="00466513"/>
    <w:rsid w:val="0047257C"/>
    <w:rsid w:val="004760A7"/>
    <w:rsid w:val="00486CB9"/>
    <w:rsid w:val="00486CEB"/>
    <w:rsid w:val="004873D4"/>
    <w:rsid w:val="00487ED6"/>
    <w:rsid w:val="00493CF1"/>
    <w:rsid w:val="004955F4"/>
    <w:rsid w:val="004979A8"/>
    <w:rsid w:val="004A0B9F"/>
    <w:rsid w:val="004A0F63"/>
    <w:rsid w:val="004A4007"/>
    <w:rsid w:val="004A7263"/>
    <w:rsid w:val="004B0B48"/>
    <w:rsid w:val="004B0DE5"/>
    <w:rsid w:val="004B210F"/>
    <w:rsid w:val="004B28F2"/>
    <w:rsid w:val="004B56B9"/>
    <w:rsid w:val="004C2C9A"/>
    <w:rsid w:val="004C44BF"/>
    <w:rsid w:val="004C766E"/>
    <w:rsid w:val="004D28F0"/>
    <w:rsid w:val="004D34D2"/>
    <w:rsid w:val="004D43C9"/>
    <w:rsid w:val="004D6AB1"/>
    <w:rsid w:val="004D768E"/>
    <w:rsid w:val="004E4FB1"/>
    <w:rsid w:val="004E52ED"/>
    <w:rsid w:val="004E53BC"/>
    <w:rsid w:val="004F359C"/>
    <w:rsid w:val="004F6816"/>
    <w:rsid w:val="004F7DCF"/>
    <w:rsid w:val="0050373E"/>
    <w:rsid w:val="00504E55"/>
    <w:rsid w:val="00505F6B"/>
    <w:rsid w:val="00506C38"/>
    <w:rsid w:val="00506F00"/>
    <w:rsid w:val="00514ABB"/>
    <w:rsid w:val="00514C2D"/>
    <w:rsid w:val="00514F93"/>
    <w:rsid w:val="00515ABD"/>
    <w:rsid w:val="005160A2"/>
    <w:rsid w:val="005237E3"/>
    <w:rsid w:val="00525195"/>
    <w:rsid w:val="00530174"/>
    <w:rsid w:val="00533803"/>
    <w:rsid w:val="005349DD"/>
    <w:rsid w:val="005350FB"/>
    <w:rsid w:val="00535EF2"/>
    <w:rsid w:val="00536D4A"/>
    <w:rsid w:val="005378ED"/>
    <w:rsid w:val="0054658E"/>
    <w:rsid w:val="00552E7E"/>
    <w:rsid w:val="0055574D"/>
    <w:rsid w:val="00557B8B"/>
    <w:rsid w:val="005638C0"/>
    <w:rsid w:val="0056534F"/>
    <w:rsid w:val="00575F1E"/>
    <w:rsid w:val="005804CA"/>
    <w:rsid w:val="00584EA8"/>
    <w:rsid w:val="0058557C"/>
    <w:rsid w:val="00586250"/>
    <w:rsid w:val="00596C76"/>
    <w:rsid w:val="005A78BE"/>
    <w:rsid w:val="005A7BB8"/>
    <w:rsid w:val="005B1683"/>
    <w:rsid w:val="005B47F4"/>
    <w:rsid w:val="005C0202"/>
    <w:rsid w:val="005C1DF2"/>
    <w:rsid w:val="005C75BB"/>
    <w:rsid w:val="005D255A"/>
    <w:rsid w:val="005D3E78"/>
    <w:rsid w:val="005E00AB"/>
    <w:rsid w:val="005E1A73"/>
    <w:rsid w:val="005E23CE"/>
    <w:rsid w:val="005E313F"/>
    <w:rsid w:val="005E47DD"/>
    <w:rsid w:val="005E6276"/>
    <w:rsid w:val="005E770E"/>
    <w:rsid w:val="005E7948"/>
    <w:rsid w:val="005F39F7"/>
    <w:rsid w:val="005F5F3B"/>
    <w:rsid w:val="00600AA2"/>
    <w:rsid w:val="0060103F"/>
    <w:rsid w:val="00601670"/>
    <w:rsid w:val="0060172D"/>
    <w:rsid w:val="00601970"/>
    <w:rsid w:val="00603F24"/>
    <w:rsid w:val="00606039"/>
    <w:rsid w:val="0062130D"/>
    <w:rsid w:val="00631D1F"/>
    <w:rsid w:val="006354C9"/>
    <w:rsid w:val="006401DD"/>
    <w:rsid w:val="00641020"/>
    <w:rsid w:val="0064373E"/>
    <w:rsid w:val="00644CE6"/>
    <w:rsid w:val="00655402"/>
    <w:rsid w:val="006642EE"/>
    <w:rsid w:val="00677231"/>
    <w:rsid w:val="00684EC6"/>
    <w:rsid w:val="00685E73"/>
    <w:rsid w:val="00686574"/>
    <w:rsid w:val="006875D6"/>
    <w:rsid w:val="00687E56"/>
    <w:rsid w:val="0069000E"/>
    <w:rsid w:val="00691CF3"/>
    <w:rsid w:val="00694E6D"/>
    <w:rsid w:val="006976C6"/>
    <w:rsid w:val="006A131B"/>
    <w:rsid w:val="006B043B"/>
    <w:rsid w:val="006B0C04"/>
    <w:rsid w:val="006B2981"/>
    <w:rsid w:val="006B48C3"/>
    <w:rsid w:val="006B629F"/>
    <w:rsid w:val="006B7ACC"/>
    <w:rsid w:val="006C0052"/>
    <w:rsid w:val="006C461B"/>
    <w:rsid w:val="006D062D"/>
    <w:rsid w:val="006D1FCB"/>
    <w:rsid w:val="006D3F24"/>
    <w:rsid w:val="006E15B4"/>
    <w:rsid w:val="006E31C6"/>
    <w:rsid w:val="006E3247"/>
    <w:rsid w:val="006F1144"/>
    <w:rsid w:val="006F1828"/>
    <w:rsid w:val="006F1A05"/>
    <w:rsid w:val="006F5363"/>
    <w:rsid w:val="006F6726"/>
    <w:rsid w:val="006F79A3"/>
    <w:rsid w:val="007039E0"/>
    <w:rsid w:val="00703A13"/>
    <w:rsid w:val="007119E2"/>
    <w:rsid w:val="00720E8A"/>
    <w:rsid w:val="007248BF"/>
    <w:rsid w:val="00726A17"/>
    <w:rsid w:val="00726B59"/>
    <w:rsid w:val="00732690"/>
    <w:rsid w:val="00734735"/>
    <w:rsid w:val="007348C1"/>
    <w:rsid w:val="0073507F"/>
    <w:rsid w:val="007365CE"/>
    <w:rsid w:val="00736AD4"/>
    <w:rsid w:val="00740E7F"/>
    <w:rsid w:val="00755E01"/>
    <w:rsid w:val="007576A0"/>
    <w:rsid w:val="0076081F"/>
    <w:rsid w:val="00762199"/>
    <w:rsid w:val="007623EC"/>
    <w:rsid w:val="007641DA"/>
    <w:rsid w:val="00765434"/>
    <w:rsid w:val="00767564"/>
    <w:rsid w:val="0077233C"/>
    <w:rsid w:val="00773F97"/>
    <w:rsid w:val="007742DD"/>
    <w:rsid w:val="007746BC"/>
    <w:rsid w:val="0077681A"/>
    <w:rsid w:val="00777D43"/>
    <w:rsid w:val="00781D5E"/>
    <w:rsid w:val="007834FF"/>
    <w:rsid w:val="00784D76"/>
    <w:rsid w:val="007854E8"/>
    <w:rsid w:val="0079083C"/>
    <w:rsid w:val="00795E52"/>
    <w:rsid w:val="00796F49"/>
    <w:rsid w:val="007A0F06"/>
    <w:rsid w:val="007A5E6E"/>
    <w:rsid w:val="007B0F91"/>
    <w:rsid w:val="007B4934"/>
    <w:rsid w:val="007B59E8"/>
    <w:rsid w:val="007B6187"/>
    <w:rsid w:val="007C001A"/>
    <w:rsid w:val="007C0797"/>
    <w:rsid w:val="007C15DF"/>
    <w:rsid w:val="007C2B65"/>
    <w:rsid w:val="007C3B85"/>
    <w:rsid w:val="007D014B"/>
    <w:rsid w:val="007D28EB"/>
    <w:rsid w:val="007D3FC3"/>
    <w:rsid w:val="007D6E85"/>
    <w:rsid w:val="007E18D8"/>
    <w:rsid w:val="007F3314"/>
    <w:rsid w:val="007F48E6"/>
    <w:rsid w:val="00806088"/>
    <w:rsid w:val="008146EB"/>
    <w:rsid w:val="008161E1"/>
    <w:rsid w:val="00817B2F"/>
    <w:rsid w:val="00822BDE"/>
    <w:rsid w:val="008267CB"/>
    <w:rsid w:val="008304DE"/>
    <w:rsid w:val="008339DB"/>
    <w:rsid w:val="00841570"/>
    <w:rsid w:val="00843E6A"/>
    <w:rsid w:val="00844BE2"/>
    <w:rsid w:val="00845C8A"/>
    <w:rsid w:val="00846CE5"/>
    <w:rsid w:val="00856771"/>
    <w:rsid w:val="00861E37"/>
    <w:rsid w:val="00866C69"/>
    <w:rsid w:val="00872767"/>
    <w:rsid w:val="00877294"/>
    <w:rsid w:val="00891F2D"/>
    <w:rsid w:val="0089387D"/>
    <w:rsid w:val="00896DC1"/>
    <w:rsid w:val="008A15D7"/>
    <w:rsid w:val="008A2030"/>
    <w:rsid w:val="008A4DCE"/>
    <w:rsid w:val="008B3C07"/>
    <w:rsid w:val="008B6FB0"/>
    <w:rsid w:val="008B764E"/>
    <w:rsid w:val="008C5EB0"/>
    <w:rsid w:val="008D1D0E"/>
    <w:rsid w:val="008D2D4E"/>
    <w:rsid w:val="008D4718"/>
    <w:rsid w:val="008E3679"/>
    <w:rsid w:val="008E4F7D"/>
    <w:rsid w:val="008F2064"/>
    <w:rsid w:val="008F6DA5"/>
    <w:rsid w:val="0090328C"/>
    <w:rsid w:val="009059F2"/>
    <w:rsid w:val="009107FA"/>
    <w:rsid w:val="0091236B"/>
    <w:rsid w:val="00913569"/>
    <w:rsid w:val="00914A0D"/>
    <w:rsid w:val="00915074"/>
    <w:rsid w:val="00915575"/>
    <w:rsid w:val="00916956"/>
    <w:rsid w:val="00936AEE"/>
    <w:rsid w:val="00937E9E"/>
    <w:rsid w:val="0094162F"/>
    <w:rsid w:val="00941D16"/>
    <w:rsid w:val="00944038"/>
    <w:rsid w:val="0094563C"/>
    <w:rsid w:val="009457E9"/>
    <w:rsid w:val="00946BD9"/>
    <w:rsid w:val="00952028"/>
    <w:rsid w:val="00952B68"/>
    <w:rsid w:val="00956936"/>
    <w:rsid w:val="009605C5"/>
    <w:rsid w:val="009657AB"/>
    <w:rsid w:val="00965E43"/>
    <w:rsid w:val="00966302"/>
    <w:rsid w:val="0097126F"/>
    <w:rsid w:val="00973EA3"/>
    <w:rsid w:val="009758AA"/>
    <w:rsid w:val="00985A7F"/>
    <w:rsid w:val="009901ED"/>
    <w:rsid w:val="00990C23"/>
    <w:rsid w:val="009911F0"/>
    <w:rsid w:val="0099284D"/>
    <w:rsid w:val="00992EA6"/>
    <w:rsid w:val="009961BF"/>
    <w:rsid w:val="00997109"/>
    <w:rsid w:val="009973E2"/>
    <w:rsid w:val="009A1606"/>
    <w:rsid w:val="009A1AC9"/>
    <w:rsid w:val="009A495C"/>
    <w:rsid w:val="009A498B"/>
    <w:rsid w:val="009A4D04"/>
    <w:rsid w:val="009A5E45"/>
    <w:rsid w:val="009A75A3"/>
    <w:rsid w:val="009A79F1"/>
    <w:rsid w:val="009B4B13"/>
    <w:rsid w:val="009C30ED"/>
    <w:rsid w:val="009C6D1A"/>
    <w:rsid w:val="009D1981"/>
    <w:rsid w:val="009D3F46"/>
    <w:rsid w:val="009D62D1"/>
    <w:rsid w:val="009E09F3"/>
    <w:rsid w:val="009E12C4"/>
    <w:rsid w:val="009E1632"/>
    <w:rsid w:val="009E39D3"/>
    <w:rsid w:val="009E58F2"/>
    <w:rsid w:val="009E64C8"/>
    <w:rsid w:val="009F19BE"/>
    <w:rsid w:val="009F31A8"/>
    <w:rsid w:val="009F4A21"/>
    <w:rsid w:val="009F4AFE"/>
    <w:rsid w:val="00A01DF6"/>
    <w:rsid w:val="00A02962"/>
    <w:rsid w:val="00A04683"/>
    <w:rsid w:val="00A04A43"/>
    <w:rsid w:val="00A04D49"/>
    <w:rsid w:val="00A058D1"/>
    <w:rsid w:val="00A059F8"/>
    <w:rsid w:val="00A06D52"/>
    <w:rsid w:val="00A11C36"/>
    <w:rsid w:val="00A13A0E"/>
    <w:rsid w:val="00A14B86"/>
    <w:rsid w:val="00A15880"/>
    <w:rsid w:val="00A15BDD"/>
    <w:rsid w:val="00A17E19"/>
    <w:rsid w:val="00A17ED7"/>
    <w:rsid w:val="00A20539"/>
    <w:rsid w:val="00A208B7"/>
    <w:rsid w:val="00A21234"/>
    <w:rsid w:val="00A26087"/>
    <w:rsid w:val="00A30066"/>
    <w:rsid w:val="00A351C1"/>
    <w:rsid w:val="00A37A42"/>
    <w:rsid w:val="00A40BA7"/>
    <w:rsid w:val="00A41540"/>
    <w:rsid w:val="00A52E91"/>
    <w:rsid w:val="00A56E32"/>
    <w:rsid w:val="00A601E6"/>
    <w:rsid w:val="00A6564A"/>
    <w:rsid w:val="00A65942"/>
    <w:rsid w:val="00A65D7A"/>
    <w:rsid w:val="00A66538"/>
    <w:rsid w:val="00A6789E"/>
    <w:rsid w:val="00A67F1D"/>
    <w:rsid w:val="00A709FF"/>
    <w:rsid w:val="00A71D9A"/>
    <w:rsid w:val="00A7330C"/>
    <w:rsid w:val="00A73B73"/>
    <w:rsid w:val="00A77DB1"/>
    <w:rsid w:val="00A804A0"/>
    <w:rsid w:val="00A8176A"/>
    <w:rsid w:val="00A83A63"/>
    <w:rsid w:val="00A84F9A"/>
    <w:rsid w:val="00A90EE2"/>
    <w:rsid w:val="00A925A7"/>
    <w:rsid w:val="00A9293D"/>
    <w:rsid w:val="00A9394F"/>
    <w:rsid w:val="00A95300"/>
    <w:rsid w:val="00A95BA8"/>
    <w:rsid w:val="00AA788F"/>
    <w:rsid w:val="00AB0094"/>
    <w:rsid w:val="00AC0F7C"/>
    <w:rsid w:val="00AC4BD0"/>
    <w:rsid w:val="00AC5AD8"/>
    <w:rsid w:val="00AC6CD1"/>
    <w:rsid w:val="00AC7F5D"/>
    <w:rsid w:val="00AD1021"/>
    <w:rsid w:val="00AD2A2F"/>
    <w:rsid w:val="00AD4948"/>
    <w:rsid w:val="00AD74A8"/>
    <w:rsid w:val="00AE0586"/>
    <w:rsid w:val="00AE2EC1"/>
    <w:rsid w:val="00AE5FB2"/>
    <w:rsid w:val="00AF25FC"/>
    <w:rsid w:val="00AF5015"/>
    <w:rsid w:val="00B00C84"/>
    <w:rsid w:val="00B00CAC"/>
    <w:rsid w:val="00B01BA0"/>
    <w:rsid w:val="00B029F8"/>
    <w:rsid w:val="00B048CF"/>
    <w:rsid w:val="00B11F5D"/>
    <w:rsid w:val="00B12D1F"/>
    <w:rsid w:val="00B176D5"/>
    <w:rsid w:val="00B23192"/>
    <w:rsid w:val="00B2421A"/>
    <w:rsid w:val="00B24425"/>
    <w:rsid w:val="00B313E4"/>
    <w:rsid w:val="00B36406"/>
    <w:rsid w:val="00B37A1F"/>
    <w:rsid w:val="00B405D1"/>
    <w:rsid w:val="00B4149A"/>
    <w:rsid w:val="00B415B1"/>
    <w:rsid w:val="00B42E53"/>
    <w:rsid w:val="00B46AD3"/>
    <w:rsid w:val="00B4742F"/>
    <w:rsid w:val="00B51DE6"/>
    <w:rsid w:val="00B54404"/>
    <w:rsid w:val="00B6109F"/>
    <w:rsid w:val="00B63229"/>
    <w:rsid w:val="00B63E63"/>
    <w:rsid w:val="00B63EAD"/>
    <w:rsid w:val="00B703FB"/>
    <w:rsid w:val="00B83AC7"/>
    <w:rsid w:val="00B86902"/>
    <w:rsid w:val="00B91C52"/>
    <w:rsid w:val="00B94042"/>
    <w:rsid w:val="00BA0C35"/>
    <w:rsid w:val="00BA4BC5"/>
    <w:rsid w:val="00BA77D9"/>
    <w:rsid w:val="00BB2995"/>
    <w:rsid w:val="00BB7107"/>
    <w:rsid w:val="00BC1FB3"/>
    <w:rsid w:val="00BC2F54"/>
    <w:rsid w:val="00BC78DA"/>
    <w:rsid w:val="00BC79EE"/>
    <w:rsid w:val="00BD22FF"/>
    <w:rsid w:val="00BD2498"/>
    <w:rsid w:val="00BD38F1"/>
    <w:rsid w:val="00BD7572"/>
    <w:rsid w:val="00BE200E"/>
    <w:rsid w:val="00BE439F"/>
    <w:rsid w:val="00BE6F47"/>
    <w:rsid w:val="00C12C43"/>
    <w:rsid w:val="00C1394D"/>
    <w:rsid w:val="00C165B8"/>
    <w:rsid w:val="00C17AEF"/>
    <w:rsid w:val="00C2242B"/>
    <w:rsid w:val="00C26BBB"/>
    <w:rsid w:val="00C327E6"/>
    <w:rsid w:val="00C3341F"/>
    <w:rsid w:val="00C33B8E"/>
    <w:rsid w:val="00C34677"/>
    <w:rsid w:val="00C3473C"/>
    <w:rsid w:val="00C3477C"/>
    <w:rsid w:val="00C35218"/>
    <w:rsid w:val="00C35768"/>
    <w:rsid w:val="00C4170D"/>
    <w:rsid w:val="00C42449"/>
    <w:rsid w:val="00C460E4"/>
    <w:rsid w:val="00C53173"/>
    <w:rsid w:val="00C545E4"/>
    <w:rsid w:val="00C551FA"/>
    <w:rsid w:val="00C556E9"/>
    <w:rsid w:val="00C5775F"/>
    <w:rsid w:val="00C57FD4"/>
    <w:rsid w:val="00C631CE"/>
    <w:rsid w:val="00C65F64"/>
    <w:rsid w:val="00C6640D"/>
    <w:rsid w:val="00C709AC"/>
    <w:rsid w:val="00C81109"/>
    <w:rsid w:val="00C86E42"/>
    <w:rsid w:val="00C94456"/>
    <w:rsid w:val="00C94AE7"/>
    <w:rsid w:val="00CA3DB0"/>
    <w:rsid w:val="00CB557C"/>
    <w:rsid w:val="00CC34AB"/>
    <w:rsid w:val="00CC3DB1"/>
    <w:rsid w:val="00CC60B1"/>
    <w:rsid w:val="00CC61C7"/>
    <w:rsid w:val="00CC6BD8"/>
    <w:rsid w:val="00CD119C"/>
    <w:rsid w:val="00CD28B1"/>
    <w:rsid w:val="00CD61EE"/>
    <w:rsid w:val="00CD6760"/>
    <w:rsid w:val="00CF0DE6"/>
    <w:rsid w:val="00CF2E69"/>
    <w:rsid w:val="00CF48C1"/>
    <w:rsid w:val="00CF558D"/>
    <w:rsid w:val="00D049EE"/>
    <w:rsid w:val="00D0529A"/>
    <w:rsid w:val="00D05AFC"/>
    <w:rsid w:val="00D065FC"/>
    <w:rsid w:val="00D06B58"/>
    <w:rsid w:val="00D1096F"/>
    <w:rsid w:val="00D1203B"/>
    <w:rsid w:val="00D17098"/>
    <w:rsid w:val="00D17E74"/>
    <w:rsid w:val="00D21023"/>
    <w:rsid w:val="00D216F7"/>
    <w:rsid w:val="00D2759A"/>
    <w:rsid w:val="00D27ABC"/>
    <w:rsid w:val="00D34A93"/>
    <w:rsid w:val="00D37085"/>
    <w:rsid w:val="00D423FB"/>
    <w:rsid w:val="00D42D37"/>
    <w:rsid w:val="00D43385"/>
    <w:rsid w:val="00D43635"/>
    <w:rsid w:val="00D45733"/>
    <w:rsid w:val="00D45B8A"/>
    <w:rsid w:val="00D50238"/>
    <w:rsid w:val="00D51C20"/>
    <w:rsid w:val="00D53070"/>
    <w:rsid w:val="00D555A8"/>
    <w:rsid w:val="00D57C08"/>
    <w:rsid w:val="00D62C29"/>
    <w:rsid w:val="00D62D0B"/>
    <w:rsid w:val="00D6514E"/>
    <w:rsid w:val="00D657A5"/>
    <w:rsid w:val="00D66D1B"/>
    <w:rsid w:val="00D67446"/>
    <w:rsid w:val="00D7245B"/>
    <w:rsid w:val="00D75718"/>
    <w:rsid w:val="00D75725"/>
    <w:rsid w:val="00D76901"/>
    <w:rsid w:val="00D7758B"/>
    <w:rsid w:val="00D77722"/>
    <w:rsid w:val="00D81907"/>
    <w:rsid w:val="00D85BD0"/>
    <w:rsid w:val="00D8639E"/>
    <w:rsid w:val="00D93A88"/>
    <w:rsid w:val="00DA27C7"/>
    <w:rsid w:val="00DA4254"/>
    <w:rsid w:val="00DA6643"/>
    <w:rsid w:val="00DA7EBA"/>
    <w:rsid w:val="00DB2DE9"/>
    <w:rsid w:val="00DB4D95"/>
    <w:rsid w:val="00DB6EF1"/>
    <w:rsid w:val="00DC07C2"/>
    <w:rsid w:val="00DC1268"/>
    <w:rsid w:val="00DC39C7"/>
    <w:rsid w:val="00DC4950"/>
    <w:rsid w:val="00DC530D"/>
    <w:rsid w:val="00DC587C"/>
    <w:rsid w:val="00DC5927"/>
    <w:rsid w:val="00DC5B58"/>
    <w:rsid w:val="00DD1692"/>
    <w:rsid w:val="00DD358D"/>
    <w:rsid w:val="00DE05EF"/>
    <w:rsid w:val="00DE2CFB"/>
    <w:rsid w:val="00DE7564"/>
    <w:rsid w:val="00DF03BB"/>
    <w:rsid w:val="00DF1732"/>
    <w:rsid w:val="00E011FA"/>
    <w:rsid w:val="00E01D95"/>
    <w:rsid w:val="00E02C5B"/>
    <w:rsid w:val="00E0360B"/>
    <w:rsid w:val="00E06FD6"/>
    <w:rsid w:val="00E07081"/>
    <w:rsid w:val="00E119FB"/>
    <w:rsid w:val="00E12A0F"/>
    <w:rsid w:val="00E14C52"/>
    <w:rsid w:val="00E154FD"/>
    <w:rsid w:val="00E20ADE"/>
    <w:rsid w:val="00E24A4B"/>
    <w:rsid w:val="00E4259E"/>
    <w:rsid w:val="00E44F37"/>
    <w:rsid w:val="00E46E63"/>
    <w:rsid w:val="00E52F1E"/>
    <w:rsid w:val="00E55DA4"/>
    <w:rsid w:val="00E56E30"/>
    <w:rsid w:val="00E57CC5"/>
    <w:rsid w:val="00E57D45"/>
    <w:rsid w:val="00E626F0"/>
    <w:rsid w:val="00E67411"/>
    <w:rsid w:val="00E67430"/>
    <w:rsid w:val="00E7197F"/>
    <w:rsid w:val="00E7474E"/>
    <w:rsid w:val="00E74EE9"/>
    <w:rsid w:val="00E7665F"/>
    <w:rsid w:val="00E77FA0"/>
    <w:rsid w:val="00E80603"/>
    <w:rsid w:val="00E82718"/>
    <w:rsid w:val="00E82BC7"/>
    <w:rsid w:val="00E82DC8"/>
    <w:rsid w:val="00E82F15"/>
    <w:rsid w:val="00E84B4F"/>
    <w:rsid w:val="00E85294"/>
    <w:rsid w:val="00E85424"/>
    <w:rsid w:val="00E8702E"/>
    <w:rsid w:val="00E8733E"/>
    <w:rsid w:val="00E94C60"/>
    <w:rsid w:val="00E97043"/>
    <w:rsid w:val="00EA66F4"/>
    <w:rsid w:val="00EB1E73"/>
    <w:rsid w:val="00EB46B8"/>
    <w:rsid w:val="00EB55BD"/>
    <w:rsid w:val="00EB68F2"/>
    <w:rsid w:val="00EB71B8"/>
    <w:rsid w:val="00EB753A"/>
    <w:rsid w:val="00EC305C"/>
    <w:rsid w:val="00EC458D"/>
    <w:rsid w:val="00EC47B9"/>
    <w:rsid w:val="00ED16A4"/>
    <w:rsid w:val="00ED2C8C"/>
    <w:rsid w:val="00ED706F"/>
    <w:rsid w:val="00ED79FB"/>
    <w:rsid w:val="00EE02E4"/>
    <w:rsid w:val="00EE1618"/>
    <w:rsid w:val="00EE3AAB"/>
    <w:rsid w:val="00EE48C0"/>
    <w:rsid w:val="00EF0B11"/>
    <w:rsid w:val="00F0447B"/>
    <w:rsid w:val="00F05044"/>
    <w:rsid w:val="00F075E8"/>
    <w:rsid w:val="00F11046"/>
    <w:rsid w:val="00F120A4"/>
    <w:rsid w:val="00F16438"/>
    <w:rsid w:val="00F17C6D"/>
    <w:rsid w:val="00F17CC9"/>
    <w:rsid w:val="00F20835"/>
    <w:rsid w:val="00F241AF"/>
    <w:rsid w:val="00F2702C"/>
    <w:rsid w:val="00F27356"/>
    <w:rsid w:val="00F27C36"/>
    <w:rsid w:val="00F30B19"/>
    <w:rsid w:val="00F31CAE"/>
    <w:rsid w:val="00F36E56"/>
    <w:rsid w:val="00F40C27"/>
    <w:rsid w:val="00F43D53"/>
    <w:rsid w:val="00F55454"/>
    <w:rsid w:val="00F554FA"/>
    <w:rsid w:val="00F6487E"/>
    <w:rsid w:val="00F75B54"/>
    <w:rsid w:val="00F76725"/>
    <w:rsid w:val="00F76E20"/>
    <w:rsid w:val="00F8104D"/>
    <w:rsid w:val="00F810BF"/>
    <w:rsid w:val="00F818C5"/>
    <w:rsid w:val="00F854C7"/>
    <w:rsid w:val="00F85FA8"/>
    <w:rsid w:val="00F86F62"/>
    <w:rsid w:val="00F922E3"/>
    <w:rsid w:val="00F9649E"/>
    <w:rsid w:val="00FA09FA"/>
    <w:rsid w:val="00FA3E3A"/>
    <w:rsid w:val="00FB5CEA"/>
    <w:rsid w:val="00FB7AA3"/>
    <w:rsid w:val="00FD0F21"/>
    <w:rsid w:val="00FD2558"/>
    <w:rsid w:val="00FD6C2B"/>
    <w:rsid w:val="00FE053D"/>
    <w:rsid w:val="00FE417D"/>
    <w:rsid w:val="00FF415D"/>
    <w:rsid w:val="00FF5982"/>
    <w:rsid w:val="011019D7"/>
    <w:rsid w:val="01205722"/>
    <w:rsid w:val="01355751"/>
    <w:rsid w:val="013F39AF"/>
    <w:rsid w:val="015A3073"/>
    <w:rsid w:val="01647F48"/>
    <w:rsid w:val="017F262E"/>
    <w:rsid w:val="01864000"/>
    <w:rsid w:val="018A7180"/>
    <w:rsid w:val="01BB5C9B"/>
    <w:rsid w:val="01C9018F"/>
    <w:rsid w:val="01D96E43"/>
    <w:rsid w:val="01DA79FE"/>
    <w:rsid w:val="01F734A8"/>
    <w:rsid w:val="020E4A3A"/>
    <w:rsid w:val="023F04AC"/>
    <w:rsid w:val="024A075C"/>
    <w:rsid w:val="02587C26"/>
    <w:rsid w:val="025A1A41"/>
    <w:rsid w:val="02755531"/>
    <w:rsid w:val="027C58DA"/>
    <w:rsid w:val="02927491"/>
    <w:rsid w:val="02B84C9B"/>
    <w:rsid w:val="02C8024E"/>
    <w:rsid w:val="02D938E7"/>
    <w:rsid w:val="02E66183"/>
    <w:rsid w:val="02E76D7A"/>
    <w:rsid w:val="02EA55E5"/>
    <w:rsid w:val="0305795A"/>
    <w:rsid w:val="030723A1"/>
    <w:rsid w:val="031D332B"/>
    <w:rsid w:val="0321115B"/>
    <w:rsid w:val="033031CF"/>
    <w:rsid w:val="034351FC"/>
    <w:rsid w:val="03492DEC"/>
    <w:rsid w:val="035E1868"/>
    <w:rsid w:val="036802D6"/>
    <w:rsid w:val="03725163"/>
    <w:rsid w:val="037C7B5B"/>
    <w:rsid w:val="03862A0E"/>
    <w:rsid w:val="038648DF"/>
    <w:rsid w:val="038D3E63"/>
    <w:rsid w:val="0399417C"/>
    <w:rsid w:val="03B358B0"/>
    <w:rsid w:val="03B7073B"/>
    <w:rsid w:val="03D52842"/>
    <w:rsid w:val="03D564C4"/>
    <w:rsid w:val="03D95244"/>
    <w:rsid w:val="03EA4D86"/>
    <w:rsid w:val="03FB6533"/>
    <w:rsid w:val="040B46D2"/>
    <w:rsid w:val="041B66D6"/>
    <w:rsid w:val="04210E3D"/>
    <w:rsid w:val="0429042E"/>
    <w:rsid w:val="04431D55"/>
    <w:rsid w:val="045062EA"/>
    <w:rsid w:val="04567387"/>
    <w:rsid w:val="04591DD3"/>
    <w:rsid w:val="045F0E42"/>
    <w:rsid w:val="04620D1B"/>
    <w:rsid w:val="047C4273"/>
    <w:rsid w:val="04851BA5"/>
    <w:rsid w:val="04880B81"/>
    <w:rsid w:val="04A119D2"/>
    <w:rsid w:val="04B24CBD"/>
    <w:rsid w:val="04DA1597"/>
    <w:rsid w:val="04F34169"/>
    <w:rsid w:val="0511413C"/>
    <w:rsid w:val="05285B86"/>
    <w:rsid w:val="05362000"/>
    <w:rsid w:val="053C5511"/>
    <w:rsid w:val="054D08C9"/>
    <w:rsid w:val="055C73AF"/>
    <w:rsid w:val="056847ED"/>
    <w:rsid w:val="058F29A7"/>
    <w:rsid w:val="059338DB"/>
    <w:rsid w:val="05AA6943"/>
    <w:rsid w:val="05AB2118"/>
    <w:rsid w:val="05C7548F"/>
    <w:rsid w:val="05FA5A51"/>
    <w:rsid w:val="060469D2"/>
    <w:rsid w:val="062F5B63"/>
    <w:rsid w:val="06385BA6"/>
    <w:rsid w:val="063A5E43"/>
    <w:rsid w:val="069E2E8D"/>
    <w:rsid w:val="06A64684"/>
    <w:rsid w:val="06BD508B"/>
    <w:rsid w:val="06D1757F"/>
    <w:rsid w:val="06F20004"/>
    <w:rsid w:val="06F52220"/>
    <w:rsid w:val="070F2B42"/>
    <w:rsid w:val="071E21A5"/>
    <w:rsid w:val="072039CE"/>
    <w:rsid w:val="073658E6"/>
    <w:rsid w:val="07392FD3"/>
    <w:rsid w:val="074466C0"/>
    <w:rsid w:val="0752148C"/>
    <w:rsid w:val="077063AF"/>
    <w:rsid w:val="07737118"/>
    <w:rsid w:val="07955F08"/>
    <w:rsid w:val="07B516CF"/>
    <w:rsid w:val="07C005A0"/>
    <w:rsid w:val="07C25502"/>
    <w:rsid w:val="07DE3701"/>
    <w:rsid w:val="07DF6CCF"/>
    <w:rsid w:val="07E1242A"/>
    <w:rsid w:val="07E631DD"/>
    <w:rsid w:val="08002E91"/>
    <w:rsid w:val="080C51FE"/>
    <w:rsid w:val="081017BE"/>
    <w:rsid w:val="08401DDD"/>
    <w:rsid w:val="084062C0"/>
    <w:rsid w:val="0842320F"/>
    <w:rsid w:val="085E300A"/>
    <w:rsid w:val="086E7BD6"/>
    <w:rsid w:val="087F45B5"/>
    <w:rsid w:val="08A16EF4"/>
    <w:rsid w:val="08EB0936"/>
    <w:rsid w:val="09134060"/>
    <w:rsid w:val="09140E8D"/>
    <w:rsid w:val="091D0DE5"/>
    <w:rsid w:val="092813FD"/>
    <w:rsid w:val="09296654"/>
    <w:rsid w:val="093024C3"/>
    <w:rsid w:val="095C1EA2"/>
    <w:rsid w:val="097740F8"/>
    <w:rsid w:val="09774107"/>
    <w:rsid w:val="098C2612"/>
    <w:rsid w:val="098E4CF8"/>
    <w:rsid w:val="09B22A35"/>
    <w:rsid w:val="09ED3284"/>
    <w:rsid w:val="0A0B3C34"/>
    <w:rsid w:val="0A157C12"/>
    <w:rsid w:val="0A1B1A92"/>
    <w:rsid w:val="0A253AA0"/>
    <w:rsid w:val="0A321EE5"/>
    <w:rsid w:val="0A3338A0"/>
    <w:rsid w:val="0A577C6B"/>
    <w:rsid w:val="0A5C4797"/>
    <w:rsid w:val="0A607949"/>
    <w:rsid w:val="0A626249"/>
    <w:rsid w:val="0A6418DD"/>
    <w:rsid w:val="0A685665"/>
    <w:rsid w:val="0A8402D2"/>
    <w:rsid w:val="0A89529D"/>
    <w:rsid w:val="0A8C02E2"/>
    <w:rsid w:val="0A8D0D7F"/>
    <w:rsid w:val="0A8E7464"/>
    <w:rsid w:val="0A901491"/>
    <w:rsid w:val="0A915E63"/>
    <w:rsid w:val="0A950CA0"/>
    <w:rsid w:val="0A9B28E7"/>
    <w:rsid w:val="0AA86A06"/>
    <w:rsid w:val="0ACC0BAB"/>
    <w:rsid w:val="0AD22D26"/>
    <w:rsid w:val="0AD90BA5"/>
    <w:rsid w:val="0AEC18B7"/>
    <w:rsid w:val="0AF27FE0"/>
    <w:rsid w:val="0AFD38BF"/>
    <w:rsid w:val="0B035567"/>
    <w:rsid w:val="0B0D35BA"/>
    <w:rsid w:val="0B271DDE"/>
    <w:rsid w:val="0B307114"/>
    <w:rsid w:val="0B3B03E0"/>
    <w:rsid w:val="0B46420C"/>
    <w:rsid w:val="0B50105F"/>
    <w:rsid w:val="0B556F0F"/>
    <w:rsid w:val="0B7323B0"/>
    <w:rsid w:val="0B742EDB"/>
    <w:rsid w:val="0B9E6ECA"/>
    <w:rsid w:val="0BBD43C1"/>
    <w:rsid w:val="0C0B0F92"/>
    <w:rsid w:val="0C0D6D09"/>
    <w:rsid w:val="0C13488A"/>
    <w:rsid w:val="0C1B2E13"/>
    <w:rsid w:val="0C211279"/>
    <w:rsid w:val="0C2C29BA"/>
    <w:rsid w:val="0C456FEF"/>
    <w:rsid w:val="0C513AE4"/>
    <w:rsid w:val="0C526074"/>
    <w:rsid w:val="0C6315C0"/>
    <w:rsid w:val="0C801A5F"/>
    <w:rsid w:val="0C842929"/>
    <w:rsid w:val="0C8B1887"/>
    <w:rsid w:val="0C975498"/>
    <w:rsid w:val="0CB36A7F"/>
    <w:rsid w:val="0CBD3CA5"/>
    <w:rsid w:val="0CC817A4"/>
    <w:rsid w:val="0CCA3502"/>
    <w:rsid w:val="0CD83BCE"/>
    <w:rsid w:val="0CE442DC"/>
    <w:rsid w:val="0CF31697"/>
    <w:rsid w:val="0D150E23"/>
    <w:rsid w:val="0D400BE8"/>
    <w:rsid w:val="0D41747D"/>
    <w:rsid w:val="0D44776A"/>
    <w:rsid w:val="0D4D20A6"/>
    <w:rsid w:val="0D6F06D0"/>
    <w:rsid w:val="0D7952A2"/>
    <w:rsid w:val="0D8A1448"/>
    <w:rsid w:val="0D8D25D6"/>
    <w:rsid w:val="0DA83AD0"/>
    <w:rsid w:val="0DAF4E63"/>
    <w:rsid w:val="0DC032EF"/>
    <w:rsid w:val="0DD365FD"/>
    <w:rsid w:val="0DD55D39"/>
    <w:rsid w:val="0DF71DFF"/>
    <w:rsid w:val="0DF9369E"/>
    <w:rsid w:val="0E06098A"/>
    <w:rsid w:val="0E0829E9"/>
    <w:rsid w:val="0E106E03"/>
    <w:rsid w:val="0E285D2A"/>
    <w:rsid w:val="0E4304CA"/>
    <w:rsid w:val="0E446B3F"/>
    <w:rsid w:val="0E4B7FAC"/>
    <w:rsid w:val="0E7162BC"/>
    <w:rsid w:val="0E770602"/>
    <w:rsid w:val="0E7D3F45"/>
    <w:rsid w:val="0E820310"/>
    <w:rsid w:val="0EA44A14"/>
    <w:rsid w:val="0EB67D37"/>
    <w:rsid w:val="0EBD35B6"/>
    <w:rsid w:val="0EC40DF4"/>
    <w:rsid w:val="0EC73D9D"/>
    <w:rsid w:val="0EE24D8F"/>
    <w:rsid w:val="0EE44BEA"/>
    <w:rsid w:val="0EEA689F"/>
    <w:rsid w:val="0EEF0384"/>
    <w:rsid w:val="0EFB1725"/>
    <w:rsid w:val="0F075B54"/>
    <w:rsid w:val="0F2360AD"/>
    <w:rsid w:val="0F27799C"/>
    <w:rsid w:val="0F395D79"/>
    <w:rsid w:val="0F3D115B"/>
    <w:rsid w:val="0F5E5635"/>
    <w:rsid w:val="0F7B1DF0"/>
    <w:rsid w:val="0F801013"/>
    <w:rsid w:val="0F8504EF"/>
    <w:rsid w:val="0F964B07"/>
    <w:rsid w:val="0F9C60D9"/>
    <w:rsid w:val="0FA05680"/>
    <w:rsid w:val="0FB81177"/>
    <w:rsid w:val="0FC77D57"/>
    <w:rsid w:val="0FCD77B5"/>
    <w:rsid w:val="0FCE3FB4"/>
    <w:rsid w:val="0FCE44B4"/>
    <w:rsid w:val="1012463D"/>
    <w:rsid w:val="102669B7"/>
    <w:rsid w:val="10301884"/>
    <w:rsid w:val="10321FBD"/>
    <w:rsid w:val="104844FA"/>
    <w:rsid w:val="109357ED"/>
    <w:rsid w:val="10B450F3"/>
    <w:rsid w:val="10B731CB"/>
    <w:rsid w:val="10DC17D4"/>
    <w:rsid w:val="10DC6943"/>
    <w:rsid w:val="10E50C88"/>
    <w:rsid w:val="10E75373"/>
    <w:rsid w:val="10E77361"/>
    <w:rsid w:val="110C2BD4"/>
    <w:rsid w:val="11151093"/>
    <w:rsid w:val="111A49DB"/>
    <w:rsid w:val="113163D9"/>
    <w:rsid w:val="114D54E2"/>
    <w:rsid w:val="11507E20"/>
    <w:rsid w:val="115212DB"/>
    <w:rsid w:val="115B78E1"/>
    <w:rsid w:val="118D2F14"/>
    <w:rsid w:val="11AC1FA0"/>
    <w:rsid w:val="11AC3975"/>
    <w:rsid w:val="11AC4F64"/>
    <w:rsid w:val="11AE703B"/>
    <w:rsid w:val="11B56D39"/>
    <w:rsid w:val="11C204A5"/>
    <w:rsid w:val="11C63F9D"/>
    <w:rsid w:val="11C8134D"/>
    <w:rsid w:val="11D46B4E"/>
    <w:rsid w:val="11F924BA"/>
    <w:rsid w:val="11FC240A"/>
    <w:rsid w:val="120C1BA3"/>
    <w:rsid w:val="12203B1D"/>
    <w:rsid w:val="122252B1"/>
    <w:rsid w:val="12266C74"/>
    <w:rsid w:val="1241404E"/>
    <w:rsid w:val="124201F6"/>
    <w:rsid w:val="124B71B2"/>
    <w:rsid w:val="125368A9"/>
    <w:rsid w:val="12637606"/>
    <w:rsid w:val="1265655F"/>
    <w:rsid w:val="127453B6"/>
    <w:rsid w:val="12780E2E"/>
    <w:rsid w:val="12890B9F"/>
    <w:rsid w:val="128A3339"/>
    <w:rsid w:val="12A13A55"/>
    <w:rsid w:val="12A13C69"/>
    <w:rsid w:val="12AA1E47"/>
    <w:rsid w:val="12B4304D"/>
    <w:rsid w:val="12CF1697"/>
    <w:rsid w:val="12D84A2F"/>
    <w:rsid w:val="12D8500B"/>
    <w:rsid w:val="12D85B28"/>
    <w:rsid w:val="12E10451"/>
    <w:rsid w:val="12FA5BB7"/>
    <w:rsid w:val="130B5D9C"/>
    <w:rsid w:val="13143A9A"/>
    <w:rsid w:val="13375970"/>
    <w:rsid w:val="13383C9F"/>
    <w:rsid w:val="13442FBA"/>
    <w:rsid w:val="13571CF9"/>
    <w:rsid w:val="13571D44"/>
    <w:rsid w:val="136541BC"/>
    <w:rsid w:val="137F0182"/>
    <w:rsid w:val="138628D4"/>
    <w:rsid w:val="139719B4"/>
    <w:rsid w:val="139C5CB2"/>
    <w:rsid w:val="13A20E87"/>
    <w:rsid w:val="13CD0F6D"/>
    <w:rsid w:val="13CF0620"/>
    <w:rsid w:val="13EB182B"/>
    <w:rsid w:val="13F9564E"/>
    <w:rsid w:val="14053549"/>
    <w:rsid w:val="1455090E"/>
    <w:rsid w:val="14561294"/>
    <w:rsid w:val="145A4A29"/>
    <w:rsid w:val="146372C9"/>
    <w:rsid w:val="14722564"/>
    <w:rsid w:val="147566E3"/>
    <w:rsid w:val="148A3D6E"/>
    <w:rsid w:val="148B1C7F"/>
    <w:rsid w:val="14911405"/>
    <w:rsid w:val="149146F2"/>
    <w:rsid w:val="149240BB"/>
    <w:rsid w:val="14C15173"/>
    <w:rsid w:val="14F61BD4"/>
    <w:rsid w:val="150562C0"/>
    <w:rsid w:val="15106484"/>
    <w:rsid w:val="15140A10"/>
    <w:rsid w:val="15252E27"/>
    <w:rsid w:val="1542617E"/>
    <w:rsid w:val="154E7EA3"/>
    <w:rsid w:val="155F58E1"/>
    <w:rsid w:val="156204E3"/>
    <w:rsid w:val="15657E9B"/>
    <w:rsid w:val="156616D4"/>
    <w:rsid w:val="156B51D4"/>
    <w:rsid w:val="159031E2"/>
    <w:rsid w:val="159E0098"/>
    <w:rsid w:val="15AF3297"/>
    <w:rsid w:val="15B57D7D"/>
    <w:rsid w:val="15C56CDB"/>
    <w:rsid w:val="15DC168F"/>
    <w:rsid w:val="15DE1620"/>
    <w:rsid w:val="15F90716"/>
    <w:rsid w:val="16037517"/>
    <w:rsid w:val="16112CFC"/>
    <w:rsid w:val="16286145"/>
    <w:rsid w:val="164033F6"/>
    <w:rsid w:val="165F0F43"/>
    <w:rsid w:val="16867C8F"/>
    <w:rsid w:val="168B1773"/>
    <w:rsid w:val="16957E96"/>
    <w:rsid w:val="16B45261"/>
    <w:rsid w:val="16C57316"/>
    <w:rsid w:val="16CC1307"/>
    <w:rsid w:val="16D411F0"/>
    <w:rsid w:val="16E7438E"/>
    <w:rsid w:val="16E9595A"/>
    <w:rsid w:val="16F07BA1"/>
    <w:rsid w:val="16FA0B19"/>
    <w:rsid w:val="16FC3CC5"/>
    <w:rsid w:val="16FD7978"/>
    <w:rsid w:val="17214754"/>
    <w:rsid w:val="17425CB5"/>
    <w:rsid w:val="174564F7"/>
    <w:rsid w:val="175A49E1"/>
    <w:rsid w:val="17707908"/>
    <w:rsid w:val="17770C33"/>
    <w:rsid w:val="177D56D3"/>
    <w:rsid w:val="178513A7"/>
    <w:rsid w:val="17880545"/>
    <w:rsid w:val="17923DF7"/>
    <w:rsid w:val="17951A05"/>
    <w:rsid w:val="17977CDE"/>
    <w:rsid w:val="17A44EE9"/>
    <w:rsid w:val="17AE3E66"/>
    <w:rsid w:val="17AF2906"/>
    <w:rsid w:val="17C3461F"/>
    <w:rsid w:val="17D77134"/>
    <w:rsid w:val="17DD6ABF"/>
    <w:rsid w:val="17DE2D14"/>
    <w:rsid w:val="17E12624"/>
    <w:rsid w:val="17E24F0A"/>
    <w:rsid w:val="17E31589"/>
    <w:rsid w:val="17E43896"/>
    <w:rsid w:val="1809073F"/>
    <w:rsid w:val="18156BFF"/>
    <w:rsid w:val="183D35ED"/>
    <w:rsid w:val="18465067"/>
    <w:rsid w:val="184C3BF3"/>
    <w:rsid w:val="185C0DAF"/>
    <w:rsid w:val="186F5C1A"/>
    <w:rsid w:val="187E000F"/>
    <w:rsid w:val="188F451A"/>
    <w:rsid w:val="18A451A5"/>
    <w:rsid w:val="18A85B00"/>
    <w:rsid w:val="18C32562"/>
    <w:rsid w:val="18C370DE"/>
    <w:rsid w:val="18D10468"/>
    <w:rsid w:val="18DD0972"/>
    <w:rsid w:val="1933072F"/>
    <w:rsid w:val="1935759F"/>
    <w:rsid w:val="19375FB3"/>
    <w:rsid w:val="194762D7"/>
    <w:rsid w:val="194F79C3"/>
    <w:rsid w:val="196507DD"/>
    <w:rsid w:val="19665616"/>
    <w:rsid w:val="19684E50"/>
    <w:rsid w:val="19693717"/>
    <w:rsid w:val="19697ED6"/>
    <w:rsid w:val="196A0CC1"/>
    <w:rsid w:val="196F53D8"/>
    <w:rsid w:val="19767009"/>
    <w:rsid w:val="1986342D"/>
    <w:rsid w:val="198F67D6"/>
    <w:rsid w:val="19AE6A3E"/>
    <w:rsid w:val="19B66AFF"/>
    <w:rsid w:val="19BF3BCF"/>
    <w:rsid w:val="19C64D74"/>
    <w:rsid w:val="19D20B2B"/>
    <w:rsid w:val="1A0304AB"/>
    <w:rsid w:val="1A037DC4"/>
    <w:rsid w:val="1A100C2C"/>
    <w:rsid w:val="1A377A1C"/>
    <w:rsid w:val="1A54071C"/>
    <w:rsid w:val="1A5B406E"/>
    <w:rsid w:val="1A6528A1"/>
    <w:rsid w:val="1AA62441"/>
    <w:rsid w:val="1AF2618A"/>
    <w:rsid w:val="1B060105"/>
    <w:rsid w:val="1B137204"/>
    <w:rsid w:val="1B346891"/>
    <w:rsid w:val="1B3C120D"/>
    <w:rsid w:val="1B5B4CC4"/>
    <w:rsid w:val="1B5D4843"/>
    <w:rsid w:val="1B653ACA"/>
    <w:rsid w:val="1B676110"/>
    <w:rsid w:val="1B737B11"/>
    <w:rsid w:val="1B76682E"/>
    <w:rsid w:val="1B9C69E4"/>
    <w:rsid w:val="1BA31081"/>
    <w:rsid w:val="1BC24C31"/>
    <w:rsid w:val="1BE11077"/>
    <w:rsid w:val="1BE17CB0"/>
    <w:rsid w:val="1BE205BD"/>
    <w:rsid w:val="1BEF7912"/>
    <w:rsid w:val="1BFA4D7C"/>
    <w:rsid w:val="1BFC0B1D"/>
    <w:rsid w:val="1C002585"/>
    <w:rsid w:val="1C013E8D"/>
    <w:rsid w:val="1C1A383E"/>
    <w:rsid w:val="1C4038E2"/>
    <w:rsid w:val="1C4B6948"/>
    <w:rsid w:val="1C4F2EAE"/>
    <w:rsid w:val="1C626FE1"/>
    <w:rsid w:val="1C6D5B56"/>
    <w:rsid w:val="1C892E40"/>
    <w:rsid w:val="1CA02747"/>
    <w:rsid w:val="1CA93C11"/>
    <w:rsid w:val="1CC34B87"/>
    <w:rsid w:val="1CD43F85"/>
    <w:rsid w:val="1CEF65EE"/>
    <w:rsid w:val="1D03498D"/>
    <w:rsid w:val="1D05038E"/>
    <w:rsid w:val="1D187892"/>
    <w:rsid w:val="1D1A47EC"/>
    <w:rsid w:val="1D1B5751"/>
    <w:rsid w:val="1D3507DE"/>
    <w:rsid w:val="1D35281F"/>
    <w:rsid w:val="1D3F0C04"/>
    <w:rsid w:val="1D427C85"/>
    <w:rsid w:val="1D7015F7"/>
    <w:rsid w:val="1D7A6088"/>
    <w:rsid w:val="1D8F3601"/>
    <w:rsid w:val="1D940BD2"/>
    <w:rsid w:val="1DB13F45"/>
    <w:rsid w:val="1DB542AF"/>
    <w:rsid w:val="1DE970CC"/>
    <w:rsid w:val="1DF42C5F"/>
    <w:rsid w:val="1E0265C9"/>
    <w:rsid w:val="1E105F3D"/>
    <w:rsid w:val="1E1E03EB"/>
    <w:rsid w:val="1E327C33"/>
    <w:rsid w:val="1E4446D7"/>
    <w:rsid w:val="1E4B283A"/>
    <w:rsid w:val="1E4D7A46"/>
    <w:rsid w:val="1E5C6A88"/>
    <w:rsid w:val="1E6270A9"/>
    <w:rsid w:val="1E821DCA"/>
    <w:rsid w:val="1E944199"/>
    <w:rsid w:val="1E9D24EC"/>
    <w:rsid w:val="1EA009F9"/>
    <w:rsid w:val="1EA02407"/>
    <w:rsid w:val="1EAD339B"/>
    <w:rsid w:val="1EC92F6C"/>
    <w:rsid w:val="1ECA27DC"/>
    <w:rsid w:val="1ECD38F0"/>
    <w:rsid w:val="1EF349F7"/>
    <w:rsid w:val="1EFE6F5F"/>
    <w:rsid w:val="1F047AD6"/>
    <w:rsid w:val="1F0D377B"/>
    <w:rsid w:val="1F271738"/>
    <w:rsid w:val="1F2A55BE"/>
    <w:rsid w:val="1F3259F7"/>
    <w:rsid w:val="1F337BBE"/>
    <w:rsid w:val="1F4F3465"/>
    <w:rsid w:val="1F592AAE"/>
    <w:rsid w:val="1F705FE2"/>
    <w:rsid w:val="1F7C6EC7"/>
    <w:rsid w:val="1F8A2531"/>
    <w:rsid w:val="1F8A4C17"/>
    <w:rsid w:val="1F8A64E5"/>
    <w:rsid w:val="1F8C2D61"/>
    <w:rsid w:val="1F8C3049"/>
    <w:rsid w:val="1F8E1F2C"/>
    <w:rsid w:val="1F9A0514"/>
    <w:rsid w:val="1F9F7B23"/>
    <w:rsid w:val="1FB2572C"/>
    <w:rsid w:val="1FC0112A"/>
    <w:rsid w:val="1FC83267"/>
    <w:rsid w:val="1FC95705"/>
    <w:rsid w:val="1FCD3053"/>
    <w:rsid w:val="1FD06C40"/>
    <w:rsid w:val="1FF75287"/>
    <w:rsid w:val="1FF8420E"/>
    <w:rsid w:val="20010AC4"/>
    <w:rsid w:val="204D1BA0"/>
    <w:rsid w:val="207521E2"/>
    <w:rsid w:val="20CD31D3"/>
    <w:rsid w:val="20D075AF"/>
    <w:rsid w:val="20E829E9"/>
    <w:rsid w:val="21414664"/>
    <w:rsid w:val="216719CF"/>
    <w:rsid w:val="21691182"/>
    <w:rsid w:val="21776FEA"/>
    <w:rsid w:val="219B46C0"/>
    <w:rsid w:val="21DC7458"/>
    <w:rsid w:val="21EB6773"/>
    <w:rsid w:val="21FA5F77"/>
    <w:rsid w:val="22100368"/>
    <w:rsid w:val="22231096"/>
    <w:rsid w:val="222C770C"/>
    <w:rsid w:val="22357554"/>
    <w:rsid w:val="22404410"/>
    <w:rsid w:val="22472028"/>
    <w:rsid w:val="22627DAF"/>
    <w:rsid w:val="228220EF"/>
    <w:rsid w:val="2291544A"/>
    <w:rsid w:val="229A1A27"/>
    <w:rsid w:val="229E3E63"/>
    <w:rsid w:val="22A422E7"/>
    <w:rsid w:val="22BF384A"/>
    <w:rsid w:val="23082F18"/>
    <w:rsid w:val="230B4296"/>
    <w:rsid w:val="232121CB"/>
    <w:rsid w:val="23251EBF"/>
    <w:rsid w:val="23611AA8"/>
    <w:rsid w:val="23730FB4"/>
    <w:rsid w:val="237A7940"/>
    <w:rsid w:val="237C64DD"/>
    <w:rsid w:val="23894547"/>
    <w:rsid w:val="239F1154"/>
    <w:rsid w:val="23A963D3"/>
    <w:rsid w:val="23B45DDB"/>
    <w:rsid w:val="23BA2DB9"/>
    <w:rsid w:val="23D330FD"/>
    <w:rsid w:val="23D573B7"/>
    <w:rsid w:val="23D93314"/>
    <w:rsid w:val="24035914"/>
    <w:rsid w:val="240C5602"/>
    <w:rsid w:val="240C7501"/>
    <w:rsid w:val="244D1E72"/>
    <w:rsid w:val="244E14D1"/>
    <w:rsid w:val="24515E36"/>
    <w:rsid w:val="247A4C46"/>
    <w:rsid w:val="24CB61E3"/>
    <w:rsid w:val="24D3557D"/>
    <w:rsid w:val="24D53654"/>
    <w:rsid w:val="24D94D45"/>
    <w:rsid w:val="24F51C7B"/>
    <w:rsid w:val="24F67D0A"/>
    <w:rsid w:val="24FE43C1"/>
    <w:rsid w:val="251844C0"/>
    <w:rsid w:val="256C3F6A"/>
    <w:rsid w:val="25745656"/>
    <w:rsid w:val="25751D82"/>
    <w:rsid w:val="257D5E3E"/>
    <w:rsid w:val="2589565F"/>
    <w:rsid w:val="25B37788"/>
    <w:rsid w:val="25B80625"/>
    <w:rsid w:val="25CA67A4"/>
    <w:rsid w:val="25CF0B3D"/>
    <w:rsid w:val="25DC69EB"/>
    <w:rsid w:val="25FE02AD"/>
    <w:rsid w:val="26046863"/>
    <w:rsid w:val="261D3957"/>
    <w:rsid w:val="263F2D61"/>
    <w:rsid w:val="26410598"/>
    <w:rsid w:val="264371B1"/>
    <w:rsid w:val="264B15AB"/>
    <w:rsid w:val="265D1F60"/>
    <w:rsid w:val="26666407"/>
    <w:rsid w:val="267423BD"/>
    <w:rsid w:val="26AC7A5D"/>
    <w:rsid w:val="26AE56C6"/>
    <w:rsid w:val="26B72E35"/>
    <w:rsid w:val="271A639C"/>
    <w:rsid w:val="27456700"/>
    <w:rsid w:val="2748147D"/>
    <w:rsid w:val="274C1661"/>
    <w:rsid w:val="275E773E"/>
    <w:rsid w:val="27624B71"/>
    <w:rsid w:val="27705DC5"/>
    <w:rsid w:val="278F7178"/>
    <w:rsid w:val="2797766B"/>
    <w:rsid w:val="279C34E0"/>
    <w:rsid w:val="27D12FB3"/>
    <w:rsid w:val="27EE15CC"/>
    <w:rsid w:val="27FE3FF6"/>
    <w:rsid w:val="280038A4"/>
    <w:rsid w:val="28127096"/>
    <w:rsid w:val="281B41E6"/>
    <w:rsid w:val="2838232C"/>
    <w:rsid w:val="285A7886"/>
    <w:rsid w:val="285C2D80"/>
    <w:rsid w:val="28695D07"/>
    <w:rsid w:val="28794180"/>
    <w:rsid w:val="2879569B"/>
    <w:rsid w:val="2880325F"/>
    <w:rsid w:val="28811B5D"/>
    <w:rsid w:val="28997D6B"/>
    <w:rsid w:val="289E7507"/>
    <w:rsid w:val="28B03EDC"/>
    <w:rsid w:val="28C35701"/>
    <w:rsid w:val="28D04295"/>
    <w:rsid w:val="28DD4D28"/>
    <w:rsid w:val="28E9401B"/>
    <w:rsid w:val="28F27ACD"/>
    <w:rsid w:val="295922C9"/>
    <w:rsid w:val="296678DE"/>
    <w:rsid w:val="29771FC0"/>
    <w:rsid w:val="298525A4"/>
    <w:rsid w:val="29952BB0"/>
    <w:rsid w:val="29BE533C"/>
    <w:rsid w:val="29CA4186"/>
    <w:rsid w:val="29CD0E8E"/>
    <w:rsid w:val="29DF71F1"/>
    <w:rsid w:val="29EF3CAC"/>
    <w:rsid w:val="2A0B1891"/>
    <w:rsid w:val="2A137D93"/>
    <w:rsid w:val="2A1E1807"/>
    <w:rsid w:val="2A367599"/>
    <w:rsid w:val="2A3D146F"/>
    <w:rsid w:val="2A43406C"/>
    <w:rsid w:val="2A511729"/>
    <w:rsid w:val="2A560CE2"/>
    <w:rsid w:val="2A576701"/>
    <w:rsid w:val="2A5E4D49"/>
    <w:rsid w:val="2A64717E"/>
    <w:rsid w:val="2A952CE0"/>
    <w:rsid w:val="2AA264BE"/>
    <w:rsid w:val="2AAB0A07"/>
    <w:rsid w:val="2AC10178"/>
    <w:rsid w:val="2AC46ED9"/>
    <w:rsid w:val="2AD00A89"/>
    <w:rsid w:val="2AD24BE4"/>
    <w:rsid w:val="2B011A38"/>
    <w:rsid w:val="2B047301"/>
    <w:rsid w:val="2B110CA4"/>
    <w:rsid w:val="2B5959F2"/>
    <w:rsid w:val="2BC2724C"/>
    <w:rsid w:val="2BCB424D"/>
    <w:rsid w:val="2BCC22B5"/>
    <w:rsid w:val="2BD069FA"/>
    <w:rsid w:val="2BE52D47"/>
    <w:rsid w:val="2BE80807"/>
    <w:rsid w:val="2C141E15"/>
    <w:rsid w:val="2C211DD4"/>
    <w:rsid w:val="2C2629B3"/>
    <w:rsid w:val="2C28117F"/>
    <w:rsid w:val="2C2B1655"/>
    <w:rsid w:val="2C2E232C"/>
    <w:rsid w:val="2C356436"/>
    <w:rsid w:val="2C540489"/>
    <w:rsid w:val="2C590749"/>
    <w:rsid w:val="2C6447D4"/>
    <w:rsid w:val="2C6C24EF"/>
    <w:rsid w:val="2C7A1DDD"/>
    <w:rsid w:val="2C977A39"/>
    <w:rsid w:val="2C982C03"/>
    <w:rsid w:val="2CAC37B6"/>
    <w:rsid w:val="2CAF5F72"/>
    <w:rsid w:val="2CB0631D"/>
    <w:rsid w:val="2CC25976"/>
    <w:rsid w:val="2CCF5AF8"/>
    <w:rsid w:val="2CD640B7"/>
    <w:rsid w:val="2CE73404"/>
    <w:rsid w:val="2CFA6991"/>
    <w:rsid w:val="2D302FA6"/>
    <w:rsid w:val="2D430EE6"/>
    <w:rsid w:val="2D51623A"/>
    <w:rsid w:val="2D5B7B62"/>
    <w:rsid w:val="2D5D1D2E"/>
    <w:rsid w:val="2D6C6665"/>
    <w:rsid w:val="2D766B29"/>
    <w:rsid w:val="2D7A420A"/>
    <w:rsid w:val="2D937B7C"/>
    <w:rsid w:val="2D97311C"/>
    <w:rsid w:val="2DAA0EC3"/>
    <w:rsid w:val="2DD01D12"/>
    <w:rsid w:val="2DD36896"/>
    <w:rsid w:val="2E031BF1"/>
    <w:rsid w:val="2E2F3709"/>
    <w:rsid w:val="2E467E19"/>
    <w:rsid w:val="2E647C32"/>
    <w:rsid w:val="2E6A041D"/>
    <w:rsid w:val="2E6F7B2F"/>
    <w:rsid w:val="2E917D08"/>
    <w:rsid w:val="2E9364F7"/>
    <w:rsid w:val="2EA53129"/>
    <w:rsid w:val="2EAA1D4E"/>
    <w:rsid w:val="2EB00DB7"/>
    <w:rsid w:val="2EB21B04"/>
    <w:rsid w:val="2EB414A9"/>
    <w:rsid w:val="2EC818A3"/>
    <w:rsid w:val="2ED534AD"/>
    <w:rsid w:val="2EDB55CC"/>
    <w:rsid w:val="2EF85EEE"/>
    <w:rsid w:val="2F065507"/>
    <w:rsid w:val="2F107031"/>
    <w:rsid w:val="2F1A13EC"/>
    <w:rsid w:val="2F283A30"/>
    <w:rsid w:val="2F3914E4"/>
    <w:rsid w:val="2F446901"/>
    <w:rsid w:val="2F546F35"/>
    <w:rsid w:val="2F552EFD"/>
    <w:rsid w:val="2F572943"/>
    <w:rsid w:val="2F602647"/>
    <w:rsid w:val="2F68373F"/>
    <w:rsid w:val="2F6D58B7"/>
    <w:rsid w:val="2F75128C"/>
    <w:rsid w:val="2F7A2550"/>
    <w:rsid w:val="2F88329D"/>
    <w:rsid w:val="2F8E1F77"/>
    <w:rsid w:val="2FA85145"/>
    <w:rsid w:val="2FBB37A1"/>
    <w:rsid w:val="3019443A"/>
    <w:rsid w:val="303871D4"/>
    <w:rsid w:val="306238C0"/>
    <w:rsid w:val="30685798"/>
    <w:rsid w:val="307E2F17"/>
    <w:rsid w:val="30881349"/>
    <w:rsid w:val="30885946"/>
    <w:rsid w:val="309C4B2B"/>
    <w:rsid w:val="309E4B6F"/>
    <w:rsid w:val="30AC1EC7"/>
    <w:rsid w:val="30AF6A06"/>
    <w:rsid w:val="30B100A9"/>
    <w:rsid w:val="30B750E9"/>
    <w:rsid w:val="30D3528A"/>
    <w:rsid w:val="30D3538C"/>
    <w:rsid w:val="30E26345"/>
    <w:rsid w:val="30F55F21"/>
    <w:rsid w:val="30F82DBC"/>
    <w:rsid w:val="310A4481"/>
    <w:rsid w:val="316E1263"/>
    <w:rsid w:val="31827AB8"/>
    <w:rsid w:val="3188634A"/>
    <w:rsid w:val="319871B4"/>
    <w:rsid w:val="31A40819"/>
    <w:rsid w:val="31AF0B7B"/>
    <w:rsid w:val="31C63155"/>
    <w:rsid w:val="31D53792"/>
    <w:rsid w:val="31E64E7D"/>
    <w:rsid w:val="31EF141A"/>
    <w:rsid w:val="31FA1207"/>
    <w:rsid w:val="31FF299C"/>
    <w:rsid w:val="32205325"/>
    <w:rsid w:val="32415A73"/>
    <w:rsid w:val="32496F95"/>
    <w:rsid w:val="32582CA4"/>
    <w:rsid w:val="326324D5"/>
    <w:rsid w:val="32665C12"/>
    <w:rsid w:val="326D4C57"/>
    <w:rsid w:val="327F3972"/>
    <w:rsid w:val="32884EE9"/>
    <w:rsid w:val="32917D4D"/>
    <w:rsid w:val="32996FE7"/>
    <w:rsid w:val="32A9190B"/>
    <w:rsid w:val="32AC3A0F"/>
    <w:rsid w:val="32B56BE9"/>
    <w:rsid w:val="32FE1CCF"/>
    <w:rsid w:val="33004414"/>
    <w:rsid w:val="3300737D"/>
    <w:rsid w:val="330700B2"/>
    <w:rsid w:val="330C6EBF"/>
    <w:rsid w:val="332F2B56"/>
    <w:rsid w:val="333A3EFE"/>
    <w:rsid w:val="3342795B"/>
    <w:rsid w:val="334558B8"/>
    <w:rsid w:val="33492D21"/>
    <w:rsid w:val="335525DE"/>
    <w:rsid w:val="337B5566"/>
    <w:rsid w:val="337C1FEC"/>
    <w:rsid w:val="339E64B4"/>
    <w:rsid w:val="33D164BD"/>
    <w:rsid w:val="33D635DF"/>
    <w:rsid w:val="33EC36A3"/>
    <w:rsid w:val="343750EC"/>
    <w:rsid w:val="3439753C"/>
    <w:rsid w:val="34400159"/>
    <w:rsid w:val="344A4572"/>
    <w:rsid w:val="34505446"/>
    <w:rsid w:val="34773088"/>
    <w:rsid w:val="347D6C18"/>
    <w:rsid w:val="34C364DE"/>
    <w:rsid w:val="34C6193E"/>
    <w:rsid w:val="34D174A7"/>
    <w:rsid w:val="34D71FE4"/>
    <w:rsid w:val="34D96C05"/>
    <w:rsid w:val="34DA7F3F"/>
    <w:rsid w:val="34DC2A0C"/>
    <w:rsid w:val="34DC763C"/>
    <w:rsid w:val="34E9791B"/>
    <w:rsid w:val="34EE533C"/>
    <w:rsid w:val="350F09AA"/>
    <w:rsid w:val="35147AA6"/>
    <w:rsid w:val="35326296"/>
    <w:rsid w:val="3548538E"/>
    <w:rsid w:val="35606AD4"/>
    <w:rsid w:val="35606EA8"/>
    <w:rsid w:val="357C5482"/>
    <w:rsid w:val="358412D5"/>
    <w:rsid w:val="35974495"/>
    <w:rsid w:val="35C73548"/>
    <w:rsid w:val="35D53119"/>
    <w:rsid w:val="35DD2092"/>
    <w:rsid w:val="35E20E82"/>
    <w:rsid w:val="35E35873"/>
    <w:rsid w:val="35FB59C3"/>
    <w:rsid w:val="36435F07"/>
    <w:rsid w:val="365244C0"/>
    <w:rsid w:val="365B7202"/>
    <w:rsid w:val="365C6B38"/>
    <w:rsid w:val="366C0593"/>
    <w:rsid w:val="367365DD"/>
    <w:rsid w:val="36866492"/>
    <w:rsid w:val="36A872AC"/>
    <w:rsid w:val="36AD6CF6"/>
    <w:rsid w:val="36E51B72"/>
    <w:rsid w:val="37023740"/>
    <w:rsid w:val="370D353C"/>
    <w:rsid w:val="37136D44"/>
    <w:rsid w:val="371D4D9D"/>
    <w:rsid w:val="37226269"/>
    <w:rsid w:val="373C419B"/>
    <w:rsid w:val="37401B57"/>
    <w:rsid w:val="37403D51"/>
    <w:rsid w:val="37574882"/>
    <w:rsid w:val="375B56E4"/>
    <w:rsid w:val="37601823"/>
    <w:rsid w:val="37730EB6"/>
    <w:rsid w:val="37736018"/>
    <w:rsid w:val="378A5038"/>
    <w:rsid w:val="37B3147B"/>
    <w:rsid w:val="37D62DDB"/>
    <w:rsid w:val="37D8170F"/>
    <w:rsid w:val="380B6268"/>
    <w:rsid w:val="38217C9A"/>
    <w:rsid w:val="3836571D"/>
    <w:rsid w:val="383A5157"/>
    <w:rsid w:val="383D75EB"/>
    <w:rsid w:val="38434F07"/>
    <w:rsid w:val="387F3B47"/>
    <w:rsid w:val="3884551B"/>
    <w:rsid w:val="389A030C"/>
    <w:rsid w:val="38A92F1F"/>
    <w:rsid w:val="38D03A77"/>
    <w:rsid w:val="38E73CA6"/>
    <w:rsid w:val="38EE10FA"/>
    <w:rsid w:val="390461D1"/>
    <w:rsid w:val="392F0600"/>
    <w:rsid w:val="392F4AE9"/>
    <w:rsid w:val="39355CD3"/>
    <w:rsid w:val="394E77F3"/>
    <w:rsid w:val="396B38CD"/>
    <w:rsid w:val="397D26A8"/>
    <w:rsid w:val="39853E78"/>
    <w:rsid w:val="399D355E"/>
    <w:rsid w:val="39A93295"/>
    <w:rsid w:val="39CB420E"/>
    <w:rsid w:val="39DB623F"/>
    <w:rsid w:val="39DF0FCD"/>
    <w:rsid w:val="39F219BA"/>
    <w:rsid w:val="3A4E6069"/>
    <w:rsid w:val="3A5C1971"/>
    <w:rsid w:val="3A5C6A91"/>
    <w:rsid w:val="3A773DC0"/>
    <w:rsid w:val="3A904CF7"/>
    <w:rsid w:val="3A94461A"/>
    <w:rsid w:val="3A963DC9"/>
    <w:rsid w:val="3AB169AF"/>
    <w:rsid w:val="3AB86C43"/>
    <w:rsid w:val="3ABA4D1F"/>
    <w:rsid w:val="3AE70110"/>
    <w:rsid w:val="3AEB2FD4"/>
    <w:rsid w:val="3B1D29D7"/>
    <w:rsid w:val="3B2D7F9D"/>
    <w:rsid w:val="3B3110EA"/>
    <w:rsid w:val="3B412931"/>
    <w:rsid w:val="3B563F19"/>
    <w:rsid w:val="3B5C5FF5"/>
    <w:rsid w:val="3B5D674E"/>
    <w:rsid w:val="3B64566D"/>
    <w:rsid w:val="3B71722E"/>
    <w:rsid w:val="3B837A61"/>
    <w:rsid w:val="3B8C3722"/>
    <w:rsid w:val="3B8F507F"/>
    <w:rsid w:val="3BA50A28"/>
    <w:rsid w:val="3BDB1CD0"/>
    <w:rsid w:val="3BEA4B0D"/>
    <w:rsid w:val="3BF719B5"/>
    <w:rsid w:val="3BFC4CE9"/>
    <w:rsid w:val="3C190D56"/>
    <w:rsid w:val="3C2E1203"/>
    <w:rsid w:val="3C3741C1"/>
    <w:rsid w:val="3C44089D"/>
    <w:rsid w:val="3C4D6231"/>
    <w:rsid w:val="3C4F3575"/>
    <w:rsid w:val="3C6D56FC"/>
    <w:rsid w:val="3C6F47A3"/>
    <w:rsid w:val="3C72054A"/>
    <w:rsid w:val="3C8B2BAF"/>
    <w:rsid w:val="3C9C5B0C"/>
    <w:rsid w:val="3CA05803"/>
    <w:rsid w:val="3CCD5724"/>
    <w:rsid w:val="3CEE51ED"/>
    <w:rsid w:val="3CF42897"/>
    <w:rsid w:val="3D0177AB"/>
    <w:rsid w:val="3D0B73BA"/>
    <w:rsid w:val="3D243BAA"/>
    <w:rsid w:val="3D322898"/>
    <w:rsid w:val="3D3C0BE3"/>
    <w:rsid w:val="3D3E106D"/>
    <w:rsid w:val="3D414AB7"/>
    <w:rsid w:val="3D446AC3"/>
    <w:rsid w:val="3D580CA5"/>
    <w:rsid w:val="3D6052A9"/>
    <w:rsid w:val="3D6B1344"/>
    <w:rsid w:val="3D8E6FE2"/>
    <w:rsid w:val="3D996E16"/>
    <w:rsid w:val="3DCA20A9"/>
    <w:rsid w:val="3DCF546D"/>
    <w:rsid w:val="3DD95C36"/>
    <w:rsid w:val="3DE570B5"/>
    <w:rsid w:val="3DF703C2"/>
    <w:rsid w:val="3DF705C0"/>
    <w:rsid w:val="3E0343FE"/>
    <w:rsid w:val="3E21708F"/>
    <w:rsid w:val="3E2B4481"/>
    <w:rsid w:val="3E356FD7"/>
    <w:rsid w:val="3E3F2ABC"/>
    <w:rsid w:val="3E55030C"/>
    <w:rsid w:val="3E701F58"/>
    <w:rsid w:val="3E8D5959"/>
    <w:rsid w:val="3E9039C3"/>
    <w:rsid w:val="3E9117C1"/>
    <w:rsid w:val="3E9D50F4"/>
    <w:rsid w:val="3EA010DF"/>
    <w:rsid w:val="3EA468B2"/>
    <w:rsid w:val="3EC02ABE"/>
    <w:rsid w:val="3EC276E2"/>
    <w:rsid w:val="3EC73E6A"/>
    <w:rsid w:val="3EF05A3F"/>
    <w:rsid w:val="3EF249A2"/>
    <w:rsid w:val="3F087A66"/>
    <w:rsid w:val="3F1375CB"/>
    <w:rsid w:val="3F380934"/>
    <w:rsid w:val="3F4D2E53"/>
    <w:rsid w:val="3F582FE6"/>
    <w:rsid w:val="3F5B691F"/>
    <w:rsid w:val="3F60020F"/>
    <w:rsid w:val="3FC20769"/>
    <w:rsid w:val="3FCE0C5C"/>
    <w:rsid w:val="3FCF4B6D"/>
    <w:rsid w:val="3FDB5E3F"/>
    <w:rsid w:val="3FEC1328"/>
    <w:rsid w:val="40022708"/>
    <w:rsid w:val="400533F8"/>
    <w:rsid w:val="40145224"/>
    <w:rsid w:val="402B1DA8"/>
    <w:rsid w:val="40324460"/>
    <w:rsid w:val="403748BA"/>
    <w:rsid w:val="403D170A"/>
    <w:rsid w:val="40493707"/>
    <w:rsid w:val="4062329B"/>
    <w:rsid w:val="40A3506D"/>
    <w:rsid w:val="40AA18DC"/>
    <w:rsid w:val="40B81A26"/>
    <w:rsid w:val="40C727FA"/>
    <w:rsid w:val="40C82603"/>
    <w:rsid w:val="40D24B47"/>
    <w:rsid w:val="40E02271"/>
    <w:rsid w:val="40E17A55"/>
    <w:rsid w:val="40E31F1C"/>
    <w:rsid w:val="41082CA3"/>
    <w:rsid w:val="410C704B"/>
    <w:rsid w:val="41144029"/>
    <w:rsid w:val="411529F6"/>
    <w:rsid w:val="411616BE"/>
    <w:rsid w:val="41205276"/>
    <w:rsid w:val="4149439E"/>
    <w:rsid w:val="41663D4A"/>
    <w:rsid w:val="416662E5"/>
    <w:rsid w:val="4173499D"/>
    <w:rsid w:val="41777F91"/>
    <w:rsid w:val="4180246D"/>
    <w:rsid w:val="41892D29"/>
    <w:rsid w:val="418A398C"/>
    <w:rsid w:val="418F5A8F"/>
    <w:rsid w:val="419800B1"/>
    <w:rsid w:val="419A016D"/>
    <w:rsid w:val="41A00103"/>
    <w:rsid w:val="41A27D73"/>
    <w:rsid w:val="41BA5535"/>
    <w:rsid w:val="41C36348"/>
    <w:rsid w:val="41C44649"/>
    <w:rsid w:val="41CF5CC4"/>
    <w:rsid w:val="41D63936"/>
    <w:rsid w:val="41EF50D5"/>
    <w:rsid w:val="41F60756"/>
    <w:rsid w:val="420500E7"/>
    <w:rsid w:val="42183380"/>
    <w:rsid w:val="42294054"/>
    <w:rsid w:val="422D7D44"/>
    <w:rsid w:val="42306FFC"/>
    <w:rsid w:val="423E2AFB"/>
    <w:rsid w:val="423E5A81"/>
    <w:rsid w:val="424D27F3"/>
    <w:rsid w:val="424E7918"/>
    <w:rsid w:val="427E64E9"/>
    <w:rsid w:val="428647B3"/>
    <w:rsid w:val="42A60887"/>
    <w:rsid w:val="42A71D96"/>
    <w:rsid w:val="42B9574D"/>
    <w:rsid w:val="42CA2026"/>
    <w:rsid w:val="42D23B46"/>
    <w:rsid w:val="42DC12FC"/>
    <w:rsid w:val="42E856AB"/>
    <w:rsid w:val="42ED7258"/>
    <w:rsid w:val="430C3023"/>
    <w:rsid w:val="43150888"/>
    <w:rsid w:val="432A43B1"/>
    <w:rsid w:val="432B58BF"/>
    <w:rsid w:val="4340484F"/>
    <w:rsid w:val="43480FA1"/>
    <w:rsid w:val="43686110"/>
    <w:rsid w:val="43754D3E"/>
    <w:rsid w:val="43791C9C"/>
    <w:rsid w:val="437B2E48"/>
    <w:rsid w:val="439057E6"/>
    <w:rsid w:val="43A50465"/>
    <w:rsid w:val="43A754E0"/>
    <w:rsid w:val="43C22026"/>
    <w:rsid w:val="43D578ED"/>
    <w:rsid w:val="43D7791C"/>
    <w:rsid w:val="43DF2D7C"/>
    <w:rsid w:val="43DF5F16"/>
    <w:rsid w:val="43F36406"/>
    <w:rsid w:val="440F4CD4"/>
    <w:rsid w:val="441C0C3C"/>
    <w:rsid w:val="44305977"/>
    <w:rsid w:val="44385FF0"/>
    <w:rsid w:val="443D2051"/>
    <w:rsid w:val="445745C9"/>
    <w:rsid w:val="446A342A"/>
    <w:rsid w:val="448D7661"/>
    <w:rsid w:val="44920377"/>
    <w:rsid w:val="44C40A3F"/>
    <w:rsid w:val="44D72CB2"/>
    <w:rsid w:val="44DD31E5"/>
    <w:rsid w:val="44E90BBC"/>
    <w:rsid w:val="45014C68"/>
    <w:rsid w:val="451C251E"/>
    <w:rsid w:val="45281887"/>
    <w:rsid w:val="452979C1"/>
    <w:rsid w:val="452A4224"/>
    <w:rsid w:val="45317FAC"/>
    <w:rsid w:val="4532116C"/>
    <w:rsid w:val="453501A2"/>
    <w:rsid w:val="454E0F92"/>
    <w:rsid w:val="45680F7E"/>
    <w:rsid w:val="45685BAF"/>
    <w:rsid w:val="456B00A5"/>
    <w:rsid w:val="457D79E6"/>
    <w:rsid w:val="45987EF4"/>
    <w:rsid w:val="45C80E41"/>
    <w:rsid w:val="45CC0204"/>
    <w:rsid w:val="45E70576"/>
    <w:rsid w:val="45F9082B"/>
    <w:rsid w:val="46027393"/>
    <w:rsid w:val="46161CA8"/>
    <w:rsid w:val="46202255"/>
    <w:rsid w:val="46202A8A"/>
    <w:rsid w:val="4622021C"/>
    <w:rsid w:val="46475AAD"/>
    <w:rsid w:val="464F7B3E"/>
    <w:rsid w:val="465B3F8E"/>
    <w:rsid w:val="466756C2"/>
    <w:rsid w:val="466D512A"/>
    <w:rsid w:val="466E6575"/>
    <w:rsid w:val="46731298"/>
    <w:rsid w:val="46773453"/>
    <w:rsid w:val="46846D1F"/>
    <w:rsid w:val="46883E8D"/>
    <w:rsid w:val="468D56E1"/>
    <w:rsid w:val="469A54A3"/>
    <w:rsid w:val="46C71EC7"/>
    <w:rsid w:val="46D70F7D"/>
    <w:rsid w:val="46F72C7F"/>
    <w:rsid w:val="46F816FF"/>
    <w:rsid w:val="470460A7"/>
    <w:rsid w:val="471277D5"/>
    <w:rsid w:val="47205B9E"/>
    <w:rsid w:val="47274BF7"/>
    <w:rsid w:val="473A79C0"/>
    <w:rsid w:val="474E1AD2"/>
    <w:rsid w:val="47550CBF"/>
    <w:rsid w:val="475E1BDA"/>
    <w:rsid w:val="476E7CCD"/>
    <w:rsid w:val="477603CE"/>
    <w:rsid w:val="479036E2"/>
    <w:rsid w:val="479D21BD"/>
    <w:rsid w:val="47A00966"/>
    <w:rsid w:val="47B13649"/>
    <w:rsid w:val="47CA42E5"/>
    <w:rsid w:val="47CF6B8F"/>
    <w:rsid w:val="47DA6A0B"/>
    <w:rsid w:val="47E646DD"/>
    <w:rsid w:val="47ED1B40"/>
    <w:rsid w:val="480A0F4F"/>
    <w:rsid w:val="481E412E"/>
    <w:rsid w:val="4821443B"/>
    <w:rsid w:val="483978CC"/>
    <w:rsid w:val="484F3841"/>
    <w:rsid w:val="48511D8E"/>
    <w:rsid w:val="487F76A0"/>
    <w:rsid w:val="48871D22"/>
    <w:rsid w:val="488A59C1"/>
    <w:rsid w:val="489819CE"/>
    <w:rsid w:val="48A07A76"/>
    <w:rsid w:val="48A67679"/>
    <w:rsid w:val="48B621A8"/>
    <w:rsid w:val="48C578E3"/>
    <w:rsid w:val="48C9217E"/>
    <w:rsid w:val="48D83CAF"/>
    <w:rsid w:val="48DC48DA"/>
    <w:rsid w:val="48F20BC8"/>
    <w:rsid w:val="490954E4"/>
    <w:rsid w:val="491002A4"/>
    <w:rsid w:val="491218B5"/>
    <w:rsid w:val="49332CF8"/>
    <w:rsid w:val="49473AA6"/>
    <w:rsid w:val="494E2FE6"/>
    <w:rsid w:val="495014A4"/>
    <w:rsid w:val="4954625C"/>
    <w:rsid w:val="49644ED5"/>
    <w:rsid w:val="49680B13"/>
    <w:rsid w:val="4969260F"/>
    <w:rsid w:val="496F1504"/>
    <w:rsid w:val="49760BD6"/>
    <w:rsid w:val="497B0920"/>
    <w:rsid w:val="499D251E"/>
    <w:rsid w:val="499E049A"/>
    <w:rsid w:val="49A13685"/>
    <w:rsid w:val="49B72AFF"/>
    <w:rsid w:val="49BC6743"/>
    <w:rsid w:val="49CD38A2"/>
    <w:rsid w:val="49F400B0"/>
    <w:rsid w:val="49FD7FAA"/>
    <w:rsid w:val="4A095651"/>
    <w:rsid w:val="4A3A1372"/>
    <w:rsid w:val="4A3A5CA3"/>
    <w:rsid w:val="4A5A4236"/>
    <w:rsid w:val="4A731BCB"/>
    <w:rsid w:val="4A816719"/>
    <w:rsid w:val="4AA6664A"/>
    <w:rsid w:val="4AB3551C"/>
    <w:rsid w:val="4AD42C87"/>
    <w:rsid w:val="4AD43457"/>
    <w:rsid w:val="4AE119B4"/>
    <w:rsid w:val="4AE13BDA"/>
    <w:rsid w:val="4AE62824"/>
    <w:rsid w:val="4AF40C34"/>
    <w:rsid w:val="4B1601BD"/>
    <w:rsid w:val="4B263655"/>
    <w:rsid w:val="4B4A5978"/>
    <w:rsid w:val="4B5043FB"/>
    <w:rsid w:val="4B5137FB"/>
    <w:rsid w:val="4B6B60EC"/>
    <w:rsid w:val="4B7213CB"/>
    <w:rsid w:val="4B792E20"/>
    <w:rsid w:val="4B8C5FB0"/>
    <w:rsid w:val="4BA45F9A"/>
    <w:rsid w:val="4BA872BB"/>
    <w:rsid w:val="4BCA2E42"/>
    <w:rsid w:val="4BD97037"/>
    <w:rsid w:val="4BE7081C"/>
    <w:rsid w:val="4BF1707F"/>
    <w:rsid w:val="4BF75BDB"/>
    <w:rsid w:val="4BFB3C84"/>
    <w:rsid w:val="4C133570"/>
    <w:rsid w:val="4C197E81"/>
    <w:rsid w:val="4C3239C9"/>
    <w:rsid w:val="4C7B3F33"/>
    <w:rsid w:val="4C815FBF"/>
    <w:rsid w:val="4CB0199E"/>
    <w:rsid w:val="4CD24F16"/>
    <w:rsid w:val="4CFD3592"/>
    <w:rsid w:val="4D0D7207"/>
    <w:rsid w:val="4D207295"/>
    <w:rsid w:val="4D3A57F2"/>
    <w:rsid w:val="4D605EDA"/>
    <w:rsid w:val="4D655951"/>
    <w:rsid w:val="4D6D13D7"/>
    <w:rsid w:val="4D6F1326"/>
    <w:rsid w:val="4D851DD8"/>
    <w:rsid w:val="4D9C4773"/>
    <w:rsid w:val="4DCF5B52"/>
    <w:rsid w:val="4DEA04A5"/>
    <w:rsid w:val="4DEB67E2"/>
    <w:rsid w:val="4DEE41A2"/>
    <w:rsid w:val="4DF6210D"/>
    <w:rsid w:val="4E121CB3"/>
    <w:rsid w:val="4E257E26"/>
    <w:rsid w:val="4E2661C7"/>
    <w:rsid w:val="4E294517"/>
    <w:rsid w:val="4E4C6E2C"/>
    <w:rsid w:val="4E6A44C9"/>
    <w:rsid w:val="4E8B54B6"/>
    <w:rsid w:val="4E8D040E"/>
    <w:rsid w:val="4E8D796A"/>
    <w:rsid w:val="4E962AE4"/>
    <w:rsid w:val="4E966150"/>
    <w:rsid w:val="4EB6460B"/>
    <w:rsid w:val="4EC31654"/>
    <w:rsid w:val="4ED37081"/>
    <w:rsid w:val="4EED45FB"/>
    <w:rsid w:val="4EEF16F7"/>
    <w:rsid w:val="4EF14558"/>
    <w:rsid w:val="4EF23CE7"/>
    <w:rsid w:val="4EFA60D5"/>
    <w:rsid w:val="4EFD2AAF"/>
    <w:rsid w:val="4F072DE9"/>
    <w:rsid w:val="4F0D12DB"/>
    <w:rsid w:val="4F27246D"/>
    <w:rsid w:val="4F3D04B3"/>
    <w:rsid w:val="4F517724"/>
    <w:rsid w:val="4F823656"/>
    <w:rsid w:val="4F9F1800"/>
    <w:rsid w:val="4FA42B32"/>
    <w:rsid w:val="4FA86F85"/>
    <w:rsid w:val="4FB2119C"/>
    <w:rsid w:val="4FC36486"/>
    <w:rsid w:val="4FD0730E"/>
    <w:rsid w:val="4FD51074"/>
    <w:rsid w:val="4FD967F7"/>
    <w:rsid w:val="4FE05D6A"/>
    <w:rsid w:val="4FE07CD0"/>
    <w:rsid w:val="4FF17C1D"/>
    <w:rsid w:val="4FF43BA5"/>
    <w:rsid w:val="500946F8"/>
    <w:rsid w:val="502F7B0F"/>
    <w:rsid w:val="505A756C"/>
    <w:rsid w:val="506D3659"/>
    <w:rsid w:val="506F1732"/>
    <w:rsid w:val="506F726F"/>
    <w:rsid w:val="5080204E"/>
    <w:rsid w:val="50A943D8"/>
    <w:rsid w:val="50BC540F"/>
    <w:rsid w:val="50C10775"/>
    <w:rsid w:val="50C172E5"/>
    <w:rsid w:val="50CB678A"/>
    <w:rsid w:val="50CF6004"/>
    <w:rsid w:val="50D40B95"/>
    <w:rsid w:val="50DF658F"/>
    <w:rsid w:val="50F230FE"/>
    <w:rsid w:val="50F25E76"/>
    <w:rsid w:val="50F61979"/>
    <w:rsid w:val="511D0B68"/>
    <w:rsid w:val="51222C8D"/>
    <w:rsid w:val="51327CF3"/>
    <w:rsid w:val="514A13A9"/>
    <w:rsid w:val="514E0936"/>
    <w:rsid w:val="515C3167"/>
    <w:rsid w:val="515E3727"/>
    <w:rsid w:val="51613E40"/>
    <w:rsid w:val="517B4184"/>
    <w:rsid w:val="51860B49"/>
    <w:rsid w:val="51AA5288"/>
    <w:rsid w:val="51AE6E93"/>
    <w:rsid w:val="51C813D1"/>
    <w:rsid w:val="51DB5583"/>
    <w:rsid w:val="51EA7BC5"/>
    <w:rsid w:val="51F32A3B"/>
    <w:rsid w:val="51F56D8D"/>
    <w:rsid w:val="51FC7BE8"/>
    <w:rsid w:val="51FE10C0"/>
    <w:rsid w:val="52123A2A"/>
    <w:rsid w:val="522E14A4"/>
    <w:rsid w:val="52334CE1"/>
    <w:rsid w:val="52470782"/>
    <w:rsid w:val="52553F10"/>
    <w:rsid w:val="525F7FC1"/>
    <w:rsid w:val="526A6859"/>
    <w:rsid w:val="526B75C4"/>
    <w:rsid w:val="527E44D6"/>
    <w:rsid w:val="52871032"/>
    <w:rsid w:val="52913909"/>
    <w:rsid w:val="529425DA"/>
    <w:rsid w:val="52A826A2"/>
    <w:rsid w:val="52B7211E"/>
    <w:rsid w:val="52BC166C"/>
    <w:rsid w:val="52CE133E"/>
    <w:rsid w:val="52E2319C"/>
    <w:rsid w:val="52E513A4"/>
    <w:rsid w:val="52F002BB"/>
    <w:rsid w:val="52FF0DE8"/>
    <w:rsid w:val="52FF5C2E"/>
    <w:rsid w:val="53102A03"/>
    <w:rsid w:val="5319005E"/>
    <w:rsid w:val="5319109F"/>
    <w:rsid w:val="532D3AA7"/>
    <w:rsid w:val="534E5BBA"/>
    <w:rsid w:val="535552B1"/>
    <w:rsid w:val="536F1F7C"/>
    <w:rsid w:val="539123BF"/>
    <w:rsid w:val="53A57EC4"/>
    <w:rsid w:val="53A866E2"/>
    <w:rsid w:val="53AC3C25"/>
    <w:rsid w:val="53CF58EB"/>
    <w:rsid w:val="53D63F07"/>
    <w:rsid w:val="53DD4803"/>
    <w:rsid w:val="53F37DC9"/>
    <w:rsid w:val="53FC42A7"/>
    <w:rsid w:val="54043E11"/>
    <w:rsid w:val="540A3531"/>
    <w:rsid w:val="541419DB"/>
    <w:rsid w:val="544029E6"/>
    <w:rsid w:val="54485A03"/>
    <w:rsid w:val="54731B1C"/>
    <w:rsid w:val="547826F7"/>
    <w:rsid w:val="547855E5"/>
    <w:rsid w:val="54851441"/>
    <w:rsid w:val="548909C0"/>
    <w:rsid w:val="548F7016"/>
    <w:rsid w:val="54973630"/>
    <w:rsid w:val="54B006DD"/>
    <w:rsid w:val="54C0624C"/>
    <w:rsid w:val="54D946D0"/>
    <w:rsid w:val="54DF2B06"/>
    <w:rsid w:val="54F1744B"/>
    <w:rsid w:val="55151275"/>
    <w:rsid w:val="551B0BE1"/>
    <w:rsid w:val="552C7A4B"/>
    <w:rsid w:val="553546EE"/>
    <w:rsid w:val="553C52B6"/>
    <w:rsid w:val="55556232"/>
    <w:rsid w:val="558A4CEB"/>
    <w:rsid w:val="55A57219"/>
    <w:rsid w:val="55AB54C0"/>
    <w:rsid w:val="55B45DEC"/>
    <w:rsid w:val="55DB5757"/>
    <w:rsid w:val="55DC4D7E"/>
    <w:rsid w:val="55FB6002"/>
    <w:rsid w:val="560A696D"/>
    <w:rsid w:val="56187AE2"/>
    <w:rsid w:val="56253301"/>
    <w:rsid w:val="56306415"/>
    <w:rsid w:val="56433055"/>
    <w:rsid w:val="564848C8"/>
    <w:rsid w:val="56493A7B"/>
    <w:rsid w:val="56494F4D"/>
    <w:rsid w:val="56693403"/>
    <w:rsid w:val="566B198D"/>
    <w:rsid w:val="566C5DCD"/>
    <w:rsid w:val="56782A11"/>
    <w:rsid w:val="56796A26"/>
    <w:rsid w:val="568A6FC6"/>
    <w:rsid w:val="569767A6"/>
    <w:rsid w:val="56B82A6A"/>
    <w:rsid w:val="56C90927"/>
    <w:rsid w:val="56CB66D6"/>
    <w:rsid w:val="56EC02B8"/>
    <w:rsid w:val="56F13FBB"/>
    <w:rsid w:val="56FB620C"/>
    <w:rsid w:val="571114AD"/>
    <w:rsid w:val="571407B3"/>
    <w:rsid w:val="57173E71"/>
    <w:rsid w:val="57254D7F"/>
    <w:rsid w:val="572A4890"/>
    <w:rsid w:val="572A551D"/>
    <w:rsid w:val="57455BA1"/>
    <w:rsid w:val="57564498"/>
    <w:rsid w:val="575E0B32"/>
    <w:rsid w:val="575E2595"/>
    <w:rsid w:val="576D09F0"/>
    <w:rsid w:val="57816879"/>
    <w:rsid w:val="57977C55"/>
    <w:rsid w:val="579F29EC"/>
    <w:rsid w:val="57A47CB9"/>
    <w:rsid w:val="57AE72EB"/>
    <w:rsid w:val="57B2274C"/>
    <w:rsid w:val="57CB17C9"/>
    <w:rsid w:val="57FE3D0F"/>
    <w:rsid w:val="582048A2"/>
    <w:rsid w:val="582C7AEF"/>
    <w:rsid w:val="583479C6"/>
    <w:rsid w:val="583628D0"/>
    <w:rsid w:val="587D4C6A"/>
    <w:rsid w:val="588207E5"/>
    <w:rsid w:val="58923055"/>
    <w:rsid w:val="58B169E0"/>
    <w:rsid w:val="58F5162C"/>
    <w:rsid w:val="5906468B"/>
    <w:rsid w:val="591F3DFD"/>
    <w:rsid w:val="59326A09"/>
    <w:rsid w:val="59407663"/>
    <w:rsid w:val="59717A30"/>
    <w:rsid w:val="59787C88"/>
    <w:rsid w:val="597D22D5"/>
    <w:rsid w:val="598B0EBE"/>
    <w:rsid w:val="59BC638E"/>
    <w:rsid w:val="59DB18AB"/>
    <w:rsid w:val="59DC4515"/>
    <w:rsid w:val="59ED4507"/>
    <w:rsid w:val="59FB17FB"/>
    <w:rsid w:val="5A15655B"/>
    <w:rsid w:val="5A414559"/>
    <w:rsid w:val="5A5921CE"/>
    <w:rsid w:val="5A6C2B42"/>
    <w:rsid w:val="5A6C50F6"/>
    <w:rsid w:val="5A6F7D86"/>
    <w:rsid w:val="5A892C41"/>
    <w:rsid w:val="5A954339"/>
    <w:rsid w:val="5AB431D0"/>
    <w:rsid w:val="5AB6438A"/>
    <w:rsid w:val="5AC64877"/>
    <w:rsid w:val="5ACD7092"/>
    <w:rsid w:val="5ADD5592"/>
    <w:rsid w:val="5AF9385E"/>
    <w:rsid w:val="5B014FFA"/>
    <w:rsid w:val="5B041C8F"/>
    <w:rsid w:val="5B144909"/>
    <w:rsid w:val="5B191BBC"/>
    <w:rsid w:val="5B3E0E45"/>
    <w:rsid w:val="5B410402"/>
    <w:rsid w:val="5B5B0AD6"/>
    <w:rsid w:val="5B5B7CA9"/>
    <w:rsid w:val="5B8B52F1"/>
    <w:rsid w:val="5B8E5B91"/>
    <w:rsid w:val="5B946ABD"/>
    <w:rsid w:val="5BA11E92"/>
    <w:rsid w:val="5BC5585E"/>
    <w:rsid w:val="5BD42EB3"/>
    <w:rsid w:val="5BE56D55"/>
    <w:rsid w:val="5BE9286F"/>
    <w:rsid w:val="5C014CFA"/>
    <w:rsid w:val="5C0236B3"/>
    <w:rsid w:val="5C0D2F8A"/>
    <w:rsid w:val="5C1F5B56"/>
    <w:rsid w:val="5C4D72AF"/>
    <w:rsid w:val="5C502A1E"/>
    <w:rsid w:val="5C6A5FCB"/>
    <w:rsid w:val="5C73106E"/>
    <w:rsid w:val="5C756DFE"/>
    <w:rsid w:val="5C7A3CAD"/>
    <w:rsid w:val="5C977416"/>
    <w:rsid w:val="5C9A5671"/>
    <w:rsid w:val="5C9B0595"/>
    <w:rsid w:val="5CA24024"/>
    <w:rsid w:val="5CA324BB"/>
    <w:rsid w:val="5CBC4993"/>
    <w:rsid w:val="5D0049DD"/>
    <w:rsid w:val="5D0B5D40"/>
    <w:rsid w:val="5D265A6F"/>
    <w:rsid w:val="5D325BEC"/>
    <w:rsid w:val="5D4438D7"/>
    <w:rsid w:val="5D554C07"/>
    <w:rsid w:val="5D5A119B"/>
    <w:rsid w:val="5D6B4BA1"/>
    <w:rsid w:val="5D8D7989"/>
    <w:rsid w:val="5DAB70B1"/>
    <w:rsid w:val="5DAF70D3"/>
    <w:rsid w:val="5DB31359"/>
    <w:rsid w:val="5DBA0C80"/>
    <w:rsid w:val="5DBC0325"/>
    <w:rsid w:val="5DBE143A"/>
    <w:rsid w:val="5DCB4B7B"/>
    <w:rsid w:val="5DE37ED3"/>
    <w:rsid w:val="5DEB5C36"/>
    <w:rsid w:val="5DEC310F"/>
    <w:rsid w:val="5E040C0A"/>
    <w:rsid w:val="5E091D4A"/>
    <w:rsid w:val="5E0E2FC3"/>
    <w:rsid w:val="5E1334EF"/>
    <w:rsid w:val="5E221AED"/>
    <w:rsid w:val="5E2D143A"/>
    <w:rsid w:val="5E3B219E"/>
    <w:rsid w:val="5E532B43"/>
    <w:rsid w:val="5E594F09"/>
    <w:rsid w:val="5E5E35C3"/>
    <w:rsid w:val="5E60314C"/>
    <w:rsid w:val="5E767DD4"/>
    <w:rsid w:val="5E804D7E"/>
    <w:rsid w:val="5E8A5504"/>
    <w:rsid w:val="5E8B3F7C"/>
    <w:rsid w:val="5EB60C92"/>
    <w:rsid w:val="5EB707ED"/>
    <w:rsid w:val="5ED01130"/>
    <w:rsid w:val="5ED11E94"/>
    <w:rsid w:val="5ED34113"/>
    <w:rsid w:val="5ED61C21"/>
    <w:rsid w:val="5ED65260"/>
    <w:rsid w:val="5EE4054E"/>
    <w:rsid w:val="5EFA0CCF"/>
    <w:rsid w:val="5F067D62"/>
    <w:rsid w:val="5F334B7D"/>
    <w:rsid w:val="5F387F5F"/>
    <w:rsid w:val="5F4441A5"/>
    <w:rsid w:val="5F4A3AF4"/>
    <w:rsid w:val="5F4B79DD"/>
    <w:rsid w:val="5F552B06"/>
    <w:rsid w:val="5F5B7789"/>
    <w:rsid w:val="5F632255"/>
    <w:rsid w:val="5F6B3055"/>
    <w:rsid w:val="5F791579"/>
    <w:rsid w:val="5F8639E2"/>
    <w:rsid w:val="5F8C4EC5"/>
    <w:rsid w:val="5F97442F"/>
    <w:rsid w:val="5FC03750"/>
    <w:rsid w:val="5FDE4BAE"/>
    <w:rsid w:val="5FF56DCC"/>
    <w:rsid w:val="5FFC107A"/>
    <w:rsid w:val="603825BE"/>
    <w:rsid w:val="60431034"/>
    <w:rsid w:val="604B30BB"/>
    <w:rsid w:val="6058235F"/>
    <w:rsid w:val="605F0EDF"/>
    <w:rsid w:val="60752ED8"/>
    <w:rsid w:val="60797C83"/>
    <w:rsid w:val="60861551"/>
    <w:rsid w:val="60AA3208"/>
    <w:rsid w:val="60AA584A"/>
    <w:rsid w:val="60B47C9C"/>
    <w:rsid w:val="60C2530C"/>
    <w:rsid w:val="60D71DB0"/>
    <w:rsid w:val="60D72E55"/>
    <w:rsid w:val="60E767F2"/>
    <w:rsid w:val="611C7FBF"/>
    <w:rsid w:val="61367A68"/>
    <w:rsid w:val="617D4C58"/>
    <w:rsid w:val="61C15036"/>
    <w:rsid w:val="61C8020F"/>
    <w:rsid w:val="61E65563"/>
    <w:rsid w:val="61E673A3"/>
    <w:rsid w:val="62185524"/>
    <w:rsid w:val="62223F20"/>
    <w:rsid w:val="622B6F0B"/>
    <w:rsid w:val="622C1821"/>
    <w:rsid w:val="623637E1"/>
    <w:rsid w:val="624B27EB"/>
    <w:rsid w:val="624F54C2"/>
    <w:rsid w:val="6253097B"/>
    <w:rsid w:val="626764BC"/>
    <w:rsid w:val="62733DAD"/>
    <w:rsid w:val="627F79C4"/>
    <w:rsid w:val="62845F4E"/>
    <w:rsid w:val="6291461E"/>
    <w:rsid w:val="62A06680"/>
    <w:rsid w:val="62AA1714"/>
    <w:rsid w:val="62B12EEA"/>
    <w:rsid w:val="62B37D76"/>
    <w:rsid w:val="62B63496"/>
    <w:rsid w:val="62B768A2"/>
    <w:rsid w:val="62C4539A"/>
    <w:rsid w:val="62CA7451"/>
    <w:rsid w:val="62D134F3"/>
    <w:rsid w:val="62D13B14"/>
    <w:rsid w:val="62D2324D"/>
    <w:rsid w:val="62F37887"/>
    <w:rsid w:val="62F41AC5"/>
    <w:rsid w:val="62F47FBC"/>
    <w:rsid w:val="62F71C62"/>
    <w:rsid w:val="63151443"/>
    <w:rsid w:val="63356D99"/>
    <w:rsid w:val="63392D24"/>
    <w:rsid w:val="63410A8F"/>
    <w:rsid w:val="63456EA1"/>
    <w:rsid w:val="63524F38"/>
    <w:rsid w:val="63601F82"/>
    <w:rsid w:val="637D0CB1"/>
    <w:rsid w:val="63897936"/>
    <w:rsid w:val="63BB1601"/>
    <w:rsid w:val="63DB377C"/>
    <w:rsid w:val="63F02389"/>
    <w:rsid w:val="63F80BFC"/>
    <w:rsid w:val="640D5917"/>
    <w:rsid w:val="64152AE1"/>
    <w:rsid w:val="641E2836"/>
    <w:rsid w:val="64292A0D"/>
    <w:rsid w:val="64386252"/>
    <w:rsid w:val="643B51BC"/>
    <w:rsid w:val="644273C0"/>
    <w:rsid w:val="644C2D91"/>
    <w:rsid w:val="644D338A"/>
    <w:rsid w:val="646C1ED9"/>
    <w:rsid w:val="64857EEA"/>
    <w:rsid w:val="64911515"/>
    <w:rsid w:val="64B26552"/>
    <w:rsid w:val="64D1343F"/>
    <w:rsid w:val="650E613B"/>
    <w:rsid w:val="652461DC"/>
    <w:rsid w:val="654F75B8"/>
    <w:rsid w:val="65744348"/>
    <w:rsid w:val="65856637"/>
    <w:rsid w:val="658A4EBC"/>
    <w:rsid w:val="658B3F25"/>
    <w:rsid w:val="658C2ABB"/>
    <w:rsid w:val="65950F08"/>
    <w:rsid w:val="659F0759"/>
    <w:rsid w:val="65BE530A"/>
    <w:rsid w:val="65D67D54"/>
    <w:rsid w:val="65EF3BCC"/>
    <w:rsid w:val="660E0C6C"/>
    <w:rsid w:val="66101BD3"/>
    <w:rsid w:val="661215FC"/>
    <w:rsid w:val="66250278"/>
    <w:rsid w:val="663D6EA0"/>
    <w:rsid w:val="664E4B6B"/>
    <w:rsid w:val="66620B31"/>
    <w:rsid w:val="66691C8F"/>
    <w:rsid w:val="666C5968"/>
    <w:rsid w:val="6679338F"/>
    <w:rsid w:val="667F7E92"/>
    <w:rsid w:val="66A901E3"/>
    <w:rsid w:val="66A91186"/>
    <w:rsid w:val="66BD2E37"/>
    <w:rsid w:val="66C97607"/>
    <w:rsid w:val="66E427D2"/>
    <w:rsid w:val="66EE774A"/>
    <w:rsid w:val="66F04E1E"/>
    <w:rsid w:val="66F204FF"/>
    <w:rsid w:val="66F51F82"/>
    <w:rsid w:val="671460DA"/>
    <w:rsid w:val="67185CCE"/>
    <w:rsid w:val="67221294"/>
    <w:rsid w:val="672B646F"/>
    <w:rsid w:val="67307EBF"/>
    <w:rsid w:val="67590254"/>
    <w:rsid w:val="678E3D34"/>
    <w:rsid w:val="67993B71"/>
    <w:rsid w:val="679F36AF"/>
    <w:rsid w:val="67A5394A"/>
    <w:rsid w:val="67A54008"/>
    <w:rsid w:val="67C813F2"/>
    <w:rsid w:val="67C9662C"/>
    <w:rsid w:val="67D23681"/>
    <w:rsid w:val="68147D0A"/>
    <w:rsid w:val="68327ACF"/>
    <w:rsid w:val="684133E4"/>
    <w:rsid w:val="68511AF5"/>
    <w:rsid w:val="68576054"/>
    <w:rsid w:val="685E02F7"/>
    <w:rsid w:val="68670E25"/>
    <w:rsid w:val="68864A98"/>
    <w:rsid w:val="688A3AF4"/>
    <w:rsid w:val="68CB6D41"/>
    <w:rsid w:val="68CD2593"/>
    <w:rsid w:val="68E35586"/>
    <w:rsid w:val="690B4C87"/>
    <w:rsid w:val="6935755A"/>
    <w:rsid w:val="69525DED"/>
    <w:rsid w:val="6953112F"/>
    <w:rsid w:val="69560C23"/>
    <w:rsid w:val="69580FEF"/>
    <w:rsid w:val="6959078B"/>
    <w:rsid w:val="697250D1"/>
    <w:rsid w:val="69757277"/>
    <w:rsid w:val="698E5465"/>
    <w:rsid w:val="699B7117"/>
    <w:rsid w:val="699B7E0C"/>
    <w:rsid w:val="69A07813"/>
    <w:rsid w:val="69A26908"/>
    <w:rsid w:val="69A93665"/>
    <w:rsid w:val="69B556C9"/>
    <w:rsid w:val="69D64614"/>
    <w:rsid w:val="69D92E84"/>
    <w:rsid w:val="69DF415D"/>
    <w:rsid w:val="69E103C7"/>
    <w:rsid w:val="69EF1F32"/>
    <w:rsid w:val="6A1D42BA"/>
    <w:rsid w:val="6A3D1B8E"/>
    <w:rsid w:val="6A415FC8"/>
    <w:rsid w:val="6A432DB3"/>
    <w:rsid w:val="6A4D24FB"/>
    <w:rsid w:val="6A51734B"/>
    <w:rsid w:val="6A55671C"/>
    <w:rsid w:val="6A582EC0"/>
    <w:rsid w:val="6A734A29"/>
    <w:rsid w:val="6A767B88"/>
    <w:rsid w:val="6A794D05"/>
    <w:rsid w:val="6A853434"/>
    <w:rsid w:val="6A89290E"/>
    <w:rsid w:val="6AA44A5E"/>
    <w:rsid w:val="6ABA0549"/>
    <w:rsid w:val="6ADB7D95"/>
    <w:rsid w:val="6B11086B"/>
    <w:rsid w:val="6B176384"/>
    <w:rsid w:val="6B1B4E5F"/>
    <w:rsid w:val="6B40408A"/>
    <w:rsid w:val="6B72461D"/>
    <w:rsid w:val="6B732A64"/>
    <w:rsid w:val="6BB246D5"/>
    <w:rsid w:val="6BC22315"/>
    <w:rsid w:val="6BCB6310"/>
    <w:rsid w:val="6BE91026"/>
    <w:rsid w:val="6BFC5306"/>
    <w:rsid w:val="6C136478"/>
    <w:rsid w:val="6C5458FD"/>
    <w:rsid w:val="6C640D5E"/>
    <w:rsid w:val="6C6C13C6"/>
    <w:rsid w:val="6C6C3E0F"/>
    <w:rsid w:val="6C6F3198"/>
    <w:rsid w:val="6C9160F1"/>
    <w:rsid w:val="6C96012D"/>
    <w:rsid w:val="6C9814C2"/>
    <w:rsid w:val="6C9E708B"/>
    <w:rsid w:val="6CA661FF"/>
    <w:rsid w:val="6CC872D0"/>
    <w:rsid w:val="6CE027CC"/>
    <w:rsid w:val="6CE26FD4"/>
    <w:rsid w:val="6CEE3112"/>
    <w:rsid w:val="6CEE4B77"/>
    <w:rsid w:val="6CF6700D"/>
    <w:rsid w:val="6D05352B"/>
    <w:rsid w:val="6D0C338E"/>
    <w:rsid w:val="6D157DE6"/>
    <w:rsid w:val="6D2256A1"/>
    <w:rsid w:val="6D26408D"/>
    <w:rsid w:val="6D4A4A36"/>
    <w:rsid w:val="6D4E2DB4"/>
    <w:rsid w:val="6D500867"/>
    <w:rsid w:val="6D580B8E"/>
    <w:rsid w:val="6D5A6AE3"/>
    <w:rsid w:val="6D7F21FF"/>
    <w:rsid w:val="6D806488"/>
    <w:rsid w:val="6D871C35"/>
    <w:rsid w:val="6D9A1C38"/>
    <w:rsid w:val="6DAE6575"/>
    <w:rsid w:val="6DB036FF"/>
    <w:rsid w:val="6DBA7E49"/>
    <w:rsid w:val="6DBC116D"/>
    <w:rsid w:val="6DC173F6"/>
    <w:rsid w:val="6DCE3C10"/>
    <w:rsid w:val="6DE33719"/>
    <w:rsid w:val="6E0300F4"/>
    <w:rsid w:val="6E1344F1"/>
    <w:rsid w:val="6E151A05"/>
    <w:rsid w:val="6E1F1847"/>
    <w:rsid w:val="6E2B2B25"/>
    <w:rsid w:val="6E4A7D93"/>
    <w:rsid w:val="6E4C75FE"/>
    <w:rsid w:val="6E670AB8"/>
    <w:rsid w:val="6E6C6E8C"/>
    <w:rsid w:val="6E6D68BD"/>
    <w:rsid w:val="6E756932"/>
    <w:rsid w:val="6E7E3A56"/>
    <w:rsid w:val="6EA557B7"/>
    <w:rsid w:val="6EA81C1B"/>
    <w:rsid w:val="6EB47C69"/>
    <w:rsid w:val="6EEB60A5"/>
    <w:rsid w:val="6EFA0977"/>
    <w:rsid w:val="6F153D90"/>
    <w:rsid w:val="6F1C3E7D"/>
    <w:rsid w:val="6F1F6D4E"/>
    <w:rsid w:val="6F304673"/>
    <w:rsid w:val="6F694334"/>
    <w:rsid w:val="6F696E4F"/>
    <w:rsid w:val="6F7F17BF"/>
    <w:rsid w:val="6F8406E9"/>
    <w:rsid w:val="6FAA73A9"/>
    <w:rsid w:val="6FBE7F21"/>
    <w:rsid w:val="701634A1"/>
    <w:rsid w:val="70166216"/>
    <w:rsid w:val="701B55B1"/>
    <w:rsid w:val="70284690"/>
    <w:rsid w:val="703C53B8"/>
    <w:rsid w:val="7045512F"/>
    <w:rsid w:val="7061189E"/>
    <w:rsid w:val="706424FD"/>
    <w:rsid w:val="70834A46"/>
    <w:rsid w:val="708548D7"/>
    <w:rsid w:val="708C5426"/>
    <w:rsid w:val="708F7526"/>
    <w:rsid w:val="70900AFA"/>
    <w:rsid w:val="70946085"/>
    <w:rsid w:val="70A00B8D"/>
    <w:rsid w:val="70AB56F2"/>
    <w:rsid w:val="70B7116D"/>
    <w:rsid w:val="70B87C7B"/>
    <w:rsid w:val="70BE6BCD"/>
    <w:rsid w:val="70FC4BCB"/>
    <w:rsid w:val="71097949"/>
    <w:rsid w:val="712C765A"/>
    <w:rsid w:val="71474FAB"/>
    <w:rsid w:val="715B1A97"/>
    <w:rsid w:val="71824126"/>
    <w:rsid w:val="71840B8E"/>
    <w:rsid w:val="71860068"/>
    <w:rsid w:val="718D39C7"/>
    <w:rsid w:val="71915947"/>
    <w:rsid w:val="71990637"/>
    <w:rsid w:val="71C0774A"/>
    <w:rsid w:val="71C95F12"/>
    <w:rsid w:val="71DD30E9"/>
    <w:rsid w:val="71E72D85"/>
    <w:rsid w:val="72032D3E"/>
    <w:rsid w:val="721F5AEF"/>
    <w:rsid w:val="723216EC"/>
    <w:rsid w:val="72353F26"/>
    <w:rsid w:val="723E0ECD"/>
    <w:rsid w:val="72504EA8"/>
    <w:rsid w:val="726A6DD1"/>
    <w:rsid w:val="727B319A"/>
    <w:rsid w:val="72836597"/>
    <w:rsid w:val="72934BC2"/>
    <w:rsid w:val="72AD1B5D"/>
    <w:rsid w:val="72B00CCF"/>
    <w:rsid w:val="72B02C11"/>
    <w:rsid w:val="72B62C2E"/>
    <w:rsid w:val="72D5786A"/>
    <w:rsid w:val="72D732D9"/>
    <w:rsid w:val="72F45A64"/>
    <w:rsid w:val="72FC13E3"/>
    <w:rsid w:val="731B5770"/>
    <w:rsid w:val="731D74AD"/>
    <w:rsid w:val="733B6C95"/>
    <w:rsid w:val="733C7AC3"/>
    <w:rsid w:val="73517CA2"/>
    <w:rsid w:val="735D7CA3"/>
    <w:rsid w:val="73620C44"/>
    <w:rsid w:val="737634D5"/>
    <w:rsid w:val="73855AAF"/>
    <w:rsid w:val="73A25678"/>
    <w:rsid w:val="73BE5F54"/>
    <w:rsid w:val="73CC29D0"/>
    <w:rsid w:val="73EA41D2"/>
    <w:rsid w:val="73EC6115"/>
    <w:rsid w:val="74342392"/>
    <w:rsid w:val="744F7714"/>
    <w:rsid w:val="74607069"/>
    <w:rsid w:val="7465668C"/>
    <w:rsid w:val="747A1100"/>
    <w:rsid w:val="748077FF"/>
    <w:rsid w:val="74A77E66"/>
    <w:rsid w:val="74AD6368"/>
    <w:rsid w:val="74BF44E4"/>
    <w:rsid w:val="74D426D4"/>
    <w:rsid w:val="74E119AC"/>
    <w:rsid w:val="74E8767B"/>
    <w:rsid w:val="74EE1CBC"/>
    <w:rsid w:val="75123C86"/>
    <w:rsid w:val="75197B15"/>
    <w:rsid w:val="751C2323"/>
    <w:rsid w:val="754148A0"/>
    <w:rsid w:val="7542250D"/>
    <w:rsid w:val="75503EC8"/>
    <w:rsid w:val="75742A99"/>
    <w:rsid w:val="757E0235"/>
    <w:rsid w:val="758F086E"/>
    <w:rsid w:val="75A53E1E"/>
    <w:rsid w:val="75C87905"/>
    <w:rsid w:val="75D9002F"/>
    <w:rsid w:val="75E56B73"/>
    <w:rsid w:val="75FA42F7"/>
    <w:rsid w:val="763C111E"/>
    <w:rsid w:val="76422844"/>
    <w:rsid w:val="764711DA"/>
    <w:rsid w:val="76532064"/>
    <w:rsid w:val="767F0BEF"/>
    <w:rsid w:val="7686385A"/>
    <w:rsid w:val="768C3571"/>
    <w:rsid w:val="76AA5FDC"/>
    <w:rsid w:val="76BB7D9B"/>
    <w:rsid w:val="76BC1681"/>
    <w:rsid w:val="76BE5476"/>
    <w:rsid w:val="76C83B1B"/>
    <w:rsid w:val="76D27B4F"/>
    <w:rsid w:val="76F87D58"/>
    <w:rsid w:val="77044B2E"/>
    <w:rsid w:val="771D75B4"/>
    <w:rsid w:val="77427528"/>
    <w:rsid w:val="774B2583"/>
    <w:rsid w:val="774F3B18"/>
    <w:rsid w:val="77710A2F"/>
    <w:rsid w:val="777F5AE9"/>
    <w:rsid w:val="77840247"/>
    <w:rsid w:val="77850B04"/>
    <w:rsid w:val="77986ACA"/>
    <w:rsid w:val="77A20552"/>
    <w:rsid w:val="77AB48CB"/>
    <w:rsid w:val="77C835C4"/>
    <w:rsid w:val="77D052D9"/>
    <w:rsid w:val="77D85114"/>
    <w:rsid w:val="77EE77BC"/>
    <w:rsid w:val="77FA02D7"/>
    <w:rsid w:val="7819567F"/>
    <w:rsid w:val="7854405E"/>
    <w:rsid w:val="78562EA8"/>
    <w:rsid w:val="7891579D"/>
    <w:rsid w:val="789C6249"/>
    <w:rsid w:val="78AD17EB"/>
    <w:rsid w:val="78B1777C"/>
    <w:rsid w:val="78B374D1"/>
    <w:rsid w:val="78BB2A5F"/>
    <w:rsid w:val="78E14BB9"/>
    <w:rsid w:val="78F67476"/>
    <w:rsid w:val="790143E4"/>
    <w:rsid w:val="791C65C2"/>
    <w:rsid w:val="79577DAB"/>
    <w:rsid w:val="7967097E"/>
    <w:rsid w:val="797147FF"/>
    <w:rsid w:val="798925A4"/>
    <w:rsid w:val="798C2EF5"/>
    <w:rsid w:val="79A11E02"/>
    <w:rsid w:val="79B84825"/>
    <w:rsid w:val="79D26603"/>
    <w:rsid w:val="79E06C28"/>
    <w:rsid w:val="7A0538BC"/>
    <w:rsid w:val="7A1B669D"/>
    <w:rsid w:val="7A1C3A33"/>
    <w:rsid w:val="7A4050B9"/>
    <w:rsid w:val="7A425B54"/>
    <w:rsid w:val="7A496FEF"/>
    <w:rsid w:val="7A4A4813"/>
    <w:rsid w:val="7A5D61F9"/>
    <w:rsid w:val="7A907DCB"/>
    <w:rsid w:val="7AB66C3B"/>
    <w:rsid w:val="7AC006E0"/>
    <w:rsid w:val="7ACF44EE"/>
    <w:rsid w:val="7AD0393F"/>
    <w:rsid w:val="7AE13E33"/>
    <w:rsid w:val="7AF031DB"/>
    <w:rsid w:val="7AF82D60"/>
    <w:rsid w:val="7B0512FD"/>
    <w:rsid w:val="7B253F4E"/>
    <w:rsid w:val="7B294B2B"/>
    <w:rsid w:val="7B395F31"/>
    <w:rsid w:val="7B5315C2"/>
    <w:rsid w:val="7B605646"/>
    <w:rsid w:val="7B7900A1"/>
    <w:rsid w:val="7B85790F"/>
    <w:rsid w:val="7B981E87"/>
    <w:rsid w:val="7B9F68CE"/>
    <w:rsid w:val="7BCF2C0C"/>
    <w:rsid w:val="7C0C4E46"/>
    <w:rsid w:val="7C124AC5"/>
    <w:rsid w:val="7C61160F"/>
    <w:rsid w:val="7C640208"/>
    <w:rsid w:val="7C672149"/>
    <w:rsid w:val="7C72209D"/>
    <w:rsid w:val="7C863115"/>
    <w:rsid w:val="7C96411B"/>
    <w:rsid w:val="7C9A7819"/>
    <w:rsid w:val="7CA23460"/>
    <w:rsid w:val="7CAA54CC"/>
    <w:rsid w:val="7CD151D3"/>
    <w:rsid w:val="7CD87DB8"/>
    <w:rsid w:val="7CE43625"/>
    <w:rsid w:val="7CEA7251"/>
    <w:rsid w:val="7D177331"/>
    <w:rsid w:val="7D2270EA"/>
    <w:rsid w:val="7D2F1CAD"/>
    <w:rsid w:val="7D305423"/>
    <w:rsid w:val="7D317C74"/>
    <w:rsid w:val="7D4A7615"/>
    <w:rsid w:val="7D536ED7"/>
    <w:rsid w:val="7D6439CC"/>
    <w:rsid w:val="7D6C6868"/>
    <w:rsid w:val="7D790F82"/>
    <w:rsid w:val="7D8A6CFE"/>
    <w:rsid w:val="7D8E53B8"/>
    <w:rsid w:val="7D922FD0"/>
    <w:rsid w:val="7D951020"/>
    <w:rsid w:val="7DAB43FD"/>
    <w:rsid w:val="7DAE4E26"/>
    <w:rsid w:val="7DBC5C07"/>
    <w:rsid w:val="7DCF6F5A"/>
    <w:rsid w:val="7DDD1A60"/>
    <w:rsid w:val="7DDD584B"/>
    <w:rsid w:val="7DF82573"/>
    <w:rsid w:val="7E023428"/>
    <w:rsid w:val="7E354A5E"/>
    <w:rsid w:val="7E4073B9"/>
    <w:rsid w:val="7E491946"/>
    <w:rsid w:val="7E4B17FB"/>
    <w:rsid w:val="7E513FE0"/>
    <w:rsid w:val="7E767F63"/>
    <w:rsid w:val="7E7E4040"/>
    <w:rsid w:val="7E84384A"/>
    <w:rsid w:val="7E93397D"/>
    <w:rsid w:val="7E955328"/>
    <w:rsid w:val="7EBD4049"/>
    <w:rsid w:val="7ED97328"/>
    <w:rsid w:val="7EE5170C"/>
    <w:rsid w:val="7EEB1C9E"/>
    <w:rsid w:val="7EF969AF"/>
    <w:rsid w:val="7F056505"/>
    <w:rsid w:val="7F1614DF"/>
    <w:rsid w:val="7F1811D4"/>
    <w:rsid w:val="7F1E342E"/>
    <w:rsid w:val="7F264554"/>
    <w:rsid w:val="7F321BDB"/>
    <w:rsid w:val="7F45227F"/>
    <w:rsid w:val="7F565A05"/>
    <w:rsid w:val="7F5872C8"/>
    <w:rsid w:val="7F593DF4"/>
    <w:rsid w:val="7F622578"/>
    <w:rsid w:val="7F840750"/>
    <w:rsid w:val="7FA20A03"/>
    <w:rsid w:val="7FA74C31"/>
    <w:rsid w:val="7FB232BC"/>
    <w:rsid w:val="7FBF0492"/>
    <w:rsid w:val="7FCA293E"/>
    <w:rsid w:val="7FDD3171"/>
    <w:rsid w:val="7FE10F9E"/>
  </w:rsids>
  <w:docVars>
    <w:docVar w:name="commondata" w:val="eyJoZGlkIjoiYjY0ZWE3MjY5MDMxODdlODdmNmI4YjdhZmYwZGRhYzQ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semiHidden="0" w:uiPriority="39" w:unhideWhenUsed="0" w:qFormat="1"/>
    <w:lsdException w:name="toc 2" w:semiHidden="0" w:uiPriority="39" w:unhideWhenUsed="0" w:qFormat="1"/>
    <w:lsdException w:name="toc 3" w:semiHidden="0" w:uiPriority="39" w:qFormat="1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semiHidden="0" w:uiPriority="0" w:unhideWhenUsed="0" w:qFormat="1"/>
    <w:lsdException w:name="footnote text" w:uiPriority="0"/>
    <w:lsdException w:name="annotation text" w:uiPriority="0" w:qFormat="1"/>
    <w:lsdException w:name="header" w:semiHidden="0" w:uiPriority="0" w:qFormat="1"/>
    <w:lsdException w:name="footer" w:semiHidden="0" w:qFormat="1"/>
    <w:lsdException w:name="index heading" w:uiPriority="0"/>
    <w:lsdException w:name="caption" w:semiHidden="0" w:uiPriority="35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/>
    <w:lsdException w:name="macro" w:uiPriority="0"/>
    <w:lsdException w:name="toa heading" w:uiPriority="0"/>
    <w:lsdException w:name="List" w:uiPriority="0"/>
    <w:lsdException w:name="List Bullet" w:uiPriority="0"/>
    <w:lsdException w:name="List Number" w:semiHidden="0" w:uiPriority="0" w:unhideWhenUsed="0"/>
    <w:lsdException w:name="List 2" w:uiPriority="0"/>
    <w:lsdException w:name="List 3" w:uiPriority="0"/>
    <w:lsdException w:name="List 4" w:semiHidden="0" w:uiPriority="0" w:unhideWhenUsed="0"/>
    <w:lsdException w:name="List 5" w:semiHidden="0" w:uiPriority="0" w:unhideWhenUsed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Closing" w:uiPriority="0"/>
    <w:lsdException w:name="Signature" w:uiPriority="0"/>
    <w:lsdException w:name="Default Paragraph Font" w:uiPriority="1"/>
    <w:lsdException w:name="Body Text" w:semiHidden="0" w:uiPriority="0" w:unhideWhenUsed="0" w:qFormat="1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Message Header" w:uiPriority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 w:qFormat="1"/>
    <w:lsdException w:name="Body Text First Indent" w:semiHidden="0" w:uiPriority="0" w:unhideWhenUsed="0"/>
    <w:lsdException w:name="Body Text First Indent 2" w:uiPriority="0"/>
    <w:lsdException w:name="Note Heading" w:uiPriority="0"/>
    <w:lsdException w:name="Body Text 2" w:semiHidden="0" w:uiPriority="0" w:unhideWhenUsed="0" w:qFormat="1"/>
    <w:lsdException w:name="Body Text 3" w:uiPriority="0"/>
    <w:lsdException w:name="Body Text Indent 2" w:semiHidden="0" w:uiPriority="0" w:unhideWhenUsed="0" w:qFormat="1"/>
    <w:lsdException w:name="Body Text Indent 3" w:semiHidden="0" w:uiPriority="0" w:unhideWhenUsed="0" w:qFormat="1"/>
    <w:lsdException w:name="Block Text" w:uiPriority="0"/>
    <w:lsdException w:name="Hyperlink" w:semiHidden="0" w:unhideWhenUsed="0" w:qFormat="1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semiHidden="0" w:unhideWhenUsed="0" w:qFormat="1"/>
    <w:lsdException w:name="E-mail Signature" w:uiPriority="0"/>
    <w:lsdException w:name="Normal (Web)" w:qFormat="1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 w:qFormat="1"/>
    <w:lsdException w:name="Table Grid" w:semiHidden="0" w:uiPriority="39" w:unhideWhenUsed="0" w:qFormat="1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Default"/>
    <w:qFormat/>
    <w:pPr>
      <w:widowControl w:val="0"/>
      <w:spacing w:line="360" w:lineRule="auto"/>
    </w:pPr>
    <w:rPr>
      <w:rFonts w:asciiTheme="minorHAnsi" w:eastAsiaTheme="minorEastAsia" w:hAnsiTheme="minorHAnsi" w:cstheme="minorBidi"/>
      <w:kern w:val="2"/>
      <w:sz w:val="24"/>
      <w:szCs w:val="21"/>
      <w:lang w:val="en-US" w:eastAsia="zh-CN" w:bidi="ar-SA"/>
    </w:rPr>
  </w:style>
  <w:style w:type="paragraph" w:styleId="Heading1">
    <w:name w:val="heading 1"/>
    <w:basedOn w:val="Normal"/>
    <w:next w:val="Normal"/>
    <w:link w:val="13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140" w:after="140"/>
      <w:outlineLvl w:val="2"/>
    </w:pPr>
    <w:rPr>
      <w:bCs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宋体" w:hAnsi="Calibri" w:cs="Times New Roman"/>
      <w:color w:val="000000"/>
      <w:sz w:val="24"/>
      <w:szCs w:val="24"/>
      <w:lang w:val="en-US" w:eastAsia="zh-CN" w:bidi="ar-SA"/>
    </w:rPr>
  </w:style>
  <w:style w:type="paragraph" w:styleId="NormalIndent">
    <w:name w:val="Normal Indent"/>
    <w:basedOn w:val="Normal"/>
    <w:qFormat/>
    <w:pPr>
      <w:ind w:firstLine="200" w:firstLineChars="200"/>
    </w:pPr>
    <w:rPr>
      <w:rFonts w:ascii="Times New Roman" w:eastAsia="楷体_GB2312" w:hAnsi="Times New Roman" w:cs="Times New Roman"/>
      <w:szCs w:val="24"/>
    </w:rPr>
  </w:style>
  <w:style w:type="paragraph" w:styleId="Caption">
    <w:name w:val="caption"/>
    <w:basedOn w:val="Normal"/>
    <w:next w:val="Normal"/>
    <w:uiPriority w:val="35"/>
    <w:unhideWhenUsed/>
    <w:qFormat/>
    <w:rPr>
      <w:rFonts w:eastAsia="黑体" w:asciiTheme="majorHAnsi" w:hAnsiTheme="majorHAnsi" w:cstheme="majorBidi"/>
      <w:sz w:val="20"/>
      <w:szCs w:val="20"/>
    </w:rPr>
  </w:style>
  <w:style w:type="paragraph" w:styleId="CommentText">
    <w:name w:val="annotation text"/>
    <w:basedOn w:val="Normal"/>
    <w:link w:val="a5"/>
    <w:semiHidden/>
    <w:unhideWhenUsed/>
    <w:qFormat/>
  </w:style>
  <w:style w:type="paragraph" w:styleId="BodyText">
    <w:name w:val="Body Text"/>
    <w:basedOn w:val="Normal"/>
    <w:link w:val="a1"/>
    <w:qFormat/>
    <w:pPr>
      <w:spacing w:after="120"/>
    </w:pPr>
  </w:style>
  <w:style w:type="paragraph" w:styleId="TOC3">
    <w:name w:val="toc 3"/>
    <w:basedOn w:val="Normal"/>
    <w:next w:val="Normal"/>
    <w:uiPriority w:val="39"/>
    <w:unhideWhenUsed/>
    <w:qFormat/>
    <w:pPr>
      <w:tabs>
        <w:tab w:val="left" w:pos="851"/>
        <w:tab w:val="right" w:leader="dot" w:pos="8965"/>
      </w:tabs>
    </w:pPr>
  </w:style>
  <w:style w:type="paragraph" w:styleId="PlainText">
    <w:name w:val="Plain Text"/>
    <w:basedOn w:val="Normal"/>
    <w:link w:val="a2"/>
    <w:uiPriority w:val="99"/>
    <w:qFormat/>
    <w:rPr>
      <w:rFonts w:ascii="宋体" w:hAnsi="Courier New"/>
    </w:rPr>
  </w:style>
  <w:style w:type="paragraph" w:styleId="Date">
    <w:name w:val="Date"/>
    <w:basedOn w:val="Normal"/>
    <w:next w:val="Normal"/>
    <w:link w:val="a4"/>
    <w:qFormat/>
    <w:pPr>
      <w:ind w:left="100" w:leftChars="2500"/>
    </w:pPr>
  </w:style>
  <w:style w:type="paragraph" w:styleId="BodyTextIndent2">
    <w:name w:val="Body Text Indent 2"/>
    <w:basedOn w:val="Normal"/>
    <w:qFormat/>
    <w:pPr>
      <w:ind w:right="28" w:firstLine="540"/>
    </w:pPr>
    <w:rPr>
      <w:sz w:val="28"/>
      <w:szCs w:val="20"/>
    </w:rPr>
  </w:style>
  <w:style w:type="paragraph" w:styleId="BalloonText">
    <w:name w:val="Balloon Text"/>
    <w:basedOn w:val="Normal"/>
    <w:link w:val="a3"/>
    <w:qFormat/>
    <w:pPr>
      <w:spacing w:line="240" w:lineRule="auto"/>
    </w:pPr>
    <w:rPr>
      <w:sz w:val="18"/>
      <w:szCs w:val="18"/>
    </w:rPr>
  </w:style>
  <w:style w:type="paragraph" w:styleId="Footer">
    <w:name w:val="footer"/>
    <w:basedOn w:val="Normal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Normal"/>
    <w:next w:val="Normal"/>
    <w:uiPriority w:val="39"/>
    <w:qFormat/>
    <w:pPr>
      <w:tabs>
        <w:tab w:val="left" w:pos="426"/>
        <w:tab w:val="right" w:leader="dot" w:pos="8965"/>
      </w:tabs>
    </w:pPr>
    <w:rPr>
      <w:rFonts w:ascii="宋体" w:eastAsia="宋体" w:hAnsi="宋体" w:cs="Times New Roman"/>
      <w:szCs w:val="20"/>
    </w:rPr>
  </w:style>
  <w:style w:type="paragraph" w:styleId="BodyTextIndent3">
    <w:name w:val="Body Text Indent 3"/>
    <w:basedOn w:val="Normal"/>
    <w:qFormat/>
    <w:pPr>
      <w:ind w:firstLine="480"/>
    </w:pPr>
    <w:rPr>
      <w:rFonts w:ascii="宋体" w:eastAsia="宋体" w:hAnsi="Times New Roman" w:cs="Times New Roman" w:hint="eastAsia"/>
      <w:kern w:val="0"/>
      <w:szCs w:val="20"/>
    </w:rPr>
  </w:style>
  <w:style w:type="paragraph" w:styleId="TOC2">
    <w:name w:val="toc 2"/>
    <w:basedOn w:val="Normal"/>
    <w:next w:val="Normal"/>
    <w:uiPriority w:val="39"/>
    <w:qFormat/>
    <w:pPr>
      <w:tabs>
        <w:tab w:val="left" w:pos="567"/>
        <w:tab w:val="right" w:leader="dot" w:pos="8965"/>
      </w:tabs>
    </w:pPr>
    <w:rPr>
      <w:rFonts w:ascii="黑体" w:eastAsia="黑体" w:hAnsi="Times New Roman" w:cs="Times New Roman"/>
      <w:b/>
      <w:kern w:val="0"/>
    </w:rPr>
  </w:style>
  <w:style w:type="paragraph" w:styleId="BodyText2">
    <w:name w:val="Body Text 2"/>
    <w:basedOn w:val="Normal"/>
    <w:qFormat/>
    <w:pPr>
      <w:jc w:val="center"/>
    </w:pPr>
  </w:style>
  <w:style w:type="paragraph" w:styleId="NormalWeb">
    <w:name w:val="Normal (Web)"/>
    <w:basedOn w:val="Normal"/>
    <w:uiPriority w:val="99"/>
    <w:semiHidden/>
    <w:unhideWhenUsed/>
    <w:qFormat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Cs w:val="24"/>
    </w:rPr>
  </w:style>
  <w:style w:type="paragraph" w:styleId="CommentSubject">
    <w:name w:val="annotation subject"/>
    <w:basedOn w:val="CommentText"/>
    <w:next w:val="CommentText"/>
    <w:link w:val="a6"/>
    <w:semiHidden/>
    <w:unhideWhenUsed/>
    <w:rPr>
      <w:b/>
      <w:bCs/>
    </w:rPr>
  </w:style>
  <w:style w:type="table" w:styleId="TableGrid">
    <w:name w:val="Table Grid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CommentReference">
    <w:name w:val="annotation reference"/>
    <w:basedOn w:val="DefaultParagraphFont"/>
    <w:semiHidden/>
    <w:unhideWhenUsed/>
    <w:rPr>
      <w:sz w:val="21"/>
      <w:szCs w:val="21"/>
    </w:rPr>
  </w:style>
  <w:style w:type="paragraph" w:customStyle="1" w:styleId="1">
    <w:name w:val="新标题1"/>
    <w:basedOn w:val="ListParagraph"/>
    <w:qFormat/>
    <w:pPr>
      <w:numPr>
        <w:ilvl w:val="0"/>
        <w:numId w:val="1"/>
      </w:numPr>
      <w:spacing w:beforeLines="100" w:line="480" w:lineRule="auto"/>
      <w:ind w:firstLine="0" w:firstLineChars="0"/>
      <w:jc w:val="center"/>
      <w:outlineLvl w:val="0"/>
    </w:pPr>
    <w:rPr>
      <w:rFonts w:ascii="黑体" w:eastAsia="黑体"/>
      <w:b/>
      <w:sz w:val="32"/>
      <w:szCs w:val="32"/>
    </w:rPr>
  </w:style>
  <w:style w:type="paragraph" w:styleId="ListParagraph">
    <w:name w:val="List Paragraph"/>
    <w:basedOn w:val="Normal"/>
    <w:link w:val="a"/>
    <w:uiPriority w:val="34"/>
    <w:qFormat/>
    <w:pPr>
      <w:ind w:firstLine="420" w:firstLineChars="200"/>
    </w:pPr>
  </w:style>
  <w:style w:type="paragraph" w:customStyle="1" w:styleId="2">
    <w:name w:val="新标题2"/>
    <w:basedOn w:val="ListParagraph"/>
    <w:qFormat/>
    <w:pPr>
      <w:numPr>
        <w:ilvl w:val="1"/>
        <w:numId w:val="1"/>
      </w:numPr>
      <w:spacing w:before="50" w:beforeLines="50"/>
      <w:ind w:firstLineChars="0"/>
      <w:outlineLvl w:val="1"/>
    </w:pPr>
    <w:rPr>
      <w:b/>
      <w:sz w:val="28"/>
      <w:szCs w:val="30"/>
    </w:rPr>
  </w:style>
  <w:style w:type="paragraph" w:customStyle="1" w:styleId="3">
    <w:name w:val="新标题3"/>
    <w:basedOn w:val="ListParagraph"/>
    <w:link w:val="30"/>
    <w:qFormat/>
    <w:pPr>
      <w:numPr>
        <w:ilvl w:val="2"/>
        <w:numId w:val="1"/>
      </w:numPr>
      <w:adjustRightInd w:val="0"/>
      <w:snapToGrid w:val="0"/>
      <w:ind w:firstLine="0" w:firstLineChars="0"/>
      <w:outlineLvl w:val="2"/>
    </w:pPr>
    <w:rPr>
      <w:rFonts w:ascii="宋体" w:hAnsi="宋体"/>
      <w:b/>
      <w:color w:val="000000"/>
      <w:szCs w:val="28"/>
    </w:rPr>
  </w:style>
  <w:style w:type="character" w:customStyle="1" w:styleId="30">
    <w:name w:val="新标题3 字符"/>
    <w:basedOn w:val="a"/>
    <w:link w:val="3"/>
    <w:qFormat/>
    <w:rPr>
      <w:rFonts w:ascii="宋体" w:hAnsi="宋体"/>
      <w:b/>
      <w:color w:val="000000"/>
      <w:szCs w:val="28"/>
    </w:rPr>
  </w:style>
  <w:style w:type="character" w:customStyle="1" w:styleId="a">
    <w:name w:val="列表段落 字符"/>
    <w:basedOn w:val="DefaultParagraphFont"/>
    <w:link w:val="ListParagraph"/>
    <w:uiPriority w:val="34"/>
    <w:qFormat/>
  </w:style>
  <w:style w:type="table" w:customStyle="1" w:styleId="10">
    <w:name w:val="网格型浅色1"/>
    <w:basedOn w:val="TableNormal"/>
    <w:uiPriority w:val="40"/>
    <w:qFormat/>
    <w:tblPr>
      <w:tblBorders>
        <w:top w:val="single" w:sz="4" w:space="0" w:color="BEBEBE" w:themeColor="background1" w:themeShade="BF"/>
        <w:left w:val="single" w:sz="4" w:space="0" w:color="BEBEBE" w:themeColor="background1" w:themeShade="BF"/>
        <w:bottom w:val="single" w:sz="4" w:space="0" w:color="BEBEBE" w:themeColor="background1" w:themeShade="BF"/>
        <w:right w:val="single" w:sz="4" w:space="0" w:color="BEBEBE" w:themeColor="background1" w:themeShade="BF"/>
        <w:insideH w:val="single" w:sz="4" w:space="0" w:color="BEBEBE" w:themeColor="background1" w:themeShade="BF"/>
        <w:insideV w:val="single" w:sz="4" w:space="0" w:color="BEBEBE" w:themeColor="background1" w:themeShade="BF"/>
      </w:tblBorders>
    </w:tblPr>
  </w:style>
  <w:style w:type="paragraph" w:customStyle="1" w:styleId="11">
    <w:name w:val="纯文本1"/>
    <w:basedOn w:val="Normal"/>
    <w:qFormat/>
    <w:pPr>
      <w:adjustRightInd w:val="0"/>
      <w:textAlignment w:val="baseline"/>
    </w:pPr>
    <w:rPr>
      <w:rFonts w:ascii="宋体" w:eastAsia="宋体" w:hAnsi="Courier New" w:cs="Times New Roman"/>
      <w:szCs w:val="20"/>
    </w:rPr>
  </w:style>
  <w:style w:type="paragraph" w:customStyle="1" w:styleId="a0">
    <w:name w:val="施组"/>
    <w:basedOn w:val="12"/>
    <w:qFormat/>
    <w:pPr>
      <w:ind w:firstLine="425"/>
    </w:pPr>
    <w:rPr>
      <w:rFonts w:eastAsia="新宋体"/>
    </w:rPr>
  </w:style>
  <w:style w:type="paragraph" w:customStyle="1" w:styleId="12">
    <w:name w:val="样式1"/>
    <w:basedOn w:val="Normal"/>
    <w:qFormat/>
    <w:pPr>
      <w:ind w:firstLine="510"/>
    </w:pPr>
  </w:style>
  <w:style w:type="character" w:customStyle="1" w:styleId="a1">
    <w:name w:val="正文文本 字符"/>
    <w:basedOn w:val="DefaultParagraphFont"/>
    <w:link w:val="BodyText"/>
    <w:qFormat/>
    <w:rPr>
      <w:rFonts w:asciiTheme="minorHAnsi" w:eastAsiaTheme="minorEastAsia" w:hAnsiTheme="minorHAnsi" w:cstheme="minorBidi"/>
      <w:kern w:val="2"/>
      <w:sz w:val="24"/>
      <w:szCs w:val="21"/>
    </w:rPr>
  </w:style>
  <w:style w:type="character" w:customStyle="1" w:styleId="a2">
    <w:name w:val="纯文本 字符"/>
    <w:basedOn w:val="DefaultParagraphFont"/>
    <w:link w:val="PlainText"/>
    <w:uiPriority w:val="99"/>
    <w:qFormat/>
    <w:rPr>
      <w:rFonts w:ascii="宋体" w:hAnsi="Courier New" w:eastAsiaTheme="minorEastAsia" w:cstheme="minorBidi"/>
      <w:kern w:val="2"/>
      <w:sz w:val="24"/>
      <w:szCs w:val="21"/>
    </w:rPr>
  </w:style>
  <w:style w:type="paragraph" w:customStyle="1" w:styleId="Bodytext1">
    <w:name w:val="Body text|1"/>
    <w:basedOn w:val="Normal"/>
    <w:qFormat/>
    <w:pPr>
      <w:spacing w:line="314" w:lineRule="auto"/>
      <w:ind w:firstLine="380"/>
    </w:pPr>
    <w:rPr>
      <w:rFonts w:ascii="MingLiU" w:eastAsia="MingLiU" w:hAnsi="MingLiU" w:cs="MingLiU"/>
      <w:sz w:val="20"/>
      <w:szCs w:val="20"/>
      <w:lang w:val="zh-TW" w:eastAsia="zh-TW" w:bidi="zh-TW"/>
    </w:rPr>
  </w:style>
  <w:style w:type="paragraph" w:customStyle="1" w:styleId="Bodytext20">
    <w:name w:val="Body text|2"/>
    <w:basedOn w:val="Normal"/>
    <w:qFormat/>
    <w:pPr>
      <w:spacing w:after="80"/>
      <w:jc w:val="center"/>
    </w:pPr>
    <w:rPr>
      <w:rFonts w:ascii="Arial" w:eastAsia="Arial" w:hAnsi="Arial" w:cs="Arial"/>
      <w:b/>
      <w:bCs/>
      <w:sz w:val="16"/>
      <w:szCs w:val="16"/>
      <w:lang w:val="zh-TW" w:eastAsia="zh-TW" w:bidi="zh-TW"/>
    </w:rPr>
  </w:style>
  <w:style w:type="character" w:customStyle="1" w:styleId="a3">
    <w:name w:val="批注框文本 字符"/>
    <w:basedOn w:val="DefaultParagraphFont"/>
    <w:link w:val="BalloonText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31">
    <w:name w:val="样式3"/>
    <w:basedOn w:val="12"/>
    <w:qFormat/>
    <w:pPr>
      <w:numPr>
        <w:ilvl w:val="0"/>
        <w:numId w:val="2"/>
      </w:numPr>
    </w:pPr>
  </w:style>
  <w:style w:type="character" w:customStyle="1" w:styleId="13">
    <w:name w:val="标题 1 字符"/>
    <w:link w:val="Heading1"/>
    <w:qFormat/>
    <w:rPr>
      <w:b/>
      <w:kern w:val="44"/>
      <w:sz w:val="44"/>
    </w:rPr>
  </w:style>
  <w:style w:type="character" w:customStyle="1" w:styleId="a4">
    <w:name w:val="日期 字符"/>
    <w:basedOn w:val="DefaultParagraphFont"/>
    <w:link w:val="Date"/>
    <w:qFormat/>
    <w:rPr>
      <w:rFonts w:asciiTheme="minorHAnsi" w:eastAsiaTheme="minorEastAsia" w:hAnsiTheme="minorHAnsi" w:cstheme="minorBidi"/>
      <w:kern w:val="2"/>
      <w:sz w:val="24"/>
      <w:szCs w:val="21"/>
    </w:rPr>
  </w:style>
  <w:style w:type="paragraph" w:customStyle="1" w:styleId="14">
    <w:name w:val="正文首行缩进1"/>
    <w:basedOn w:val="BodyText"/>
    <w:pPr>
      <w:spacing w:before="100" w:beforeAutospacing="1" w:after="0" w:line="240" w:lineRule="auto"/>
      <w:ind w:firstLine="420" w:firstLineChars="100"/>
      <w:jc w:val="both"/>
    </w:pPr>
    <w:rPr>
      <w:rFonts w:ascii="Times New Roman" w:eastAsia="宋体" w:hAnsi="Times New Roman" w:cs="Times New Roman"/>
      <w:szCs w:val="24"/>
    </w:rPr>
  </w:style>
  <w:style w:type="paragraph" w:customStyle="1" w:styleId="TOCHeading">
    <w:name w:val="TOC Heading"/>
    <w:basedOn w:val="Heading1"/>
    <w:next w:val="Normal"/>
    <w:uiPriority w:val="39"/>
    <w:unhideWhenUsed/>
    <w:qFormat/>
    <w:pPr>
      <w:widowControl/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5B6" w:themeColor="accent1" w:themeShade="BF"/>
      <w:kern w:val="0"/>
      <w:sz w:val="32"/>
      <w:szCs w:val="32"/>
    </w:rPr>
  </w:style>
  <w:style w:type="character" w:customStyle="1" w:styleId="a5">
    <w:name w:val="批注文字 字符"/>
    <w:basedOn w:val="DefaultParagraphFont"/>
    <w:link w:val="CommentText"/>
    <w:semiHidden/>
    <w:rPr>
      <w:rFonts w:asciiTheme="minorHAnsi" w:eastAsiaTheme="minorEastAsia" w:hAnsiTheme="minorHAnsi" w:cstheme="minorBidi"/>
      <w:kern w:val="2"/>
      <w:sz w:val="24"/>
      <w:szCs w:val="21"/>
    </w:rPr>
  </w:style>
  <w:style w:type="character" w:customStyle="1" w:styleId="a6">
    <w:name w:val="批注主题 字符"/>
    <w:basedOn w:val="a5"/>
    <w:link w:val="CommentSubject"/>
    <w:semiHidden/>
    <w:rPr>
      <w:rFonts w:asciiTheme="minorHAnsi" w:eastAsiaTheme="minorEastAsia" w:hAnsiTheme="minorHAnsi" w:cstheme="minorBidi"/>
      <w:b/>
      <w:bCs/>
      <w:kern w:val="2"/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image" Target="media/image1.emf" /><Relationship Id="rId19" Type="http://schemas.openxmlformats.org/officeDocument/2006/relationships/image" Target="media/image2.jpeg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7.xml" /><Relationship Id="rId22" Type="http://schemas.openxmlformats.org/officeDocument/2006/relationships/image" Target="media/image3.jpeg" /><Relationship Id="rId23" Type="http://schemas.openxmlformats.org/officeDocument/2006/relationships/header" Target="header8.xml" /><Relationship Id="rId24" Type="http://schemas.openxmlformats.org/officeDocument/2006/relationships/footer" Target="footer8.xml" /><Relationship Id="rId25" Type="http://schemas.openxmlformats.org/officeDocument/2006/relationships/image" Target="media/image4.jpeg" /><Relationship Id="rId26" Type="http://schemas.openxmlformats.org/officeDocument/2006/relationships/image" Target="media/image5.jpeg" /><Relationship Id="rId27" Type="http://schemas.openxmlformats.org/officeDocument/2006/relationships/header" Target="header9.xml" /><Relationship Id="rId28" Type="http://schemas.openxmlformats.org/officeDocument/2006/relationships/footer" Target="footer9.xml" /><Relationship Id="rId29" Type="http://schemas.openxmlformats.org/officeDocument/2006/relationships/header" Target="header10.xml" /><Relationship Id="rId3" Type="http://schemas.openxmlformats.org/officeDocument/2006/relationships/fontTable" Target="fontTable.xml" /><Relationship Id="rId30" Type="http://schemas.openxmlformats.org/officeDocument/2006/relationships/footer" Target="footer10.xml" /><Relationship Id="rId31" Type="http://schemas.openxmlformats.org/officeDocument/2006/relationships/header" Target="header11.xml" /><Relationship Id="rId32" Type="http://schemas.openxmlformats.org/officeDocument/2006/relationships/footer" Target="footer11.xml" /><Relationship Id="rId33" Type="http://schemas.openxmlformats.org/officeDocument/2006/relationships/image" Target="media/image6.jpeg" /><Relationship Id="rId34" Type="http://schemas.openxmlformats.org/officeDocument/2006/relationships/header" Target="header12.xml" /><Relationship Id="rId35" Type="http://schemas.openxmlformats.org/officeDocument/2006/relationships/footer" Target="footer12.xml" /><Relationship Id="rId36" Type="http://schemas.openxmlformats.org/officeDocument/2006/relationships/image" Target="media/image7.jpeg" /><Relationship Id="rId37" Type="http://schemas.openxmlformats.org/officeDocument/2006/relationships/image" Target="media/image8.jpeg" /><Relationship Id="rId38" Type="http://schemas.openxmlformats.org/officeDocument/2006/relationships/hyperlink" Target="https://d.book118.com/547012123011006031" TargetMode="External" /><Relationship Id="rId39" Type="http://schemas.openxmlformats.org/officeDocument/2006/relationships/header" Target="header13.xml" /><Relationship Id="rId4" Type="http://schemas.openxmlformats.org/officeDocument/2006/relationships/customXml" Target="../customXml/item1.xml" /><Relationship Id="rId40" Type="http://schemas.openxmlformats.org/officeDocument/2006/relationships/footer" Target="footer13.xml" /><Relationship Id="rId41" Type="http://schemas.openxmlformats.org/officeDocument/2006/relationships/theme" Target="theme/theme1.xml" /><Relationship Id="rId42" Type="http://schemas.openxmlformats.org/officeDocument/2006/relationships/numbering" Target="numbering.xml" /><Relationship Id="rId43" Type="http://schemas.openxmlformats.org/officeDocument/2006/relationships/styles" Target="styles.xml" /><Relationship Id="rId5" Type="http://schemas.openxmlformats.org/officeDocument/2006/relationships/customXml" Target="../customXml/item2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9BE7CD9-CF2E-4179-992B-9F1C16B50DC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13</Pages>
  <Words>1613</Words>
  <Characters>9196</Characters>
  <Application>Microsoft Office Word</Application>
  <DocSecurity>0</DocSecurity>
  <Lines>76</Lines>
  <Paragraphs>21</Paragraphs>
  <ScaleCrop>false</ScaleCrop>
  <Company>china</Company>
  <LinksUpToDate>false</LinksUpToDate>
  <CharactersWithSpaces>10788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李拜天</cp:lastModifiedBy>
  <cp:revision>3</cp:revision>
  <dcterms:created xsi:type="dcterms:W3CDTF">2021-03-07T10:06:00Z</dcterms:created>
  <dcterms:modified xsi:type="dcterms:W3CDTF">2024-01-14T03:10:06Z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25CE4062D5BC4E449AD145C9273473E5_12</vt:lpwstr>
  </property>
  <property fmtid="{D5CDD505-2E9C-101B-9397-08002B2CF9AE}" pid="3" name="KSOProductBuildVer">
    <vt:lpwstr>2052-12.1.0.16120</vt:lpwstr>
  </property>
</Properties>
</file>