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气体分离及液化设备相关公司员工职业道路规划与管理</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1075" w:history="1">
        <w:r>
          <w:rPr>
            <w:rFonts w:ascii="仿宋" w:eastAsia="仿宋" w:hAnsi="仿宋" w:cs="仿宋" w:hint="eastAsia"/>
            <w:lang w:eastAsia="zh-CN"/>
          </w:rPr>
          <w:t>序言</w:t>
        </w:r>
        <w:r>
          <w:tab/>
        </w:r>
        <w:r>
          <w:fldChar w:fldCharType="begin"/>
        </w:r>
        <w:r>
          <w:instrText xml:space="preserve"> PAGEREF _Toc21075 \h </w:instrText>
        </w:r>
        <w:r>
          <w:fldChar w:fldCharType="separate"/>
        </w:r>
        <w:r>
          <w:t>3</w:t>
        </w:r>
        <w:r>
          <w:fldChar w:fldCharType="end"/>
        </w:r>
      </w:hyperlink>
    </w:p>
    <w:p>
      <w:pPr>
        <w:pStyle w:val="TOC1"/>
        <w:tabs>
          <w:tab w:val="right" w:leader="dot" w:pos="8306"/>
        </w:tabs>
      </w:pPr>
      <w:hyperlink w:anchor="_Toc24822" w:history="1">
        <w:r>
          <w:rPr>
            <w:rFonts w:ascii="仿宋" w:eastAsia="仿宋" w:hAnsi="仿宋" w:cs="仿宋" w:hint="eastAsia"/>
            <w:lang w:eastAsia="zh-CN"/>
          </w:rPr>
          <w:t>一、气体分离及液化设备行业背景分析</w:t>
        </w:r>
        <w:r>
          <w:tab/>
        </w:r>
        <w:r>
          <w:fldChar w:fldCharType="begin"/>
        </w:r>
        <w:r>
          <w:instrText xml:space="preserve"> PAGEREF _Toc24822 \h </w:instrText>
        </w:r>
        <w:r>
          <w:fldChar w:fldCharType="separate"/>
        </w:r>
        <w:r>
          <w:t>3</w:t>
        </w:r>
        <w:r>
          <w:fldChar w:fldCharType="end"/>
        </w:r>
      </w:hyperlink>
    </w:p>
    <w:p>
      <w:pPr>
        <w:pStyle w:val="TOC2"/>
        <w:tabs>
          <w:tab w:val="right" w:leader="dot" w:pos="8306"/>
        </w:tabs>
      </w:pPr>
      <w:hyperlink w:anchor="_Toc6572" w:history="1">
        <w:r>
          <w:rPr>
            <w:rFonts w:ascii="仿宋" w:eastAsia="仿宋" w:hAnsi="仿宋" w:cs="仿宋" w:hint="eastAsia"/>
            <w:lang w:eastAsia="zh-CN"/>
          </w:rPr>
          <w:t>(一)、气体分离及液化设备行业背景分析</w:t>
        </w:r>
        <w:r>
          <w:tab/>
        </w:r>
        <w:r>
          <w:fldChar w:fldCharType="begin"/>
        </w:r>
        <w:r>
          <w:instrText xml:space="preserve"> PAGEREF _Toc6572 \h </w:instrText>
        </w:r>
        <w:r>
          <w:fldChar w:fldCharType="separate"/>
        </w:r>
        <w:r>
          <w:t>3</w:t>
        </w:r>
        <w:r>
          <w:fldChar w:fldCharType="end"/>
        </w:r>
      </w:hyperlink>
    </w:p>
    <w:p>
      <w:pPr>
        <w:pStyle w:val="TOC1"/>
        <w:tabs>
          <w:tab w:val="right" w:leader="dot" w:pos="8306"/>
        </w:tabs>
      </w:pPr>
      <w:hyperlink w:anchor="_Toc22168" w:history="1">
        <w:r>
          <w:rPr>
            <w:rFonts w:ascii="仿宋" w:eastAsia="仿宋" w:hAnsi="仿宋" w:cs="仿宋" w:hint="eastAsia"/>
            <w:lang w:eastAsia="zh-CN"/>
          </w:rPr>
          <w:t>二、薪酬制度管理</w:t>
        </w:r>
        <w:r>
          <w:tab/>
        </w:r>
        <w:r>
          <w:fldChar w:fldCharType="begin"/>
        </w:r>
        <w:r>
          <w:instrText xml:space="preserve"> PAGEREF _Toc22168 \h </w:instrText>
        </w:r>
        <w:r>
          <w:fldChar w:fldCharType="separate"/>
        </w:r>
        <w:r>
          <w:t>5</w:t>
        </w:r>
        <w:r>
          <w:fldChar w:fldCharType="end"/>
        </w:r>
      </w:hyperlink>
    </w:p>
    <w:p>
      <w:pPr>
        <w:pStyle w:val="TOC2"/>
        <w:tabs>
          <w:tab w:val="right" w:leader="dot" w:pos="8306"/>
        </w:tabs>
      </w:pPr>
      <w:hyperlink w:anchor="_Toc27611" w:history="1">
        <w:r>
          <w:rPr>
            <w:rFonts w:ascii="仿宋" w:eastAsia="仿宋" w:hAnsi="仿宋" w:cs="仿宋" w:hint="eastAsia"/>
            <w:lang w:eastAsia="zh-CN"/>
          </w:rPr>
          <w:t>(一)、薪酬管理制度</w:t>
        </w:r>
        <w:r>
          <w:tab/>
        </w:r>
        <w:r>
          <w:fldChar w:fldCharType="begin"/>
        </w:r>
        <w:r>
          <w:instrText xml:space="preserve"> PAGEREF _Toc27611 \h </w:instrText>
        </w:r>
        <w:r>
          <w:fldChar w:fldCharType="separate"/>
        </w:r>
        <w:r>
          <w:t>5</w:t>
        </w:r>
        <w:r>
          <w:fldChar w:fldCharType="end"/>
        </w:r>
      </w:hyperlink>
    </w:p>
    <w:p>
      <w:pPr>
        <w:pStyle w:val="TOC2"/>
        <w:tabs>
          <w:tab w:val="right" w:leader="dot" w:pos="8306"/>
        </w:tabs>
      </w:pPr>
      <w:hyperlink w:anchor="_Toc1140" w:history="1">
        <w:r>
          <w:rPr>
            <w:rFonts w:ascii="仿宋" w:eastAsia="仿宋" w:hAnsi="仿宋" w:cs="仿宋" w:hint="eastAsia"/>
            <w:lang w:eastAsia="zh-CN"/>
          </w:rPr>
          <w:t>(二)、奖金制度的制定</w:t>
        </w:r>
        <w:r>
          <w:tab/>
        </w:r>
        <w:r>
          <w:fldChar w:fldCharType="begin"/>
        </w:r>
        <w:r>
          <w:instrText xml:space="preserve"> PAGEREF _Toc1140 \h </w:instrText>
        </w:r>
        <w:r>
          <w:fldChar w:fldCharType="separate"/>
        </w:r>
        <w:r>
          <w:t>8</w:t>
        </w:r>
        <w:r>
          <w:fldChar w:fldCharType="end"/>
        </w:r>
      </w:hyperlink>
    </w:p>
    <w:p>
      <w:pPr>
        <w:pStyle w:val="TOC2"/>
        <w:tabs>
          <w:tab w:val="right" w:leader="dot" w:pos="8306"/>
        </w:tabs>
      </w:pPr>
      <w:hyperlink w:anchor="_Toc15406" w:history="1">
        <w:r>
          <w:rPr>
            <w:rFonts w:ascii="仿宋" w:eastAsia="仿宋" w:hAnsi="仿宋" w:cs="仿宋" w:hint="eastAsia"/>
            <w:lang w:eastAsia="zh-CN"/>
          </w:rPr>
          <w:t>(三)、岗位薪酬体系设计</w:t>
        </w:r>
        <w:r>
          <w:tab/>
        </w:r>
        <w:r>
          <w:fldChar w:fldCharType="begin"/>
        </w:r>
        <w:r>
          <w:instrText xml:space="preserve"> PAGEREF _Toc15406 \h </w:instrText>
        </w:r>
        <w:r>
          <w:fldChar w:fldCharType="separate"/>
        </w:r>
        <w:r>
          <w:t>11</w:t>
        </w:r>
        <w:r>
          <w:fldChar w:fldCharType="end"/>
        </w:r>
      </w:hyperlink>
    </w:p>
    <w:p>
      <w:pPr>
        <w:pStyle w:val="TOC2"/>
        <w:tabs>
          <w:tab w:val="right" w:leader="dot" w:pos="8306"/>
        </w:tabs>
      </w:pPr>
      <w:hyperlink w:anchor="_Toc12380" w:history="1">
        <w:r>
          <w:rPr>
            <w:rFonts w:ascii="仿宋" w:eastAsia="仿宋" w:hAnsi="仿宋" w:cs="仿宋" w:hint="eastAsia"/>
            <w:lang w:eastAsia="zh-CN"/>
          </w:rPr>
          <w:t>(四)、绩效薪酬体系设计</w:t>
        </w:r>
        <w:r>
          <w:tab/>
        </w:r>
        <w:r>
          <w:fldChar w:fldCharType="begin"/>
        </w:r>
        <w:r>
          <w:instrText xml:space="preserve"> PAGEREF _Toc12380 \h </w:instrText>
        </w:r>
        <w:r>
          <w:fldChar w:fldCharType="separate"/>
        </w:r>
        <w:r>
          <w:t>13</w:t>
        </w:r>
        <w:r>
          <w:fldChar w:fldCharType="end"/>
        </w:r>
      </w:hyperlink>
    </w:p>
    <w:p>
      <w:pPr>
        <w:pStyle w:val="TOC1"/>
        <w:tabs>
          <w:tab w:val="right" w:leader="dot" w:pos="8306"/>
        </w:tabs>
      </w:pPr>
      <w:hyperlink w:anchor="_Toc25076" w:history="1">
        <w:r>
          <w:rPr>
            <w:rFonts w:ascii="仿宋" w:eastAsia="仿宋" w:hAnsi="仿宋" w:cs="仿宋" w:hint="eastAsia"/>
            <w:lang w:eastAsia="zh-CN"/>
          </w:rPr>
          <w:t>三、员工职业生涯规划与发展</w:t>
        </w:r>
        <w:r>
          <w:tab/>
        </w:r>
        <w:r>
          <w:fldChar w:fldCharType="begin"/>
        </w:r>
        <w:r>
          <w:instrText xml:space="preserve"> PAGEREF _Toc25076 \h </w:instrText>
        </w:r>
        <w:r>
          <w:fldChar w:fldCharType="separate"/>
        </w:r>
        <w:r>
          <w:t>14</w:t>
        </w:r>
        <w:r>
          <w:fldChar w:fldCharType="end"/>
        </w:r>
      </w:hyperlink>
    </w:p>
    <w:p>
      <w:pPr>
        <w:pStyle w:val="TOC2"/>
        <w:tabs>
          <w:tab w:val="right" w:leader="dot" w:pos="8306"/>
        </w:tabs>
      </w:pPr>
      <w:hyperlink w:anchor="_Toc16951" w:history="1">
        <w:r>
          <w:rPr>
            <w:rFonts w:ascii="仿宋" w:eastAsia="仿宋" w:hAnsi="仿宋" w:cs="仿宋" w:hint="eastAsia"/>
            <w:lang w:eastAsia="zh-CN"/>
          </w:rPr>
          <w:t>(一)、职业生涯规划概述</w:t>
        </w:r>
        <w:r>
          <w:tab/>
        </w:r>
        <w:r>
          <w:fldChar w:fldCharType="begin"/>
        </w:r>
        <w:r>
          <w:instrText xml:space="preserve"> PAGEREF _Toc16951 \h </w:instrText>
        </w:r>
        <w:r>
          <w:fldChar w:fldCharType="separate"/>
        </w:r>
        <w:r>
          <w:t>14</w:t>
        </w:r>
        <w:r>
          <w:fldChar w:fldCharType="end"/>
        </w:r>
      </w:hyperlink>
    </w:p>
    <w:p>
      <w:pPr>
        <w:pStyle w:val="TOC2"/>
        <w:tabs>
          <w:tab w:val="right" w:leader="dot" w:pos="8306"/>
        </w:tabs>
      </w:pPr>
      <w:hyperlink w:anchor="_Toc9209" w:history="1">
        <w:r>
          <w:rPr>
            <w:rFonts w:ascii="仿宋" w:eastAsia="仿宋" w:hAnsi="仿宋" w:cs="仿宋" w:hint="eastAsia"/>
            <w:lang w:eastAsia="zh-CN"/>
          </w:rPr>
          <w:t>(二)、基本原则与方法</w:t>
        </w:r>
        <w:r>
          <w:tab/>
        </w:r>
        <w:r>
          <w:fldChar w:fldCharType="begin"/>
        </w:r>
        <w:r>
          <w:instrText xml:space="preserve"> PAGEREF _Toc9209 \h </w:instrText>
        </w:r>
        <w:r>
          <w:fldChar w:fldCharType="separate"/>
        </w:r>
        <w:r>
          <w:t>16</w:t>
        </w:r>
        <w:r>
          <w:fldChar w:fldCharType="end"/>
        </w:r>
      </w:hyperlink>
    </w:p>
    <w:p>
      <w:pPr>
        <w:pStyle w:val="TOC2"/>
        <w:tabs>
          <w:tab w:val="right" w:leader="dot" w:pos="8306"/>
        </w:tabs>
      </w:pPr>
      <w:hyperlink w:anchor="_Toc4614" w:history="1">
        <w:r>
          <w:rPr>
            <w:rFonts w:ascii="仿宋" w:eastAsia="仿宋" w:hAnsi="仿宋" w:cs="仿宋" w:hint="eastAsia"/>
            <w:lang w:eastAsia="zh-CN"/>
          </w:rPr>
          <w:t>(三)、员工职业生涯管理</w:t>
        </w:r>
        <w:r>
          <w:tab/>
        </w:r>
        <w:r>
          <w:fldChar w:fldCharType="begin"/>
        </w:r>
        <w:r>
          <w:instrText xml:space="preserve"> PAGEREF _Toc4614 \h </w:instrText>
        </w:r>
        <w:r>
          <w:fldChar w:fldCharType="separate"/>
        </w:r>
        <w:r>
          <w:t>16</w:t>
        </w:r>
        <w:r>
          <w:fldChar w:fldCharType="end"/>
        </w:r>
      </w:hyperlink>
    </w:p>
    <w:p>
      <w:pPr>
        <w:pStyle w:val="TOC2"/>
        <w:tabs>
          <w:tab w:val="right" w:leader="dot" w:pos="8306"/>
        </w:tabs>
      </w:pPr>
      <w:hyperlink w:anchor="_Toc32025" w:history="1">
        <w:r>
          <w:rPr>
            <w:rFonts w:ascii="仿宋" w:eastAsia="仿宋" w:hAnsi="仿宋" w:cs="仿宋" w:hint="eastAsia"/>
            <w:lang w:eastAsia="zh-CN"/>
          </w:rPr>
          <w:t>(四)、职业生涯发展支持体系</w:t>
        </w:r>
        <w:r>
          <w:tab/>
        </w:r>
        <w:r>
          <w:fldChar w:fldCharType="begin"/>
        </w:r>
        <w:r>
          <w:instrText xml:space="preserve"> PAGEREF _Toc32025 \h </w:instrText>
        </w:r>
        <w:r>
          <w:fldChar w:fldCharType="separate"/>
        </w:r>
        <w:r>
          <w:t>18</w:t>
        </w:r>
        <w:r>
          <w:fldChar w:fldCharType="end"/>
        </w:r>
      </w:hyperlink>
    </w:p>
    <w:p>
      <w:pPr>
        <w:pStyle w:val="TOC2"/>
        <w:tabs>
          <w:tab w:val="right" w:leader="dot" w:pos="8306"/>
        </w:tabs>
      </w:pPr>
      <w:hyperlink w:anchor="_Toc3746" w:history="1">
        <w:r>
          <w:rPr>
            <w:rFonts w:ascii="仿宋" w:eastAsia="仿宋" w:hAnsi="仿宋" w:cs="仿宋" w:hint="eastAsia"/>
            <w:lang w:eastAsia="zh-CN"/>
          </w:rPr>
          <w:t>(五)、公司文化与员工职业发展融合</w:t>
        </w:r>
        <w:r>
          <w:tab/>
        </w:r>
        <w:r>
          <w:fldChar w:fldCharType="begin"/>
        </w:r>
        <w:r>
          <w:instrText xml:space="preserve"> PAGEREF _Toc3746 \h </w:instrText>
        </w:r>
        <w:r>
          <w:fldChar w:fldCharType="separate"/>
        </w:r>
        <w:r>
          <w:t>20</w:t>
        </w:r>
        <w:r>
          <w:fldChar w:fldCharType="end"/>
        </w:r>
      </w:hyperlink>
    </w:p>
    <w:p>
      <w:pPr>
        <w:pStyle w:val="TOC2"/>
        <w:tabs>
          <w:tab w:val="right" w:leader="dot" w:pos="8306"/>
        </w:tabs>
      </w:pPr>
      <w:hyperlink w:anchor="_Toc19055" w:history="1">
        <w:r>
          <w:rPr>
            <w:rFonts w:ascii="仿宋" w:eastAsia="仿宋" w:hAnsi="仿宋" w:cs="仿宋" w:hint="eastAsia"/>
            <w:lang w:eastAsia="zh-CN"/>
          </w:rPr>
          <w:t>(六)、未来趋势与发展策略</w:t>
        </w:r>
        <w:r>
          <w:tab/>
        </w:r>
        <w:r>
          <w:fldChar w:fldCharType="begin"/>
        </w:r>
        <w:r>
          <w:instrText xml:space="preserve"> PAGEREF _Toc19055 \h </w:instrText>
        </w:r>
        <w:r>
          <w:fldChar w:fldCharType="separate"/>
        </w:r>
        <w:r>
          <w:t>21</w:t>
        </w:r>
        <w:r>
          <w:fldChar w:fldCharType="end"/>
        </w:r>
      </w:hyperlink>
    </w:p>
    <w:p>
      <w:pPr>
        <w:pStyle w:val="TOC1"/>
        <w:tabs>
          <w:tab w:val="right" w:leader="dot" w:pos="8306"/>
        </w:tabs>
      </w:pPr>
      <w:hyperlink w:anchor="_Toc19389" w:history="1">
        <w:r>
          <w:rPr>
            <w:rFonts w:ascii="仿宋" w:eastAsia="仿宋" w:hAnsi="仿宋" w:cs="仿宋" w:hint="eastAsia"/>
            <w:lang w:eastAsia="zh-CN"/>
          </w:rPr>
          <w:t>四、宏观环境分析</w:t>
        </w:r>
        <w:r>
          <w:tab/>
        </w:r>
        <w:r>
          <w:fldChar w:fldCharType="begin"/>
        </w:r>
        <w:r>
          <w:instrText xml:space="preserve"> PAGEREF _Toc19389 \h </w:instrText>
        </w:r>
        <w:r>
          <w:fldChar w:fldCharType="separate"/>
        </w:r>
        <w:r>
          <w:t>23</w:t>
        </w:r>
        <w:r>
          <w:fldChar w:fldCharType="end"/>
        </w:r>
      </w:hyperlink>
    </w:p>
    <w:p>
      <w:pPr>
        <w:pStyle w:val="TOC2"/>
        <w:tabs>
          <w:tab w:val="right" w:leader="dot" w:pos="8306"/>
        </w:tabs>
      </w:pPr>
      <w:hyperlink w:anchor="_Toc22497" w:history="1">
        <w:r>
          <w:rPr>
            <w:rFonts w:ascii="仿宋" w:eastAsia="仿宋" w:hAnsi="仿宋" w:cs="仿宋" w:hint="eastAsia"/>
            <w:lang w:eastAsia="zh-CN"/>
          </w:rPr>
          <w:t>(一)、宏观环境分析</w:t>
        </w:r>
        <w:r>
          <w:tab/>
        </w:r>
        <w:r>
          <w:fldChar w:fldCharType="begin"/>
        </w:r>
        <w:r>
          <w:instrText xml:space="preserve"> PAGEREF _Toc22497 \h </w:instrText>
        </w:r>
        <w:r>
          <w:fldChar w:fldCharType="separate"/>
        </w:r>
        <w:r>
          <w:t>23</w:t>
        </w:r>
        <w:r>
          <w:fldChar w:fldCharType="end"/>
        </w:r>
      </w:hyperlink>
    </w:p>
    <w:p>
      <w:pPr>
        <w:pStyle w:val="TOC1"/>
        <w:tabs>
          <w:tab w:val="right" w:leader="dot" w:pos="8306"/>
        </w:tabs>
      </w:pPr>
      <w:hyperlink w:anchor="_Toc14521" w:history="1">
        <w:r>
          <w:rPr>
            <w:rFonts w:ascii="仿宋" w:eastAsia="仿宋" w:hAnsi="仿宋" w:cs="仿宋" w:hint="eastAsia"/>
            <w:lang w:eastAsia="zh-CN"/>
          </w:rPr>
          <w:t>五、员工沟通技巧培训与人际关系管理</w:t>
        </w:r>
        <w:r>
          <w:tab/>
        </w:r>
        <w:r>
          <w:fldChar w:fldCharType="begin"/>
        </w:r>
        <w:r>
          <w:instrText xml:space="preserve"> PAGEREF _Toc14521 \h </w:instrText>
        </w:r>
        <w:r>
          <w:fldChar w:fldCharType="separate"/>
        </w:r>
        <w:r>
          <w:t>25</w:t>
        </w:r>
        <w:r>
          <w:fldChar w:fldCharType="end"/>
        </w:r>
      </w:hyperlink>
    </w:p>
    <w:p>
      <w:pPr>
        <w:pStyle w:val="TOC2"/>
        <w:tabs>
          <w:tab w:val="right" w:leader="dot" w:pos="8306"/>
        </w:tabs>
      </w:pPr>
      <w:hyperlink w:anchor="_Toc9750" w:history="1">
        <w:r>
          <w:rPr>
            <w:rFonts w:ascii="仿宋" w:eastAsia="仿宋" w:hAnsi="仿宋" w:cs="仿宋" w:hint="eastAsia"/>
            <w:lang w:eastAsia="zh-CN"/>
          </w:rPr>
          <w:t>(一)、沟通技巧的重要性及培训计划</w:t>
        </w:r>
        <w:r>
          <w:tab/>
        </w:r>
        <w:r>
          <w:fldChar w:fldCharType="begin"/>
        </w:r>
        <w:r>
          <w:instrText xml:space="preserve"> PAGEREF _Toc9750 \h </w:instrText>
        </w:r>
        <w:r>
          <w:fldChar w:fldCharType="separate"/>
        </w:r>
        <w:r>
          <w:t>25</w:t>
        </w:r>
        <w:r>
          <w:fldChar w:fldCharType="end"/>
        </w:r>
      </w:hyperlink>
    </w:p>
    <w:p>
      <w:pPr>
        <w:pStyle w:val="TOC2"/>
        <w:tabs>
          <w:tab w:val="right" w:leader="dot" w:pos="8306"/>
        </w:tabs>
      </w:pPr>
      <w:hyperlink w:anchor="_Toc3907" w:history="1">
        <w:r>
          <w:rPr>
            <w:rFonts w:ascii="仿宋" w:eastAsia="仿宋" w:hAnsi="仿宋" w:cs="仿宋" w:hint="eastAsia"/>
            <w:lang w:eastAsia="zh-CN"/>
          </w:rPr>
          <w:t>(二)、人际关系管理的原则与方法</w:t>
        </w:r>
        <w:r>
          <w:tab/>
        </w:r>
        <w:r>
          <w:fldChar w:fldCharType="begin"/>
        </w:r>
        <w:r>
          <w:instrText xml:space="preserve"> PAGEREF _Toc3907 \h </w:instrText>
        </w:r>
        <w:r>
          <w:fldChar w:fldCharType="separate"/>
        </w:r>
        <w:r>
          <w:t>26</w:t>
        </w:r>
        <w:r>
          <w:fldChar w:fldCharType="end"/>
        </w:r>
      </w:hyperlink>
    </w:p>
    <w:p>
      <w:pPr>
        <w:pStyle w:val="TOC2"/>
        <w:tabs>
          <w:tab w:val="right" w:leader="dot" w:pos="8306"/>
        </w:tabs>
      </w:pPr>
      <w:hyperlink w:anchor="_Toc23836" w:history="1">
        <w:r>
          <w:rPr>
            <w:rFonts w:ascii="仿宋" w:eastAsia="仿宋" w:hAnsi="仿宋" w:cs="仿宋" w:hint="eastAsia"/>
            <w:lang w:eastAsia="zh-CN"/>
          </w:rPr>
          <w:t>(三)、良好人际关系的建立与维护</w:t>
        </w:r>
        <w:r>
          <w:tab/>
        </w:r>
        <w:r>
          <w:fldChar w:fldCharType="begin"/>
        </w:r>
        <w:r>
          <w:instrText xml:space="preserve"> PAGEREF _Toc23836 \h </w:instrText>
        </w:r>
        <w:r>
          <w:fldChar w:fldCharType="separate"/>
        </w:r>
        <w:r>
          <w:t>26</w:t>
        </w:r>
        <w:r>
          <w:fldChar w:fldCharType="end"/>
        </w:r>
      </w:hyperlink>
    </w:p>
    <w:p>
      <w:pPr>
        <w:pStyle w:val="TOC1"/>
        <w:tabs>
          <w:tab w:val="right" w:leader="dot" w:pos="8306"/>
        </w:tabs>
      </w:pPr>
      <w:hyperlink w:anchor="_Toc16355" w:history="1">
        <w:r>
          <w:rPr>
            <w:rFonts w:ascii="仿宋" w:eastAsia="仿宋" w:hAnsi="仿宋" w:cs="仿宋" w:hint="eastAsia"/>
            <w:lang w:eastAsia="zh-CN"/>
          </w:rPr>
          <w:t>六、第三十二章未来发展愿景</w:t>
        </w:r>
        <w:r>
          <w:tab/>
        </w:r>
        <w:r>
          <w:fldChar w:fldCharType="begin"/>
        </w:r>
        <w:r>
          <w:instrText xml:space="preserve"> PAGEREF _Toc16355 \h </w:instrText>
        </w:r>
        <w:r>
          <w:fldChar w:fldCharType="separate"/>
        </w:r>
        <w:r>
          <w:t>27</w:t>
        </w:r>
        <w:r>
          <w:fldChar w:fldCharType="end"/>
        </w:r>
      </w:hyperlink>
    </w:p>
    <w:p>
      <w:pPr>
        <w:pStyle w:val="TOC2"/>
        <w:tabs>
          <w:tab w:val="right" w:leader="dot" w:pos="8306"/>
        </w:tabs>
      </w:pPr>
      <w:hyperlink w:anchor="_Toc14666" w:history="1">
        <w:r>
          <w:rPr>
            <w:rFonts w:ascii="仿宋" w:eastAsia="仿宋" w:hAnsi="仿宋" w:cs="仿宋" w:hint="eastAsia"/>
            <w:lang w:eastAsia="zh-CN"/>
          </w:rPr>
          <w:t>(一)、员工职业生涯管理的未来趋势</w:t>
        </w:r>
        <w:r>
          <w:tab/>
        </w:r>
        <w:r>
          <w:fldChar w:fldCharType="begin"/>
        </w:r>
        <w:r>
          <w:instrText xml:space="preserve"> PAGEREF _Toc14666 \h </w:instrText>
        </w:r>
        <w:r>
          <w:fldChar w:fldCharType="separate"/>
        </w:r>
        <w:r>
          <w:t>27</w:t>
        </w:r>
        <w:r>
          <w:fldChar w:fldCharType="end"/>
        </w:r>
      </w:hyperlink>
    </w:p>
    <w:p>
      <w:pPr>
        <w:pStyle w:val="TOC2"/>
        <w:tabs>
          <w:tab w:val="right" w:leader="dot" w:pos="8306"/>
        </w:tabs>
      </w:pPr>
      <w:hyperlink w:anchor="_Toc5077" w:history="1">
        <w:r>
          <w:rPr>
            <w:rFonts w:ascii="仿宋" w:eastAsia="仿宋" w:hAnsi="仿宋" w:cs="仿宋" w:hint="eastAsia"/>
            <w:lang w:eastAsia="zh-CN"/>
          </w:rPr>
          <w:t>(二)、公司在员工发展中的未来愿景</w:t>
        </w:r>
        <w:r>
          <w:tab/>
        </w:r>
        <w:r>
          <w:fldChar w:fldCharType="begin"/>
        </w:r>
        <w:r>
          <w:instrText xml:space="preserve"> PAGEREF _Toc5077 \h </w:instrText>
        </w:r>
        <w:r>
          <w:fldChar w:fldCharType="separate"/>
        </w:r>
        <w:r>
          <w:t>28</w:t>
        </w:r>
        <w:r>
          <w:fldChar w:fldCharType="end"/>
        </w:r>
      </w:hyperlink>
    </w:p>
    <w:p>
      <w:pPr>
        <w:pStyle w:val="TOC1"/>
        <w:tabs>
          <w:tab w:val="right" w:leader="dot" w:pos="8306"/>
        </w:tabs>
      </w:pPr>
      <w:hyperlink w:anchor="_Toc27679" w:history="1">
        <w:r>
          <w:rPr>
            <w:rFonts w:ascii="仿宋" w:eastAsia="仿宋" w:hAnsi="仿宋" w:cs="仿宋" w:hint="eastAsia"/>
            <w:lang w:eastAsia="zh-CN"/>
          </w:rPr>
          <w:t>七、第三十八章员工社交媒体管理</w:t>
        </w:r>
        <w:r>
          <w:tab/>
        </w:r>
        <w:r>
          <w:fldChar w:fldCharType="begin"/>
        </w:r>
        <w:r>
          <w:instrText xml:space="preserve"> PAGEREF _Toc27679 \h </w:instrText>
        </w:r>
        <w:r>
          <w:fldChar w:fldCharType="separate"/>
        </w:r>
        <w:r>
          <w:t>28</w:t>
        </w:r>
        <w:r>
          <w:fldChar w:fldCharType="end"/>
        </w:r>
      </w:hyperlink>
    </w:p>
    <w:p>
      <w:pPr>
        <w:pStyle w:val="TOC2"/>
        <w:tabs>
          <w:tab w:val="right" w:leader="dot" w:pos="8306"/>
        </w:tabs>
      </w:pPr>
      <w:hyperlink w:anchor="_Toc14061" w:history="1">
        <w:r>
          <w:rPr>
            <w:rFonts w:ascii="仿宋" w:eastAsia="仿宋" w:hAnsi="仿宋" w:cs="仿宋" w:hint="eastAsia"/>
            <w:lang w:eastAsia="zh-CN"/>
          </w:rPr>
          <w:t>(一)、员工社交媒体政策</w:t>
        </w:r>
        <w:r>
          <w:tab/>
        </w:r>
        <w:r>
          <w:fldChar w:fldCharType="begin"/>
        </w:r>
        <w:r>
          <w:instrText xml:space="preserve"> PAGEREF _Toc14061 \h </w:instrText>
        </w:r>
        <w:r>
          <w:fldChar w:fldCharType="separate"/>
        </w:r>
        <w:r>
          <w:t>28</w:t>
        </w:r>
        <w:r>
          <w:fldChar w:fldCharType="end"/>
        </w:r>
      </w:hyperlink>
    </w:p>
    <w:p>
      <w:pPr>
        <w:pStyle w:val="TOC2"/>
        <w:tabs>
          <w:tab w:val="right" w:leader="dot" w:pos="8306"/>
        </w:tabs>
      </w:pPr>
      <w:hyperlink w:anchor="_Toc31023" w:history="1">
        <w:r>
          <w:rPr>
            <w:rFonts w:ascii="仿宋" w:eastAsia="仿宋" w:hAnsi="仿宋" w:cs="仿宋" w:hint="eastAsia"/>
            <w:lang w:eastAsia="zh-CN"/>
          </w:rPr>
          <w:t>(二)、个人品牌与公司形象的关联</w:t>
        </w:r>
        <w:r>
          <w:tab/>
        </w:r>
        <w:r>
          <w:fldChar w:fldCharType="begin"/>
        </w:r>
        <w:r>
          <w:instrText xml:space="preserve"> PAGEREF _Toc31023 \h </w:instrText>
        </w:r>
        <w:r>
          <w:fldChar w:fldCharType="separate"/>
        </w:r>
        <w:r>
          <w:t>29</w:t>
        </w:r>
        <w:r>
          <w:fldChar w:fldCharType="end"/>
        </w:r>
      </w:hyperlink>
    </w:p>
    <w:p>
      <w:pPr>
        <w:pStyle w:val="TOC2"/>
        <w:tabs>
          <w:tab w:val="right" w:leader="dot" w:pos="8306"/>
        </w:tabs>
      </w:pPr>
      <w:hyperlink w:anchor="_Toc12627" w:history="1">
        <w:r>
          <w:rPr>
            <w:rFonts w:ascii="仿宋" w:eastAsia="仿宋" w:hAnsi="仿宋" w:cs="仿宋" w:hint="eastAsia"/>
            <w:lang w:eastAsia="zh-CN"/>
          </w:rPr>
          <w:t>(三)、社交媒体使用准则</w:t>
        </w:r>
        <w:r>
          <w:tab/>
        </w:r>
        <w:r>
          <w:fldChar w:fldCharType="begin"/>
        </w:r>
        <w:r>
          <w:instrText xml:space="preserve"> PAGEREF _Toc12627 \h </w:instrText>
        </w:r>
        <w:r>
          <w:fldChar w:fldCharType="separate"/>
        </w:r>
        <w:r>
          <w:t>31</w:t>
        </w:r>
        <w:r>
          <w:fldChar w:fldCharType="end"/>
        </w:r>
      </w:hyperlink>
    </w:p>
    <w:p>
      <w:pPr>
        <w:pStyle w:val="TOC2"/>
        <w:tabs>
          <w:tab w:val="right" w:leader="dot" w:pos="8306"/>
        </w:tabs>
      </w:pPr>
      <w:hyperlink w:anchor="_Toc5980" w:history="1">
        <w:r>
          <w:rPr>
            <w:rFonts w:ascii="仿宋" w:eastAsia="仿宋" w:hAnsi="仿宋" w:cs="仿宋" w:hint="eastAsia"/>
            <w:lang w:eastAsia="zh-CN"/>
          </w:rPr>
          <w:t>(四)、公司与员工互动</w:t>
        </w:r>
        <w:r>
          <w:tab/>
        </w:r>
        <w:r>
          <w:fldChar w:fldCharType="begin"/>
        </w:r>
        <w:r>
          <w:instrText xml:space="preserve"> PAGEREF _Toc5980 \h </w:instrText>
        </w:r>
        <w:r>
          <w:fldChar w:fldCharType="separate"/>
        </w:r>
        <w:r>
          <w:t>33</w:t>
        </w:r>
        <w:r>
          <w:fldChar w:fldCharType="end"/>
        </w:r>
      </w:hyperlink>
    </w:p>
    <w:p>
      <w:pPr>
        <w:pStyle w:val="TOC2"/>
        <w:tabs>
          <w:tab w:val="right" w:leader="dot" w:pos="8306"/>
        </w:tabs>
      </w:pPr>
      <w:hyperlink w:anchor="_Toc22611" w:history="1">
        <w:r>
          <w:rPr>
            <w:rFonts w:ascii="仿宋" w:eastAsia="仿宋" w:hAnsi="仿宋" w:cs="仿宋" w:hint="eastAsia"/>
            <w:lang w:eastAsia="zh-CN"/>
          </w:rPr>
          <w:t>(五)、公司社交媒体账号管理</w:t>
        </w:r>
        <w:r>
          <w:tab/>
        </w:r>
        <w:r>
          <w:fldChar w:fldCharType="begin"/>
        </w:r>
        <w:r>
          <w:instrText xml:space="preserve"> PAGEREF _Toc22611 \h </w:instrText>
        </w:r>
        <w:r>
          <w:fldChar w:fldCharType="separate"/>
        </w:r>
        <w:r>
          <w:t>35</w:t>
        </w:r>
        <w:r>
          <w:fldChar w:fldCharType="end"/>
        </w:r>
      </w:hyperlink>
    </w:p>
    <w:p>
      <w:pPr>
        <w:pStyle w:val="TOC2"/>
        <w:tabs>
          <w:tab w:val="right" w:leader="dot" w:pos="8306"/>
        </w:tabs>
      </w:pPr>
      <w:hyperlink w:anchor="_Toc8426" w:history="1">
        <w:r>
          <w:rPr>
            <w:rFonts w:ascii="仿宋" w:eastAsia="仿宋" w:hAnsi="仿宋" w:cs="仿宋" w:hint="eastAsia"/>
            <w:lang w:eastAsia="zh-CN"/>
          </w:rPr>
          <w:t>(六)、职业发展机会的分享与推广</w:t>
        </w:r>
        <w:r>
          <w:tab/>
        </w:r>
        <w:r>
          <w:fldChar w:fldCharType="begin"/>
        </w:r>
        <w:r>
          <w:instrText xml:space="preserve"> PAGEREF _Toc8426 \h </w:instrText>
        </w:r>
        <w:r>
          <w:fldChar w:fldCharType="separate"/>
        </w:r>
        <w:r>
          <w:t>36</w:t>
        </w:r>
        <w:r>
          <w:fldChar w:fldCharType="end"/>
        </w:r>
      </w:hyperlink>
    </w:p>
    <w:p>
      <w:pPr>
        <w:pStyle w:val="TOC1"/>
        <w:tabs>
          <w:tab w:val="right" w:leader="dot" w:pos="8306"/>
        </w:tabs>
      </w:pPr>
      <w:hyperlink w:anchor="_Toc13985" w:history="1">
        <w:r>
          <w:rPr>
            <w:rFonts w:ascii="仿宋" w:eastAsia="仿宋" w:hAnsi="仿宋" w:cs="仿宋" w:hint="eastAsia"/>
            <w:lang w:eastAsia="zh-CN"/>
          </w:rPr>
          <w:t>八、第十三章技术与创新支持</w:t>
        </w:r>
        <w:r>
          <w:tab/>
        </w:r>
        <w:r>
          <w:fldChar w:fldCharType="begin"/>
        </w:r>
        <w:r>
          <w:instrText xml:space="preserve"> PAGEREF _Toc13985 \h </w:instrText>
        </w:r>
        <w:r>
          <w:fldChar w:fldCharType="separate"/>
        </w:r>
        <w:r>
          <w:t>37</w:t>
        </w:r>
        <w:r>
          <w:fldChar w:fldCharType="end"/>
        </w:r>
      </w:hyperlink>
    </w:p>
    <w:p>
      <w:pPr>
        <w:pStyle w:val="TOC2"/>
        <w:tabs>
          <w:tab w:val="right" w:leader="dot" w:pos="8306"/>
        </w:tabs>
      </w:pPr>
      <w:hyperlink w:anchor="_Toc12598" w:history="1">
        <w:r>
          <w:rPr>
            <w:rFonts w:ascii="仿宋" w:eastAsia="仿宋" w:hAnsi="仿宋" w:cs="仿宋" w:hint="eastAsia"/>
            <w:lang w:eastAsia="zh-CN"/>
          </w:rPr>
          <w:t>(一)、技术培训与更新</w:t>
        </w:r>
        <w:r>
          <w:tab/>
        </w:r>
        <w:r>
          <w:fldChar w:fldCharType="begin"/>
        </w:r>
        <w:r>
          <w:instrText xml:space="preserve"> PAGEREF _Toc12598 \h </w:instrText>
        </w:r>
        <w:r>
          <w:fldChar w:fldCharType="separate"/>
        </w:r>
        <w:r>
          <w:t>37</w:t>
        </w:r>
        <w:r>
          <w:fldChar w:fldCharType="end"/>
        </w:r>
      </w:hyperlink>
    </w:p>
    <w:p>
      <w:pPr>
        <w:pStyle w:val="TOC2"/>
        <w:tabs>
          <w:tab w:val="right" w:leader="dot" w:pos="8306"/>
        </w:tabs>
      </w:pPr>
      <w:hyperlink w:anchor="_Toc12219" w:history="1">
        <w:r>
          <w:rPr>
            <w:rFonts w:ascii="仿宋" w:eastAsia="仿宋" w:hAnsi="仿宋" w:cs="仿宋" w:hint="eastAsia"/>
            <w:lang w:eastAsia="zh-CN"/>
          </w:rPr>
          <w:t>(二)、创新文化与项目支持</w:t>
        </w:r>
        <w:r>
          <w:tab/>
        </w:r>
        <w:r>
          <w:fldChar w:fldCharType="begin"/>
        </w:r>
        <w:r>
          <w:instrText xml:space="preserve"> PAGEREF _Toc12219 \h </w:instrText>
        </w:r>
        <w:r>
          <w:fldChar w:fldCharType="separate"/>
        </w:r>
        <w:r>
          <w:t>38</w:t>
        </w:r>
        <w:r>
          <w:fldChar w:fldCharType="end"/>
        </w:r>
      </w:hyperlink>
    </w:p>
    <w:p>
      <w:pPr>
        <w:pStyle w:val="TOC1"/>
        <w:tabs>
          <w:tab w:val="right" w:leader="dot" w:pos="8306"/>
        </w:tabs>
      </w:pPr>
      <w:hyperlink w:anchor="_Toc17681" w:history="1">
        <w:r>
          <w:rPr>
            <w:rFonts w:ascii="仿宋" w:eastAsia="仿宋" w:hAnsi="仿宋" w:cs="仿宋" w:hint="eastAsia"/>
            <w:lang w:eastAsia="zh-CN"/>
          </w:rPr>
          <w:t>九、第十四章员工健康与安全管理</w:t>
        </w:r>
        <w:r>
          <w:tab/>
        </w:r>
        <w:r>
          <w:fldChar w:fldCharType="begin"/>
        </w:r>
        <w:r>
          <w:instrText xml:space="preserve"> PAGEREF _Toc17681 \h </w:instrText>
        </w:r>
        <w:r>
          <w:fldChar w:fldCharType="separate"/>
        </w:r>
        <w:r>
          <w:t>39</w:t>
        </w:r>
        <w:r>
          <w:fldChar w:fldCharType="end"/>
        </w:r>
      </w:hyperlink>
    </w:p>
    <w:p>
      <w:pPr>
        <w:pStyle w:val="TOC2"/>
        <w:tabs>
          <w:tab w:val="right" w:leader="dot" w:pos="8306"/>
        </w:tabs>
      </w:pPr>
      <w:hyperlink w:anchor="_Toc32589" w:history="1">
        <w:r>
          <w:rPr>
            <w:rFonts w:ascii="仿宋" w:eastAsia="仿宋" w:hAnsi="仿宋" w:cs="仿宋" w:hint="eastAsia"/>
            <w:lang w:eastAsia="zh-CN"/>
          </w:rPr>
          <w:t>(一)、健康保障计划</w:t>
        </w:r>
        <w:r>
          <w:tab/>
        </w:r>
        <w:r>
          <w:fldChar w:fldCharType="begin"/>
        </w:r>
        <w:r>
          <w:instrText xml:space="preserve"> PAGEREF _Toc32589 \h </w:instrText>
        </w:r>
        <w:r>
          <w:fldChar w:fldCharType="separate"/>
        </w:r>
        <w:r>
          <w:t>39</w:t>
        </w:r>
        <w:r>
          <w:fldChar w:fldCharType="end"/>
        </w:r>
      </w:hyperlink>
    </w:p>
    <w:p>
      <w:pPr>
        <w:pStyle w:val="TOC2"/>
        <w:tabs>
          <w:tab w:val="right" w:leader="dot" w:pos="8306"/>
        </w:tabs>
      </w:pPr>
      <w:hyperlink w:anchor="_Toc6931" w:history="1">
        <w:r>
          <w:rPr>
            <w:rFonts w:ascii="仿宋" w:eastAsia="仿宋" w:hAnsi="仿宋" w:cs="仿宋" w:hint="eastAsia"/>
            <w:lang w:eastAsia="zh-CN"/>
          </w:rPr>
          <w:t>(二)、安全管理体系</w:t>
        </w:r>
        <w:r>
          <w:tab/>
        </w:r>
        <w:r>
          <w:fldChar w:fldCharType="begin"/>
        </w:r>
        <w:r>
          <w:instrText xml:space="preserve"> PAGEREF _Toc6931 \h </w:instrText>
        </w:r>
        <w:r>
          <w:fldChar w:fldCharType="separate"/>
        </w:r>
        <w:r>
          <w:t>40</w:t>
        </w:r>
        <w:r>
          <w:fldChar w:fldCharType="end"/>
        </w:r>
      </w:hyperlink>
    </w:p>
    <w:p>
      <w:pPr>
        <w:pStyle w:val="TOC1"/>
        <w:tabs>
          <w:tab w:val="right" w:leader="dot" w:pos="8306"/>
        </w:tabs>
      </w:pPr>
      <w:hyperlink w:anchor="_Toc31939" w:history="1">
        <w:r>
          <w:rPr>
            <w:rFonts w:ascii="仿宋" w:eastAsia="仿宋" w:hAnsi="仿宋" w:cs="仿宋" w:hint="eastAsia"/>
            <w:lang w:eastAsia="zh-CN"/>
          </w:rPr>
          <w:t>十、第十二章职业伦理与社会责任</w:t>
        </w:r>
        <w:r>
          <w:tab/>
        </w:r>
        <w:r>
          <w:fldChar w:fldCharType="begin"/>
        </w:r>
        <w:r>
          <w:instrText xml:space="preserve"> PAGEREF _Toc31939 \h </w:instrText>
        </w:r>
        <w:r>
          <w:fldChar w:fldCharType="separate"/>
        </w:r>
        <w:r>
          <w:t>42</w:t>
        </w:r>
        <w:r>
          <w:fldChar w:fldCharType="end"/>
        </w:r>
      </w:hyperlink>
    </w:p>
    <w:p>
      <w:pPr>
        <w:pStyle w:val="TOC2"/>
        <w:tabs>
          <w:tab w:val="right" w:leader="dot" w:pos="8306"/>
        </w:tabs>
      </w:pPr>
      <w:hyperlink w:anchor="_Toc15199" w:history="1">
        <w:r>
          <w:rPr>
            <w:rFonts w:ascii="仿宋" w:eastAsia="仿宋" w:hAnsi="仿宋" w:cs="仿宋" w:hint="eastAsia"/>
            <w:lang w:eastAsia="zh-CN"/>
          </w:rPr>
          <w:t>(一)、职业道德规范</w:t>
        </w:r>
        <w:r>
          <w:tab/>
        </w:r>
        <w:r>
          <w:fldChar w:fldCharType="begin"/>
        </w:r>
        <w:r>
          <w:instrText xml:space="preserve"> PAGEREF _Toc15199 \h </w:instrText>
        </w:r>
        <w:r>
          <w:fldChar w:fldCharType="separate"/>
        </w:r>
        <w:r>
          <w:t>42</w:t>
        </w:r>
        <w:r>
          <w:fldChar w:fldCharType="end"/>
        </w:r>
      </w:hyperlink>
    </w:p>
    <w:p>
      <w:pPr>
        <w:pStyle w:val="TOC2"/>
        <w:tabs>
          <w:tab w:val="right" w:leader="dot" w:pos="8306"/>
        </w:tabs>
      </w:pPr>
      <w:hyperlink w:anchor="_Toc3186" w:history="1">
        <w:r>
          <w:rPr>
            <w:rFonts w:ascii="仿宋" w:eastAsia="仿宋" w:hAnsi="仿宋" w:cs="仿宋" w:hint="eastAsia"/>
            <w:lang w:eastAsia="zh-CN"/>
          </w:rPr>
          <w:t>(二)、社会责任履行</w:t>
        </w:r>
        <w:r>
          <w:tab/>
        </w:r>
        <w:r>
          <w:fldChar w:fldCharType="begin"/>
        </w:r>
        <w:r>
          <w:instrText xml:space="preserve"> PAGEREF _Toc3186 \h </w:instrText>
        </w:r>
        <w:r>
          <w:fldChar w:fldCharType="separate"/>
        </w:r>
        <w:r>
          <w:t>42</w:t>
        </w:r>
        <w:r>
          <w:fldChar w:fldCharType="end"/>
        </w:r>
      </w:hyperlink>
    </w:p>
    <w:p>
      <w:pPr>
        <w:pStyle w:val="TOC1"/>
        <w:tabs>
          <w:tab w:val="right" w:leader="dot" w:pos="8306"/>
        </w:tabs>
      </w:pPr>
      <w:hyperlink w:anchor="_Toc2738" w:history="1">
        <w:r>
          <w:rPr>
            <w:rFonts w:ascii="仿宋" w:eastAsia="仿宋" w:hAnsi="仿宋" w:cs="仿宋" w:hint="eastAsia"/>
            <w:lang w:eastAsia="zh-CN"/>
          </w:rPr>
          <w:t>十一、员工多元化与包容性管理</w:t>
        </w:r>
        <w:r>
          <w:tab/>
        </w:r>
        <w:r>
          <w:fldChar w:fldCharType="begin"/>
        </w:r>
        <w:r>
          <w:instrText xml:space="preserve"> PAGEREF _Toc2738 \h </w:instrText>
        </w:r>
        <w:r>
          <w:fldChar w:fldCharType="separate"/>
        </w:r>
        <w:r>
          <w:t>43</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3052" w:history="1">
        <w:r>
          <w:rPr>
            <w:rFonts w:ascii="仿宋" w:eastAsia="仿宋" w:hAnsi="仿宋" w:cs="仿宋" w:hint="eastAsia"/>
            <w:lang w:eastAsia="zh-CN"/>
          </w:rPr>
          <w:t>(一)、员工多元化的价值与挑战</w:t>
        </w:r>
        <w:r>
          <w:tab/>
        </w:r>
        <w:r>
          <w:fldChar w:fldCharType="begin"/>
        </w:r>
        <w:r>
          <w:instrText xml:space="preserve"> PAGEREF _Toc13052 \h </w:instrText>
        </w:r>
        <w:r>
          <w:fldChar w:fldCharType="separate"/>
        </w:r>
        <w:r>
          <w:t>43</w:t>
        </w:r>
        <w:r>
          <w:fldChar w:fldCharType="end"/>
        </w:r>
      </w:hyperlink>
    </w:p>
    <w:p>
      <w:pPr>
        <w:pStyle w:val="TOC2"/>
        <w:tabs>
          <w:tab w:val="right" w:leader="dot" w:pos="8306"/>
        </w:tabs>
      </w:pPr>
      <w:hyperlink w:anchor="_Toc10925" w:history="1">
        <w:r>
          <w:rPr>
            <w:rFonts w:ascii="仿宋" w:eastAsia="仿宋" w:hAnsi="仿宋" w:cs="仿宋" w:hint="eastAsia"/>
            <w:lang w:eastAsia="zh-CN"/>
          </w:rPr>
          <w:t>(二)、员工包容性政策与实践</w:t>
        </w:r>
        <w:r>
          <w:tab/>
        </w:r>
        <w:r>
          <w:fldChar w:fldCharType="begin"/>
        </w:r>
        <w:r>
          <w:instrText xml:space="preserve"> PAGEREF _Toc10925 \h </w:instrText>
        </w:r>
        <w:r>
          <w:fldChar w:fldCharType="separate"/>
        </w:r>
        <w:r>
          <w:t>44</w:t>
        </w:r>
        <w:r>
          <w:fldChar w:fldCharType="end"/>
        </w:r>
      </w:hyperlink>
    </w:p>
    <w:p>
      <w:pPr>
        <w:pStyle w:val="TOC2"/>
        <w:tabs>
          <w:tab w:val="right" w:leader="dot" w:pos="8306"/>
        </w:tabs>
      </w:pPr>
      <w:hyperlink w:anchor="_Toc9436" w:history="1">
        <w:r>
          <w:rPr>
            <w:rFonts w:ascii="仿宋" w:eastAsia="仿宋" w:hAnsi="仿宋" w:cs="仿宋" w:hint="eastAsia"/>
            <w:lang w:eastAsia="zh-CN"/>
          </w:rPr>
          <w:t>(三)、多元与包容性文化的培育与维护</w:t>
        </w:r>
        <w:r>
          <w:tab/>
        </w:r>
        <w:r>
          <w:fldChar w:fldCharType="begin"/>
        </w:r>
        <w:r>
          <w:instrText xml:space="preserve"> PAGEREF _Toc9436 \h </w:instrText>
        </w:r>
        <w:r>
          <w:fldChar w:fldCharType="separate"/>
        </w:r>
        <w:r>
          <w:t>45</w:t>
        </w:r>
        <w:r>
          <w:fldChar w:fldCharType="end"/>
        </w:r>
      </w:hyperlink>
    </w:p>
    <w:p>
      <w:pPr>
        <w:pStyle w:val="TOC1"/>
        <w:tabs>
          <w:tab w:val="right" w:leader="dot" w:pos="8306"/>
        </w:tabs>
      </w:pPr>
      <w:hyperlink w:anchor="_Toc14783" w:history="1">
        <w:r>
          <w:rPr>
            <w:rFonts w:ascii="仿宋" w:eastAsia="仿宋" w:hAnsi="仿宋" w:cs="仿宋" w:hint="eastAsia"/>
            <w:lang w:eastAsia="zh-CN"/>
          </w:rPr>
          <w:t>十二、员工满意度调查与提升策略</w:t>
        </w:r>
        <w:r>
          <w:tab/>
        </w:r>
        <w:r>
          <w:fldChar w:fldCharType="begin"/>
        </w:r>
        <w:r>
          <w:instrText xml:space="preserve"> PAGEREF _Toc14783 \h </w:instrText>
        </w:r>
        <w:r>
          <w:fldChar w:fldCharType="separate"/>
        </w:r>
        <w:r>
          <w:t>46</w:t>
        </w:r>
        <w:r>
          <w:fldChar w:fldCharType="end"/>
        </w:r>
      </w:hyperlink>
    </w:p>
    <w:p>
      <w:pPr>
        <w:pStyle w:val="TOC2"/>
        <w:tabs>
          <w:tab w:val="right" w:leader="dot" w:pos="8306"/>
        </w:tabs>
      </w:pPr>
      <w:hyperlink w:anchor="_Toc15158" w:history="1">
        <w:r>
          <w:rPr>
            <w:rFonts w:ascii="仿宋" w:eastAsia="仿宋" w:hAnsi="仿宋" w:cs="仿宋" w:hint="eastAsia"/>
            <w:lang w:eastAsia="zh-CN"/>
          </w:rPr>
          <w:t>(一)、满意度调查的设计与实施</w:t>
        </w:r>
        <w:r>
          <w:tab/>
        </w:r>
        <w:r>
          <w:fldChar w:fldCharType="begin"/>
        </w:r>
        <w:r>
          <w:instrText xml:space="preserve"> PAGEREF _Toc15158 \h </w:instrText>
        </w:r>
        <w:r>
          <w:fldChar w:fldCharType="separate"/>
        </w:r>
        <w:r>
          <w:t>46</w:t>
        </w:r>
        <w:r>
          <w:fldChar w:fldCharType="end"/>
        </w:r>
      </w:hyperlink>
    </w:p>
    <w:p>
      <w:pPr>
        <w:pStyle w:val="TOC2"/>
        <w:tabs>
          <w:tab w:val="right" w:leader="dot" w:pos="8306"/>
        </w:tabs>
      </w:pPr>
      <w:hyperlink w:anchor="_Toc22301" w:history="1">
        <w:r>
          <w:rPr>
            <w:rFonts w:ascii="仿宋" w:eastAsia="仿宋" w:hAnsi="仿宋" w:cs="仿宋" w:hint="eastAsia"/>
            <w:lang w:eastAsia="zh-CN"/>
          </w:rPr>
          <w:t>(二)、员工满意度的分析与解读</w:t>
        </w:r>
        <w:r>
          <w:tab/>
        </w:r>
        <w:r>
          <w:fldChar w:fldCharType="begin"/>
        </w:r>
        <w:r>
          <w:instrText xml:space="preserve"> PAGEREF _Toc22301 \h </w:instrText>
        </w:r>
        <w:r>
          <w:fldChar w:fldCharType="separate"/>
        </w:r>
        <w:r>
          <w:t>47</w:t>
        </w:r>
        <w:r>
          <w:fldChar w:fldCharType="end"/>
        </w:r>
      </w:hyperlink>
    </w:p>
    <w:p>
      <w:pPr>
        <w:pStyle w:val="TOC2"/>
        <w:tabs>
          <w:tab w:val="right" w:leader="dot" w:pos="8306"/>
        </w:tabs>
      </w:pPr>
      <w:hyperlink w:anchor="_Toc16492" w:history="1">
        <w:r>
          <w:rPr>
            <w:rFonts w:ascii="仿宋" w:eastAsia="仿宋" w:hAnsi="仿宋" w:cs="仿宋" w:hint="eastAsia"/>
            <w:lang w:eastAsia="zh-CN"/>
          </w:rPr>
          <w:t>(三)、提升员工满意度的措施与行动计划</w:t>
        </w:r>
        <w:r>
          <w:tab/>
        </w:r>
        <w:r>
          <w:fldChar w:fldCharType="begin"/>
        </w:r>
        <w:r>
          <w:instrText xml:space="preserve"> PAGEREF _Toc16492 \h </w:instrText>
        </w:r>
        <w:r>
          <w:fldChar w:fldCharType="separate"/>
        </w:r>
        <w:r>
          <w:t>49</w:t>
        </w:r>
        <w:r>
          <w:fldChar w:fldCharType="end"/>
        </w:r>
      </w:hyperlink>
    </w:p>
    <w:p>
      <w:pPr>
        <w:pStyle w:val="TOC1"/>
        <w:tabs>
          <w:tab w:val="right" w:leader="dot" w:pos="8306"/>
        </w:tabs>
      </w:pPr>
      <w:hyperlink w:anchor="_Toc13220" w:history="1">
        <w:r>
          <w:rPr>
            <w:rFonts w:ascii="仿宋" w:eastAsia="仿宋" w:hAnsi="仿宋" w:cs="仿宋" w:hint="eastAsia"/>
            <w:lang w:eastAsia="zh-CN"/>
          </w:rPr>
          <w:t>十三、第四十五章员工品牌建设</w:t>
        </w:r>
        <w:r>
          <w:tab/>
        </w:r>
        <w:r>
          <w:fldChar w:fldCharType="begin"/>
        </w:r>
        <w:r>
          <w:instrText xml:space="preserve"> PAGEREF _Toc13220 \h </w:instrText>
        </w:r>
        <w:r>
          <w:fldChar w:fldCharType="separate"/>
        </w:r>
        <w:r>
          <w:t>50</w:t>
        </w:r>
        <w:r>
          <w:fldChar w:fldCharType="end"/>
        </w:r>
      </w:hyperlink>
    </w:p>
    <w:p>
      <w:pPr>
        <w:pStyle w:val="TOC2"/>
        <w:tabs>
          <w:tab w:val="right" w:leader="dot" w:pos="8306"/>
        </w:tabs>
      </w:pPr>
      <w:hyperlink w:anchor="_Toc23039" w:history="1">
        <w:r>
          <w:rPr>
            <w:rFonts w:ascii="仿宋" w:eastAsia="仿宋" w:hAnsi="仿宋" w:cs="仿宋" w:hint="eastAsia"/>
            <w:lang w:eastAsia="zh-CN"/>
          </w:rPr>
          <w:t>(一)、个人品牌管理</w:t>
        </w:r>
        <w:r>
          <w:tab/>
        </w:r>
        <w:r>
          <w:fldChar w:fldCharType="begin"/>
        </w:r>
        <w:r>
          <w:instrText xml:space="preserve"> PAGEREF _Toc23039 \h </w:instrText>
        </w:r>
        <w:r>
          <w:fldChar w:fldCharType="separate"/>
        </w:r>
        <w:r>
          <w:t>50</w:t>
        </w:r>
        <w:r>
          <w:fldChar w:fldCharType="end"/>
        </w:r>
      </w:hyperlink>
    </w:p>
    <w:p>
      <w:pPr>
        <w:pStyle w:val="TOC2"/>
        <w:tabs>
          <w:tab w:val="right" w:leader="dot" w:pos="8306"/>
        </w:tabs>
      </w:pPr>
      <w:hyperlink w:anchor="_Toc32409" w:history="1">
        <w:r>
          <w:rPr>
            <w:rFonts w:ascii="仿宋" w:eastAsia="仿宋" w:hAnsi="仿宋" w:cs="仿宋" w:hint="eastAsia"/>
            <w:lang w:eastAsia="zh-CN"/>
          </w:rPr>
          <w:t>(二)、在气体分离及液化设备行业内建立个人影响力</w:t>
        </w:r>
        <w:r>
          <w:tab/>
        </w:r>
        <w:r>
          <w:fldChar w:fldCharType="begin"/>
        </w:r>
        <w:r>
          <w:instrText xml:space="preserve"> PAGEREF _Toc32409 \h </w:instrText>
        </w:r>
        <w:r>
          <w:fldChar w:fldCharType="separate"/>
        </w:r>
        <w:r>
          <w:t>51</w:t>
        </w:r>
        <w:r>
          <w:fldChar w:fldCharType="end"/>
        </w:r>
      </w:hyperlink>
    </w:p>
    <w:p>
      <w:pPr>
        <w:pStyle w:val="TOC2"/>
        <w:tabs>
          <w:tab w:val="right" w:leader="dot" w:pos="8306"/>
        </w:tabs>
      </w:pPr>
      <w:hyperlink w:anchor="_Toc17086" w:history="1">
        <w:r>
          <w:rPr>
            <w:rFonts w:ascii="仿宋" w:eastAsia="仿宋" w:hAnsi="仿宋" w:cs="仿宋" w:hint="eastAsia"/>
            <w:lang w:eastAsia="zh-CN"/>
          </w:rPr>
          <w:t>(三)、个人品牌与公司品牌的关联</w:t>
        </w:r>
        <w:r>
          <w:tab/>
        </w:r>
        <w:r>
          <w:fldChar w:fldCharType="begin"/>
        </w:r>
        <w:r>
          <w:instrText xml:space="preserve"> PAGEREF _Toc17086 \h </w:instrText>
        </w:r>
        <w:r>
          <w:fldChar w:fldCharType="separate"/>
        </w:r>
        <w:r>
          <w:t>52</w:t>
        </w:r>
        <w:r>
          <w:fldChar w:fldCharType="end"/>
        </w:r>
      </w:hyperlink>
    </w:p>
    <w:p>
      <w:pPr>
        <w:pStyle w:val="TOC2"/>
        <w:tabs>
          <w:tab w:val="right" w:leader="dot" w:pos="8306"/>
        </w:tabs>
      </w:pPr>
      <w:hyperlink w:anchor="_Toc13731" w:history="1">
        <w:r>
          <w:rPr>
            <w:rFonts w:ascii="仿宋" w:eastAsia="仿宋" w:hAnsi="仿宋" w:cs="仿宋" w:hint="eastAsia"/>
            <w:lang w:eastAsia="zh-CN"/>
          </w:rPr>
          <w:t>(四)、社交媒体与个人品牌</w:t>
        </w:r>
        <w:r>
          <w:tab/>
        </w:r>
        <w:r>
          <w:fldChar w:fldCharType="begin"/>
        </w:r>
        <w:r>
          <w:instrText xml:space="preserve"> PAGEREF _Toc13731 \h </w:instrText>
        </w:r>
        <w:r>
          <w:fldChar w:fldCharType="separate"/>
        </w:r>
        <w:r>
          <w:t>53</w:t>
        </w:r>
        <w:r>
          <w:fldChar w:fldCharType="end"/>
        </w:r>
      </w:hyperlink>
    </w:p>
    <w:p>
      <w:pPr>
        <w:pStyle w:val="TOC2"/>
        <w:tabs>
          <w:tab w:val="right" w:leader="dot" w:pos="8306"/>
        </w:tabs>
      </w:pPr>
      <w:hyperlink w:anchor="_Toc24422" w:history="1">
        <w:r>
          <w:rPr>
            <w:rFonts w:ascii="仿宋" w:eastAsia="仿宋" w:hAnsi="仿宋" w:cs="仿宋" w:hint="eastAsia"/>
            <w:lang w:eastAsia="zh-CN"/>
          </w:rPr>
          <w:t>(五)、个人品牌的社交媒体传播</w:t>
        </w:r>
        <w:r>
          <w:tab/>
        </w:r>
        <w:r>
          <w:fldChar w:fldCharType="begin"/>
        </w:r>
        <w:r>
          <w:instrText xml:space="preserve"> PAGEREF _Toc24422 \h </w:instrText>
        </w:r>
        <w:r>
          <w:fldChar w:fldCharType="separate"/>
        </w:r>
        <w:r>
          <w:t>54</w:t>
        </w:r>
        <w:r>
          <w:fldChar w:fldCharType="end"/>
        </w:r>
      </w:hyperlink>
    </w:p>
    <w:p>
      <w:pPr>
        <w:pStyle w:val="TOC2"/>
        <w:tabs>
          <w:tab w:val="right" w:leader="dot" w:pos="8306"/>
        </w:tabs>
      </w:pPr>
      <w:hyperlink w:anchor="_Toc22908" w:history="1">
        <w:r>
          <w:rPr>
            <w:rFonts w:ascii="仿宋" w:eastAsia="仿宋" w:hAnsi="仿宋" w:cs="仿宋" w:hint="eastAsia"/>
            <w:lang w:eastAsia="zh-CN"/>
          </w:rPr>
          <w:t>(六)、员工品牌建设与公司形象一致性</w:t>
        </w:r>
        <w:r>
          <w:tab/>
        </w:r>
        <w:r>
          <w:fldChar w:fldCharType="begin"/>
        </w:r>
        <w:r>
          <w:instrText xml:space="preserve"> PAGEREF _Toc22908 \h </w:instrText>
        </w:r>
        <w:r>
          <w:fldChar w:fldCharType="separate"/>
        </w:r>
        <w:r>
          <w:t>55</w:t>
        </w:r>
        <w:r>
          <w:fldChar w:fldCharType="end"/>
        </w:r>
      </w:hyperlink>
    </w:p>
    <w:p>
      <w:pPr>
        <w:pStyle w:val="TOC1"/>
        <w:tabs>
          <w:tab w:val="right" w:leader="dot" w:pos="8306"/>
        </w:tabs>
      </w:pPr>
      <w:hyperlink w:anchor="_Toc18698" w:history="1">
        <w:r>
          <w:rPr>
            <w:rFonts w:ascii="仿宋" w:eastAsia="仿宋" w:hAnsi="仿宋" w:cs="仿宋" w:hint="eastAsia"/>
            <w:lang w:eastAsia="zh-CN"/>
          </w:rPr>
          <w:t>十四、员工离职率分析与降低措施</w:t>
        </w:r>
        <w:r>
          <w:tab/>
        </w:r>
        <w:r>
          <w:fldChar w:fldCharType="begin"/>
        </w:r>
        <w:r>
          <w:instrText xml:space="preserve"> PAGEREF _Toc18698 \h </w:instrText>
        </w:r>
        <w:r>
          <w:fldChar w:fldCharType="separate"/>
        </w:r>
        <w:r>
          <w:t>56</w:t>
        </w:r>
        <w:r>
          <w:fldChar w:fldCharType="end"/>
        </w:r>
      </w:hyperlink>
    </w:p>
    <w:p>
      <w:pPr>
        <w:pStyle w:val="TOC2"/>
        <w:tabs>
          <w:tab w:val="right" w:leader="dot" w:pos="8306"/>
        </w:tabs>
      </w:pPr>
      <w:hyperlink w:anchor="_Toc21793" w:history="1">
        <w:r>
          <w:rPr>
            <w:rFonts w:ascii="仿宋" w:eastAsia="仿宋" w:hAnsi="仿宋" w:cs="仿宋" w:hint="eastAsia"/>
            <w:lang w:eastAsia="zh-CN"/>
          </w:rPr>
          <w:t>(一)、离职率分析的方法与工具</w:t>
        </w:r>
        <w:r>
          <w:tab/>
        </w:r>
        <w:r>
          <w:fldChar w:fldCharType="begin"/>
        </w:r>
        <w:r>
          <w:instrText xml:space="preserve"> PAGEREF _Toc21793 \h </w:instrText>
        </w:r>
        <w:r>
          <w:fldChar w:fldCharType="separate"/>
        </w:r>
        <w:r>
          <w:t>56</w:t>
        </w:r>
        <w:r>
          <w:fldChar w:fldCharType="end"/>
        </w:r>
      </w:hyperlink>
    </w:p>
    <w:p>
      <w:pPr>
        <w:pStyle w:val="TOC2"/>
        <w:tabs>
          <w:tab w:val="right" w:leader="dot" w:pos="8306"/>
        </w:tabs>
      </w:pPr>
      <w:hyperlink w:anchor="_Toc1029" w:history="1">
        <w:r>
          <w:rPr>
            <w:rFonts w:ascii="仿宋" w:eastAsia="仿宋" w:hAnsi="仿宋" w:cs="仿宋" w:hint="eastAsia"/>
            <w:lang w:eastAsia="zh-CN"/>
          </w:rPr>
          <w:t>(二)、离职原因的调查与对策制定</w:t>
        </w:r>
        <w:r>
          <w:tab/>
        </w:r>
        <w:r>
          <w:fldChar w:fldCharType="begin"/>
        </w:r>
        <w:r>
          <w:instrText xml:space="preserve"> PAGEREF _Toc1029 \h </w:instrText>
        </w:r>
        <w:r>
          <w:fldChar w:fldCharType="separate"/>
        </w:r>
        <w:r>
          <w:t>57</w:t>
        </w:r>
        <w:r>
          <w:fldChar w:fldCharType="end"/>
        </w:r>
      </w:hyperlink>
    </w:p>
    <w:p>
      <w:pPr>
        <w:pStyle w:val="TOC2"/>
        <w:tabs>
          <w:tab w:val="right" w:leader="dot" w:pos="8306"/>
        </w:tabs>
      </w:pPr>
      <w:hyperlink w:anchor="_Toc5006" w:history="1">
        <w:r>
          <w:rPr>
            <w:rFonts w:ascii="仿宋" w:eastAsia="仿宋" w:hAnsi="仿宋" w:cs="仿宋" w:hint="eastAsia"/>
            <w:lang w:eastAsia="zh-CN"/>
          </w:rPr>
          <w:t>(三)、降低离职率的策略与实践</w:t>
        </w:r>
        <w:r>
          <w:tab/>
        </w:r>
        <w:r>
          <w:fldChar w:fldCharType="begin"/>
        </w:r>
        <w:r>
          <w:instrText xml:space="preserve"> PAGEREF _Toc5006 \h </w:instrText>
        </w:r>
        <w:r>
          <w:fldChar w:fldCharType="separate"/>
        </w:r>
        <w:r>
          <w:t>58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1075"/>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帮助气体分离及液化设备行业相关公司员工实现个人职业发展目标，提高员工的工作满意度和绩效，本文档将研究公司员工职业生涯规划与管理的重要性和方法。职业生涯规划与管理是指员工通过思考个人理想、评估自身优势和兴趣、确定长期职业目标、并制定实施计划等步骤，不断推动个人成长和发展的过程。本文档将介绍职业生涯规划与管理的基本概念、意义和实施方法，以期帮助员工制定个人发展路线图。不可做为商业用途，只用作学习交流。</w:t>
      </w:r>
    </w:p>
    <w:p>
      <w:pPr>
        <w:pStyle w:val="Heading1"/>
        <w:ind w:firstLine="560" w:firstLineChars="200"/>
        <w:rPr>
          <w:rFonts w:ascii="仿宋" w:eastAsia="仿宋" w:hAnsi="仿宋" w:cs="仿宋" w:hint="eastAsia"/>
          <w:sz w:val="28"/>
          <w:lang w:eastAsia="zh-CN"/>
        </w:rPr>
      </w:pPr>
      <w:bookmarkStart w:id="2" w:name="_Toc24822"/>
      <w:r>
        <w:rPr>
          <w:rFonts w:ascii="仿宋" w:eastAsia="仿宋" w:hAnsi="仿宋" w:cs="仿宋" w:hint="eastAsia"/>
          <w:sz w:val="28"/>
          <w:lang w:eastAsia="zh-CN"/>
        </w:rPr>
        <w:t>一、气体分离及液化设备行业背景分析</w:t>
      </w:r>
      <w:bookmarkEnd w:id="2"/>
    </w:p>
    <w:p>
      <w:pPr>
        <w:pStyle w:val="Heading2"/>
        <w:rPr>
          <w:rFonts w:ascii="仿宋" w:eastAsia="仿宋" w:hAnsi="仿宋" w:cs="仿宋" w:hint="eastAsia"/>
          <w:lang w:eastAsia="zh-CN"/>
        </w:rPr>
      </w:pPr>
      <w:bookmarkStart w:id="3" w:name="_Toc6572"/>
      <w:r>
        <w:rPr>
          <w:rFonts w:ascii="仿宋" w:eastAsia="仿宋" w:hAnsi="仿宋" w:cs="仿宋" w:hint="eastAsia"/>
          <w:lang w:eastAsia="zh-CN"/>
        </w:rPr>
        <w:t>(一)、气体分离及液化设备行业背景分析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气体分离及液化设备行业是一个充满活力且不断演变的领域。近年来，该气体分离及液化设备行业经历了显著的增长，这一增长主要受益于多方面的推动因素，尤其是技术创新和市场需求的持续增加。技术创新为气体分离及液化设备行业带来了新的商业模式和解决方案，而不断增长的市场需求则推动了气体分离及液化设备行业的整体扩张。这使得 气体分离及液化设备行业成为当前经济中备受关注的一个重要组成部分。</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市场规模与趋势</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气体分离及液化设备行业的市场规模持续扩大，预计未来几年仍将保持良好的增长势头。这一趋势得益于多种因素，其中包括数字化转型、全球化市场和消费者需求的多样化。数字化转型推动了气体分离及液化设备行业内各个环节的效率提升，全球化市场为企业提供了更广阔的业务机会，而消费者需求的多样化则促使气体分离及液化设备行业不断创新，满足不同层次的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目前，气体分离及液化设备行业呈现激烈的竞争格局，主要由一些领先的企业主导市场。这些企业通常在创新、市场份额和客户忠诚度等方面表现出强大的竞争力。随着气体分离及液化设备行业的发展，新的参与者可能加入市场，加剧了竞争。因此，企业需要保持敏锐的市场洞察，不断提升竞争力，以在激烈的市场竞争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气体分离及液化设备行业受到一系列政府政策和法规的影响，涉及到环保标准、贸易政策、知识产权等多个领域。企业需要密切关注并遵守这些法规，以确保业务的可持续发展。合规经营不仅有助于维护企业的声誉，还为企业在复杂多变的法规环境中保持稳健运营提供了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技术与创新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技术创新是推动</w:t>
      </w:r>
      <w:r>
        <w:rPr>
          <w:rFonts w:ascii="仿宋" w:eastAsia="仿宋" w:hAnsi="仿宋" w:cs="仿宋" w:hint="eastAsia"/>
          <w:sz w:val="28"/>
          <w:lang w:eastAsia="zh-CN"/>
        </w:rPr>
        <w:t xml:space="preserve"> 气体分离及液化设备行业发展的关键因素之一。新技术的引入，如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相关技术]，为企业提供了更高效、智能化的解决方案，同时也创造了新的商业机会。在这个快速变化的环境中，企业需要不断调整自己的技术策略，以保持竞争力。积极采用新技术，拥抱创新是气体分离及液化设备行业参与者取得成功的关键路径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未来展望</w:t>
      </w:r>
    </w:p>
    <w:p>
      <w:pPr>
        <w:ind w:firstLine="560" w:firstLineChars="200"/>
        <w:rPr>
          <w:rFonts w:ascii="仿宋" w:eastAsia="仿宋" w:hAnsi="仿宋" w:cs="仿宋" w:hint="eastAsia"/>
          <w:sz w:val="28"/>
        </w:rPr>
      </w:pPr>
      <w:r>
        <w:rPr>
          <w:rFonts w:ascii="仿宋" w:eastAsia="仿宋" w:hAnsi="仿宋" w:cs="仿宋" w:hint="eastAsia"/>
          <w:sz w:val="28"/>
          <w:lang w:eastAsia="zh-CN"/>
        </w:rPr>
        <w:t>展望未来，气体分离及液化设备行业仍然充满挑战和机遇。随着全球经济的发展和技术的不断进步，气体分离及液化设备行业参与者将面临着更多的发展机会。然而，需要时刻保持敏锐的市场洞察，灵活调整战略，以适应变化中的环境。对于 气体分离及液化设备行业的未来，持乐观但谨慎的态度，不断优化业务模式和提升核心竞争力是至关重要的。</w:t>
      </w:r>
    </w:p>
    <w:p>
      <w:pPr>
        <w:pStyle w:val="Heading1"/>
        <w:ind w:firstLine="560" w:firstLineChars="200"/>
        <w:rPr>
          <w:rFonts w:ascii="仿宋" w:eastAsia="仿宋" w:hAnsi="仿宋" w:cs="仿宋" w:hint="eastAsia"/>
          <w:sz w:val="28"/>
          <w:lang w:eastAsia="zh-CN"/>
        </w:rPr>
      </w:pPr>
      <w:bookmarkStart w:id="4" w:name="_Toc22168"/>
      <w:r>
        <w:rPr>
          <w:rFonts w:ascii="仿宋" w:eastAsia="仿宋" w:hAnsi="仿宋" w:cs="仿宋" w:hint="eastAsia"/>
          <w:sz w:val="28"/>
          <w:lang w:eastAsia="zh-CN"/>
        </w:rPr>
        <w:t>二、薪酬制度管理</w:t>
      </w:r>
      <w:bookmarkEnd w:id="4"/>
    </w:p>
    <w:p>
      <w:pPr>
        <w:pStyle w:val="Heading2"/>
        <w:rPr>
          <w:rFonts w:ascii="仿宋" w:eastAsia="仿宋" w:hAnsi="仿宋" w:cs="仿宋" w:hint="eastAsia"/>
          <w:lang w:eastAsia="zh-CN"/>
        </w:rPr>
      </w:pPr>
      <w:bookmarkStart w:id="5" w:name="_Toc27611"/>
      <w:r>
        <w:rPr>
          <w:rFonts w:ascii="仿宋" w:eastAsia="仿宋" w:hAnsi="仿宋" w:cs="仿宋" w:hint="eastAsia"/>
          <w:lang w:eastAsia="zh-CN"/>
        </w:rPr>
        <w:t>(一)、薪酬管理制度</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薪酬管理制度是企业规章制度的一部分，属于组织劳动过程和进行劳动管理的规则和制度的总和。它在企业内部扮演着类似“法律”的角色，为员工和雇主提供了关于薪酬体系的设计理念、方法、水平、支付方式等方面的规定性说明。薪酬管理制度的核心是将薪酬体系制度化，确保员工和雇主对薪酬安排的满意度。</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具体而言，薪酬制度在企业中体现为对薪酬管理运行目标、任务和手段的选择。这包括了企业对员工薪酬所采取的竞争策略、公平原则、薪酬成本与预算控制方式等内容。综合而言，薪酬制度是一个广泛的概念，它牵涉到企业的薪酬战略、薪酬体系、薪酬结构、薪酬政策、薪酬水平以及薪酬管理等多个方面的内容。通过制度化的薪酬管理，企业能够更好地达成对员工激励、公平公正和成本控制等方面的管理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1. 薪酬政策和目标：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秉承着坚持公平、竞争力和绩效导向的核心原则，确立了明晰的薪酬政策和目标，以引领员工向更高目标迈进。在制定薪酬政策时，公司注重将薪酬定位与市场对人才的需求相匹配，以确保薪酬水平具有竞争力。同时，薪酬发放标准坚持绩效导向，以员工的工作成果为核心评价标准，以激发员工的积极性和创造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定薪酬的核心原则方面，公司坚持公平原则，确保同等工作量和贡献的员工能够获得相应的薪酬。竞争力原则则体现在公司提供具有竞争力的薪酬水平，以吸引、留住和激励高素质的人才。同时，绩效导向原则体现在公司奖励那些在工作中取得优异成绩的员工，以激发全员积极性，推动整体绩效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2. 薪酬结构设计：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坚持制定差异化的薪酬结构，包括基本工资、绩效奖金、福利和其他激励机制，以全方位满足员工的多层次需求。在基本工资方面，公司根据员工的职务层级和业务部门的特点，制定了合理的基准薪资，确保与市场水平保持一致。绩效奖金则是根据员工的实际绩效表现进行差异化分配，激励员工追求卓越。</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差异化的薪酬结构不仅仅体现在金钱激励上，公司还注重提供全面福利和其他激励机制。这包括社会保险、商业保险、节假日福利等全面福利体系，以及津贴和补贴政策的合理设计，以满足员工在工作和生活中的多元需求。这一差异化的设计旨在更好地调动员工的工作积极性，促进员工的全方位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3. 岗位薪酬测算：</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薪酬水平的合理性，公司制定了详细的岗位薪酬测算方案。首先，公司对各个岗位进行了仔细的分类，考虑了市场薪酬水平、气体分离及液化设备行业标准等多方面因素，确定了各岗位的基准薪资。在薪酬测算方法上，公司充分考虑了员工的工作经验、学历、技能等因素，以科学的方法为员工提供具有竞争力的薪酬待遇。</w:t>
      </w:r>
    </w:p>
    <w:p>
      <w:pPr>
        <w:ind w:firstLine="560" w:firstLineChars="200"/>
        <w:rPr>
          <w:rFonts w:ascii="仿宋" w:eastAsia="仿宋" w:hAnsi="仿宋" w:cs="仿宋" w:hint="eastAsia"/>
          <w:sz w:val="28"/>
        </w:rPr>
      </w:pPr>
      <w:r>
        <w:rPr>
          <w:rFonts w:ascii="仿宋" w:eastAsia="仿宋" w:hAnsi="仿宋" w:cs="仿宋" w:hint="eastAsia"/>
          <w:sz w:val="28"/>
          <w:lang w:eastAsia="zh-CN"/>
        </w:rPr>
        <w:t>4. 绩效考核与奖金制度：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设立了明确的绩效考核标准和流程，与公司战略目标相一致。这包括个人、团队和部门的绩效考核，确保每个员工的工作贡献都能被充分评估。公司制定了奖金分配机制，将绩效与薪酬挂钩，对于表现优异的员工给予更为丰厚的奖励，以激发员工的工作积极性和创造力。</w:t>
      </w:r>
    </w:p>
    <w:p>
      <w:pPr>
        <w:ind w:firstLine="560" w:firstLineChars="200"/>
        <w:rPr>
          <w:rFonts w:ascii="仿宋" w:eastAsia="仿宋" w:hAnsi="仿宋" w:cs="仿宋" w:hint="eastAsia"/>
          <w:sz w:val="28"/>
        </w:rPr>
      </w:pPr>
      <w:r>
        <w:rPr>
          <w:rFonts w:ascii="仿宋" w:eastAsia="仿宋" w:hAnsi="仿宋" w:cs="仿宋" w:hint="eastAsia"/>
          <w:sz w:val="28"/>
          <w:lang w:eastAsia="zh-CN"/>
        </w:rPr>
        <w:t>5. 福利和补贴：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注重员工的整体福祉，因此建立了全面的福利体系。这包括完善的社会保险和商业保险计划，以及贴心的节假日福利。此外，公司还制定了合理的津贴和补贴政策，以应对员工在工作和生活中的多元需求。通过这些福利和补贴的设计，公司力求创造一个员工关怀的工作环境，提高员工对公司的归属感和满意度。</w:t>
      </w:r>
    </w:p>
    <w:p>
      <w:pPr>
        <w:ind w:firstLine="560" w:firstLineChars="200"/>
        <w:rPr>
          <w:rFonts w:ascii="仿宋" w:eastAsia="仿宋" w:hAnsi="仿宋" w:cs="仿宋" w:hint="eastAsia"/>
          <w:sz w:val="28"/>
        </w:rPr>
      </w:pPr>
      <w:r>
        <w:rPr>
          <w:rFonts w:ascii="仿宋" w:eastAsia="仿宋" w:hAnsi="仿宋" w:cs="仿宋" w:hint="eastAsia"/>
          <w:sz w:val="28"/>
          <w:lang w:eastAsia="zh-CN"/>
        </w:rPr>
        <w:t>6. 薪酬调整和晋升：</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员工的薪酬水平与市场保持一致，公司规定了薪酬调整的频率和方式。公司将根据市场行情、员工绩效以及公司整体经济状况等因素，定期进行薪酬水平的评估和调整，以确保员工的收入具有持续的竞争力。同时，公司建立了明确的晋升机制，为表现优异的员工提供晋升的机会，鼓励员工通过不断提升自身能力实现事业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7. 透明度和沟通：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高度重视薪酬制度的透明度，通过定期的内部沟通，向员工详细解释薪酬政策的调整、变动和优化。公司致力于建立一个开放的沟通氛围，鼓励员工就薪酬政策提出建议和意见，以保持薪酬制度的公正性和公平性。</w:t>
      </w:r>
    </w:p>
    <w:p>
      <w:pPr>
        <w:ind w:firstLine="560" w:firstLineChars="200"/>
        <w:rPr>
          <w:rFonts w:ascii="仿宋" w:eastAsia="仿宋" w:hAnsi="仿宋" w:cs="仿宋" w:hint="eastAsia"/>
          <w:sz w:val="28"/>
        </w:rPr>
      </w:pPr>
      <w:r>
        <w:rPr>
          <w:rFonts w:ascii="仿宋" w:eastAsia="仿宋" w:hAnsi="仿宋" w:cs="仿宋" w:hint="eastAsia"/>
          <w:sz w:val="28"/>
          <w:lang w:eastAsia="zh-CN"/>
        </w:rPr>
        <w:t>8. 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薪酬管理制度始终遵守国家和地方相关法律法规，确保薪酬制度的合规性。公司建立了专业的法务团队，密切关注薪酬领域的法规变化，并及时调整薪酬政策，以适应外部环境和内部变化。公司的合规性操作为员工提供了薪酬待遇的法律保障，确保了公司在薪酬管理方面的可持续发展。</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6" w:name="_Toc1140"/>
      <w:r>
        <w:rPr>
          <w:rFonts w:ascii="仿宋" w:eastAsia="仿宋" w:hAnsi="仿宋" w:cs="仿宋" w:hint="eastAsia"/>
          <w:sz w:val="28"/>
          <w:lang w:eastAsia="zh-CN"/>
        </w:rPr>
        <w:t>(二)、奖金制度的制定</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(一) 奖金制度的制定程序</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奖金总额确定：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首先，企业需要根据实际完成情况和经营计划考虑确定奖金总额。这一步需要综合考虑企业的财务状况、业绩表现以及市场竞争等因素，确保奖金总额既能够激励员工，又符合企业可承受的负担范围。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2. 奖金制度原则确立： 在制定奖金制度时，企业需要依据企业战略、企业文化等要素，明确奖金分配的原则。这包括奖金的定位、发放标准以及制度的灵活性，确保奖金制度与企业整体目标相一致。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3. 奖金发放对象明确： 定义奖金发放对象及范围，明确哪些员工将受益于奖金制度。这可能涉及到不同部门、职务层级或特定业绩的员工，确保奖金制度能够覆盖全员，并激发各层级的员工积极性。</w:t>
      </w:r>
    </w:p>
    <w:p>
      <w:pPr>
        <w:ind w:firstLine="560" w:firstLineChars="200"/>
        <w:rPr>
          <w:rFonts w:ascii="仿宋" w:eastAsia="仿宋" w:hAnsi="仿宋" w:cs="仿宋" w:hint="eastAsia"/>
          <w:sz w:val="28"/>
        </w:rPr>
      </w:pPr>
      <w:r>
        <w:rPr>
          <w:rFonts w:ascii="仿宋" w:eastAsia="仿宋" w:hAnsi="仿宋" w:cs="仿宋" w:hint="eastAsia"/>
          <w:sz w:val="28"/>
          <w:lang w:eastAsia="zh-CN"/>
        </w:rPr>
        <w:t>4. 个人奖金计算办法制定： 制定个人奖金计算办法，确保奖金的计算方式公平、合理、透明。这可能包括考虑员工的个人绩效、工作职责、贡献度等因素，确保奖金与员工的实际表现相符。</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奖金设计方法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在奖金设计方面，每个奖金项目都需要考虑不同的设计方法，以达到激发员工积极性的效果。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佣金的设计： 制定适当的佣金比例，既要激发员工积极性，又要考虑企业负担能力。确保佣金比例能够有效推动销售人员达成销售目标，同时保持企业的盈利。</w:t>
      </w:r>
    </w:p>
    <w:p>
      <w:pPr>
        <w:ind w:firstLine="560" w:firstLineChars="200"/>
        <w:rPr>
          <w:rFonts w:ascii="仿宋" w:eastAsia="仿宋" w:hAnsi="仿宋" w:cs="仿宋" w:hint="eastAsia"/>
          <w:sz w:val="28"/>
        </w:rPr>
      </w:pPr>
      <w:r>
        <w:rPr>
          <w:rFonts w:ascii="仿宋" w:eastAsia="仿宋" w:hAnsi="仿宋" w:cs="仿宋" w:hint="eastAsia"/>
          <w:sz w:val="28"/>
          <w:lang w:eastAsia="zh-CN"/>
        </w:rPr>
        <w:t>2. 超时奖： 设定明确的超时奖金标准，鼓励员工在规定时间内完成任务。这需要综合考虑工作时长、任务紧急程度等因素，确保奖金能够切实反映员工的付出。</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3. 绩效奖： 确立明确、合理的绩效标准，以递增方式设立奖金，激发员工提高绩效的动力。这可能涉及到销售额、生产效率、客户满意度等方面的考量。</w:t>
      </w:r>
    </w:p>
    <w:p>
      <w:pPr>
        <w:ind w:firstLine="560" w:firstLineChars="200"/>
        <w:rPr>
          <w:rFonts w:ascii="仿宋" w:eastAsia="仿宋" w:hAnsi="仿宋" w:cs="仿宋" w:hint="eastAsia"/>
          <w:sz w:val="28"/>
        </w:rPr>
      </w:pPr>
      <w:r>
        <w:rPr>
          <w:rFonts w:ascii="仿宋" w:eastAsia="仿宋" w:hAnsi="仿宋" w:cs="仿宋" w:hint="eastAsia"/>
          <w:sz w:val="28"/>
          <w:lang w:eastAsia="zh-CN"/>
        </w:rPr>
        <w:t>4. 建议奖： 奖励出于达到组织目标的建议，设立较低金额的奖金，鼓励广泛提建议的员工。确保奖金设计能够公平地回报具有创新性建议的员工。</w:t>
      </w:r>
    </w:p>
    <w:p>
      <w:pPr>
        <w:ind w:firstLine="560" w:firstLineChars="200"/>
        <w:rPr>
          <w:rFonts w:ascii="仿宋" w:eastAsia="仿宋" w:hAnsi="仿宋" w:cs="仿宋" w:hint="eastAsia"/>
          <w:sz w:val="28"/>
        </w:rPr>
      </w:pPr>
      <w:r>
        <w:rPr>
          <w:rFonts w:ascii="仿宋" w:eastAsia="仿宋" w:hAnsi="仿宋" w:cs="仿宋" w:hint="eastAsia"/>
          <w:sz w:val="28"/>
          <w:lang w:eastAsia="zh-CN"/>
        </w:rPr>
        <w:t>5. 特殊贡献奖： 制定可操作的特殊贡献标准，奖金金额较高，鼓励员工为企业做出特殊贡献。这可能包括成本节约、技术创新、市场拓展等方面的表现。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6. 节约奖： 奖励真正的成本节约行为，通过指标明确是否降低了成本。确保奖金制度不仅鼓励成本控制，还要考虑产品质量和客户满意度等因素。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7. 超利润奖： 奖励全面超额完成利润指标的员工，根据个人对利润目标的贡献发放奖金。确保奖金设计既能激发团队协作，又能公平体现个体贡献。</w:t>
      </w:r>
    </w:p>
    <w:p>
      <w:pPr>
        <w:ind w:firstLine="560" w:firstLineChars="200"/>
        <w:rPr>
          <w:rFonts w:ascii="仿宋" w:eastAsia="仿宋" w:hAnsi="仿宋" w:cs="仿宋" w:hint="eastAsia"/>
          <w:sz w:val="28"/>
        </w:rPr>
      </w:pPr>
      <w:r>
        <w:rPr>
          <w:rFonts w:ascii="仿宋" w:eastAsia="仿宋" w:hAnsi="仿宋" w:cs="仿宋" w:hint="eastAsia"/>
          <w:sz w:val="28"/>
          <w:lang w:eastAsia="zh-CN"/>
        </w:rPr>
        <w:t>8. 项目奖金设计： 制定项目奖金制度，强调团队协作和项目成果。设立明确的项目完成标准，确保奖金与项目目标的对应。这包括明确项目的关键绩效指标，如项目进度、质量标准和客户满意度等，以保证奖金的公正分配。</w:t>
      </w:r>
    </w:p>
    <w:p>
      <w:pPr>
        <w:ind w:firstLine="560" w:firstLineChars="200"/>
        <w:rPr>
          <w:rFonts w:ascii="仿宋" w:eastAsia="仿宋" w:hAnsi="仿宋" w:cs="仿宋" w:hint="eastAsia"/>
          <w:sz w:val="28"/>
        </w:rPr>
      </w:pPr>
      <w:r>
        <w:rPr>
          <w:rFonts w:ascii="仿宋" w:eastAsia="仿宋" w:hAnsi="仿宋" w:cs="仿宋" w:hint="eastAsia"/>
          <w:sz w:val="28"/>
          <w:lang w:eastAsia="zh-CN"/>
        </w:rPr>
        <w:t>9. 技能培训奖： 奖励员工参与和完成相关技能培训，提高员工的专业素养。设立明确的培训计划和奖金发放标准，鼓励员工持续学习和提升自身技能，以适应市场和气体分离及液化设备行业的变化。</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10. 团队协作奖： 强调团队合作和协同工作的重要性。设立团队目标，根据团队整体表现发放奖金，促进员工之间的协作精神。确保奖金制度既能够鼓励个体贡献，也能够激发整个团队的凝聚力。</w:t>
      </w:r>
    </w:p>
    <w:p>
      <w:pPr>
        <w:ind w:firstLine="560" w:firstLineChars="200"/>
        <w:rPr>
          <w:rFonts w:ascii="仿宋" w:eastAsia="仿宋" w:hAnsi="仿宋" w:cs="仿宋" w:hint="eastAsia"/>
          <w:sz w:val="28"/>
        </w:rPr>
      </w:pPr>
      <w:r>
        <w:rPr>
          <w:rFonts w:ascii="仿宋" w:eastAsia="仿宋" w:hAnsi="仿宋" w:cs="仿宋" w:hint="eastAsia"/>
          <w:sz w:val="28"/>
          <w:lang w:eastAsia="zh-CN"/>
        </w:rPr>
        <w:t>11. 创新奖金设计： 鼓励员工提出创新点子和改进方案。设立创新评审机制，根据采纳的创新程度发放奖金。确保奖金设计能够有效激发员工的创造性思维，推动企业不断创新发展。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12. 客户满意度奖： 关注客户满意度，设定客户服务指标，并根据客户满意度评估结果发放奖金。强调员工对客户服务的重视，确保奖金与客户满意度直接相关，推动提升服务质量。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13. 安全绩效奖： 着重安全生产，设立安全绩效指标，鼓励员工遵守安全规定。通过设立安全奖金，提高员工对工作场所安全的重视，确保员工的工作环境安全可靠。</w:t>
      </w:r>
    </w:p>
    <w:p>
      <w:pPr>
        <w:ind w:firstLine="560" w:firstLineChars="200"/>
        <w:rPr>
          <w:rFonts w:ascii="仿宋" w:eastAsia="仿宋" w:hAnsi="仿宋" w:cs="仿宋" w:hint="eastAsia"/>
          <w:sz w:val="28"/>
        </w:rPr>
      </w:pPr>
      <w:r>
        <w:rPr>
          <w:rFonts w:ascii="仿宋" w:eastAsia="仿宋" w:hAnsi="仿宋" w:cs="仿宋" w:hint="eastAsia"/>
          <w:sz w:val="28"/>
          <w:lang w:eastAsia="zh-CN"/>
        </w:rPr>
        <w:t>14. 销售目标奖： 针对销售团队，设立明确的销售目标，根据销售额、市场份额等指标发放奖金。激励销售团队实现业绩目标，确保奖金与销售绩效直接相关。</w:t>
      </w:r>
    </w:p>
    <w:p>
      <w:pPr>
        <w:ind w:firstLine="560" w:firstLineChars="200"/>
        <w:rPr>
          <w:rFonts w:ascii="仿宋" w:eastAsia="仿宋" w:hAnsi="仿宋" w:cs="仿宋" w:hint="eastAsia"/>
          <w:sz w:val="28"/>
        </w:rPr>
      </w:pPr>
      <w:r>
        <w:rPr>
          <w:rFonts w:ascii="仿宋" w:eastAsia="仿宋" w:hAnsi="仿宋" w:cs="仿宋" w:hint="eastAsia"/>
          <w:sz w:val="28"/>
          <w:lang w:eastAsia="zh-CN"/>
        </w:rPr>
        <w:t>15. 员工关怀奖： 强调员工关怀，设立员工关怀项目，如健康检查、员工活动等，发放奖金以表达企业对员工的关心。通过员工关怀奖金，提高员工对企业的归属感和忠诚度。</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7" w:name="_Toc15406"/>
      <w:r>
        <w:rPr>
          <w:rFonts w:ascii="仿宋" w:eastAsia="仿宋" w:hAnsi="仿宋" w:cs="仿宋" w:hint="eastAsia"/>
          <w:sz w:val="28"/>
          <w:lang w:eastAsia="zh-CN"/>
        </w:rPr>
        <w:t>(三)、岗位薪酬体系设计</w:t>
      </w:r>
      <w:bookmarkEnd w:id="7"/>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岗位薪酬体系的设计不仅仅是一个反映企业内外环境、确立薪酬策略的过程，更是一个关系到组织效能和员工激励的关键性举措。通过深入分析每个岗位的相对价值，体现了对员工贡献的公正认可。在企业实施岗位薪酬体系时，明晰的岗位说明书成为员工了解自身职责与期望的依据，同时稳定的组织环境和固定的工作对象有助于建立可持续的薪酬管理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在确定岗位相对价值的过程中，科学合理地确定反映岗位价值的因素、指标和权重至关重要。这不仅需要全面的岗位分析，更需要对每个岗位的职责、权限、任职资格等进行客观评价。优势在于，岗位薪酬体系能够实现同岗同薪，减少不必要的内部矛盾，凸显公平性，同时系统管理成本也相对较低。然而，对员工个性特征的过度忽视可能使得员工在职业生涯规划上感到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特别是对于技术类员工，一旦达到某个岗位，晋升的机会可能变得有限，这对其职业发展构成挑战。此外，岗位薪酬体系容易忽视同岗位内部的绩效差异，可能导致员工工作积极性的下降。而且，作为高稳定薪酬模式，其对员工的激励效果有限，也加剧了组织的僵化。</w:t>
      </w:r>
    </w:p>
    <w:p>
      <w:pPr>
        <w:ind w:firstLine="560" w:firstLineChars="200"/>
        <w:rPr>
          <w:rFonts w:ascii="仿宋" w:eastAsia="仿宋" w:hAnsi="仿宋" w:cs="仿宋" w:hint="eastAsia"/>
          <w:sz w:val="28"/>
        </w:rPr>
      </w:pPr>
      <w:r>
        <w:rPr>
          <w:rFonts w:ascii="仿宋" w:eastAsia="仿宋" w:hAnsi="仿宋" w:cs="仿宋" w:hint="eastAsia"/>
          <w:sz w:val="28"/>
          <w:lang w:eastAsia="zh-CN"/>
        </w:rPr>
        <w:t>岗位薪酬体系与组织结构、岗位设置和特征密切相关，实际上是一种等级薪酬。通过对每个岗位所需知识、技能和职责的评估，可形成薪酬金字塔，并通过市场薪酬调查确定适应企业的薪酬水平。这种设计应以企业战略为导向，同时满足法律规定，追求内外公平和对外竞争性与对内激励性的平衡。</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综合而言，岗位薪酬体系设计的步骤包括环境分析、薪酬策略确定、岗位分析、岗位评价、岗位等级划分、市场薪酬调查、薪酬结构与水平确定、实施与反馈。这一过程需要深刻了解企业内外环境，全面考虑组织战略和目标，以科学的方法构建薪酬体系，从而推动员工发展，提高整体绩效。</w:t>
      </w:r>
    </w:p>
    <w:p>
      <w:pPr>
        <w:pStyle w:val="Heading2"/>
        <w:ind w:firstLine="560" w:firstLineChars="200"/>
        <w:rPr>
          <w:rFonts w:ascii="仿宋" w:eastAsia="仿宋" w:hAnsi="仿宋" w:cs="仿宋" w:hint="eastAsia"/>
          <w:sz w:val="28"/>
          <w:lang w:eastAsia="zh-CN"/>
        </w:rPr>
      </w:pPr>
      <w:bookmarkStart w:id="8" w:name="_Toc12380"/>
      <w:r>
        <w:rPr>
          <w:rFonts w:ascii="仿宋" w:eastAsia="仿宋" w:hAnsi="仿宋" w:cs="仿宋" w:hint="eastAsia"/>
          <w:sz w:val="28"/>
          <w:lang w:eastAsia="zh-CN"/>
        </w:rPr>
        <w:t>(四)、绩效薪酬体系设计</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绩效薪酬体系是一种基于员工表现和贡献水平的薪酬模式，强调个体绩效与薪酬之间的直接联系，为员工提供更大的发展激励和晋升机会。在设计绩效薪酬体系时，必须考虑多方面因素，以确保其科学、公正、可操作。设计绩效薪酬体系的一些建议步骤：</w:t>
      </w:r>
    </w:p>
    <w:p>
      <w:pPr>
        <w:ind w:firstLine="560" w:firstLineChars="200"/>
        <w:rPr>
          <w:rFonts w:ascii="仿宋" w:eastAsia="仿宋" w:hAnsi="仿宋" w:cs="仿宋" w:hint="eastAsia"/>
          <w:sz w:val="28"/>
        </w:rPr>
      </w:pPr>
      <w:r>
        <w:rPr>
          <w:rFonts w:ascii="仿宋" w:eastAsia="仿宋" w:hAnsi="仿宋" w:cs="仿宋" w:hint="eastAsia"/>
          <w:sz w:val="28"/>
          <w:lang w:eastAsia="zh-CN"/>
        </w:rPr>
        <w:t>1. 明确绩效目标和指标： 绩效薪酬体系的首要任务是明确绩效目标和相应的评估指标，确保它们与企业的战略目标和价值观相一致。可能的绩效指标包括业绩目标的达成、团队协作、创新能力等。这样的明确性有助于员工理解期望，同时使薪酬体系更具针对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设立明确的评估周期： 绩效评估应周期性进行，通常是年度评估。这确保员工有足够的时间来展现他们的能力和贡献，并有助于灵活地调整薪酬以适应变化的业务环境。定期评估也为员工提供了持续改进和发展的机会。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3. 制定绩效评估标准： 建立明确的评估标准，以确保评估的公正性和客观性。这些标准可以基于具体的项目完成情况、工作目标的实现程度、领导力表现等方面。明晰的标准为员工提供了明确的行为指南，有助于提高整体绩效水平。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4. 差异化薪酬设计： 根据员工的绩效水平差异，设定不同的薪酬水平。高绩效者应该获得更高的薪酬奖励，这样的差异化设计能够更有效地激发员工的积极性，提高整体团队表现。</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5.</w:t>
      </w:r>
      <w:r>
        <w:rPr>
          <w:rFonts w:ascii="仿宋" w:eastAsia="仿宋" w:hAnsi="仿宋" w:cs="仿宋" w:hint="eastAsia"/>
          <w:sz w:val="28"/>
          <w:lang w:eastAsia="zh-CN"/>
        </w:rPr>
        <w:t xml:space="preserve"> 制定激励机制：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引入额外的激励机制，如绩效奖金、股权激励或其他非金钱激励，以丰富薪酬体系，满足员工多样化的激励需求。这样的机制不仅能够提高员工满意度，还有助于吸引和留住优秀人才。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6. 透明的沟通机制： 对绩效薪酬体系进行透明的沟通，向员工清晰地说明绩效评估的标准和薪酬激励机制。透明沟通有助于建立员工对薪酬体系的信任和理解，从而增强员工对工作目标的投入感。</w:t>
      </w:r>
    </w:p>
    <w:p>
      <w:pPr>
        <w:ind w:firstLine="560" w:firstLineChars="200"/>
        <w:rPr>
          <w:rFonts w:ascii="仿宋" w:eastAsia="仿宋" w:hAnsi="仿宋" w:cs="仿宋" w:hint="eastAsia"/>
          <w:sz w:val="28"/>
        </w:rPr>
      </w:pPr>
      <w:r>
        <w:rPr>
          <w:rFonts w:ascii="仿宋" w:eastAsia="仿宋" w:hAnsi="仿宋" w:cs="仿宋" w:hint="eastAsia"/>
          <w:sz w:val="28"/>
          <w:lang w:eastAsia="zh-CN"/>
        </w:rPr>
        <w:t>7. 反馈和改进机制： 设立定期的反馈机制，与员工讨论他们的绩效表现，提供指导和发展建议。通过及时反馈，员工可以更好地了解自己的强项和改进空间，同时，根据反馈对绩效薪酬体系进行调整，确保其与组织和员工的变化保持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8. 合法合规： 绩效薪酬体系的设计必须符合相关法规和劳动法规定，以避免潜在的法律纠纷和员工不满。合法合规的设计有助于建立积极的组织形象，吸引更多的人才加入和留在企业。</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通过以上步骤，企业可以建立一个与员工绩效直接挂钩的薪酬体系，激发员工的工作热情，提高整体绩效水平。同时，定期的评估和调整可以确保薪酬体系与企业战略保持一致，适应组织的变革和成长。</w:t>
      </w:r>
    </w:p>
    <w:p>
      <w:pPr>
        <w:pStyle w:val="Heading1"/>
        <w:ind w:firstLine="560" w:firstLineChars="200"/>
        <w:rPr>
          <w:rFonts w:ascii="仿宋" w:eastAsia="仿宋" w:hAnsi="仿宋" w:cs="仿宋" w:hint="eastAsia"/>
          <w:sz w:val="28"/>
          <w:lang w:eastAsia="zh-CN"/>
        </w:rPr>
      </w:pPr>
      <w:bookmarkStart w:id="9" w:name="_Toc25076"/>
      <w:r>
        <w:rPr>
          <w:rFonts w:ascii="仿宋" w:eastAsia="仿宋" w:hAnsi="仿宋" w:cs="仿宋" w:hint="eastAsia"/>
          <w:sz w:val="28"/>
          <w:lang w:eastAsia="zh-CN"/>
        </w:rPr>
        <w:t>三、员工职业生涯规划与发展</w:t>
      </w:r>
      <w:bookmarkEnd w:id="9"/>
    </w:p>
    <w:p>
      <w:pPr>
        <w:pStyle w:val="Heading2"/>
        <w:rPr>
          <w:rFonts w:ascii="仿宋" w:eastAsia="仿宋" w:hAnsi="仿宋" w:cs="仿宋" w:hint="eastAsia"/>
          <w:lang w:eastAsia="zh-CN"/>
        </w:rPr>
      </w:pPr>
      <w:bookmarkStart w:id="10" w:name="_Toc16951"/>
      <w:r>
        <w:rPr>
          <w:rFonts w:ascii="仿宋" w:eastAsia="仿宋" w:hAnsi="仿宋" w:cs="仿宋" w:hint="eastAsia"/>
          <w:lang w:eastAsia="zh-CN"/>
        </w:rPr>
        <w:t>(一)、职业生涯规划概述</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职业生涯规划概述:</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规划是个人在职业生涯中制定的一系列目标、计划和行动，旨在实现职业发展、提升工作满意度、获取专业技能以及实现个人和职业目标。它是一个系统性的过程，涵盖了对个人兴趣、价值观、技能和职业机会的深入了解，以及相应的目标设定和执行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在职业生涯规划中，个人通常会考虑以下方面：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自我评估: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这包括个人的技能、兴趣、价值观和性格特点的评估。了解自己的优势和劣势，明确个人的职业目标和价值观，是制定职业生涯规划的基础。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2. 职业目标设定: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设定长期和短期的职业目标，明确想要达到的职业高度和成就。这有助于个人更有针对性地制定相应的计划和行动步骤。</w:t>
      </w:r>
    </w:p>
    <w:p>
      <w:pPr>
        <w:ind w:firstLine="560" w:firstLineChars="200"/>
        <w:rPr>
          <w:rFonts w:ascii="仿宋" w:eastAsia="仿宋" w:hAnsi="仿宋" w:cs="仿宋" w:hint="eastAsia"/>
          <w:sz w:val="28"/>
        </w:rPr>
      </w:pPr>
      <w:r>
        <w:rPr>
          <w:rFonts w:ascii="仿宋" w:eastAsia="仿宋" w:hAnsi="仿宋" w:cs="仿宋" w:hint="eastAsia"/>
          <w:sz w:val="28"/>
          <w:lang w:eastAsia="zh-CN"/>
        </w:rPr>
        <w:t>3. 职业市场调研:</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了解当前和未来的职业市场趋势，以及所处气体分离及液化设备行业的发展方向，有助于调整个人的职业规划，确保与市场需求保持一致。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学习和发展计划: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制定学习计划，包括获取新技能、参与培训、追求学历提升等，以满足个人职业目标和适应职业市场的需求。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5. 行动计划: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制定明确的行动计划，包括就业策略、职业网络建设、个人品牌塑造等，以有条不紊地实施职业生涯规划。</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职业生涯规划有助于个人更有目的地投入职业生涯，提高职业发展的有效性和满意度。通过持续的自我评估和规划，个人能够更好地适应职业环境的变化，取得更好的职业成就。</w:t>
      </w:r>
    </w:p>
    <w:p>
      <w:pPr>
        <w:pStyle w:val="Heading2"/>
        <w:ind w:firstLine="560" w:firstLineChars="200"/>
        <w:rPr>
          <w:rFonts w:ascii="仿宋" w:eastAsia="仿宋" w:hAnsi="仿宋" w:cs="仿宋" w:hint="eastAsia"/>
          <w:sz w:val="28"/>
          <w:lang w:eastAsia="zh-CN"/>
        </w:rPr>
      </w:pPr>
      <w:bookmarkStart w:id="11" w:name="_Toc9209"/>
      <w:r>
        <w:rPr>
          <w:rFonts w:ascii="仿宋" w:eastAsia="仿宋" w:hAnsi="仿宋" w:cs="仿宋" w:hint="eastAsia"/>
          <w:sz w:val="28"/>
          <w:lang w:eastAsia="zh-CN"/>
        </w:rPr>
        <w:t>(二)、基本原则与方法</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在这一过程中，首要任务是明确定义个体的职业目标。员工需要深入思考短期和长期的职业追求，将其与组织的战略愿景相契合。通过对个人兴趣的深入挖掘和对气体分离及液化设备行业趋势的敏锐洞察，个体可以更加准确地定位自己的职业目标，使其在个体发展的同时与组织保持紧密的协调。</w:t>
      </w:r>
    </w:p>
    <w:p>
      <w:pPr>
        <w:pStyle w:val="Heading2"/>
        <w:ind w:firstLine="560" w:firstLineChars="200"/>
        <w:rPr>
          <w:rFonts w:ascii="仿宋" w:eastAsia="仿宋" w:hAnsi="仿宋" w:cs="仿宋" w:hint="eastAsia"/>
          <w:sz w:val="28"/>
          <w:lang w:eastAsia="zh-CN"/>
        </w:rPr>
      </w:pPr>
      <w:bookmarkStart w:id="12" w:name="_Toc4614"/>
      <w:r>
        <w:rPr>
          <w:rFonts w:ascii="仿宋" w:eastAsia="仿宋" w:hAnsi="仿宋" w:cs="仿宋" w:hint="eastAsia"/>
          <w:sz w:val="28"/>
          <w:lang w:eastAsia="zh-CN"/>
        </w:rPr>
        <w:t>(三)、员工职业生涯管理</w:t>
      </w:r>
      <w:bookmarkEnd w:id="12"/>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员工职业生涯管理是一项关键的组织战略，旨在支持员工的个体发展，同时与组织的长远目标保持协调。这一管理实践包含多层次的支持和引导，确保员工能够在职业生涯中实现个人目标的同时为组织作出贡献。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导向个体发展的定制计划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员工职业生涯管理的核心在于定制个体化的发展计划。这需要组织深入了解员工的兴趣、技能和职业目标，并通过有针对性的培训和发展计划为其提供支持。这不仅激发员工的积极性，还使其能够更好地适应组织的变化和成长。</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晋升通道与发展机会</w:t>
      </w:r>
    </w:p>
    <w:p>
      <w:pPr>
        <w:ind w:firstLine="560" w:firstLineChars="200"/>
        <w:rPr>
          <w:rFonts w:ascii="仿宋" w:eastAsia="仿宋" w:hAnsi="仿宋" w:cs="仿宋" w:hint="eastAsia"/>
          <w:sz w:val="28"/>
        </w:rPr>
        <w:sectPr>
          <w:headerReference w:type="default" r:id="rId36"/>
          <w:footerReference w:type="default" r:id="rId37"/>
          <w:type w:val="nextPage"/>
          <w:pgSz w:w="11906" w:h="16838"/>
          <w:pgMar w:top="1440" w:right="1800" w:bottom="1440" w:left="1800" w:header="851" w:footer="992" w:gutter="0"/>
          <w:pgNumType w:start="1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有效的职业生涯管理需建立明确的晋升通道和发展机会。组织应提供清晰的晋升路径，让员工明白他们在组织中的职业前景。同时，通过为员工提供参与创新项目、领导小组或跨部门工作的机会，拓宽他们的经验范围，为职业发展创造更多可能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培训与反馈机制</w:t>
      </w:r>
    </w:p>
    <w:p>
      <w:pPr>
        <w:ind w:firstLine="560" w:firstLineChars="200"/>
        <w:rPr>
          <w:rFonts w:ascii="仿宋" w:eastAsia="仿宋" w:hAnsi="仿宋" w:cs="仿宋" w:hint="eastAsia"/>
          <w:sz w:val="28"/>
        </w:rPr>
      </w:pPr>
      <w:r>
        <w:rPr>
          <w:rFonts w:ascii="仿宋" w:eastAsia="仿宋" w:hAnsi="仿宋" w:cs="仿宋" w:hint="eastAsia"/>
          <w:sz w:val="28"/>
          <w:lang w:eastAsia="zh-CN"/>
        </w:rPr>
        <w:t>培训和反馈是员工职业生涯管理中的两个关键元素。通过定期的培训，员工能够不断提升技能，适应职业环境的变化。而有效的反馈机制则为员工提供了改进的方向，帮助他们更好地理解自己的强项和发展领域。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平衡工作与生活</w:t>
      </w:r>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职业生涯管理还需要关注员工的工作与生活平衡。通过弹性工作安排、健康福利和心理健康支持，组织可以帮助员工更好地处理工作压力，保持身心健康，从而更好地投入职业生涯的发展。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提供多元化的发展资源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为了支持员工的职业生涯管理，组织需提供多元化的发展资源。这包括在线学习平台、导师计划、专业培训等，使员工能够根据自己的需要和兴趣选择适宜的发展途径。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建立良好的沟通渠道</w:t>
      </w:r>
    </w:p>
    <w:p>
      <w:pPr>
        <w:ind w:firstLine="560" w:firstLineChars="200"/>
        <w:rPr>
          <w:rFonts w:ascii="仿宋" w:eastAsia="仿宋" w:hAnsi="仿宋" w:cs="仿宋" w:hint="eastAsia"/>
          <w:sz w:val="28"/>
        </w:rPr>
      </w:pPr>
      <w:r>
        <w:rPr>
          <w:rFonts w:ascii="仿宋" w:eastAsia="仿宋" w:hAnsi="仿宋" w:cs="仿宋" w:hint="eastAsia"/>
          <w:sz w:val="28"/>
          <w:lang w:eastAsia="zh-CN"/>
        </w:rPr>
        <w:t>良好的沟通是员工职业生涯管理的基础。组织需要建立开放的沟通渠道，鼓励员工表达自己的职业期望和需求。同时，领导层的透明沟通有助于员工更好地理解组织的发展方向和自己在其中的角色。</w:t>
      </w:r>
    </w:p>
    <w:p>
      <w:pPr>
        <w:ind w:firstLine="560" w:firstLineChars="200"/>
        <w:rPr>
          <w:rFonts w:ascii="仿宋" w:eastAsia="仿宋" w:hAnsi="仿宋" w:cs="仿宋" w:hint="eastAsia"/>
          <w:sz w:val="28"/>
        </w:rPr>
        <w:sectPr>
          <w:headerReference w:type="default" r:id="rId38"/>
          <w:footerReference w:type="default" r:id="rId39"/>
          <w:type w:val="nextPage"/>
          <w:pgSz w:w="11906" w:h="16838"/>
          <w:pgMar w:top="1440" w:right="1800" w:bottom="1440" w:left="1800" w:header="851" w:footer="992" w:gutter="0"/>
          <w:pgNumType w:start="1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员工职业生涯管理是一项复杂而综合的工作，需要组织通过个性化的支持、发展机会和有效的沟通，确保员工在职业生涯中实现个人目标的同时，为组织的整体成功做出贡献。</w:t>
      </w:r>
    </w:p>
    <w:p>
      <w:pPr>
        <w:pStyle w:val="Heading2"/>
        <w:ind w:firstLine="560" w:firstLineChars="200"/>
        <w:rPr>
          <w:rFonts w:ascii="仿宋" w:eastAsia="仿宋" w:hAnsi="仿宋" w:cs="仿宋" w:hint="eastAsia"/>
          <w:sz w:val="28"/>
          <w:lang w:eastAsia="zh-CN"/>
        </w:rPr>
      </w:pPr>
      <w:bookmarkStart w:id="13" w:name="_Toc32025"/>
      <w:r>
        <w:rPr>
          <w:rFonts w:ascii="仿宋" w:eastAsia="仿宋" w:hAnsi="仿宋" w:cs="仿宋" w:hint="eastAsia"/>
          <w:sz w:val="28"/>
          <w:lang w:eastAsia="zh-CN"/>
        </w:rPr>
        <w:t>(四)、职业生涯发展支持体系</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职业生涯发展支持体系是一个涵盖多方面资源和计划的框架，旨在协助员工规划和实现其职业生涯目标。这一体系涵盖了培训、导师制度、资源支持等多个方面，以确保员工在职业生涯中得到全面的发展和支持。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1. 综合培训计划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发展支持体系的核心是综合的培训计划，旨在提供员工所需的技能和知识。这包括定期的专业培训、工作坊、在线学习资源等。通过投资于员工的终身学习，组织能够确保员工在不同阶段都能保持竞争力。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导师制度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建立导师制度是支持员工职业生涯发展的有效途径。导师可以为新员工提供指导，分享经验，并在整个职业生涯中成为可信赖的顾问。这种双向的知识传递有助于形成良好的组织文化，并加速员工的专业成长。</w:t>
      </w:r>
    </w:p>
    <w:p>
      <w:pPr>
        <w:ind w:firstLine="560" w:firstLineChars="200"/>
        <w:rPr>
          <w:rFonts w:ascii="仿宋" w:eastAsia="仿宋" w:hAnsi="仿宋" w:cs="仿宋" w:hint="eastAsia"/>
          <w:sz w:val="28"/>
        </w:rPr>
      </w:pPr>
      <w:r>
        <w:rPr>
          <w:rFonts w:ascii="仿宋" w:eastAsia="仿宋" w:hAnsi="仿宋" w:cs="仿宋" w:hint="eastAsia"/>
          <w:sz w:val="28"/>
          <w:lang w:eastAsia="zh-CN"/>
        </w:rPr>
        <w:t>3. 职业规划咨询服务</w:t>
      </w:r>
    </w:p>
    <w:p>
      <w:pPr>
        <w:ind w:firstLine="560" w:firstLineChars="200"/>
        <w:rPr>
          <w:rFonts w:ascii="仿宋" w:eastAsia="仿宋" w:hAnsi="仿宋" w:cs="仿宋" w:hint="eastAsia"/>
          <w:sz w:val="28"/>
        </w:rPr>
        <w:sectPr>
          <w:headerReference w:type="default" r:id="rId40"/>
          <w:footerReference w:type="default" r:id="rId41"/>
          <w:type w:val="nextPage"/>
          <w:pgSz w:w="11906" w:h="16838"/>
          <w:pgMar w:top="1440" w:right="1800" w:bottom="1440" w:left="1800" w:header="851" w:footer="992" w:gutter="0"/>
          <w:pgNumType w:start="19"/>
          <w:cols w:num="1" w:space="425"/>
          <w:titlePg w:val="0"/>
          <w:docGrid w:type="lines" w:linePitch="312" w:charSpace="0"/>
        </w:sectPr>
      </w:pPr>
      <w:r>
        <w:rPr>
          <w:rFonts w:ascii="仿宋" w:eastAsia="仿宋" w:hAnsi="仿宋" w:cs="仿宋" w:hint="eastAsia"/>
          <w:sz w:val="28"/>
          <w:lang w:eastAsia="zh-CN"/>
        </w:rPr>
        <w:t>为员工提供专业的职业规划咨询服务，帮助他们明确职业目标、评估职业选择，是支持体系的关键组成部分。这种服务可以通过专业咨询师、在线平台或内部专家提供，以确保员工在职业决策中有明晰的方向。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 多样性的发展机会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发展支持体系应包含多样性的发展机会，涵盖不同的职业领域和发展方向。这可以包括参与创新项目、领导小组、国际交流等，以拓展员工的经验和视野，为其职业生涯提供更多选择。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5. 心理健康支持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职业生涯发展的成功不仅仅取决于技能的提升，还与员工的心理健康密切相关。支持体系应该包括心理健康资源，为员工提供心理咨询、工作压力管理等服务，确保他们在职业发展过程中能够保持平衡。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灵活的工作安排</w:t>
      </w:r>
    </w:p>
    <w:p>
      <w:pPr>
        <w:ind w:firstLine="560" w:firstLineChars="200"/>
        <w:rPr>
          <w:rFonts w:ascii="仿宋" w:eastAsia="仿宋" w:hAnsi="仿宋" w:cs="仿宋" w:hint="eastAsia"/>
          <w:sz w:val="28"/>
        </w:rPr>
      </w:pPr>
      <w:r>
        <w:rPr>
          <w:rFonts w:ascii="仿宋" w:eastAsia="仿宋" w:hAnsi="仿宋" w:cs="仿宋" w:hint="eastAsia"/>
          <w:sz w:val="28"/>
          <w:lang w:eastAsia="zh-CN"/>
        </w:rPr>
        <w:t>为员工提供灵活的工作安排是职业生涯发展支持的一部分。这可以包括远程工作、弹性工作时间等，以帮助员工更好地平衡工作与生活，提高其职业生涯的可持续性。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7. 职业发展资源中心</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建立一个职业发展资源中心，集中提供各类有关职业发展的信息和工具，有助于员工更便捷地获取所需的资源。这可以包括在线平台、内部文档、气体分离及液化设备行业报告等。</w:t>
      </w:r>
    </w:p>
    <w:p>
      <w:pPr>
        <w:ind w:firstLine="560" w:firstLineChars="200"/>
        <w:rPr>
          <w:rFonts w:ascii="仿宋" w:eastAsia="仿宋" w:hAnsi="仿宋" w:cs="仿宋" w:hint="eastAsia"/>
          <w:sz w:val="28"/>
        </w:rPr>
      </w:pPr>
      <w:r>
        <w:rPr>
          <w:rFonts w:ascii="仿宋" w:eastAsia="仿宋" w:hAnsi="仿宋" w:cs="仿宋" w:hint="eastAsia"/>
          <w:sz w:val="28"/>
          <w:lang w:eastAsia="zh-CN"/>
        </w:rPr>
        <w:t>8. 持续的绩效反馈</w:t>
      </w:r>
    </w:p>
    <w:p>
      <w:pPr>
        <w:ind w:firstLine="560" w:firstLineChars="200"/>
        <w:rPr>
          <w:rFonts w:ascii="仿宋" w:eastAsia="仿宋" w:hAnsi="仿宋" w:cs="仿宋" w:hint="eastAsia"/>
          <w:sz w:val="28"/>
        </w:rPr>
        <w:sectPr>
          <w:headerReference w:type="default" r:id="rId42"/>
          <w:footerReference w:type="default" r:id="rId43"/>
          <w:type w:val="nextPage"/>
          <w:pgSz w:w="11906" w:h="16838"/>
          <w:pgMar w:top="1440" w:right="1800" w:bottom="1440" w:left="1800" w:header="851" w:footer="992" w:gutter="0"/>
          <w:pgNumType w:start="20"/>
          <w:cols w:num="1" w:space="425"/>
          <w:titlePg w:val="0"/>
          <w:docGrid w:type="lines" w:linePitch="312" w:charSpace="0"/>
        </w:sectPr>
      </w:pPr>
      <w:r>
        <w:rPr>
          <w:rFonts w:ascii="仿宋" w:eastAsia="仿宋" w:hAnsi="仿宋" w:cs="仿宋" w:hint="eastAsia"/>
          <w:sz w:val="28"/>
          <w:lang w:eastAsia="zh-CN"/>
        </w:rPr>
        <w:t>发展支持体系需要与绩效管理相结合，通过定期的绩效反馈为员工提供指导。这有助于员工了解自己的优势和改进点，从而更好地规划自己的职业生涯路径。</w:t>
      </w:r>
    </w:p>
    <w:p>
      <w:pPr>
        <w:pStyle w:val="Heading2"/>
        <w:ind w:firstLine="560" w:firstLineChars="200"/>
        <w:rPr>
          <w:rFonts w:ascii="仿宋" w:eastAsia="仿宋" w:hAnsi="仿宋" w:cs="仿宋" w:hint="eastAsia"/>
          <w:sz w:val="28"/>
          <w:lang w:eastAsia="zh-CN"/>
        </w:rPr>
      </w:pPr>
      <w:bookmarkStart w:id="14" w:name="_Toc3746"/>
      <w:r>
        <w:rPr>
          <w:rFonts w:ascii="仿宋" w:eastAsia="仿宋" w:hAnsi="仿宋" w:cs="仿宋" w:hint="eastAsia"/>
          <w:sz w:val="28"/>
          <w:lang w:eastAsia="zh-CN"/>
        </w:rPr>
        <w:t>(五)、公司文化与员工职业发展融合</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1. 价值观一致性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确保公司文化的核心价值观与员工的个人价值观一致。当员工认同并践行公司的核心价值时，他们更有可能在职业生涯中找到共鸣，并为公司取得成功贡献力量。因此，公司应强调价值观一致性，以促使员工在公司文化中融入。</w:t>
      </w:r>
    </w:p>
    <w:p>
      <w:pPr>
        <w:ind w:firstLine="560" w:firstLineChars="200"/>
        <w:rPr>
          <w:rFonts w:ascii="仿宋" w:eastAsia="仿宋" w:hAnsi="仿宋" w:cs="仿宋" w:hint="eastAsia"/>
          <w:sz w:val="28"/>
        </w:rPr>
      </w:pPr>
      <w:r>
        <w:rPr>
          <w:rFonts w:ascii="仿宋" w:eastAsia="仿宋" w:hAnsi="仿宋" w:cs="仿宋" w:hint="eastAsia"/>
          <w:sz w:val="28"/>
          <w:lang w:eastAsia="zh-CN"/>
        </w:rPr>
        <w:t>2. 发展机会与公司使命关联</w:t>
      </w:r>
    </w:p>
    <w:p>
      <w:pPr>
        <w:ind w:firstLine="560" w:firstLineChars="200"/>
        <w:rPr>
          <w:rFonts w:ascii="仿宋" w:eastAsia="仿宋" w:hAnsi="仿宋" w:cs="仿宋" w:hint="eastAsia"/>
          <w:sz w:val="28"/>
        </w:rPr>
      </w:pPr>
      <w:r>
        <w:rPr>
          <w:rFonts w:ascii="仿宋" w:eastAsia="仿宋" w:hAnsi="仿宋" w:cs="仿宋" w:hint="eastAsia"/>
          <w:sz w:val="28"/>
          <w:lang w:eastAsia="zh-CN"/>
        </w:rPr>
        <w:t>将员工的发展机会与公司的使命和愿景相关联。公司文化应强调个体的成长与公司目标的一致性，使员工在追求个人职业发展的同时，为公司的长期愿景贡献力量。这可以通过明确的发展路径、培训计划以及晋升机会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3. 文化体现在领导风格中</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公司文化应该在领导层的行为中得以体现。领导者是文化的塑造者和传播者，他们的行为应与公司文化相一致。通过领导者的示范作用，员工更容易理解和融入公司的价值观，从而更好地规划自己的职业生涯。</w:t>
      </w:r>
    </w:p>
    <w:p>
      <w:pPr>
        <w:ind w:firstLine="560" w:firstLineChars="200"/>
        <w:rPr>
          <w:rFonts w:ascii="仿宋" w:eastAsia="仿宋" w:hAnsi="仿宋" w:cs="仿宋" w:hint="eastAsia"/>
          <w:sz w:val="28"/>
        </w:rPr>
      </w:pPr>
      <w:r>
        <w:rPr>
          <w:rFonts w:ascii="仿宋" w:eastAsia="仿宋" w:hAnsi="仿宋" w:cs="仿宋" w:hint="eastAsia"/>
          <w:sz w:val="28"/>
          <w:lang w:eastAsia="zh-CN"/>
        </w:rPr>
        <w:t>4. 开放沟通与透明度</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开放的沟通渠道和透明的企业文化。员工需要清晰地了解公司的战略方向、目标和文化价值观，以便他们能够将个人职业发展与公司的长远计划相对应。透明的信息传递有助于员工更好地理解公司文化，从而更好地与之融合。</w:t>
      </w:r>
    </w:p>
    <w:p>
      <w:pPr>
        <w:ind w:firstLine="560" w:firstLineChars="200"/>
        <w:rPr>
          <w:rFonts w:ascii="仿宋" w:eastAsia="仿宋" w:hAnsi="仿宋" w:cs="仿宋" w:hint="eastAsia"/>
          <w:sz w:val="28"/>
        </w:rPr>
        <w:sectPr>
          <w:headerReference w:type="default" r:id="rId44"/>
          <w:footerReference w:type="default" r:id="rId45"/>
          <w:type w:val="nextPage"/>
          <w:pgSz w:w="11906" w:h="16838"/>
          <w:pgMar w:top="1440" w:right="1800" w:bottom="1440" w:left="1800" w:header="851" w:footer="992" w:gutter="0"/>
          <w:pgNumType w:start="21"/>
          <w:cols w:num="1" w:space="425"/>
          <w:titlePg w:val="0"/>
          <w:docGrid w:type="lines" w:linePitch="312" w:charSpace="0"/>
        </w:sectPr>
      </w:pPr>
      <w:r>
        <w:rPr>
          <w:rFonts w:ascii="仿宋" w:eastAsia="仿宋" w:hAnsi="仿宋" w:cs="仿宋" w:hint="eastAsia"/>
          <w:sz w:val="28"/>
          <w:lang w:eastAsia="zh-CN"/>
        </w:rPr>
        <w:t>5. 奖励与认可机制</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公司文化应该通过奖励和认可机制来鼓励员工的积极贡献。这不仅包括直接与工作业绩相关的奖励，还包括对符合公司文化的行为和态度的认可。通过这种方式，公司文化成为员工职业发展的动力源泉。</w:t>
      </w:r>
    </w:p>
    <w:p>
      <w:pPr>
        <w:ind w:firstLine="560" w:firstLineChars="200"/>
        <w:rPr>
          <w:rFonts w:ascii="仿宋" w:eastAsia="仿宋" w:hAnsi="仿宋" w:cs="仿宋" w:hint="eastAsia"/>
          <w:sz w:val="28"/>
        </w:rPr>
      </w:pPr>
      <w:r>
        <w:rPr>
          <w:rFonts w:ascii="仿宋" w:eastAsia="仿宋" w:hAnsi="仿宋" w:cs="仿宋" w:hint="eastAsia"/>
          <w:sz w:val="28"/>
          <w:lang w:eastAsia="zh-CN"/>
        </w:rPr>
        <w:t>6. 文化与创新的结合</w:t>
      </w:r>
    </w:p>
    <w:p>
      <w:pPr>
        <w:ind w:firstLine="560" w:firstLineChars="200"/>
        <w:rPr>
          <w:rFonts w:ascii="仿宋" w:eastAsia="仿宋" w:hAnsi="仿宋" w:cs="仿宋" w:hint="eastAsia"/>
          <w:sz w:val="28"/>
        </w:rPr>
      </w:pPr>
      <w:r>
        <w:rPr>
          <w:rFonts w:ascii="仿宋" w:eastAsia="仿宋" w:hAnsi="仿宋" w:cs="仿宋" w:hint="eastAsia"/>
          <w:sz w:val="28"/>
          <w:lang w:eastAsia="zh-CN"/>
        </w:rPr>
        <w:t>将公司文化与创新有机结合。培养一种文化，鼓励员工不断尝试新想法、追求卓越，并接受失败作为学习的机会。这种鼓励创新的文化有助于激发员工的创造力，推动他们在职业发展中实现更高水平的成就。</w:t>
      </w:r>
    </w:p>
    <w:p>
      <w:pPr>
        <w:ind w:firstLine="560" w:firstLineChars="200"/>
        <w:rPr>
          <w:rFonts w:ascii="仿宋" w:eastAsia="仿宋" w:hAnsi="仿宋" w:cs="仿宋" w:hint="eastAsia"/>
          <w:sz w:val="28"/>
        </w:rPr>
      </w:pPr>
      <w:r>
        <w:rPr>
          <w:rFonts w:ascii="仿宋" w:eastAsia="仿宋" w:hAnsi="仿宋" w:cs="仿宋" w:hint="eastAsia"/>
          <w:sz w:val="28"/>
          <w:lang w:eastAsia="zh-CN"/>
        </w:rPr>
        <w:t>7. 员工参与文化塑造</w:t>
      </w:r>
    </w:p>
    <w:p>
      <w:pPr>
        <w:ind w:firstLine="560" w:firstLineChars="200"/>
        <w:rPr>
          <w:rFonts w:ascii="仿宋" w:eastAsia="仿宋" w:hAnsi="仿宋" w:cs="仿宋" w:hint="eastAsia"/>
          <w:sz w:val="28"/>
        </w:rPr>
      </w:pPr>
      <w:r>
        <w:rPr>
          <w:rFonts w:ascii="仿宋" w:eastAsia="仿宋" w:hAnsi="仿宋" w:cs="仿宋" w:hint="eastAsia"/>
          <w:sz w:val="28"/>
          <w:lang w:eastAsia="zh-CN"/>
        </w:rPr>
        <w:t>鼓励员工参与到文化的塑造中。公司文化应该是一个共同建构的过程，员工的参与感和归属感将进一步加强。这可以通过员工参与决策、文化活动和团队建设来实现。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8. 灵活性与多样性的融合</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公司文化应该具有足够的灵活性，以容纳和融合多样性。不同背景和观点的员工都应该在公司文化中找到归属感，从而更好地发展自己的职业生涯。</w:t>
      </w:r>
    </w:p>
    <w:p>
      <w:pPr>
        <w:pStyle w:val="Heading2"/>
        <w:ind w:firstLine="560" w:firstLineChars="200"/>
        <w:rPr>
          <w:rFonts w:ascii="仿宋" w:eastAsia="仿宋" w:hAnsi="仿宋" w:cs="仿宋" w:hint="eastAsia"/>
          <w:sz w:val="28"/>
          <w:lang w:eastAsia="zh-CN"/>
        </w:rPr>
      </w:pPr>
      <w:bookmarkStart w:id="15" w:name="_Toc19055"/>
      <w:r>
        <w:rPr>
          <w:rFonts w:ascii="仿宋" w:eastAsia="仿宋" w:hAnsi="仿宋" w:cs="仿宋" w:hint="eastAsia"/>
          <w:sz w:val="28"/>
          <w:lang w:eastAsia="zh-CN"/>
        </w:rPr>
        <w:t>(六)、未来趋势与发展策略</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未来职业生涯发展面临着不断演变的挑战和机遇。理解并应对这些趋势，制定相应的发展策略对于组织和员工都至关重要。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 技术驱动的职业发展</w:t>
      </w:r>
    </w:p>
    <w:p>
      <w:pPr>
        <w:ind w:firstLine="560" w:firstLineChars="200"/>
        <w:rPr>
          <w:rFonts w:ascii="仿宋" w:eastAsia="仿宋" w:hAnsi="仿宋" w:cs="仿宋" w:hint="eastAsia"/>
          <w:sz w:val="28"/>
        </w:rPr>
        <w:sectPr>
          <w:headerReference w:type="default" r:id="rId46"/>
          <w:footerReference w:type="default" r:id="rId47"/>
          <w:type w:val="nextPage"/>
          <w:pgSz w:w="11906" w:h="16838"/>
          <w:pgMar w:top="1440" w:right="1800" w:bottom="1440" w:left="1800" w:header="851" w:footer="992" w:gutter="0"/>
          <w:pgNumType w:start="2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未来，技术将继续成为职业发展的关键驱动力。新兴技术如人工智能、大数据分析、区块链等将改变许多气体分离及液化设备行业的工作方式。组织应鼓励员工获取与这些技术相关的新技能，通过培训和发展计划提升员工的数字素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2. 远程工作与弹性工作制度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远程工作已经成为趋势，并有望在未来进一步发展。组织需要制定相应的政策和技术支持，以适应远程工作的需求。同时，弹性工作制度的实施可以更好地满足员工的工作与生活平衡需求，提高员工满意度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 多元化与包容性发展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未来的职场将更加多元化，员工来自不同文化、背景和年龄群体。组织需要创建一个包容性的工作环境，鼓励多元化的思想和团队合作。多元团队的优势将体现在创新和问题解决能力的提升上。</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 自主学习与发展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未来职业发展将更加强调自主学习和个人发展。员工需要具备不断学习的能力，以适应快速变化的工作环境。组织可以提供在线学习平台、导师制度等支持，激发员工的学习兴趣和动力。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 绿色与可持续发展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可持续性将成为未来职业生涯规划的重要考量因素。员工对于公司的环保和社会责任感兴趣，组织应积极参与可持续发展，提供与环保相关的培训和发展机会，满足员工对于社会责任的追求。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发展策略：</w:t>
      </w:r>
    </w:p>
    <w:p>
      <w:pPr>
        <w:ind w:firstLine="560" w:firstLineChars="200"/>
        <w:rPr>
          <w:rFonts w:ascii="仿宋" w:eastAsia="仿宋" w:hAnsi="仿宋" w:cs="仿宋" w:hint="eastAsia"/>
          <w:sz w:val="28"/>
        </w:rPr>
        <w:sectPr>
          <w:headerReference w:type="default" r:id="rId48"/>
          <w:footerReference w:type="default" r:id="rId49"/>
          <w:type w:val="nextPage"/>
          <w:pgSz w:w="11906" w:h="16838"/>
          <w:pgMar w:top="1440" w:right="1800" w:bottom="1440" w:left="1800" w:header="851" w:footer="992" w:gutter="0"/>
          <w:pgNumType w:start="23"/>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技能培训与更新：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投资于员工的技能培训，确保他们具备未来工作所需的新技能。与气体分离及液化设备行业专业机构建立合作关系，提供最新的气体分离及液化设备行业培训。</w:t>
      </w:r>
    </w:p>
    <w:p>
      <w:pPr>
        <w:ind w:firstLine="560" w:firstLineChars="200"/>
        <w:rPr>
          <w:rFonts w:ascii="仿宋" w:eastAsia="仿宋" w:hAnsi="仿宋" w:cs="仿宋" w:hint="eastAsia"/>
          <w:sz w:val="28"/>
        </w:rPr>
      </w:pPr>
      <w:r>
        <w:rPr>
          <w:rFonts w:ascii="仿宋" w:eastAsia="仿宋" w:hAnsi="仿宋" w:cs="仿宋" w:hint="eastAsia"/>
          <w:sz w:val="28"/>
          <w:lang w:eastAsia="zh-CN"/>
        </w:rPr>
        <w:t>2. 灵活的工作制度： 制定灵活的工作制度，支持远程工作和弹性工作时间。倡导结果导向的工作文化，注重工作成果而非传统的办公时间。</w:t>
      </w:r>
    </w:p>
    <w:p>
      <w:pPr>
        <w:ind w:firstLine="560" w:firstLineChars="200"/>
        <w:rPr>
          <w:rFonts w:ascii="仿宋" w:eastAsia="仿宋" w:hAnsi="仿宋" w:cs="仿宋" w:hint="eastAsia"/>
          <w:sz w:val="28"/>
        </w:rPr>
      </w:pPr>
      <w:r>
        <w:rPr>
          <w:rFonts w:ascii="仿宋" w:eastAsia="仿宋" w:hAnsi="仿宋" w:cs="仿宋" w:hint="eastAsia"/>
          <w:sz w:val="28"/>
          <w:lang w:eastAsia="zh-CN"/>
        </w:rPr>
        <w:t>3. 多元化和包容性： 制定多元化招聘策略，鼓励不同背景的员工加入。建立培训项目，提升员工对多元化工作环境的适应能力。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4. 个人发展计划： 激励员工制定个人发展计划，设立明确的职业目标，并提供发展路径和支持。鼓励员工参与自主学习，提供学习资源和平台。</w:t>
      </w:r>
    </w:p>
    <w:p>
      <w:pPr>
        <w:ind w:firstLine="560" w:firstLineChars="200"/>
        <w:rPr>
          <w:rFonts w:ascii="仿宋" w:eastAsia="仿宋" w:hAnsi="仿宋" w:cs="仿宋" w:hint="eastAsia"/>
          <w:sz w:val="28"/>
        </w:rPr>
      </w:pPr>
      <w:r>
        <w:rPr>
          <w:rFonts w:ascii="仿宋" w:eastAsia="仿宋" w:hAnsi="仿宋" w:cs="仿宋" w:hint="eastAsia"/>
          <w:sz w:val="28"/>
          <w:lang w:eastAsia="zh-CN"/>
        </w:rPr>
        <w:t>5. 可持续发展实践： 将可持续发展纳入公司价值观和战略中，并将其融入员工的职业发展计划。设立可持续发展目标，激励员工积极参与可持续性项目。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在这个不断变化的时代，有效的职业生涯发展策略需要紧跟潮流，促使组织和员工共同适应未来的挑战与机遇。</w:t>
      </w:r>
    </w:p>
    <w:p>
      <w:pPr>
        <w:pStyle w:val="Heading1"/>
        <w:ind w:firstLine="560" w:firstLineChars="200"/>
        <w:rPr>
          <w:rFonts w:ascii="仿宋" w:eastAsia="仿宋" w:hAnsi="仿宋" w:cs="仿宋" w:hint="eastAsia"/>
          <w:sz w:val="28"/>
          <w:lang w:eastAsia="zh-CN"/>
        </w:rPr>
      </w:pPr>
      <w:bookmarkStart w:id="16" w:name="_Toc19389"/>
      <w:r>
        <w:rPr>
          <w:rFonts w:ascii="仿宋" w:eastAsia="仿宋" w:hAnsi="仿宋" w:cs="仿宋" w:hint="eastAsia"/>
          <w:sz w:val="28"/>
          <w:lang w:eastAsia="zh-CN"/>
        </w:rPr>
        <w:t>四、宏观环境分析</w:t>
      </w:r>
      <w:bookmarkEnd w:id="16"/>
    </w:p>
    <w:p>
      <w:pPr>
        <w:pStyle w:val="Heading2"/>
        <w:rPr>
          <w:rFonts w:ascii="仿宋" w:eastAsia="仿宋" w:hAnsi="仿宋" w:cs="仿宋" w:hint="eastAsia"/>
          <w:lang w:eastAsia="zh-CN"/>
        </w:rPr>
      </w:pPr>
      <w:bookmarkStart w:id="17" w:name="_Toc22497"/>
      <w:r>
        <w:rPr>
          <w:rFonts w:ascii="仿宋" w:eastAsia="仿宋" w:hAnsi="仿宋" w:cs="仿宋" w:hint="eastAsia"/>
          <w:lang w:eastAsia="zh-CN"/>
        </w:rPr>
        <w:t>(一)、宏观环境分析</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1. 社会因素：</w:t>
      </w:r>
    </w:p>
    <w:p>
      <w:pPr>
        <w:ind w:firstLine="560" w:firstLineChars="200"/>
        <w:rPr>
          <w:rFonts w:ascii="仿宋" w:eastAsia="仿宋" w:hAnsi="仿宋" w:cs="仿宋" w:hint="eastAsia"/>
          <w:sz w:val="28"/>
        </w:rPr>
        <w:sectPr>
          <w:headerReference w:type="default" r:id="rId50"/>
          <w:footerReference w:type="default" r:id="rId51"/>
          <w:type w:val="nextPage"/>
          <w:pgSz w:w="11906" w:h="16838"/>
          <w:pgMar w:top="1440" w:right="1800" w:bottom="1440" w:left="1800" w:header="851" w:footer="992" w:gutter="0"/>
          <w:pgNumType w:start="24"/>
          <w:cols w:num="1" w:space="425"/>
          <w:titlePg w:val="0"/>
          <w:docGrid w:type="lines" w:linePitch="312" w:charSpace="0"/>
        </w:sectPr>
      </w:pPr>
      <w:r>
        <w:rPr>
          <w:rFonts w:ascii="仿宋" w:eastAsia="仿宋" w:hAnsi="仿宋" w:cs="仿宋" w:hint="eastAsia"/>
          <w:sz w:val="28"/>
          <w:lang w:eastAsia="zh-CN"/>
        </w:rPr>
        <w:t>社会因素在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气体分离及液化设备行业中具有重要意义。随着社会结构的变化，消费者对产品和服务的需求也发生了变化。当前，社会对可持续性和社会责任的关注不断增加，这对</w:t>
      </w:r>
      <w:r>
        <w:rPr>
          <w:rFonts w:ascii="仿宋" w:eastAsia="仿宋" w:hAnsi="仿宋" w:cs="仿宋" w:hint="eastAsia"/>
          <w:sz w:val="28"/>
          <w:lang w:eastAsia="zh-CN"/>
        </w:rPr>
        <w:t xml:space="preserve"> 气体分离及液化设备行业提出了更高的要求。企业需要适应社会价值观的演变，关注社会趋势，以更好地满足市场需求。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经济因素对 气体分离及液化设备行业的发展有着直接而深远的影响。全球经济的增长趋缓或复苏，通货膨胀率、利率、汇率等因素都可能对企业的成本和收入造成影响。在这个环境中，企业需要灵活应对经济波动，制定适应性强的经营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政治因素：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政治因素对 气体分离及液化设备行业的发展至关重要。政府政策的变化、国际关系的调整都可能对企业产生深刻的影响。特别是在 气体分离及液化设备行业可能涉及到的领域，如法规、知识产权保护等，企业需要密切关注政治动态，及时调整战略。</w:t>
      </w:r>
    </w:p>
    <w:p>
      <w:pPr>
        <w:ind w:firstLine="560" w:firstLineChars="200"/>
        <w:rPr>
          <w:rFonts w:ascii="仿宋" w:eastAsia="仿宋" w:hAnsi="仿宋" w:cs="仿宋" w:hint="eastAsia"/>
          <w:sz w:val="28"/>
        </w:rPr>
      </w:pPr>
      <w:r>
        <w:rPr>
          <w:rFonts w:ascii="仿宋" w:eastAsia="仿宋" w:hAnsi="仿宋" w:cs="仿宋" w:hint="eastAsia"/>
          <w:sz w:val="28"/>
          <w:lang w:eastAsia="zh-CN"/>
        </w:rPr>
        <w:t>4. 技术因素：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技术创新是 气体分离及液化设备行业的驱动力之一。新技术的引入可能改变气体分离及液化设备行业格局，提高生产效率，创造新的商业机会。企业需要保持对技术趋势的敏感性，不断更新技术和提升创新能力，以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5. 法律因素：</w:t>
      </w:r>
    </w:p>
    <w:p>
      <w:pPr>
        <w:ind w:firstLine="560" w:firstLineChars="200"/>
        <w:rPr>
          <w:rFonts w:ascii="仿宋" w:eastAsia="仿宋" w:hAnsi="仿宋" w:cs="仿宋" w:hint="eastAsia"/>
          <w:sz w:val="28"/>
        </w:rPr>
        <w:sectPr>
          <w:headerReference w:type="default" r:id="rId52"/>
          <w:footerReference w:type="default" r:id="rId53"/>
          <w:type w:val="nextPage"/>
          <w:pgSz w:w="11906" w:h="16838"/>
          <w:pgMar w:top="1440" w:right="1800" w:bottom="1440" w:left="1800" w:header="851" w:footer="992" w:gutter="0"/>
          <w:pgNumType w:start="25"/>
          <w:cols w:num="1" w:space="425"/>
          <w:titlePg w:val="0"/>
          <w:docGrid w:type="lines" w:linePitch="312" w:charSpace="0"/>
        </w:sectPr>
      </w:pPr>
      <w:r>
        <w:rPr>
          <w:rFonts w:ascii="仿宋" w:eastAsia="仿宋" w:hAnsi="仿宋" w:cs="仿宋" w:hint="eastAsia"/>
          <w:sz w:val="28"/>
          <w:lang w:eastAsia="zh-CN"/>
        </w:rPr>
        <w:t>法律环境对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气体分离及液化设备行业的运营产生直接的约束和引导。合规性、知识产权的保护、劳动法规等都是企业必须遵循的法律框架。企业需要建立完善的法律团队，确保在法规范围内经营，降低法律风险。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6. 环境因素：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在全球关注环保的趋势下， 气体分离及液化设备行业需要更加重视环境因素。降低碳足迹、可持续生产、环保政策的遵守等都成为企业经营的重要考量。企业需要通过绿色技术和环保举措，积极履行社会责任。</w:t>
      </w:r>
    </w:p>
    <w:p>
      <w:pPr>
        <w:pStyle w:val="Heading1"/>
        <w:ind w:firstLine="560" w:firstLineChars="200"/>
        <w:rPr>
          <w:rFonts w:ascii="仿宋" w:eastAsia="仿宋" w:hAnsi="仿宋" w:cs="仿宋" w:hint="eastAsia"/>
          <w:sz w:val="28"/>
          <w:lang w:eastAsia="zh-CN"/>
        </w:rPr>
      </w:pPr>
      <w:bookmarkStart w:id="18" w:name="_Toc14521"/>
      <w:r>
        <w:rPr>
          <w:rFonts w:ascii="仿宋" w:eastAsia="仿宋" w:hAnsi="仿宋" w:cs="仿宋" w:hint="eastAsia"/>
          <w:sz w:val="28"/>
          <w:lang w:eastAsia="zh-CN"/>
        </w:rPr>
        <w:t>五、员工沟通技巧培训与人际关系管理</w:t>
      </w:r>
      <w:bookmarkEnd w:id="18"/>
    </w:p>
    <w:p>
      <w:pPr>
        <w:pStyle w:val="Heading2"/>
        <w:rPr>
          <w:rFonts w:ascii="仿宋" w:eastAsia="仿宋" w:hAnsi="仿宋" w:cs="仿宋" w:hint="eastAsia"/>
          <w:lang w:eastAsia="zh-CN"/>
        </w:rPr>
      </w:pPr>
      <w:bookmarkStart w:id="19" w:name="_Toc9750"/>
      <w:r>
        <w:rPr>
          <w:rFonts w:ascii="仿宋" w:eastAsia="仿宋" w:hAnsi="仿宋" w:cs="仿宋" w:hint="eastAsia"/>
          <w:lang w:eastAsia="zh-CN"/>
        </w:rPr>
        <w:t>(一)、沟通技巧的重要性及培训计划</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在现代职场中，有效的沟通技巧是建立协作关系、提高工作效率和解决问题的关键。良好的沟通有助于减少误解，促进信息的准确传递，增强团队协作，提高整体工作氛围。因此，公司决定实施员工沟通技巧培训计划，以提高员工在沟通方面的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培训计划将包括以下方面：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有效听力技巧： 强调倾听的重要性，培养员工主动聆听、理解对方观点的能力，以确保双方都能够真正理解沟通的内容。</w:t>
      </w:r>
    </w:p>
    <w:p>
      <w:pPr>
        <w:ind w:firstLine="560" w:firstLineChars="200"/>
        <w:rPr>
          <w:rFonts w:ascii="仿宋" w:eastAsia="仿宋" w:hAnsi="仿宋" w:cs="仿宋" w:hint="eastAsia"/>
          <w:sz w:val="28"/>
        </w:rPr>
      </w:pPr>
      <w:r>
        <w:rPr>
          <w:rFonts w:ascii="仿宋" w:eastAsia="仿宋" w:hAnsi="仿宋" w:cs="仿宋" w:hint="eastAsia"/>
          <w:sz w:val="28"/>
          <w:lang w:eastAsia="zh-CN"/>
        </w:rPr>
        <w:t>清晰表达： 提供有效的表达工具，帮助员工清晰、明确地传达自己的意思，减少沟通中的歧义和误解。</w:t>
      </w:r>
    </w:p>
    <w:p>
      <w:pPr>
        <w:ind w:firstLine="560" w:firstLineChars="200"/>
        <w:rPr>
          <w:rFonts w:ascii="仿宋" w:eastAsia="仿宋" w:hAnsi="仿宋" w:cs="仿宋" w:hint="eastAsia"/>
          <w:sz w:val="28"/>
        </w:rPr>
      </w:pPr>
      <w:r>
        <w:rPr>
          <w:rFonts w:ascii="仿宋" w:eastAsia="仿宋" w:hAnsi="仿宋" w:cs="仿宋" w:hint="eastAsia"/>
          <w:sz w:val="28"/>
          <w:lang w:eastAsia="zh-CN"/>
        </w:rPr>
        <w:t>非语言沟通： 强调身体语言、面部表情和姿态对沟通的重要影响。员工将学习如何通过肢体语言传递积极的信息，增强沟通效果。</w:t>
      </w:r>
    </w:p>
    <w:p>
      <w:pPr>
        <w:ind w:firstLine="560" w:firstLineChars="200"/>
        <w:rPr>
          <w:rFonts w:ascii="仿宋" w:eastAsia="仿宋" w:hAnsi="仿宋" w:cs="仿宋" w:hint="eastAsia"/>
          <w:sz w:val="28"/>
        </w:rPr>
        <w:sectPr>
          <w:headerReference w:type="default" r:id="rId54"/>
          <w:footerReference w:type="default" r:id="rId55"/>
          <w:type w:val="nextPage"/>
          <w:pgSz w:w="11906" w:h="16838"/>
          <w:pgMar w:top="1440" w:right="1800" w:bottom="1440" w:left="1800" w:header="851" w:footer="992" w:gutter="0"/>
          <w:pgNumType w:start="26"/>
          <w:cols w:num="1" w:space="425"/>
          <w:titlePg w:val="0"/>
          <w:docGrid w:type="lines" w:linePitch="312" w:charSpace="0"/>
        </w:sectPr>
      </w:pPr>
      <w:r>
        <w:rPr>
          <w:rFonts w:ascii="仿宋" w:eastAsia="仿宋" w:hAnsi="仿宋" w:cs="仿宋" w:hint="eastAsia"/>
          <w:sz w:val="28"/>
          <w:lang w:eastAsia="zh-CN"/>
        </w:rPr>
        <w:t>冲突解决技巧：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提供冲突识别和解决的方法，教授员工如何在发生冲突时保持冷静、理性，并找到合适的解决方案。</w:t>
      </w:r>
    </w:p>
    <w:p>
      <w:pPr>
        <w:pStyle w:val="Heading2"/>
        <w:ind w:firstLine="560" w:firstLineChars="200"/>
        <w:rPr>
          <w:rFonts w:ascii="仿宋" w:eastAsia="仿宋" w:hAnsi="仿宋" w:cs="仿宋" w:hint="eastAsia"/>
          <w:sz w:val="28"/>
          <w:lang w:eastAsia="zh-CN"/>
        </w:rPr>
      </w:pPr>
      <w:bookmarkStart w:id="20" w:name="_Toc3907"/>
      <w:r>
        <w:rPr>
          <w:rFonts w:ascii="仿宋" w:eastAsia="仿宋" w:hAnsi="仿宋" w:cs="仿宋" w:hint="eastAsia"/>
          <w:sz w:val="28"/>
          <w:lang w:eastAsia="zh-CN"/>
        </w:rPr>
        <w:t>(二)、人际关系管理的原则与方法</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良好的人际关系管理对于公司内部团队的协作和成功至关重要。人际关系管理旨在促进员工之间的积极互动、建立强有力的工作关系。为了实现这一目标，公司将采用以下原则和方法：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尊重和理解： 员工将被鼓励尊重彼此的观点和背景，理解不同个体之间的差异。通过创造一个尊重多元性的环境，可以提高团队合作的凝聚力。</w:t>
      </w:r>
    </w:p>
    <w:p>
      <w:pPr>
        <w:ind w:firstLine="560" w:firstLineChars="200"/>
        <w:rPr>
          <w:rFonts w:ascii="仿宋" w:eastAsia="仿宋" w:hAnsi="仿宋" w:cs="仿宋" w:hint="eastAsia"/>
          <w:sz w:val="28"/>
        </w:rPr>
      </w:pPr>
      <w:r>
        <w:rPr>
          <w:rFonts w:ascii="仿宋" w:eastAsia="仿宋" w:hAnsi="仿宋" w:cs="仿宋" w:hint="eastAsia"/>
          <w:sz w:val="28"/>
          <w:lang w:eastAsia="zh-CN"/>
        </w:rPr>
        <w:t>积极沟通： 提倡积极的沟通文化，鼓励员工分享信息、经验和建议。通过积极沟通，可以加强团队之间的合作，提高工作效率。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建立信任： 信任是良好人际关系的基石。公司将通过透明的管理风格、履行承诺以及支持员工发展等方式来建立和维护信任关系。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解决冲突： 提供冲突解决的培训，帮助员工学会以积极的方式处理冲突，确保问题得到及时解决，不影响整个团队的合作氛围。</w:t>
      </w:r>
    </w:p>
    <w:p>
      <w:pPr>
        <w:pStyle w:val="Heading2"/>
        <w:ind w:firstLine="560" w:firstLineChars="200"/>
        <w:rPr>
          <w:rFonts w:ascii="仿宋" w:eastAsia="仿宋" w:hAnsi="仿宋" w:cs="仿宋" w:hint="eastAsia"/>
          <w:sz w:val="28"/>
          <w:lang w:eastAsia="zh-CN"/>
        </w:rPr>
      </w:pPr>
      <w:bookmarkStart w:id="21" w:name="_Toc23836"/>
      <w:r>
        <w:rPr>
          <w:rFonts w:ascii="仿宋" w:eastAsia="仿宋" w:hAnsi="仿宋" w:cs="仿宋" w:hint="eastAsia"/>
          <w:sz w:val="28"/>
          <w:lang w:eastAsia="zh-CN"/>
        </w:rPr>
        <w:t>(三)、良好人际关系的建立与维护</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建立和维护良好的人际关系是一个长期而持续的过程，需要公司制定明确的战略和实施方法。公司将着重以下方面：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团队建设活动： 定期组织团队建设活动，以加强员工之间的互动和合作。这有助于打破冰冷氛围，促进团队之间的友好关系。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认可与奖励：</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56" w:history="1">
        <w:r>
          <w:rPr>
            <w:rFonts w:ascii="SimSun" w:eastAsia="SimSun" w:hAnsi="SimSun" w:cs="SimSun"/>
            <w:b/>
            <w:bCs/>
            <w:color w:val="0000EE"/>
            <w:kern w:val="0"/>
            <w:sz w:val="30"/>
            <w:szCs w:val="30"/>
            <w:u w:val="single" w:color="0000EE"/>
          </w:rPr>
          <w:t>https://d.book118.com/547030001106006052</w:t>
        </w:r>
      </w:hyperlink>
    </w:p>
    <w:p>
      <w:pPr>
        <w:ind w:firstLine="560" w:firstLineChars="200"/>
        <w:rPr>
          <w:rFonts w:ascii="仿宋" w:eastAsia="仿宋" w:hAnsi="仿宋" w:cs="仿宋" w:hint="eastAsia"/>
          <w:sz w:val="28"/>
        </w:rPr>
      </w:pPr>
    </w:p>
    <w:sectPr>
      <w:headerReference w:type="default" r:id="rId57"/>
      <w:footerReference w:type="default" r:id="rId58"/>
      <w:type w:val="nextPage"/>
      <w:pgSz w:w="11906" w:h="16838"/>
      <w:pgMar w:top="1440" w:right="1800" w:bottom="1440" w:left="1800" w:header="851" w:footer="992" w:gutter="0"/>
      <w:pgNumType w:start="2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p>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p>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24</w:t>
    </w:r>
    <w:r>
      <w:rPr>
        <w:rStyle w:val="PageNumber"/>
      </w:rPr>
      <w:fldChar w:fldCharType="end"/>
    </w:r>
  </w:p>
  <w:p>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24</w:t>
    </w:r>
    <w:r>
      <w:rPr>
        <w:rStyle w:val="PageNumber"/>
      </w:rPr>
      <w:fldChar w:fldCharType="end"/>
    </w:r>
  </w:p>
  <w:p>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25</w:t>
    </w:r>
    <w:r>
      <w:rPr>
        <w:rStyle w:val="PageNumber"/>
      </w:rPr>
      <w:fldChar w:fldCharType="end"/>
    </w:r>
  </w:p>
  <w:p>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27</w:t>
    </w:r>
    <w:r>
      <w:rPr>
        <w:rStyle w:val="PageNumber"/>
      </w:rPr>
      <w:fldChar w:fldCharType="end"/>
    </w:r>
  </w:p>
  <w:p>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气体分离及液化设备相关公司员工职业道路规划与管理</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气体分离及液化设备相关公司员工职业道路规划与管理</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气体分离及液化设备相关公司员工职业道路规划与管理</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气体分离及液化设备相关公司员工职业道路规划与管理</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气体分离及液化设备相关公司员工职业道路规划与管理</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气体分离及液化设备相关公司员工职业道路规划与管理</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气体分离及液化设备相关公司员工职业道路规划与管理</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气体分离及液化设备相关公司员工职业道路规划与管理</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气体分离及液化设备相关公司员工职业道路规划与管理</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气体分离及液化设备相关公司员工职业道路规划与管理</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气体分离及液化设备相关公司员工职业道路规划与管理</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气体分离及液化设备相关公司员工职业道路规划与管理</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气体分离及液化设备相关公司员工职业道路规划与管理</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气体分离及液化设备相关公司员工职业道路规划与管理</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气体分离及液化设备相关公司员工职业道路规划与管理</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气体分离及液化设备相关公司员工职业道路规划与管理</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气体分离及液化设备相关公司员工职业道路规划与管理</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气体分离及液化设备相关公司员工职业道路规划与管理</w:t>
    </w: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气体分离及液化设备相关公司员工职业道路规划与管理</w:t>
    </w: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气体分离及液化设备相关公司员工职业道路规划与管理</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气体分离及液化设备相关公司员工职业道路规划与管理</w:t>
    </w: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气体分离及液化设备相关公司员工职业道路规划与管理</w:t>
    </w: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气体分离及液化设备相关公司员工职业道路规划与管理</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气体分离及液化设备相关公司员工职业道路规划与管理</w:t>
    </w: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气体分离及液化设备相关公司员工职业道路规划与管理</w:t>
    </w: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气体分离及液化设备相关公司员工职业道路规划与管理</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气体分离及液化设备相关公司员工职业道路规划与管理</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3A9607C"/>
    <w:rsid w:val="73A9607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eader" Target="header17.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footer" Target="footer19.xml" /><Relationship Id="rId42" Type="http://schemas.openxmlformats.org/officeDocument/2006/relationships/header" Target="header20.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footer" Target="footer22.xml" /><Relationship Id="rId48" Type="http://schemas.openxmlformats.org/officeDocument/2006/relationships/header" Target="header23.xml" /><Relationship Id="rId49" Type="http://schemas.openxmlformats.org/officeDocument/2006/relationships/footer" Target="footer23.xml" /><Relationship Id="rId5" Type="http://schemas.openxmlformats.org/officeDocument/2006/relationships/footer" Target="footer1.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footer" Target="footer25.xml" /><Relationship Id="rId54" Type="http://schemas.openxmlformats.org/officeDocument/2006/relationships/header" Target="header26.xml" /><Relationship Id="rId55" Type="http://schemas.openxmlformats.org/officeDocument/2006/relationships/footer" Target="footer26.xml" /><Relationship Id="rId56" Type="http://schemas.openxmlformats.org/officeDocument/2006/relationships/hyperlink" Target="https://d.book118.com/547030001106006052" TargetMode="External" /><Relationship Id="rId57" Type="http://schemas.openxmlformats.org/officeDocument/2006/relationships/header" Target="header27.xml" /><Relationship Id="rId58" Type="http://schemas.openxmlformats.org/officeDocument/2006/relationships/footer" Target="footer27.xml" /><Relationship Id="rId59" Type="http://schemas.openxmlformats.org/officeDocument/2006/relationships/theme" Target="theme/theme1.xml" /><Relationship Id="rId6" Type="http://schemas.openxmlformats.org/officeDocument/2006/relationships/header" Target="header2.xml" /><Relationship Id="rId60" Type="http://schemas.openxmlformats.org/officeDocument/2006/relationships/styles" Target="styles.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38</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一建必过</dc:creator>
  <cp:lastModifiedBy>一建必过</cp:lastModifiedBy>
  <cp:revision>1</cp:revision>
  <dcterms:created xsi:type="dcterms:W3CDTF">2023-12-24T06:29:00Z</dcterms:created>
  <dcterms:modified xsi:type="dcterms:W3CDTF">2023-12-24T06:29:52Z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126071E168A347B39034FA780D9BBDCF_11</vt:lpwstr>
  </property>
  <property fmtid="{D5CDD505-2E9C-101B-9397-08002B2CF9AE}" pid="3" name="KSOProductBuildVer">
    <vt:lpwstr>2052-12.1.0.16120</vt:lpwstr>
  </property>
</Properties>
</file>