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2024年软件工程行业分析报告及未来五到十年行业发展趋势报告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1472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_Toc31472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2919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_Toc12919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57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_Toc29057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4306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_Toc24306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7568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_Toc17568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517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_Toc16517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895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_Toc24895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358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_Toc12358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280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_Toc9280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10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_Toc1810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498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_Toc15498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42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_Toc29642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995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_Toc12995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7561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_Toc17561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7653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_Toc27653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255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_Toc17255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69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_Toc26369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6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_Toc1761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13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_Toc12139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788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_Toc25788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8620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_Toc8620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306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_Toc22306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531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_Toc10531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308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_Toc30308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701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_Toc13701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33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_Toc29033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453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_Toc18453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1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_Toc631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335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_Toc16335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77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_Toc2877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57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_Toc957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739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_Toc6739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860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_Toc25860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03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_Toc28035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7805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_Toc7805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476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_Toc24476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864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_Toc17864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015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_Toc26015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144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_Toc25144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809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_Toc7809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11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_Toc16411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56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_Toc20956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44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_Toc2844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873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_Toc23873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690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_Toc20690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726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_Toc19726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95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_Toc21695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262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_Toc1262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568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_Toc10568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3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_Toc15734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91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_Toc23918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06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_Toc1906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793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_Toc19793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9173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_Toc19173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442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_Toc21442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935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_Toc9935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823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_Toc19823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6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819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_Toc8819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811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_Toc16811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01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_Toc29001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060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_Toc7060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697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_Toc3697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699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_Toc18699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200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</w:instrText>
        </w:r>
        <w:r>
          <w:instrText xml:space="preserve">PAGEREF _Toc26200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266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_Toc21266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537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_Toc31537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24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_Toc17247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148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软件工程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_Toc18148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869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软件工程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_Toc3869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https://d.book118.com/547051134110006026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547051134110006026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